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23"/>
        <w:spacing w:line="700" w:lineRule="exact"/>
        <w:jc w:val="center"/>
        <w:rPr>
          <w:rFonts w:ascii="宋体" w:hAnsi="宋体" w:cs="宋体"/>
          <w:b/>
          <w:bCs/>
          <w:color w:val="auto"/>
          <w:spacing w:val="-20"/>
          <w:sz w:val="40"/>
          <w:szCs w:val="40"/>
          <w:highlight w:val="none"/>
        </w:rPr>
      </w:pPr>
      <w:bookmarkStart w:id="500" w:name="_GoBack"/>
      <w:bookmarkEnd w:id="500"/>
    </w:p>
    <w:p>
      <w:pPr>
        <w:pStyle w:val="223"/>
        <w:spacing w:line="360" w:lineRule="auto"/>
        <w:jc w:val="center"/>
        <w:rPr>
          <w:rFonts w:hint="eastAsia" w:ascii="??" w:eastAsia="宋体"/>
          <w:b/>
          <w:bCs/>
          <w:color w:val="auto"/>
          <w:spacing w:val="6"/>
          <w:sz w:val="40"/>
          <w:szCs w:val="40"/>
          <w:highlight w:val="none"/>
          <w:lang w:eastAsia="zh-CN"/>
        </w:rPr>
      </w:pPr>
      <w:r>
        <w:rPr>
          <w:rFonts w:hint="eastAsia" w:ascii="宋体" w:hAnsi="宋体" w:cs="宋体"/>
          <w:b/>
          <w:bCs/>
          <w:color w:val="auto"/>
          <w:spacing w:val="6"/>
          <w:sz w:val="44"/>
          <w:szCs w:val="44"/>
          <w:highlight w:val="none"/>
          <w:lang w:eastAsia="zh-CN"/>
        </w:rPr>
        <w:t>尧山实验室2024年陶瓷基复合材料实验设备采购项目</w:t>
      </w:r>
    </w:p>
    <w:p>
      <w:pPr>
        <w:jc w:val="center"/>
        <w:rPr>
          <w:rFonts w:ascii="宋体" w:hAnsi="宋体" w:cs="宋体"/>
          <w:b/>
          <w:bCs/>
          <w:color w:val="auto"/>
          <w:sz w:val="24"/>
          <w:szCs w:val="24"/>
          <w:highlight w:val="none"/>
        </w:rPr>
      </w:pPr>
    </w:p>
    <w:p>
      <w:pPr>
        <w:pStyle w:val="2"/>
        <w:rPr>
          <w:color w:val="auto"/>
          <w:sz w:val="24"/>
          <w:szCs w:val="24"/>
          <w:highlight w:val="none"/>
        </w:rPr>
      </w:pPr>
    </w:p>
    <w:p>
      <w:pPr>
        <w:pStyle w:val="47"/>
        <w:ind w:firstLine="480"/>
        <w:rPr>
          <w:color w:val="auto"/>
          <w:sz w:val="24"/>
          <w:szCs w:val="24"/>
          <w:highlight w:val="none"/>
        </w:rPr>
      </w:pPr>
    </w:p>
    <w:p>
      <w:pPr>
        <w:pStyle w:val="47"/>
        <w:ind w:firstLine="480"/>
        <w:rPr>
          <w:color w:val="auto"/>
          <w:sz w:val="24"/>
          <w:szCs w:val="24"/>
          <w:highlight w:val="none"/>
        </w:rPr>
      </w:pPr>
    </w:p>
    <w:p>
      <w:pPr>
        <w:pStyle w:val="47"/>
        <w:ind w:firstLine="480"/>
        <w:rPr>
          <w:color w:val="auto"/>
          <w:sz w:val="24"/>
          <w:szCs w:val="24"/>
          <w:highlight w:val="none"/>
        </w:rPr>
      </w:pPr>
    </w:p>
    <w:p>
      <w:pPr>
        <w:jc w:val="center"/>
        <w:rPr>
          <w:rFonts w:ascii="??"/>
          <w:b/>
          <w:bCs/>
          <w:color w:val="auto"/>
          <w:sz w:val="32"/>
          <w:szCs w:val="32"/>
          <w:highlight w:val="none"/>
        </w:rPr>
      </w:pPr>
      <w:r>
        <w:rPr>
          <w:rFonts w:hint="eastAsia" w:ascii="宋体" w:hAnsi="宋体" w:cs="宋体"/>
          <w:b/>
          <w:bCs/>
          <w:color w:val="auto"/>
          <w:sz w:val="96"/>
          <w:szCs w:val="96"/>
          <w:highlight w:val="none"/>
        </w:rPr>
        <w:t>招标文件</w:t>
      </w:r>
    </w:p>
    <w:p>
      <w:pPr>
        <w:spacing w:line="360" w:lineRule="auto"/>
        <w:jc w:val="center"/>
        <w:rPr>
          <w:rFonts w:hint="eastAsia" w:ascii="??" w:eastAsia="宋体"/>
          <w:b/>
          <w:bCs/>
          <w:color w:val="auto"/>
          <w:sz w:val="32"/>
          <w:szCs w:val="32"/>
          <w:highlight w:val="yellow"/>
          <w:lang w:val="en-US" w:eastAsia="zh-CN"/>
        </w:rPr>
      </w:pPr>
      <w:r>
        <w:rPr>
          <w:rFonts w:hint="eastAsia" w:ascii="宋体" w:hAnsi="宋体" w:cs="宋体"/>
          <w:b/>
          <w:bCs/>
          <w:color w:val="auto"/>
          <w:sz w:val="28"/>
          <w:szCs w:val="28"/>
          <w:highlight w:val="none"/>
        </w:rPr>
        <w:t>项目编号：</w:t>
      </w:r>
      <w:r>
        <w:rPr>
          <w:rFonts w:hint="eastAsia" w:ascii="宋体" w:hAnsi="宋体" w:cs="宋体"/>
          <w:b/>
          <w:bCs/>
          <w:color w:val="auto"/>
          <w:sz w:val="28"/>
          <w:szCs w:val="28"/>
          <w:highlight w:val="none"/>
          <w:lang w:eastAsia="zh-CN"/>
        </w:rPr>
        <w:t>平采招标-2024-79</w:t>
      </w:r>
    </w:p>
    <w:p>
      <w:pPr>
        <w:tabs>
          <w:tab w:val="left" w:pos="-1155"/>
          <w:tab w:val="left" w:pos="-1050"/>
        </w:tabs>
        <w:spacing w:line="360" w:lineRule="auto"/>
        <w:ind w:right="-334" w:rightChars="-159"/>
        <w:jc w:val="center"/>
        <w:rPr>
          <w:rFonts w:ascii="??"/>
          <w:b/>
          <w:bCs/>
          <w:color w:val="auto"/>
          <w:spacing w:val="-6"/>
          <w:sz w:val="32"/>
          <w:szCs w:val="32"/>
          <w:highlight w:val="none"/>
        </w:rPr>
      </w:pPr>
      <w:r>
        <w:rPr>
          <w:rFonts w:ascii="??"/>
          <w:color w:val="auto"/>
          <w:highlight w:val="none"/>
        </w:rPr>
        <w:drawing>
          <wp:inline distT="0" distB="0" distL="114300" distR="114300">
            <wp:extent cx="2701925" cy="2107565"/>
            <wp:effectExtent l="0" t="0" r="3175" b="6985"/>
            <wp:docPr id="1" name="图片 1" descr="图标，改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标，改过"/>
                    <pic:cNvPicPr>
                      <a:picLocks noChangeAspect="1"/>
                    </pic:cNvPicPr>
                  </pic:nvPicPr>
                  <pic:blipFill>
                    <a:blip r:embed="rId12"/>
                    <a:stretch>
                      <a:fillRect/>
                    </a:stretch>
                  </pic:blipFill>
                  <pic:spPr>
                    <a:xfrm>
                      <a:off x="0" y="0"/>
                      <a:ext cx="2701925" cy="2107565"/>
                    </a:xfrm>
                    <a:prstGeom prst="rect">
                      <a:avLst/>
                    </a:prstGeom>
                    <a:noFill/>
                    <a:ln>
                      <a:noFill/>
                    </a:ln>
                  </pic:spPr>
                </pic:pic>
              </a:graphicData>
            </a:graphic>
          </wp:inline>
        </w:drawing>
      </w:r>
    </w:p>
    <w:p>
      <w:pPr>
        <w:tabs>
          <w:tab w:val="left" w:pos="-1155"/>
          <w:tab w:val="left" w:pos="-1050"/>
        </w:tabs>
        <w:spacing w:line="360" w:lineRule="auto"/>
        <w:ind w:right="-334" w:rightChars="-159" w:firstLine="1682" w:firstLineChars="544"/>
        <w:rPr>
          <w:rFonts w:ascii="??"/>
          <w:b/>
          <w:bCs/>
          <w:color w:val="auto"/>
          <w:spacing w:val="-6"/>
          <w:sz w:val="32"/>
          <w:szCs w:val="32"/>
          <w:highlight w:val="none"/>
        </w:rPr>
      </w:pPr>
    </w:p>
    <w:p>
      <w:pPr>
        <w:pStyle w:val="74"/>
        <w:rPr>
          <w:color w:val="auto"/>
          <w:highlight w:val="none"/>
        </w:rPr>
      </w:pPr>
    </w:p>
    <w:p>
      <w:pPr>
        <w:pStyle w:val="74"/>
        <w:rPr>
          <w:color w:val="auto"/>
          <w:highlight w:val="none"/>
        </w:rPr>
      </w:pPr>
    </w:p>
    <w:p>
      <w:pPr>
        <w:pStyle w:val="74"/>
        <w:rPr>
          <w:color w:val="auto"/>
          <w:highlight w:val="none"/>
        </w:rPr>
      </w:pPr>
    </w:p>
    <w:p>
      <w:pPr>
        <w:pStyle w:val="74"/>
        <w:rPr>
          <w:color w:val="auto"/>
          <w:highlight w:val="none"/>
        </w:rPr>
      </w:pPr>
    </w:p>
    <w:p>
      <w:pPr>
        <w:pStyle w:val="75"/>
        <w:rPr>
          <w:color w:val="auto"/>
          <w:highlight w:val="none"/>
        </w:rPr>
      </w:pPr>
    </w:p>
    <w:p>
      <w:pPr>
        <w:spacing w:line="360" w:lineRule="auto"/>
        <w:ind w:left="1134" w:leftChars="540"/>
        <w:rPr>
          <w:rFonts w:hint="default" w:ascii="??" w:eastAsia="宋体"/>
          <w:b/>
          <w:bCs/>
          <w:color w:val="auto"/>
          <w:spacing w:val="-23"/>
          <w:kern w:val="0"/>
          <w:sz w:val="36"/>
          <w:szCs w:val="36"/>
          <w:highlight w:val="none"/>
          <w:lang w:val="en-US" w:eastAsia="zh-CN"/>
        </w:rPr>
      </w:pPr>
      <w:r>
        <w:rPr>
          <w:rFonts w:hint="eastAsia" w:ascii="宋体" w:hAnsi="宋体" w:cs="宋体"/>
          <w:b/>
          <w:bCs/>
          <w:color w:val="auto"/>
          <w:spacing w:val="272"/>
          <w:kern w:val="0"/>
          <w:sz w:val="36"/>
          <w:szCs w:val="36"/>
          <w:highlight w:val="none"/>
        </w:rPr>
        <w:t>采购</w:t>
      </w:r>
      <w:r>
        <w:rPr>
          <w:rFonts w:hint="eastAsia" w:ascii="宋体" w:hAnsi="宋体" w:cs="宋体"/>
          <w:b/>
          <w:bCs/>
          <w:color w:val="auto"/>
          <w:kern w:val="0"/>
          <w:sz w:val="36"/>
          <w:szCs w:val="36"/>
          <w:highlight w:val="none"/>
        </w:rPr>
        <w:t>人：</w:t>
      </w:r>
      <w:r>
        <w:rPr>
          <w:rFonts w:hint="eastAsia" w:ascii="宋体" w:hAnsi="宋体" w:cs="宋体"/>
          <w:b/>
          <w:bCs/>
          <w:color w:val="auto"/>
          <w:kern w:val="0"/>
          <w:sz w:val="36"/>
          <w:szCs w:val="36"/>
          <w:highlight w:val="none"/>
          <w:lang w:val="en-US" w:eastAsia="zh-CN"/>
        </w:rPr>
        <w:t>尧山实验室</w:t>
      </w:r>
    </w:p>
    <w:p>
      <w:pPr>
        <w:spacing w:line="360" w:lineRule="auto"/>
        <w:ind w:left="1134" w:leftChars="540"/>
        <w:rPr>
          <w:rFonts w:ascii="??"/>
          <w:b/>
          <w:bCs/>
          <w:color w:val="auto"/>
          <w:spacing w:val="14"/>
          <w:kern w:val="0"/>
          <w:sz w:val="36"/>
          <w:szCs w:val="36"/>
          <w:highlight w:val="none"/>
        </w:rPr>
      </w:pPr>
      <w:r>
        <w:rPr>
          <w:rFonts w:hint="eastAsia" w:ascii="宋体" w:hAnsi="宋体" w:cs="宋体"/>
          <w:b/>
          <w:bCs/>
          <w:color w:val="auto"/>
          <w:kern w:val="0"/>
          <w:sz w:val="36"/>
          <w:szCs w:val="36"/>
          <w:highlight w:val="none"/>
        </w:rPr>
        <w:t>采购代理机构：</w:t>
      </w:r>
      <w:r>
        <w:rPr>
          <w:rFonts w:hint="eastAsia" w:ascii="宋体" w:hAnsi="宋体" w:cs="宋体"/>
          <w:b/>
          <w:bCs/>
          <w:color w:val="auto"/>
          <w:spacing w:val="14"/>
          <w:kern w:val="0"/>
          <w:sz w:val="36"/>
          <w:szCs w:val="36"/>
          <w:highlight w:val="none"/>
        </w:rPr>
        <w:t>河</w:t>
      </w:r>
      <w:r>
        <w:rPr>
          <w:rFonts w:hint="eastAsia" w:ascii="宋体" w:hAnsi="宋体" w:cs="宋体"/>
          <w:b/>
          <w:bCs/>
          <w:color w:val="auto"/>
          <w:kern w:val="0"/>
          <w:sz w:val="36"/>
          <w:szCs w:val="36"/>
          <w:highlight w:val="none"/>
        </w:rPr>
        <w:t>南大明建设工程管理有限公司</w:t>
      </w:r>
    </w:p>
    <w:p>
      <w:pPr>
        <w:spacing w:line="360" w:lineRule="auto"/>
        <w:jc w:val="center"/>
        <w:rPr>
          <w:color w:val="auto"/>
          <w:highlight w:val="none"/>
        </w:rPr>
        <w:sectPr>
          <w:headerReference r:id="rId5" w:type="first"/>
          <w:headerReference r:id="rId3" w:type="default"/>
          <w:footerReference r:id="rId6" w:type="default"/>
          <w:headerReference r:id="rId4" w:type="even"/>
          <w:footerReference r:id="rId7" w:type="even"/>
          <w:pgSz w:w="11906" w:h="16838"/>
          <w:pgMar w:top="1361" w:right="1361" w:bottom="1361" w:left="1361" w:header="851" w:footer="992" w:gutter="0"/>
          <w:pgNumType w:start="0"/>
          <w:cols w:space="0" w:num="1"/>
          <w:titlePg/>
          <w:docGrid w:type="lines" w:linePitch="312" w:charSpace="0"/>
        </w:sectPr>
      </w:pPr>
      <w:r>
        <w:rPr>
          <w:rFonts w:hint="eastAsia" w:ascii="宋体" w:hAnsi="宋体" w:cs="宋体"/>
          <w:b/>
          <w:bCs/>
          <w:color w:val="auto"/>
          <w:spacing w:val="20"/>
          <w:kern w:val="0"/>
          <w:sz w:val="36"/>
          <w:szCs w:val="36"/>
          <w:highlight w:val="none"/>
        </w:rPr>
        <w:t>二</w:t>
      </w:r>
      <w:r>
        <w:rPr>
          <w:rFonts w:hint="eastAsia" w:ascii="Arial" w:hAnsi="Arial" w:cs="宋体"/>
          <w:b/>
          <w:bCs/>
          <w:color w:val="auto"/>
          <w:spacing w:val="20"/>
          <w:kern w:val="0"/>
          <w:sz w:val="36"/>
          <w:szCs w:val="36"/>
          <w:highlight w:val="none"/>
        </w:rPr>
        <w:t>〇</w:t>
      </w:r>
      <w:r>
        <w:rPr>
          <w:rFonts w:hint="eastAsia" w:ascii="宋体" w:hAnsi="宋体" w:cs="宋体"/>
          <w:b/>
          <w:bCs/>
          <w:color w:val="auto"/>
          <w:spacing w:val="20"/>
          <w:kern w:val="0"/>
          <w:sz w:val="36"/>
          <w:szCs w:val="36"/>
          <w:highlight w:val="none"/>
        </w:rPr>
        <w:t>二</w:t>
      </w:r>
      <w:r>
        <w:rPr>
          <w:rFonts w:hint="eastAsia" w:ascii="Arial" w:hAnsi="Arial" w:cs="宋体"/>
          <w:b/>
          <w:bCs/>
          <w:color w:val="auto"/>
          <w:spacing w:val="20"/>
          <w:kern w:val="0"/>
          <w:sz w:val="36"/>
          <w:szCs w:val="36"/>
          <w:highlight w:val="none"/>
        </w:rPr>
        <w:t>四</w:t>
      </w:r>
      <w:r>
        <w:rPr>
          <w:rFonts w:hint="eastAsia" w:ascii="宋体" w:hAnsi="宋体" w:cs="宋体"/>
          <w:b/>
          <w:bCs/>
          <w:color w:val="auto"/>
          <w:spacing w:val="20"/>
          <w:kern w:val="0"/>
          <w:sz w:val="36"/>
          <w:szCs w:val="36"/>
          <w:highlight w:val="none"/>
        </w:rPr>
        <w:t>年</w:t>
      </w:r>
      <w:r>
        <w:rPr>
          <w:rFonts w:hint="eastAsia" w:ascii="宋体" w:hAnsi="宋体" w:cs="宋体"/>
          <w:b/>
          <w:bCs/>
          <w:color w:val="auto"/>
          <w:spacing w:val="20"/>
          <w:kern w:val="0"/>
          <w:sz w:val="36"/>
          <w:szCs w:val="36"/>
          <w:highlight w:val="none"/>
          <w:lang w:val="en-US" w:eastAsia="zh-CN"/>
        </w:rPr>
        <w:t>七</w:t>
      </w:r>
      <w:r>
        <w:rPr>
          <w:rFonts w:hint="eastAsia" w:ascii="宋体" w:hAnsi="宋体" w:cs="宋体"/>
          <w:b/>
          <w:bCs/>
          <w:color w:val="auto"/>
          <w:spacing w:val="20"/>
          <w:kern w:val="0"/>
          <w:sz w:val="36"/>
          <w:szCs w:val="36"/>
          <w:highlight w:val="none"/>
        </w:rPr>
        <w:t>月</w:t>
      </w:r>
    </w:p>
    <w:p>
      <w:pPr>
        <w:pStyle w:val="74"/>
        <w:spacing w:after="156" w:afterLines="50" w:line="400" w:lineRule="exact"/>
        <w:jc w:val="center"/>
        <w:rPr>
          <w:rFonts w:ascii="??" w:cs="Times New Roman"/>
          <w:b/>
          <w:bCs/>
          <w:color w:val="auto"/>
          <w:sz w:val="32"/>
          <w:szCs w:val="32"/>
          <w:highlight w:val="none"/>
        </w:rPr>
      </w:pPr>
      <w:r>
        <w:rPr>
          <w:rFonts w:hint="eastAsia" w:ascii="宋体" w:hAnsi="宋体" w:cs="宋体"/>
          <w:b/>
          <w:bCs/>
          <w:color w:val="auto"/>
          <w:sz w:val="32"/>
          <w:szCs w:val="32"/>
          <w:highlight w:val="none"/>
        </w:rPr>
        <w:t>目 录</w:t>
      </w:r>
    </w:p>
    <w:p>
      <w:pPr>
        <w:pStyle w:val="33"/>
        <w:tabs>
          <w:tab w:val="right" w:leader="dot" w:pos="9071"/>
        </w:tabs>
      </w:pPr>
      <w:r>
        <w:rPr>
          <w:rFonts w:hint="eastAsia" w:ascii="宋体" w:hAnsi="宋体" w:eastAsia="宋体" w:cs="宋体"/>
          <w:b w:val="0"/>
          <w:bCs w:val="0"/>
          <w:color w:val="auto"/>
          <w:sz w:val="21"/>
          <w:szCs w:val="21"/>
          <w:highlight w:val="none"/>
        </w:rPr>
        <w:fldChar w:fldCharType="begin"/>
      </w:r>
      <w:r>
        <w:rPr>
          <w:rFonts w:hint="eastAsia" w:ascii="宋体" w:hAnsi="宋体" w:eastAsia="宋体" w:cs="宋体"/>
          <w:b w:val="0"/>
          <w:bCs w:val="0"/>
          <w:color w:val="auto"/>
          <w:sz w:val="21"/>
          <w:szCs w:val="21"/>
          <w:highlight w:val="none"/>
        </w:rPr>
        <w:instrText xml:space="preserve"> TOC \o "1-2" \h \z \u </w:instrText>
      </w:r>
      <w:r>
        <w:rPr>
          <w:rFonts w:hint="eastAsia" w:ascii="宋体" w:hAnsi="宋体" w:eastAsia="宋体" w:cs="宋体"/>
          <w:b w:val="0"/>
          <w:bCs w:val="0"/>
          <w:color w:val="auto"/>
          <w:sz w:val="21"/>
          <w:szCs w:val="21"/>
          <w:highlight w:val="none"/>
        </w:rPr>
        <w:fldChar w:fldCharType="separate"/>
      </w:r>
      <w:r>
        <w:rPr>
          <w:rFonts w:hint="eastAsia" w:ascii="宋体" w:hAnsi="宋体" w:eastAsia="宋体" w:cs="宋体"/>
          <w:bCs w:val="0"/>
          <w:color w:val="auto"/>
          <w:szCs w:val="21"/>
          <w:highlight w:val="none"/>
        </w:rPr>
        <w:fldChar w:fldCharType="begin"/>
      </w:r>
      <w:r>
        <w:rPr>
          <w:rFonts w:hint="eastAsia" w:ascii="宋体" w:hAnsi="宋体" w:eastAsia="宋体" w:cs="宋体"/>
          <w:bCs w:val="0"/>
          <w:szCs w:val="21"/>
          <w:highlight w:val="none"/>
        </w:rPr>
        <w:instrText xml:space="preserve"> HYPERLINK \l _Toc32690 </w:instrText>
      </w:r>
      <w:r>
        <w:rPr>
          <w:rFonts w:hint="eastAsia" w:ascii="宋体" w:hAnsi="宋体" w:eastAsia="宋体" w:cs="宋体"/>
          <w:bCs w:val="0"/>
          <w:szCs w:val="21"/>
          <w:highlight w:val="none"/>
        </w:rPr>
        <w:fldChar w:fldCharType="separate"/>
      </w:r>
      <w:r>
        <w:rPr>
          <w:rFonts w:hint="eastAsia" w:ascii="宋体" w:hAnsi="宋体" w:cs="宋体"/>
          <w:szCs w:val="32"/>
          <w:highlight w:val="none"/>
        </w:rPr>
        <w:t>第一章 招标公告</w:t>
      </w:r>
      <w:r>
        <w:tab/>
      </w:r>
      <w:r>
        <w:fldChar w:fldCharType="begin"/>
      </w:r>
      <w:r>
        <w:instrText xml:space="preserve"> PAGEREF _Toc32690 \h </w:instrText>
      </w:r>
      <w:r>
        <w:fldChar w:fldCharType="separate"/>
      </w:r>
      <w:r>
        <w:t>5</w:t>
      </w:r>
      <w:r>
        <w:fldChar w:fldCharType="end"/>
      </w:r>
      <w:r>
        <w:rPr>
          <w:rFonts w:hint="eastAsia" w:ascii="宋体" w:hAnsi="宋体" w:eastAsia="宋体" w:cs="宋体"/>
          <w:bCs w:val="0"/>
          <w:color w:val="auto"/>
          <w:szCs w:val="21"/>
          <w:highlight w:val="none"/>
        </w:rPr>
        <w:fldChar w:fldCharType="end"/>
      </w:r>
    </w:p>
    <w:p>
      <w:pPr>
        <w:pStyle w:val="33"/>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_Toc1125 </w:instrText>
      </w:r>
      <w:r>
        <w:rPr>
          <w:rFonts w:hint="eastAsia" w:ascii="宋体" w:hAnsi="宋体" w:eastAsia="宋体" w:cs="宋体"/>
          <w:bCs/>
          <w:szCs w:val="21"/>
          <w:highlight w:val="none"/>
        </w:rPr>
        <w:fldChar w:fldCharType="separate"/>
      </w:r>
      <w:r>
        <w:rPr>
          <w:rFonts w:hint="eastAsia" w:ascii="宋体" w:hAnsi="宋体" w:cs="宋体"/>
          <w:szCs w:val="32"/>
          <w:highlight w:val="none"/>
        </w:rPr>
        <w:t>第二章 投标人须知</w:t>
      </w:r>
      <w:r>
        <w:tab/>
      </w:r>
      <w:r>
        <w:fldChar w:fldCharType="begin"/>
      </w:r>
      <w:r>
        <w:instrText xml:space="preserve"> PAGEREF _Toc1125 \h </w:instrText>
      </w:r>
      <w:r>
        <w:fldChar w:fldCharType="separate"/>
      </w:r>
      <w:r>
        <w:t>9</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_Toc12391 </w:instrText>
      </w:r>
      <w:r>
        <w:rPr>
          <w:rFonts w:hint="eastAsia" w:ascii="宋体" w:hAnsi="宋体" w:eastAsia="宋体" w:cs="宋体"/>
          <w:bCs/>
          <w:szCs w:val="21"/>
          <w:highlight w:val="none"/>
        </w:rPr>
        <w:fldChar w:fldCharType="separate"/>
      </w:r>
      <w:r>
        <w:rPr>
          <w:rFonts w:hint="eastAsia" w:ascii="??" w:hAnsi="??" w:eastAsia="Times New Roman" w:cs="Times New Roman"/>
          <w:szCs w:val="21"/>
        </w:rPr>
        <w:t xml:space="preserve">1. </w:t>
      </w:r>
      <w:r>
        <w:rPr>
          <w:rFonts w:hint="eastAsia" w:asciiTheme="minorEastAsia" w:hAnsiTheme="minorEastAsia" w:eastAsiaTheme="minorEastAsia" w:cstheme="minorEastAsia"/>
          <w:szCs w:val="21"/>
          <w:highlight w:val="none"/>
        </w:rPr>
        <w:t>说明</w:t>
      </w:r>
      <w:r>
        <w:tab/>
      </w:r>
      <w:r>
        <w:fldChar w:fldCharType="begin"/>
      </w:r>
      <w:r>
        <w:instrText xml:space="preserve"> PAGEREF _Toc12391 \h </w:instrText>
      </w:r>
      <w:r>
        <w:fldChar w:fldCharType="separate"/>
      </w:r>
      <w:r>
        <w:t>17</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_Toc17470 </w:instrText>
      </w:r>
      <w:r>
        <w:rPr>
          <w:rFonts w:hint="eastAsia" w:ascii="宋体" w:hAnsi="宋体" w:eastAsia="宋体" w:cs="宋体"/>
          <w:bCs/>
          <w:szCs w:val="21"/>
          <w:highlight w:val="none"/>
        </w:rPr>
        <w:fldChar w:fldCharType="separate"/>
      </w:r>
      <w:r>
        <w:rPr>
          <w:rFonts w:hint="eastAsia" w:ascii="??" w:hAnsi="??" w:eastAsia="Times New Roman" w:cs="Times New Roman"/>
          <w:szCs w:val="21"/>
        </w:rPr>
        <w:t xml:space="preserve">2. </w:t>
      </w:r>
      <w:r>
        <w:rPr>
          <w:rFonts w:hint="eastAsia" w:asciiTheme="minorEastAsia" w:hAnsiTheme="minorEastAsia" w:eastAsiaTheme="minorEastAsia" w:cstheme="minorEastAsia"/>
          <w:szCs w:val="21"/>
          <w:highlight w:val="none"/>
        </w:rPr>
        <w:t>招标文件</w:t>
      </w:r>
      <w:r>
        <w:tab/>
      </w:r>
      <w:r>
        <w:fldChar w:fldCharType="begin"/>
      </w:r>
      <w:r>
        <w:instrText xml:space="preserve"> PAGEREF _Toc17470 \h </w:instrText>
      </w:r>
      <w:r>
        <w:fldChar w:fldCharType="separate"/>
      </w:r>
      <w:r>
        <w:t>19</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_Toc11922 </w:instrText>
      </w:r>
      <w:r>
        <w:rPr>
          <w:rFonts w:hint="eastAsia" w:ascii="宋体" w:hAnsi="宋体" w:eastAsia="宋体" w:cs="宋体"/>
          <w:bCs/>
          <w:szCs w:val="21"/>
          <w:highlight w:val="none"/>
        </w:rPr>
        <w:fldChar w:fldCharType="separate"/>
      </w:r>
      <w:r>
        <w:rPr>
          <w:rFonts w:hint="eastAsia" w:ascii="??" w:hAnsi="??" w:eastAsia="Times New Roman" w:cs="Times New Roman"/>
          <w:szCs w:val="21"/>
        </w:rPr>
        <w:t xml:space="preserve">3. </w:t>
      </w:r>
      <w:r>
        <w:rPr>
          <w:rFonts w:hint="eastAsia" w:asciiTheme="minorEastAsia" w:hAnsiTheme="minorEastAsia" w:eastAsiaTheme="minorEastAsia" w:cstheme="minorEastAsia"/>
          <w:szCs w:val="21"/>
          <w:highlight w:val="none"/>
        </w:rPr>
        <w:t>投标文件的编写</w:t>
      </w:r>
      <w:r>
        <w:tab/>
      </w:r>
      <w:r>
        <w:fldChar w:fldCharType="begin"/>
      </w:r>
      <w:r>
        <w:instrText xml:space="preserve"> PAGEREF _Toc11922 \h </w:instrText>
      </w:r>
      <w:r>
        <w:fldChar w:fldCharType="separate"/>
      </w:r>
      <w:r>
        <w:t>19</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_Toc30136 </w:instrText>
      </w:r>
      <w:r>
        <w:rPr>
          <w:rFonts w:hint="eastAsia" w:ascii="宋体" w:hAnsi="宋体" w:eastAsia="宋体" w:cs="宋体"/>
          <w:bCs/>
          <w:szCs w:val="21"/>
          <w:highlight w:val="none"/>
        </w:rPr>
        <w:fldChar w:fldCharType="separate"/>
      </w:r>
      <w:r>
        <w:rPr>
          <w:rFonts w:hint="eastAsia" w:ascii="??" w:hAnsi="??" w:eastAsia="Times New Roman" w:cs="Times New Roman"/>
          <w:szCs w:val="21"/>
        </w:rPr>
        <w:t xml:space="preserve">4. </w:t>
      </w:r>
      <w:r>
        <w:rPr>
          <w:rFonts w:hint="eastAsia" w:asciiTheme="minorEastAsia" w:hAnsiTheme="minorEastAsia" w:eastAsiaTheme="minorEastAsia" w:cstheme="minorEastAsia"/>
          <w:szCs w:val="21"/>
          <w:highlight w:val="none"/>
        </w:rPr>
        <w:t>投标文件的递交</w:t>
      </w:r>
      <w:r>
        <w:tab/>
      </w:r>
      <w:r>
        <w:fldChar w:fldCharType="begin"/>
      </w:r>
      <w:r>
        <w:instrText xml:space="preserve"> PAGEREF _Toc30136 \h </w:instrText>
      </w:r>
      <w:r>
        <w:fldChar w:fldCharType="separate"/>
      </w:r>
      <w:r>
        <w:t>21</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_Toc26321 </w:instrText>
      </w:r>
      <w:r>
        <w:rPr>
          <w:rFonts w:hint="eastAsia" w:ascii="宋体" w:hAnsi="宋体" w:eastAsia="宋体" w:cs="宋体"/>
          <w:bCs/>
          <w:szCs w:val="21"/>
          <w:highlight w:val="none"/>
        </w:rPr>
        <w:fldChar w:fldCharType="separate"/>
      </w:r>
      <w:r>
        <w:rPr>
          <w:rFonts w:hint="eastAsia" w:ascii="??" w:hAnsi="??" w:eastAsia="Times New Roman" w:cs="Times New Roman"/>
          <w:szCs w:val="21"/>
        </w:rPr>
        <w:t xml:space="preserve">5. </w:t>
      </w:r>
      <w:r>
        <w:rPr>
          <w:rFonts w:hint="eastAsia" w:asciiTheme="minorEastAsia" w:hAnsiTheme="minorEastAsia" w:eastAsiaTheme="minorEastAsia" w:cstheme="minorEastAsia"/>
          <w:szCs w:val="21"/>
          <w:highlight w:val="none"/>
        </w:rPr>
        <w:t>开标</w:t>
      </w:r>
      <w:r>
        <w:tab/>
      </w:r>
      <w:r>
        <w:fldChar w:fldCharType="begin"/>
      </w:r>
      <w:r>
        <w:instrText xml:space="preserve"> PAGEREF _Toc26321 \h </w:instrText>
      </w:r>
      <w:r>
        <w:fldChar w:fldCharType="separate"/>
      </w:r>
      <w:r>
        <w:t>22</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_Toc29972 </w:instrText>
      </w:r>
      <w:r>
        <w:rPr>
          <w:rFonts w:hint="eastAsia" w:ascii="宋体" w:hAnsi="宋体" w:eastAsia="宋体" w:cs="宋体"/>
          <w:bCs/>
          <w:szCs w:val="21"/>
          <w:highlight w:val="none"/>
        </w:rPr>
        <w:fldChar w:fldCharType="separate"/>
      </w:r>
      <w:r>
        <w:rPr>
          <w:rFonts w:hint="eastAsia" w:ascii="??" w:hAnsi="??" w:eastAsia="Times New Roman" w:cs="Times New Roman"/>
          <w:szCs w:val="21"/>
        </w:rPr>
        <w:t xml:space="preserve">6. </w:t>
      </w:r>
      <w:r>
        <w:rPr>
          <w:rFonts w:hint="eastAsia" w:asciiTheme="minorEastAsia" w:hAnsiTheme="minorEastAsia" w:eastAsiaTheme="minorEastAsia" w:cstheme="minorEastAsia"/>
          <w:szCs w:val="21"/>
          <w:highlight w:val="none"/>
        </w:rPr>
        <w:t>评标</w:t>
      </w:r>
      <w:r>
        <w:tab/>
      </w:r>
      <w:r>
        <w:fldChar w:fldCharType="begin"/>
      </w:r>
      <w:r>
        <w:instrText xml:space="preserve"> PAGEREF _Toc29972 \h </w:instrText>
      </w:r>
      <w:r>
        <w:fldChar w:fldCharType="separate"/>
      </w:r>
      <w:r>
        <w:t>22</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_Toc17940 </w:instrText>
      </w:r>
      <w:r>
        <w:rPr>
          <w:rFonts w:hint="eastAsia" w:ascii="宋体" w:hAnsi="宋体" w:eastAsia="宋体" w:cs="宋体"/>
          <w:bCs/>
          <w:szCs w:val="21"/>
          <w:highlight w:val="none"/>
        </w:rPr>
        <w:fldChar w:fldCharType="separate"/>
      </w:r>
      <w:r>
        <w:rPr>
          <w:rFonts w:hint="eastAsia" w:ascii="??" w:hAnsi="??" w:eastAsia="Times New Roman" w:cs="Times New Roman"/>
          <w:szCs w:val="21"/>
        </w:rPr>
        <w:t xml:space="preserve">7. </w:t>
      </w:r>
      <w:r>
        <w:rPr>
          <w:rFonts w:hint="eastAsia" w:asciiTheme="minorEastAsia" w:hAnsiTheme="minorEastAsia" w:eastAsiaTheme="minorEastAsia" w:cstheme="minorEastAsia"/>
          <w:szCs w:val="21"/>
          <w:highlight w:val="none"/>
        </w:rPr>
        <w:t>授予合同</w:t>
      </w:r>
      <w:r>
        <w:tab/>
      </w:r>
      <w:r>
        <w:fldChar w:fldCharType="begin"/>
      </w:r>
      <w:r>
        <w:instrText xml:space="preserve"> PAGEREF _Toc17940 \h </w:instrText>
      </w:r>
      <w:r>
        <w:fldChar w:fldCharType="separate"/>
      </w:r>
      <w:r>
        <w:t>24</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_Toc15980 </w:instrText>
      </w:r>
      <w:r>
        <w:rPr>
          <w:rFonts w:hint="eastAsia" w:ascii="宋体" w:hAnsi="宋体" w:eastAsia="宋体" w:cs="宋体"/>
          <w:bCs/>
          <w:szCs w:val="21"/>
          <w:highlight w:val="none"/>
        </w:rPr>
        <w:fldChar w:fldCharType="separate"/>
      </w:r>
      <w:r>
        <w:rPr>
          <w:rFonts w:hint="eastAsia" w:ascii="??" w:hAnsi="??" w:eastAsia="Times New Roman" w:cs="Times New Roman"/>
          <w:szCs w:val="21"/>
        </w:rPr>
        <w:t xml:space="preserve">8. </w:t>
      </w:r>
      <w:r>
        <w:rPr>
          <w:rFonts w:hint="eastAsia" w:asciiTheme="minorEastAsia" w:hAnsiTheme="minorEastAsia" w:eastAsiaTheme="minorEastAsia" w:cstheme="minorEastAsia"/>
          <w:szCs w:val="21"/>
          <w:highlight w:val="none"/>
        </w:rPr>
        <w:t>重新招标</w:t>
      </w:r>
      <w:r>
        <w:tab/>
      </w:r>
      <w:r>
        <w:fldChar w:fldCharType="begin"/>
      </w:r>
      <w:r>
        <w:instrText xml:space="preserve"> PAGEREF _Toc15980 \h </w:instrText>
      </w:r>
      <w:r>
        <w:fldChar w:fldCharType="separate"/>
      </w:r>
      <w:r>
        <w:t>26</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_Toc14156 </w:instrText>
      </w:r>
      <w:r>
        <w:rPr>
          <w:rFonts w:hint="eastAsia" w:ascii="宋体" w:hAnsi="宋体" w:eastAsia="宋体" w:cs="宋体"/>
          <w:bCs/>
          <w:szCs w:val="21"/>
          <w:highlight w:val="none"/>
        </w:rPr>
        <w:fldChar w:fldCharType="separate"/>
      </w:r>
      <w:r>
        <w:rPr>
          <w:rFonts w:hint="eastAsia" w:ascii="??" w:hAnsi="??" w:eastAsia="Times New Roman" w:cs="Times New Roman"/>
          <w:szCs w:val="21"/>
        </w:rPr>
        <w:t xml:space="preserve">9. </w:t>
      </w:r>
      <w:r>
        <w:rPr>
          <w:rFonts w:hint="eastAsia" w:asciiTheme="minorEastAsia" w:hAnsiTheme="minorEastAsia" w:eastAsiaTheme="minorEastAsia" w:cstheme="minorEastAsia"/>
          <w:szCs w:val="21"/>
          <w:highlight w:val="none"/>
        </w:rPr>
        <w:t>纪律和监督</w:t>
      </w:r>
      <w:r>
        <w:tab/>
      </w:r>
      <w:r>
        <w:fldChar w:fldCharType="begin"/>
      </w:r>
      <w:r>
        <w:instrText xml:space="preserve"> PAGEREF _Toc14156 \h </w:instrText>
      </w:r>
      <w:r>
        <w:fldChar w:fldCharType="separate"/>
      </w:r>
      <w:r>
        <w:t>26</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_Toc31526 </w:instrText>
      </w:r>
      <w:r>
        <w:rPr>
          <w:rFonts w:hint="eastAsia" w:ascii="宋体" w:hAnsi="宋体" w:eastAsia="宋体" w:cs="宋体"/>
          <w:bCs/>
          <w:szCs w:val="21"/>
          <w:highlight w:val="none"/>
        </w:rPr>
        <w:fldChar w:fldCharType="separate"/>
      </w:r>
      <w:r>
        <w:rPr>
          <w:rFonts w:hint="eastAsia" w:ascii="??" w:hAnsi="??" w:eastAsia="Times New Roman" w:cs="Times New Roman"/>
          <w:szCs w:val="21"/>
        </w:rPr>
        <w:t xml:space="preserve">10. </w:t>
      </w:r>
      <w:r>
        <w:rPr>
          <w:rFonts w:hint="eastAsia" w:asciiTheme="minorEastAsia" w:hAnsiTheme="minorEastAsia" w:eastAsiaTheme="minorEastAsia" w:cstheme="minorEastAsia"/>
          <w:szCs w:val="21"/>
          <w:highlight w:val="none"/>
        </w:rPr>
        <w:t>需要补充的其他内容</w:t>
      </w:r>
      <w:r>
        <w:tab/>
      </w:r>
      <w:r>
        <w:fldChar w:fldCharType="begin"/>
      </w:r>
      <w:r>
        <w:instrText xml:space="preserve"> PAGEREF _Toc31526 \h </w:instrText>
      </w:r>
      <w:r>
        <w:fldChar w:fldCharType="separate"/>
      </w:r>
      <w:r>
        <w:t>28</w:t>
      </w:r>
      <w:r>
        <w:fldChar w:fldCharType="end"/>
      </w:r>
      <w:r>
        <w:rPr>
          <w:rFonts w:hint="eastAsia" w:ascii="宋体" w:hAnsi="宋体" w:eastAsia="宋体" w:cs="宋体"/>
          <w:bCs/>
          <w:color w:val="auto"/>
          <w:szCs w:val="21"/>
          <w:highlight w:val="none"/>
        </w:rPr>
        <w:fldChar w:fldCharType="end"/>
      </w:r>
    </w:p>
    <w:p>
      <w:pPr>
        <w:pStyle w:val="33"/>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_Toc26520 </w:instrText>
      </w:r>
      <w:r>
        <w:rPr>
          <w:rFonts w:hint="eastAsia" w:ascii="宋体" w:hAnsi="宋体" w:eastAsia="宋体" w:cs="宋体"/>
          <w:bCs/>
          <w:szCs w:val="21"/>
          <w:highlight w:val="none"/>
        </w:rPr>
        <w:fldChar w:fldCharType="separate"/>
      </w:r>
      <w:r>
        <w:rPr>
          <w:rFonts w:hint="eastAsia" w:ascii="宋体" w:hAnsi="宋体" w:cs="宋体"/>
          <w:szCs w:val="32"/>
          <w:highlight w:val="none"/>
        </w:rPr>
        <w:t>第三章 评标办法</w:t>
      </w:r>
      <w:r>
        <w:tab/>
      </w:r>
      <w:r>
        <w:fldChar w:fldCharType="begin"/>
      </w:r>
      <w:r>
        <w:instrText xml:space="preserve"> PAGEREF _Toc26520 \h </w:instrText>
      </w:r>
      <w:r>
        <w:fldChar w:fldCharType="separate"/>
      </w:r>
      <w:r>
        <w:t>29</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_Toc28655 </w:instrText>
      </w:r>
      <w:r>
        <w:rPr>
          <w:rFonts w:hint="eastAsia" w:ascii="宋体" w:hAnsi="宋体" w:eastAsia="宋体" w:cs="宋体"/>
          <w:bCs/>
          <w:szCs w:val="21"/>
          <w:highlight w:val="none"/>
        </w:rPr>
        <w:fldChar w:fldCharType="separate"/>
      </w:r>
      <w:r>
        <w:rPr>
          <w:rFonts w:hint="eastAsia" w:ascii="宋体" w:hAnsi="宋体" w:eastAsia="宋体" w:cs="Times New Roman"/>
          <w:szCs w:val="21"/>
        </w:rPr>
        <w:t xml:space="preserve">1. </w:t>
      </w:r>
      <w:r>
        <w:rPr>
          <w:rFonts w:hint="eastAsia" w:ascii="宋体" w:hAnsi="宋体" w:eastAsia="宋体" w:cs="宋体"/>
          <w:szCs w:val="21"/>
        </w:rPr>
        <w:t>评审方法</w:t>
      </w:r>
      <w:r>
        <w:tab/>
      </w:r>
      <w:r>
        <w:fldChar w:fldCharType="begin"/>
      </w:r>
      <w:r>
        <w:instrText xml:space="preserve"> PAGEREF _Toc28655 \h </w:instrText>
      </w:r>
      <w:r>
        <w:fldChar w:fldCharType="separate"/>
      </w:r>
      <w:r>
        <w:t>31</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_Toc19671 </w:instrText>
      </w:r>
      <w:r>
        <w:rPr>
          <w:rFonts w:hint="eastAsia" w:ascii="宋体" w:hAnsi="宋体" w:eastAsia="宋体" w:cs="宋体"/>
          <w:bCs/>
          <w:szCs w:val="21"/>
          <w:highlight w:val="none"/>
        </w:rPr>
        <w:fldChar w:fldCharType="separate"/>
      </w:r>
      <w:r>
        <w:rPr>
          <w:rFonts w:hint="eastAsia" w:ascii="宋体" w:hAnsi="宋体" w:eastAsia="宋体" w:cs="Times New Roman"/>
          <w:szCs w:val="21"/>
        </w:rPr>
        <w:t xml:space="preserve">2. </w:t>
      </w:r>
      <w:r>
        <w:rPr>
          <w:rFonts w:hint="eastAsia" w:ascii="宋体" w:hAnsi="宋体" w:eastAsia="宋体" w:cs="宋体"/>
          <w:szCs w:val="21"/>
        </w:rPr>
        <w:t>评审程序</w:t>
      </w:r>
      <w:r>
        <w:tab/>
      </w:r>
      <w:r>
        <w:fldChar w:fldCharType="begin"/>
      </w:r>
      <w:r>
        <w:instrText xml:space="preserve"> PAGEREF _Toc19671 \h </w:instrText>
      </w:r>
      <w:r>
        <w:fldChar w:fldCharType="separate"/>
      </w:r>
      <w:r>
        <w:t>32</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_Toc30594 </w:instrText>
      </w:r>
      <w:r>
        <w:rPr>
          <w:rFonts w:hint="eastAsia" w:ascii="宋体" w:hAnsi="宋体" w:eastAsia="宋体" w:cs="宋体"/>
          <w:bCs/>
          <w:szCs w:val="21"/>
          <w:highlight w:val="none"/>
        </w:rPr>
        <w:fldChar w:fldCharType="separate"/>
      </w:r>
      <w:r>
        <w:rPr>
          <w:rFonts w:hint="eastAsia" w:ascii="宋体" w:hAnsi="宋体" w:eastAsia="宋体" w:cs="Times New Roman"/>
          <w:szCs w:val="21"/>
        </w:rPr>
        <w:t xml:space="preserve">3. </w:t>
      </w:r>
      <w:r>
        <w:rPr>
          <w:rFonts w:hint="eastAsia" w:ascii="宋体" w:hAnsi="宋体" w:eastAsia="宋体" w:cs="宋体"/>
          <w:szCs w:val="21"/>
        </w:rPr>
        <w:t>投标文件初审</w:t>
      </w:r>
      <w:r>
        <w:tab/>
      </w:r>
      <w:r>
        <w:fldChar w:fldCharType="begin"/>
      </w:r>
      <w:r>
        <w:instrText xml:space="preserve"> PAGEREF _Toc30594 \h </w:instrText>
      </w:r>
      <w:r>
        <w:fldChar w:fldCharType="separate"/>
      </w:r>
      <w:r>
        <w:t>32</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_Toc2504 </w:instrText>
      </w:r>
      <w:r>
        <w:rPr>
          <w:rFonts w:hint="eastAsia" w:ascii="宋体" w:hAnsi="宋体" w:eastAsia="宋体" w:cs="宋体"/>
          <w:bCs/>
          <w:szCs w:val="21"/>
          <w:highlight w:val="none"/>
        </w:rPr>
        <w:fldChar w:fldCharType="separate"/>
      </w:r>
      <w:r>
        <w:rPr>
          <w:rFonts w:hint="eastAsia" w:ascii="宋体" w:hAnsi="宋体" w:eastAsia="宋体" w:cs="Times New Roman"/>
          <w:szCs w:val="21"/>
        </w:rPr>
        <w:t xml:space="preserve">4. </w:t>
      </w:r>
      <w:r>
        <w:rPr>
          <w:rFonts w:hint="eastAsia" w:ascii="宋体" w:hAnsi="宋体" w:eastAsia="宋体" w:cs="宋体"/>
          <w:szCs w:val="21"/>
        </w:rPr>
        <w:t>澄清有关问题</w:t>
      </w:r>
      <w:r>
        <w:tab/>
      </w:r>
      <w:r>
        <w:fldChar w:fldCharType="begin"/>
      </w:r>
      <w:r>
        <w:instrText xml:space="preserve"> PAGEREF _Toc2504 \h </w:instrText>
      </w:r>
      <w:r>
        <w:fldChar w:fldCharType="separate"/>
      </w:r>
      <w:r>
        <w:t>32</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_Toc22736 </w:instrText>
      </w:r>
      <w:r>
        <w:rPr>
          <w:rFonts w:hint="eastAsia" w:ascii="宋体" w:hAnsi="宋体" w:eastAsia="宋体" w:cs="宋体"/>
          <w:bCs/>
          <w:szCs w:val="21"/>
          <w:highlight w:val="none"/>
        </w:rPr>
        <w:fldChar w:fldCharType="separate"/>
      </w:r>
      <w:r>
        <w:rPr>
          <w:rFonts w:hint="eastAsia" w:ascii="宋体" w:hAnsi="宋体" w:eastAsia="宋体" w:cs="Times New Roman"/>
          <w:szCs w:val="21"/>
        </w:rPr>
        <w:t xml:space="preserve">5. </w:t>
      </w:r>
      <w:r>
        <w:rPr>
          <w:rFonts w:hint="eastAsia" w:ascii="宋体" w:hAnsi="宋体" w:eastAsia="宋体" w:cs="宋体"/>
          <w:szCs w:val="21"/>
        </w:rPr>
        <w:t>比较与评价</w:t>
      </w:r>
      <w:r>
        <w:tab/>
      </w:r>
      <w:r>
        <w:fldChar w:fldCharType="begin"/>
      </w:r>
      <w:r>
        <w:instrText xml:space="preserve"> PAGEREF _Toc22736 \h </w:instrText>
      </w:r>
      <w:r>
        <w:fldChar w:fldCharType="separate"/>
      </w:r>
      <w:r>
        <w:t>32</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_Toc25626 </w:instrText>
      </w:r>
      <w:r>
        <w:rPr>
          <w:rFonts w:hint="eastAsia" w:ascii="宋体" w:hAnsi="宋体" w:eastAsia="宋体" w:cs="宋体"/>
          <w:bCs/>
          <w:szCs w:val="21"/>
          <w:highlight w:val="none"/>
        </w:rPr>
        <w:fldChar w:fldCharType="separate"/>
      </w:r>
      <w:r>
        <w:rPr>
          <w:rFonts w:hint="eastAsia" w:ascii="宋体" w:hAnsi="宋体" w:eastAsia="宋体" w:cs="Times New Roman"/>
          <w:szCs w:val="21"/>
        </w:rPr>
        <w:t xml:space="preserve">6. </w:t>
      </w:r>
      <w:r>
        <w:rPr>
          <w:rFonts w:hint="eastAsia" w:ascii="宋体" w:hAnsi="宋体" w:eastAsia="宋体" w:cs="宋体"/>
          <w:szCs w:val="21"/>
        </w:rPr>
        <w:t>评审结果</w:t>
      </w:r>
      <w:r>
        <w:tab/>
      </w:r>
      <w:r>
        <w:fldChar w:fldCharType="begin"/>
      </w:r>
      <w:r>
        <w:instrText xml:space="preserve"> PAGEREF _Toc25626 \h </w:instrText>
      </w:r>
      <w:r>
        <w:fldChar w:fldCharType="separate"/>
      </w:r>
      <w:r>
        <w:t>33</w:t>
      </w:r>
      <w:r>
        <w:fldChar w:fldCharType="end"/>
      </w:r>
      <w:r>
        <w:rPr>
          <w:rFonts w:hint="eastAsia" w:ascii="宋体" w:hAnsi="宋体" w:eastAsia="宋体" w:cs="宋体"/>
          <w:bCs/>
          <w:color w:val="auto"/>
          <w:szCs w:val="21"/>
          <w:highlight w:val="none"/>
        </w:rPr>
        <w:fldChar w:fldCharType="end"/>
      </w:r>
    </w:p>
    <w:p>
      <w:pPr>
        <w:pStyle w:val="33"/>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_Toc31556 </w:instrText>
      </w:r>
      <w:r>
        <w:rPr>
          <w:rFonts w:hint="eastAsia" w:ascii="宋体" w:hAnsi="宋体" w:eastAsia="宋体" w:cs="宋体"/>
          <w:bCs/>
          <w:szCs w:val="21"/>
          <w:highlight w:val="none"/>
        </w:rPr>
        <w:fldChar w:fldCharType="separate"/>
      </w:r>
      <w:r>
        <w:rPr>
          <w:rFonts w:hint="eastAsia" w:ascii="宋体" w:hAnsi="宋体" w:cs="宋体"/>
          <w:szCs w:val="32"/>
          <w:highlight w:val="none"/>
        </w:rPr>
        <w:t>第四章 合同条款与格式</w:t>
      </w:r>
      <w:r>
        <w:rPr>
          <w:rFonts w:hint="eastAsia" w:ascii="宋体" w:hAnsi="宋体" w:cs="宋体"/>
          <w:szCs w:val="32"/>
          <w:highlight w:val="none"/>
          <w:lang w:eastAsia="zh-CN"/>
        </w:rPr>
        <w:t>（</w:t>
      </w:r>
      <w:r>
        <w:rPr>
          <w:rFonts w:hint="eastAsia" w:ascii="宋体" w:hAnsi="宋体" w:cs="宋体"/>
          <w:szCs w:val="32"/>
          <w:highlight w:val="none"/>
          <w:lang w:val="en-US" w:eastAsia="zh-CN"/>
        </w:rPr>
        <w:t>参考</w:t>
      </w:r>
      <w:r>
        <w:rPr>
          <w:rFonts w:hint="eastAsia" w:ascii="宋体" w:hAnsi="宋体" w:cs="宋体"/>
          <w:szCs w:val="32"/>
          <w:highlight w:val="none"/>
          <w:lang w:eastAsia="zh-CN"/>
        </w:rPr>
        <w:t>）</w:t>
      </w:r>
      <w:r>
        <w:tab/>
      </w:r>
      <w:r>
        <w:fldChar w:fldCharType="begin"/>
      </w:r>
      <w:r>
        <w:instrText xml:space="preserve"> PAGEREF _Toc31556 \h </w:instrText>
      </w:r>
      <w:r>
        <w:fldChar w:fldCharType="separate"/>
      </w:r>
      <w:r>
        <w:t>34</w:t>
      </w:r>
      <w:r>
        <w:fldChar w:fldCharType="end"/>
      </w:r>
      <w:r>
        <w:rPr>
          <w:rFonts w:hint="eastAsia" w:ascii="宋体" w:hAnsi="宋体" w:eastAsia="宋体" w:cs="宋体"/>
          <w:bCs/>
          <w:color w:val="auto"/>
          <w:szCs w:val="21"/>
          <w:highlight w:val="none"/>
        </w:rPr>
        <w:fldChar w:fldCharType="end"/>
      </w:r>
    </w:p>
    <w:p>
      <w:pPr>
        <w:pStyle w:val="33"/>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_Toc25633 </w:instrText>
      </w:r>
      <w:r>
        <w:rPr>
          <w:rFonts w:hint="eastAsia" w:ascii="宋体" w:hAnsi="宋体" w:eastAsia="宋体" w:cs="宋体"/>
          <w:bCs/>
          <w:szCs w:val="21"/>
          <w:highlight w:val="none"/>
        </w:rPr>
        <w:fldChar w:fldCharType="separate"/>
      </w:r>
      <w:r>
        <w:rPr>
          <w:rFonts w:hint="eastAsia" w:ascii="宋体" w:hAnsi="宋体" w:eastAsia="宋体" w:cs="宋体"/>
          <w:bCs/>
        </w:rPr>
        <w:t xml:space="preserve">第五章 </w:t>
      </w:r>
      <w:r>
        <w:rPr>
          <w:rFonts w:hint="eastAsia" w:ascii="宋体" w:hAnsi="宋体" w:eastAsia="宋体" w:cs="宋体"/>
          <w:bCs/>
          <w:highlight w:val="none"/>
        </w:rPr>
        <w:t>技术标准和要求</w:t>
      </w:r>
      <w:r>
        <w:tab/>
      </w:r>
      <w:r>
        <w:fldChar w:fldCharType="begin"/>
      </w:r>
      <w:r>
        <w:instrText xml:space="preserve"> PAGEREF _Toc25633 \h </w:instrText>
      </w:r>
      <w:r>
        <w:fldChar w:fldCharType="separate"/>
      </w:r>
      <w:r>
        <w:t>45</w:t>
      </w:r>
      <w:r>
        <w:fldChar w:fldCharType="end"/>
      </w:r>
      <w:r>
        <w:rPr>
          <w:rFonts w:hint="eastAsia" w:ascii="宋体" w:hAnsi="宋体" w:eastAsia="宋体" w:cs="宋体"/>
          <w:bCs/>
          <w:color w:val="auto"/>
          <w:szCs w:val="21"/>
          <w:highlight w:val="none"/>
        </w:rPr>
        <w:fldChar w:fldCharType="end"/>
      </w:r>
    </w:p>
    <w:p>
      <w:pPr>
        <w:pStyle w:val="33"/>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_Toc21039 </w:instrText>
      </w:r>
      <w:r>
        <w:rPr>
          <w:rFonts w:hint="eastAsia" w:ascii="宋体" w:hAnsi="宋体" w:eastAsia="宋体" w:cs="宋体"/>
          <w:bCs/>
          <w:szCs w:val="21"/>
          <w:highlight w:val="none"/>
        </w:rPr>
        <w:fldChar w:fldCharType="separate"/>
      </w:r>
      <w:r>
        <w:rPr>
          <w:rFonts w:hint="eastAsia" w:ascii="宋体" w:hAnsi="宋体" w:cs="宋体"/>
          <w:szCs w:val="32"/>
          <w:highlight w:val="none"/>
        </w:rPr>
        <w:t>第六章 投标文件格式</w:t>
      </w:r>
      <w:r>
        <w:tab/>
      </w:r>
      <w:r>
        <w:fldChar w:fldCharType="begin"/>
      </w:r>
      <w:r>
        <w:instrText xml:space="preserve"> PAGEREF _Toc21039 \h </w:instrText>
      </w:r>
      <w:r>
        <w:fldChar w:fldCharType="separate"/>
      </w:r>
      <w:r>
        <w:t>65</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_Toc13061 </w:instrText>
      </w:r>
      <w:r>
        <w:rPr>
          <w:rFonts w:hint="eastAsia" w:ascii="宋体" w:hAnsi="宋体" w:eastAsia="宋体" w:cs="宋体"/>
          <w:bCs/>
          <w:szCs w:val="21"/>
          <w:highlight w:val="none"/>
        </w:rPr>
        <w:fldChar w:fldCharType="separate"/>
      </w:r>
      <w:r>
        <w:rPr>
          <w:rFonts w:hint="eastAsia" w:ascii="宋体" w:hAnsi="宋体" w:cs="宋体"/>
          <w:szCs w:val="28"/>
          <w:highlight w:val="none"/>
        </w:rPr>
        <w:t>一、投标函</w:t>
      </w:r>
      <w:r>
        <w:tab/>
      </w:r>
      <w:r>
        <w:fldChar w:fldCharType="begin"/>
      </w:r>
      <w:r>
        <w:instrText xml:space="preserve"> PAGEREF _Toc13061 \h </w:instrText>
      </w:r>
      <w:r>
        <w:fldChar w:fldCharType="separate"/>
      </w:r>
      <w:r>
        <w:t>66</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_Toc24748 </w:instrText>
      </w:r>
      <w:r>
        <w:rPr>
          <w:rFonts w:hint="eastAsia" w:ascii="宋体" w:hAnsi="宋体" w:eastAsia="宋体" w:cs="宋体"/>
          <w:bCs/>
          <w:szCs w:val="21"/>
          <w:highlight w:val="none"/>
        </w:rPr>
        <w:fldChar w:fldCharType="separate"/>
      </w:r>
      <w:r>
        <w:rPr>
          <w:rFonts w:hint="eastAsia" w:ascii="宋体" w:hAnsi="宋体" w:cs="宋体"/>
          <w:szCs w:val="28"/>
          <w:highlight w:val="none"/>
        </w:rPr>
        <w:t>二、开标一览表</w:t>
      </w:r>
      <w:r>
        <w:tab/>
      </w:r>
      <w:r>
        <w:fldChar w:fldCharType="begin"/>
      </w:r>
      <w:r>
        <w:instrText xml:space="preserve"> PAGEREF _Toc24748 \h </w:instrText>
      </w:r>
      <w:r>
        <w:fldChar w:fldCharType="separate"/>
      </w:r>
      <w:r>
        <w:t>67</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_Toc13231 </w:instrText>
      </w:r>
      <w:r>
        <w:rPr>
          <w:rFonts w:hint="eastAsia" w:ascii="宋体" w:hAnsi="宋体" w:eastAsia="宋体" w:cs="宋体"/>
          <w:bCs/>
          <w:szCs w:val="21"/>
          <w:highlight w:val="none"/>
        </w:rPr>
        <w:fldChar w:fldCharType="separate"/>
      </w:r>
      <w:r>
        <w:rPr>
          <w:rFonts w:hint="eastAsia" w:ascii="宋体" w:hAnsi="宋体" w:cs="宋体"/>
          <w:szCs w:val="28"/>
          <w:highlight w:val="none"/>
        </w:rPr>
        <w:t>三、法定代表人身份证明</w:t>
      </w:r>
      <w:r>
        <w:tab/>
      </w:r>
      <w:r>
        <w:fldChar w:fldCharType="begin"/>
      </w:r>
      <w:r>
        <w:instrText xml:space="preserve"> PAGEREF _Toc13231 \h </w:instrText>
      </w:r>
      <w:r>
        <w:fldChar w:fldCharType="separate"/>
      </w:r>
      <w:r>
        <w:t>68</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_Toc371 </w:instrText>
      </w:r>
      <w:r>
        <w:rPr>
          <w:rFonts w:hint="eastAsia" w:ascii="宋体" w:hAnsi="宋体" w:eastAsia="宋体" w:cs="宋体"/>
          <w:bCs/>
          <w:szCs w:val="21"/>
          <w:highlight w:val="none"/>
        </w:rPr>
        <w:fldChar w:fldCharType="separate"/>
      </w:r>
      <w:r>
        <w:rPr>
          <w:rFonts w:hint="eastAsia" w:ascii="宋体" w:hAnsi="宋体" w:cs="宋体"/>
          <w:szCs w:val="28"/>
          <w:highlight w:val="none"/>
        </w:rPr>
        <w:t>四、授权委托书</w:t>
      </w:r>
      <w:r>
        <w:tab/>
      </w:r>
      <w:r>
        <w:fldChar w:fldCharType="begin"/>
      </w:r>
      <w:r>
        <w:instrText xml:space="preserve"> PAGEREF _Toc371 \h </w:instrText>
      </w:r>
      <w:r>
        <w:fldChar w:fldCharType="separate"/>
      </w:r>
      <w:r>
        <w:t>69</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_Toc29621 </w:instrText>
      </w:r>
      <w:r>
        <w:rPr>
          <w:rFonts w:hint="eastAsia" w:ascii="宋体" w:hAnsi="宋体" w:eastAsia="宋体" w:cs="宋体"/>
          <w:bCs/>
          <w:szCs w:val="21"/>
          <w:highlight w:val="none"/>
        </w:rPr>
        <w:fldChar w:fldCharType="separate"/>
      </w:r>
      <w:r>
        <w:rPr>
          <w:rFonts w:hint="eastAsia" w:ascii="宋体" w:hAnsi="宋体" w:cs="宋体"/>
          <w:szCs w:val="28"/>
          <w:highlight w:val="none"/>
        </w:rPr>
        <w:t>五、投标承诺函</w:t>
      </w:r>
      <w:r>
        <w:tab/>
      </w:r>
      <w:r>
        <w:fldChar w:fldCharType="begin"/>
      </w:r>
      <w:r>
        <w:instrText xml:space="preserve"> PAGEREF _Toc29621 \h </w:instrText>
      </w:r>
      <w:r>
        <w:fldChar w:fldCharType="separate"/>
      </w:r>
      <w:r>
        <w:t>70</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_Toc14964 </w:instrText>
      </w:r>
      <w:r>
        <w:rPr>
          <w:rFonts w:hint="eastAsia" w:ascii="宋体" w:hAnsi="宋体" w:eastAsia="宋体" w:cs="宋体"/>
          <w:bCs/>
          <w:szCs w:val="21"/>
          <w:highlight w:val="none"/>
        </w:rPr>
        <w:fldChar w:fldCharType="separate"/>
      </w:r>
      <w:r>
        <w:rPr>
          <w:rFonts w:hint="eastAsia" w:ascii="宋体" w:hAnsi="宋体" w:cs="宋体"/>
          <w:szCs w:val="28"/>
          <w:highlight w:val="none"/>
        </w:rPr>
        <w:t>六、分项报价明细表</w:t>
      </w:r>
      <w:r>
        <w:tab/>
      </w:r>
      <w:r>
        <w:fldChar w:fldCharType="begin"/>
      </w:r>
      <w:r>
        <w:instrText xml:space="preserve"> PAGEREF _Toc14964 \h </w:instrText>
      </w:r>
      <w:r>
        <w:fldChar w:fldCharType="separate"/>
      </w:r>
      <w:r>
        <w:t>71</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_Toc15639 </w:instrText>
      </w:r>
      <w:r>
        <w:rPr>
          <w:rFonts w:hint="eastAsia" w:ascii="宋体" w:hAnsi="宋体" w:eastAsia="宋体" w:cs="宋体"/>
          <w:bCs/>
          <w:szCs w:val="21"/>
          <w:highlight w:val="none"/>
        </w:rPr>
        <w:fldChar w:fldCharType="separate"/>
      </w:r>
      <w:r>
        <w:rPr>
          <w:rFonts w:hint="eastAsia" w:ascii="宋体" w:hAnsi="宋体"/>
          <w:szCs w:val="28"/>
          <w:highlight w:val="none"/>
          <w:lang w:val="en-US" w:eastAsia="zh-CN"/>
        </w:rPr>
        <w:t>七</w:t>
      </w:r>
      <w:r>
        <w:rPr>
          <w:rFonts w:hint="eastAsia" w:ascii="宋体" w:hAnsi="宋体"/>
          <w:szCs w:val="28"/>
          <w:highlight w:val="none"/>
        </w:rPr>
        <w:t>、资格证明文件</w:t>
      </w:r>
      <w:r>
        <w:tab/>
      </w:r>
      <w:r>
        <w:fldChar w:fldCharType="begin"/>
      </w:r>
      <w:r>
        <w:instrText xml:space="preserve"> PAGEREF _Toc15639 \h </w:instrText>
      </w:r>
      <w:r>
        <w:fldChar w:fldCharType="separate"/>
      </w:r>
      <w:r>
        <w:t>72</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_Toc25147 </w:instrText>
      </w:r>
      <w:r>
        <w:rPr>
          <w:rFonts w:hint="eastAsia" w:ascii="宋体" w:hAnsi="宋体" w:eastAsia="宋体" w:cs="宋体"/>
          <w:bCs/>
          <w:szCs w:val="21"/>
          <w:highlight w:val="none"/>
        </w:rPr>
        <w:fldChar w:fldCharType="separate"/>
      </w:r>
      <w:r>
        <w:rPr>
          <w:rFonts w:hint="eastAsia" w:ascii="宋体" w:hAnsi="宋体" w:cs="宋体"/>
          <w:szCs w:val="28"/>
          <w:highlight w:val="none"/>
          <w:lang w:val="en-US" w:eastAsia="zh-CN"/>
        </w:rPr>
        <w:t>八</w:t>
      </w:r>
      <w:r>
        <w:rPr>
          <w:rFonts w:hint="eastAsia" w:ascii="宋体" w:hAnsi="宋体" w:cs="宋体"/>
          <w:szCs w:val="28"/>
          <w:highlight w:val="none"/>
        </w:rPr>
        <w:t>、商务及技术要求偏离表</w:t>
      </w:r>
      <w:r>
        <w:tab/>
      </w:r>
      <w:r>
        <w:fldChar w:fldCharType="begin"/>
      </w:r>
      <w:r>
        <w:instrText xml:space="preserve"> PAGEREF _Toc25147 \h </w:instrText>
      </w:r>
      <w:r>
        <w:fldChar w:fldCharType="separate"/>
      </w:r>
      <w:r>
        <w:t>75</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_Toc5783 </w:instrText>
      </w:r>
      <w:r>
        <w:rPr>
          <w:rFonts w:hint="eastAsia" w:ascii="宋体" w:hAnsi="宋体" w:eastAsia="宋体" w:cs="宋体"/>
          <w:bCs/>
          <w:szCs w:val="21"/>
          <w:highlight w:val="none"/>
        </w:rPr>
        <w:fldChar w:fldCharType="separate"/>
      </w:r>
      <w:r>
        <w:rPr>
          <w:rFonts w:hint="eastAsia" w:ascii="宋体" w:hAnsi="宋体"/>
          <w:szCs w:val="28"/>
          <w:highlight w:val="none"/>
        </w:rPr>
        <w:t>九、</w:t>
      </w:r>
      <w:r>
        <w:rPr>
          <w:rFonts w:hint="eastAsia" w:ascii="宋体" w:hAnsi="宋体" w:cs="宋体"/>
          <w:szCs w:val="28"/>
          <w:highlight w:val="none"/>
        </w:rPr>
        <w:t>技术证明文件</w:t>
      </w:r>
      <w:r>
        <w:tab/>
      </w:r>
      <w:r>
        <w:fldChar w:fldCharType="begin"/>
      </w:r>
      <w:r>
        <w:instrText xml:space="preserve"> PAGEREF _Toc5783 \h </w:instrText>
      </w:r>
      <w:r>
        <w:fldChar w:fldCharType="separate"/>
      </w:r>
      <w:r>
        <w:t>77</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_Toc12251 </w:instrText>
      </w:r>
      <w:r>
        <w:rPr>
          <w:rFonts w:hint="eastAsia" w:ascii="宋体" w:hAnsi="宋体" w:eastAsia="宋体" w:cs="宋体"/>
          <w:bCs/>
          <w:szCs w:val="21"/>
          <w:highlight w:val="none"/>
        </w:rPr>
        <w:fldChar w:fldCharType="separate"/>
      </w:r>
      <w:r>
        <w:rPr>
          <w:rFonts w:hint="eastAsia"/>
          <w:lang w:val="en-US" w:eastAsia="zh-CN"/>
        </w:rPr>
        <w:t xml:space="preserve">十、 </w:t>
      </w:r>
      <w:r>
        <w:rPr>
          <w:rFonts w:hint="eastAsia" w:ascii="宋体" w:hAnsi="宋体"/>
          <w:szCs w:val="28"/>
          <w:highlight w:val="none"/>
          <w:lang w:val="en-US" w:eastAsia="zh-CN"/>
        </w:rPr>
        <w:t>商务部分</w:t>
      </w:r>
      <w:r>
        <w:tab/>
      </w:r>
      <w:r>
        <w:fldChar w:fldCharType="begin"/>
      </w:r>
      <w:r>
        <w:instrText xml:space="preserve"> PAGEREF _Toc12251 \h </w:instrText>
      </w:r>
      <w:r>
        <w:fldChar w:fldCharType="separate"/>
      </w:r>
      <w:r>
        <w:t>78</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_Toc11414 </w:instrText>
      </w:r>
      <w:r>
        <w:rPr>
          <w:rFonts w:hint="eastAsia" w:ascii="宋体" w:hAnsi="宋体" w:eastAsia="宋体" w:cs="宋体"/>
          <w:bCs/>
          <w:szCs w:val="21"/>
          <w:highlight w:val="none"/>
        </w:rPr>
        <w:fldChar w:fldCharType="separate"/>
      </w:r>
      <w:r>
        <w:rPr>
          <w:rFonts w:hint="eastAsia" w:ascii="宋体" w:hAnsi="宋体" w:cs="宋体"/>
          <w:szCs w:val="28"/>
          <w:highlight w:val="none"/>
        </w:rPr>
        <w:t>十</w:t>
      </w:r>
      <w:r>
        <w:rPr>
          <w:rFonts w:hint="eastAsia" w:ascii="宋体" w:hAnsi="宋体" w:cs="宋体"/>
          <w:szCs w:val="28"/>
          <w:highlight w:val="none"/>
          <w:lang w:val="en-US" w:eastAsia="zh-CN"/>
        </w:rPr>
        <w:t>一</w:t>
      </w:r>
      <w:r>
        <w:rPr>
          <w:rFonts w:hint="eastAsia" w:ascii="宋体" w:hAnsi="宋体" w:cs="宋体"/>
          <w:szCs w:val="28"/>
          <w:highlight w:val="none"/>
        </w:rPr>
        <w:t>、</w:t>
      </w:r>
      <w:r>
        <w:rPr>
          <w:rFonts w:hint="eastAsia" w:ascii="宋体" w:hAnsi="宋体" w:cs="宋体"/>
          <w:szCs w:val="28"/>
          <w:highlight w:val="none"/>
          <w:lang w:val="en-US" w:eastAsia="zh-CN"/>
        </w:rPr>
        <w:t>售后服务</w:t>
      </w:r>
      <w:r>
        <w:tab/>
      </w:r>
      <w:r>
        <w:fldChar w:fldCharType="begin"/>
      </w:r>
      <w:r>
        <w:instrText xml:space="preserve"> PAGEREF _Toc11414 \h </w:instrText>
      </w:r>
      <w:r>
        <w:fldChar w:fldCharType="separate"/>
      </w:r>
      <w:r>
        <w:t>79</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_Toc24527 </w:instrText>
      </w:r>
      <w:r>
        <w:rPr>
          <w:rFonts w:hint="eastAsia" w:ascii="宋体" w:hAnsi="宋体" w:eastAsia="宋体" w:cs="宋体"/>
          <w:bCs/>
          <w:szCs w:val="21"/>
          <w:highlight w:val="none"/>
        </w:rPr>
        <w:fldChar w:fldCharType="separate"/>
      </w:r>
      <w:r>
        <w:rPr>
          <w:rFonts w:hint="eastAsia" w:ascii="宋体" w:hAnsi="宋体" w:cs="宋体"/>
          <w:szCs w:val="28"/>
          <w:highlight w:val="none"/>
          <w:lang w:val="en-US" w:eastAsia="zh-CN"/>
        </w:rPr>
        <w:t>十二、</w:t>
      </w:r>
      <w:r>
        <w:rPr>
          <w:rFonts w:hint="eastAsia" w:ascii="宋体" w:hAnsi="宋体" w:cs="宋体"/>
          <w:szCs w:val="28"/>
          <w:highlight w:val="none"/>
        </w:rPr>
        <w:t>反商业贿赂承诺书</w:t>
      </w:r>
      <w:r>
        <w:tab/>
      </w:r>
      <w:r>
        <w:fldChar w:fldCharType="begin"/>
      </w:r>
      <w:r>
        <w:instrText xml:space="preserve"> PAGEREF _Toc24527 \h </w:instrText>
      </w:r>
      <w:r>
        <w:fldChar w:fldCharType="separate"/>
      </w:r>
      <w:r>
        <w:t>80</w:t>
      </w:r>
      <w:r>
        <w:fldChar w:fldCharType="end"/>
      </w:r>
      <w:r>
        <w:rPr>
          <w:rFonts w:hint="eastAsia" w:ascii="宋体" w:hAnsi="宋体" w:eastAsia="宋体" w:cs="宋体"/>
          <w:bCs/>
          <w:color w:val="auto"/>
          <w:szCs w:val="21"/>
          <w:highlight w:val="none"/>
        </w:rPr>
        <w:fldChar w:fldCharType="end"/>
      </w:r>
    </w:p>
    <w:p>
      <w:pPr>
        <w:pStyle w:val="38"/>
        <w:tabs>
          <w:tab w:val="right" w:leader="dot" w:pos="9071"/>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_Toc18454 </w:instrText>
      </w:r>
      <w:r>
        <w:rPr>
          <w:rFonts w:hint="eastAsia" w:ascii="宋体" w:hAnsi="宋体" w:eastAsia="宋体" w:cs="宋体"/>
          <w:bCs/>
          <w:szCs w:val="21"/>
          <w:highlight w:val="none"/>
        </w:rPr>
        <w:fldChar w:fldCharType="separate"/>
      </w:r>
      <w:r>
        <w:rPr>
          <w:rFonts w:hint="eastAsia" w:ascii="宋体" w:hAnsi="宋体" w:cs="宋体"/>
          <w:szCs w:val="28"/>
          <w:highlight w:val="none"/>
        </w:rPr>
        <w:t>十</w:t>
      </w:r>
      <w:r>
        <w:rPr>
          <w:rFonts w:hint="eastAsia" w:ascii="宋体" w:hAnsi="宋体" w:cs="宋体"/>
          <w:szCs w:val="28"/>
          <w:highlight w:val="none"/>
          <w:lang w:val="en-US" w:eastAsia="zh-CN"/>
        </w:rPr>
        <w:t>三</w:t>
      </w:r>
      <w:r>
        <w:rPr>
          <w:rFonts w:hint="eastAsia" w:ascii="宋体" w:hAnsi="宋体" w:cs="宋体"/>
          <w:szCs w:val="28"/>
          <w:highlight w:val="none"/>
        </w:rPr>
        <w:t>、其他资料</w:t>
      </w:r>
      <w:r>
        <w:tab/>
      </w:r>
      <w:r>
        <w:fldChar w:fldCharType="begin"/>
      </w:r>
      <w:r>
        <w:instrText xml:space="preserve"> PAGEREF _Toc18454 \h </w:instrText>
      </w:r>
      <w:r>
        <w:fldChar w:fldCharType="separate"/>
      </w:r>
      <w:r>
        <w:t>81</w:t>
      </w:r>
      <w:r>
        <w:fldChar w:fldCharType="end"/>
      </w:r>
      <w:r>
        <w:rPr>
          <w:rFonts w:hint="eastAsia" w:ascii="宋体" w:hAnsi="宋体" w:eastAsia="宋体" w:cs="宋体"/>
          <w:bCs/>
          <w:color w:val="auto"/>
          <w:szCs w:val="21"/>
          <w:highlight w:val="none"/>
        </w:rPr>
        <w:fldChar w:fldCharType="end"/>
      </w:r>
    </w:p>
    <w:p>
      <w:pPr>
        <w:pStyle w:val="38"/>
        <w:tabs>
          <w:tab w:val="right" w:leader="dot" w:pos="8505"/>
          <w:tab w:val="right" w:leader="dot" w:pos="9350"/>
        </w:tabs>
        <w:spacing w:line="360" w:lineRule="auto"/>
        <w:rPr>
          <w:color w:val="auto"/>
          <w:highlight w:val="none"/>
        </w:rPr>
      </w:pPr>
      <w:r>
        <w:rPr>
          <w:rFonts w:hint="eastAsia" w:ascii="宋体" w:hAnsi="宋体" w:eastAsia="宋体" w:cs="宋体"/>
          <w:bCs/>
          <w:color w:val="auto"/>
          <w:szCs w:val="21"/>
          <w:highlight w:val="none"/>
        </w:rPr>
        <w:fldChar w:fldCharType="end"/>
      </w:r>
      <w:bookmarkStart w:id="0" w:name="_Toc22570495"/>
      <w:bookmarkStart w:id="1" w:name="_Toc22962877"/>
      <w:bookmarkStart w:id="2" w:name="_Toc22568788"/>
      <w:bookmarkStart w:id="3" w:name="_Toc99423253"/>
      <w:bookmarkStart w:id="4" w:name="_Toc22953396"/>
      <w:bookmarkStart w:id="5" w:name="_Toc22723955"/>
      <w:bookmarkStart w:id="6" w:name="_Toc22804074"/>
      <w:r>
        <w:rPr>
          <w:color w:val="auto"/>
          <w:highlight w:val="none"/>
        </w:rPr>
        <w:br w:type="page"/>
      </w:r>
    </w:p>
    <w:p>
      <w:pPr>
        <w:spacing w:line="520" w:lineRule="exact"/>
        <w:jc w:val="center"/>
        <w:rPr>
          <w:rFonts w:ascii="??"/>
          <w:color w:val="auto"/>
          <w:sz w:val="32"/>
          <w:szCs w:val="32"/>
          <w:highlight w:val="none"/>
        </w:rPr>
      </w:pPr>
      <w:r>
        <w:rPr>
          <w:rFonts w:hint="eastAsia" w:ascii="宋体" w:hAnsi="宋体" w:cs="宋体"/>
          <w:color w:val="auto"/>
          <w:sz w:val="32"/>
          <w:szCs w:val="32"/>
          <w:highlight w:val="none"/>
        </w:rPr>
        <w:t>特别提示</w:t>
      </w:r>
    </w:p>
    <w:p>
      <w:pPr>
        <w:spacing w:line="440" w:lineRule="exact"/>
        <w:ind w:left="420" w:hanging="422" w:hangingChars="200"/>
        <w:jc w:val="center"/>
        <w:rPr>
          <w:rFonts w:hint="eastAsia" w:ascii="宋体" w:hAnsi="宋体" w:cs="宋体"/>
          <w:b/>
          <w:bCs/>
          <w:color w:val="auto"/>
          <w:highlight w:val="none"/>
        </w:rPr>
      </w:pPr>
      <w:r>
        <w:rPr>
          <w:rFonts w:hint="eastAsia" w:ascii="宋体" w:hAnsi="宋体" w:cs="宋体"/>
          <w:b/>
          <w:bCs/>
          <w:color w:val="auto"/>
          <w:highlight w:val="none"/>
        </w:rPr>
        <w:t>“不见面”开标注意事项及操作流程注意事项</w:t>
      </w:r>
    </w:p>
    <w:p>
      <w:pPr>
        <w:spacing w:line="440" w:lineRule="exact"/>
        <w:ind w:left="420" w:hanging="420" w:hangingChars="200"/>
        <w:jc w:val="left"/>
        <w:rPr>
          <w:rFonts w:hint="eastAsia" w:ascii="宋体" w:hAnsi="宋体" w:cs="宋体"/>
          <w:color w:val="auto"/>
          <w:highlight w:val="none"/>
        </w:rPr>
      </w:pP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温馨提示：</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本项目为全流程电子化交易项目，请认真阅读招标文件，并注意以下事项。</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1.投标人应按招标文件规定编制、提交电子投标文件。</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2.本项目投标人不用再提供纸质投标文件。</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3.电子文件下载、制作、提交期间和开标（电子投标文件的解密）环节，投标人须使用CA数字证书（证书须在有效期内）。</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4.电子投标文件的制作</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4.1 投标人登录《全国公共资源交易平台(河南省▪平顶山市)》公共资源交易系统（http://221.176.192.166:8080/ggzy/）下载“平顶山投标文件制作系统”，按招标文件要求制作电子投标文件。</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电子投标文件的制作，参考《全国公共资源交易平台(河南省▪平顶山市)》公共资源交易系统——组件下载——交易系统操作手册（投标人、投标人）。</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4.2 投标人须将招标文件要求的资质、业绩、荣誉及相关人员证明材料等资料原件扫描件（或图片）制作到所提交的电子投标文件中。</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4.3投标人对同一项目多个标段进行投标的，应分别下载所投标段的招标文件，按标段制作电子投标文件，并按招标文件要求在相应位置加盖投标人电子印章和法人电子印章。</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5.加密电子投标文件的提交</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5.1加密电子投标文件应在招标文件规定的投标截止时间（开标时间）之前成功提交至《全国公共资源交易平台(河南省▪平顶山市)》公共资源交易系统（http://221.176.192.166:8080/ggzy/）。投标人应充分考虑并预留技术处理和上传数据所需时间。</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5.2 投标人对同一项目多个标段进行投标的，加密电子投标文件应按标段分别提交。</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“不见面”开标注意事项：</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1、招标人和代理机构应当提前做好各项准备工作，准时开标。</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2、开标时，投标人采用网上远程异地解密时，请用CA证书登录平顶山市公共资源交易中心业务系统，进入本项目开标大厅点击解密来完成投标文件的解密工作。每位投标人的解密时间从开标时间起60分钟内完成，超过规定时间解密的投标文件不予接收。</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3、如出现投标人的电子投标文件无法解密的情况，投标人应及时联系招标人（代理机构）进行说明。投标文件解密异常，按以下步骤进行处理：</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（1）如果是投标文件自身问题导致投标文件无法解密的，该投标文件将不予接收、解密。</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（2）如果是电子化交易系统问题造成投标文件无法解密的，将由技术人员进行排查处理。如短时间内问题无法解决的，将由招标人（代理机构）联系监督部门申请暂停开标，待问题解决后继续开标。</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4、所有投标文件解密完成后，由招标人（代理机构）操作，对开标结果进行公示。</w:t>
      </w:r>
    </w:p>
    <w:p>
      <w:pPr>
        <w:spacing w:line="440" w:lineRule="exact"/>
        <w:ind w:left="420" w:hanging="420" w:hangingChars="200"/>
        <w:jc w:val="left"/>
        <w:rPr>
          <w:rFonts w:hint="eastAsia" w:ascii="宋体" w:hAnsi="宋体" w:cs="宋体"/>
          <w:color w:val="auto"/>
          <w:highlight w:val="none"/>
        </w:rPr>
      </w:pPr>
      <w:r>
        <w:rPr>
          <w:rFonts w:hint="eastAsia" w:ascii="宋体" w:hAnsi="宋体" w:cs="宋体"/>
          <w:color w:val="auto"/>
          <w:highlight w:val="none"/>
        </w:rPr>
        <w:t>5、投标人应保证在开标期间电话、电脑、网络等能够正常使用，投标人因停电、电脑病毒、网络堵塞等原因，未在规定的解密时间内对投标文件进行解密的，其投标文件不予接收。</w:t>
      </w:r>
    </w:p>
    <w:p>
      <w:pPr>
        <w:spacing w:line="440" w:lineRule="exact"/>
        <w:ind w:left="420" w:hanging="420" w:hangingChars="200"/>
        <w:jc w:val="left"/>
        <w:rPr>
          <w:rFonts w:ascii="宋体" w:hAnsi="宋体" w:cs="宋体"/>
          <w:color w:val="auto"/>
          <w:highlight w:val="none"/>
        </w:rPr>
      </w:pPr>
      <w:r>
        <w:rPr>
          <w:rFonts w:hint="eastAsia" w:ascii="宋体" w:hAnsi="宋体" w:cs="宋体"/>
          <w:color w:val="auto"/>
          <w:highlight w:val="none"/>
        </w:rPr>
        <w:t>6、解密完成后，投标人可登录到交易系统查看自己的投标报价。如对自己的报价内容有异议的，应在报价内容显示后20分钟内联系招标人（代理机构）进行质疑，投标人未在规定时间内提出质疑的，视为认可开标结果显示内容。</w:t>
      </w:r>
    </w:p>
    <w:p>
      <w:pPr>
        <w:widowControl/>
        <w:spacing w:line="240" w:lineRule="atLeast"/>
        <w:jc w:val="left"/>
        <w:rPr>
          <w:rFonts w:ascii="??"/>
          <w:b/>
          <w:bCs/>
          <w:color w:val="auto"/>
          <w:kern w:val="44"/>
          <w:sz w:val="32"/>
          <w:szCs w:val="32"/>
          <w:highlight w:val="none"/>
        </w:rPr>
      </w:pPr>
    </w:p>
    <w:p>
      <w:pPr>
        <w:pStyle w:val="3"/>
        <w:tabs>
          <w:tab w:val="left" w:pos="1134"/>
          <w:tab w:val="left" w:pos="4820"/>
        </w:tabs>
        <w:spacing w:before="45" w:after="45" w:line="440" w:lineRule="exact"/>
        <w:rPr>
          <w:rFonts w:ascii="??" w:hAnsi="??" w:cs="??"/>
          <w:color w:val="auto"/>
          <w:sz w:val="32"/>
          <w:szCs w:val="32"/>
          <w:highlight w:val="none"/>
        </w:rPr>
      </w:pPr>
      <w:r>
        <w:rPr>
          <w:rFonts w:hint="eastAsia" w:ascii="宋体" w:hAnsi="宋体" w:cs="宋体"/>
          <w:color w:val="auto"/>
          <w:sz w:val="32"/>
          <w:szCs w:val="32"/>
          <w:highlight w:val="none"/>
        </w:rPr>
        <w:br w:type="page"/>
      </w:r>
      <w:bookmarkStart w:id="7" w:name="_Toc32690"/>
      <w:r>
        <w:rPr>
          <w:rFonts w:hint="eastAsia" w:ascii="宋体" w:hAnsi="宋体" w:cs="宋体"/>
          <w:color w:val="auto"/>
          <w:sz w:val="32"/>
          <w:szCs w:val="32"/>
          <w:highlight w:val="none"/>
        </w:rPr>
        <w:t>第一章 招标公告</w:t>
      </w:r>
      <w:bookmarkEnd w:id="7"/>
    </w:p>
    <w:p>
      <w:pPr>
        <w:numPr>
          <w:ilvl w:val="1"/>
          <w:numId w:val="0"/>
        </w:numPr>
        <w:tabs>
          <w:tab w:val="left" w:pos="420"/>
          <w:tab w:val="left" w:pos="840"/>
        </w:tabs>
        <w:spacing w:line="440" w:lineRule="exact"/>
        <w:rPr>
          <w:rFonts w:ascii="??" w:hAnsi="??" w:cs="??"/>
          <w:color w:val="auto"/>
          <w:highlight w:val="none"/>
        </w:rPr>
      </w:pPr>
      <w:bookmarkStart w:id="8" w:name="_Toc945"/>
      <w:bookmarkStart w:id="9" w:name="_Toc10244"/>
      <w:bookmarkStart w:id="10" w:name="_Toc28359002"/>
      <w:bookmarkStart w:id="11" w:name="_Toc28359079"/>
      <w:bookmarkStart w:id="12" w:name="_Toc35393790"/>
      <w:bookmarkStart w:id="13" w:name="_Toc35393621"/>
      <w:bookmarkStart w:id="14" w:name="_Hlk24379207"/>
      <w:bookmarkStart w:id="15" w:name="_Toc496607664"/>
      <w:bookmarkStart w:id="16" w:name="_Toc496604846"/>
      <w:bookmarkStart w:id="17" w:name="_Toc496621886"/>
      <w:bookmarkStart w:id="18" w:name="_Toc496604949"/>
      <w:bookmarkStart w:id="19" w:name="_Toc496627135"/>
      <w:bookmarkStart w:id="20" w:name="_Toc496606438"/>
      <w:bookmarkStart w:id="21" w:name="_Toc496605306"/>
      <w:bookmarkStart w:id="22" w:name="_Toc496607901"/>
      <w:bookmarkStart w:id="23" w:name="_Toc496626971"/>
      <w:r>
        <w:rPr>
          <w:rFonts w:hint="eastAsia" w:ascii="宋体" w:hAnsi="宋体" w:cs="宋体"/>
          <w:color w:val="auto"/>
          <w:highlight w:val="none"/>
        </w:rPr>
        <w:t>项目概况</w:t>
      </w:r>
      <w:bookmarkEnd w:id="8"/>
      <w:bookmarkEnd w:id="9"/>
    </w:p>
    <w:p>
      <w:pPr>
        <w:numPr>
          <w:ilvl w:val="1"/>
          <w:numId w:val="0"/>
        </w:numPr>
        <w:tabs>
          <w:tab w:val="left" w:pos="420"/>
          <w:tab w:val="left" w:pos="840"/>
        </w:tabs>
        <w:spacing w:line="440" w:lineRule="exact"/>
        <w:ind w:firstLine="525" w:firstLineChars="250"/>
        <w:rPr>
          <w:rFonts w:ascii="??" w:hAnsi="??" w:cs="??"/>
          <w:color w:val="auto"/>
          <w:highlight w:val="none"/>
        </w:rPr>
      </w:pPr>
      <w:bookmarkStart w:id="24" w:name="_Toc24570"/>
      <w:bookmarkStart w:id="25" w:name="_Toc3919"/>
      <w:r>
        <w:rPr>
          <w:rFonts w:hint="eastAsia" w:ascii="宋体" w:hAnsi="宋体" w:cs="宋体"/>
          <w:color w:val="auto"/>
          <w:highlight w:val="none"/>
          <w:lang w:eastAsia="zh-CN"/>
        </w:rPr>
        <w:t>尧山实验室2024年陶瓷基复合材料实验设备采购项目</w:t>
      </w:r>
      <w:r>
        <w:rPr>
          <w:rFonts w:hint="eastAsia" w:ascii="宋体" w:hAnsi="宋体" w:cs="宋体"/>
          <w:color w:val="auto"/>
          <w:highlight w:val="none"/>
        </w:rPr>
        <w:t>的潜在投标人应在</w:t>
      </w:r>
      <w:r>
        <w:rPr>
          <w:rFonts w:hint="eastAsia" w:ascii="宋体" w:hAnsi="宋体" w:cs="宋体"/>
          <w:color w:val="auto"/>
          <w:highlight w:val="none"/>
          <w:lang w:eastAsia="zh-CN"/>
        </w:rPr>
        <w:t>平顶山市公共资源交易中心网</w:t>
      </w:r>
      <w:r>
        <w:rPr>
          <w:rFonts w:hint="eastAsia" w:ascii="宋体" w:hAnsi="宋体" w:cs="宋体"/>
          <w:color w:val="auto"/>
          <w:highlight w:val="none"/>
        </w:rPr>
        <w:t>获取招标文件，并于2024年</w:t>
      </w:r>
      <w:r>
        <w:rPr>
          <w:rFonts w:hint="eastAsia" w:ascii="宋体" w:hAnsi="宋体" w:cs="宋体"/>
          <w:color w:val="auto"/>
          <w:highlight w:val="none"/>
          <w:lang w:val="en-US" w:eastAsia="zh-CN"/>
        </w:rPr>
        <w:t>8</w:t>
      </w:r>
      <w:r>
        <w:rPr>
          <w:rFonts w:hint="eastAsia" w:ascii="宋体" w:hAnsi="宋体" w:cs="宋体"/>
          <w:color w:val="auto"/>
          <w:highlight w:val="none"/>
        </w:rPr>
        <w:t>月</w:t>
      </w:r>
      <w:r>
        <w:rPr>
          <w:rFonts w:hint="eastAsia" w:ascii="宋体" w:hAnsi="宋体" w:cs="宋体"/>
          <w:color w:val="auto"/>
          <w:highlight w:val="none"/>
          <w:lang w:val="en-US" w:eastAsia="zh-CN"/>
        </w:rPr>
        <w:t>19</w:t>
      </w:r>
      <w:r>
        <w:rPr>
          <w:rFonts w:hint="eastAsia" w:ascii="宋体" w:hAnsi="宋体" w:cs="宋体"/>
          <w:color w:val="auto"/>
          <w:highlight w:val="none"/>
        </w:rPr>
        <w:t>日09点00分（北京时间）前递交投标文件。</w:t>
      </w:r>
      <w:bookmarkEnd w:id="24"/>
      <w:bookmarkEnd w:id="25"/>
    </w:p>
    <w:p>
      <w:pPr>
        <w:spacing w:line="440" w:lineRule="exact"/>
        <w:rPr>
          <w:rFonts w:hint="eastAsia" w:ascii="宋体" w:hAnsi="宋体" w:cs="宋体"/>
          <w:color w:val="auto"/>
          <w:highlight w:val="none"/>
        </w:rPr>
      </w:pPr>
      <w:bookmarkStart w:id="26" w:name="_Toc1256"/>
      <w:r>
        <w:rPr>
          <w:rFonts w:hint="eastAsia" w:ascii="宋体" w:hAnsi="宋体" w:cs="宋体"/>
          <w:color w:val="auto"/>
          <w:highlight w:val="none"/>
        </w:rPr>
        <w:t>一、项目基本情况</w:t>
      </w:r>
      <w:bookmarkEnd w:id="10"/>
      <w:bookmarkEnd w:id="11"/>
      <w:bookmarkEnd w:id="12"/>
      <w:bookmarkEnd w:id="13"/>
      <w:bookmarkEnd w:id="26"/>
    </w:p>
    <w:p>
      <w:pPr>
        <w:spacing w:line="440" w:lineRule="exact"/>
        <w:ind w:firstLine="420" w:firstLineChars="200"/>
        <w:rPr>
          <w:rFonts w:hint="eastAsia" w:ascii="宋体" w:hAnsi="宋体" w:eastAsia="宋体" w:cs="宋体"/>
          <w:color w:val="auto"/>
          <w:highlight w:val="yellow"/>
          <w:lang w:val="en-US" w:eastAsia="zh-CN"/>
        </w:rPr>
      </w:pPr>
      <w:r>
        <w:rPr>
          <w:rFonts w:hint="eastAsia" w:ascii="宋体" w:hAnsi="宋体" w:cs="宋体"/>
          <w:color w:val="auto"/>
          <w:highlight w:val="none"/>
        </w:rPr>
        <w:t>1、项目编号：</w:t>
      </w:r>
      <w:r>
        <w:rPr>
          <w:rFonts w:hint="eastAsia" w:ascii="宋体" w:hAnsi="宋体" w:cs="宋体"/>
          <w:color w:val="auto"/>
          <w:highlight w:val="none"/>
          <w:lang w:eastAsia="zh-CN"/>
        </w:rPr>
        <w:t>平采招标-2024-79</w:t>
      </w:r>
    </w:p>
    <w:p>
      <w:pPr>
        <w:spacing w:line="440" w:lineRule="exact"/>
        <w:ind w:firstLine="420" w:firstLineChars="200"/>
        <w:rPr>
          <w:rFonts w:hint="eastAsia" w:ascii="宋体" w:hAnsi="宋体" w:eastAsia="宋体" w:cs="宋体"/>
          <w:color w:val="auto"/>
          <w:highlight w:val="none"/>
          <w:lang w:eastAsia="zh-CN"/>
        </w:rPr>
      </w:pPr>
      <w:r>
        <w:rPr>
          <w:rFonts w:hint="eastAsia" w:ascii="宋体" w:hAnsi="宋体" w:cs="宋体"/>
          <w:color w:val="auto"/>
          <w:highlight w:val="none"/>
        </w:rPr>
        <w:t>2、项目名称：</w:t>
      </w:r>
      <w:bookmarkEnd w:id="14"/>
      <w:r>
        <w:rPr>
          <w:rFonts w:hint="eastAsia" w:ascii="宋体" w:hAnsi="宋体" w:cs="宋体"/>
          <w:color w:val="auto"/>
          <w:highlight w:val="none"/>
          <w:lang w:eastAsia="zh-CN"/>
        </w:rPr>
        <w:t>尧山实验室2024年陶瓷基复合材料实验设备采购项目</w:t>
      </w:r>
    </w:p>
    <w:p>
      <w:pPr>
        <w:spacing w:line="440" w:lineRule="exact"/>
        <w:ind w:firstLine="420" w:firstLineChars="200"/>
        <w:rPr>
          <w:rFonts w:ascii="宋体" w:hAnsi="宋体" w:cs="宋体"/>
          <w:color w:val="auto"/>
          <w:highlight w:val="none"/>
        </w:rPr>
      </w:pPr>
      <w:r>
        <w:rPr>
          <w:rFonts w:hint="eastAsia" w:ascii="宋体" w:hAnsi="宋体" w:cs="宋体"/>
          <w:color w:val="auto"/>
          <w:highlight w:val="none"/>
        </w:rPr>
        <w:t>3、采购方式：公开招标</w:t>
      </w:r>
    </w:p>
    <w:p>
      <w:pPr>
        <w:spacing w:line="440" w:lineRule="exact"/>
        <w:ind w:firstLine="420" w:firstLineChars="200"/>
        <w:rPr>
          <w:rFonts w:ascii="宋体" w:hAnsi="宋体" w:cs="宋体"/>
          <w:color w:val="auto"/>
          <w:highlight w:val="none"/>
        </w:rPr>
      </w:pPr>
      <w:r>
        <w:rPr>
          <w:rFonts w:hint="eastAsia" w:ascii="宋体" w:hAnsi="宋体" w:cs="宋体"/>
          <w:color w:val="auto"/>
          <w:highlight w:val="none"/>
        </w:rPr>
        <w:t>4、预算金额：</w:t>
      </w:r>
      <w:r>
        <w:rPr>
          <w:rFonts w:hint="eastAsia" w:ascii="宋体" w:hAnsi="宋体" w:cs="宋体"/>
          <w:color w:val="auto"/>
          <w:highlight w:val="none"/>
          <w:lang w:val="en-US" w:eastAsia="zh-CN"/>
        </w:rPr>
        <w:t>21290000</w:t>
      </w:r>
      <w:r>
        <w:rPr>
          <w:rFonts w:hint="eastAsia" w:ascii="宋体" w:hAnsi="宋体" w:cs="宋体"/>
          <w:color w:val="auto"/>
          <w:highlight w:val="none"/>
        </w:rPr>
        <w:t>元</w:t>
      </w:r>
    </w:p>
    <w:p>
      <w:pPr>
        <w:spacing w:line="440" w:lineRule="exact"/>
        <w:ind w:firstLine="840" w:firstLineChars="400"/>
        <w:rPr>
          <w:rFonts w:ascii="宋体" w:hAnsi="宋体" w:cs="宋体"/>
          <w:color w:val="auto"/>
          <w:highlight w:val="none"/>
        </w:rPr>
      </w:pPr>
      <w:r>
        <w:rPr>
          <w:rFonts w:hint="eastAsia" w:ascii="宋体" w:hAnsi="宋体" w:cs="宋体"/>
          <w:color w:val="auto"/>
          <w:highlight w:val="none"/>
        </w:rPr>
        <w:t>最高限价：</w:t>
      </w:r>
      <w:r>
        <w:rPr>
          <w:rFonts w:hint="eastAsia" w:ascii="宋体" w:hAnsi="宋体" w:cs="宋体"/>
          <w:color w:val="auto"/>
          <w:highlight w:val="none"/>
          <w:lang w:val="en-US" w:eastAsia="zh-CN"/>
        </w:rPr>
        <w:t>2129</w:t>
      </w:r>
      <w:r>
        <w:rPr>
          <w:rFonts w:hint="eastAsia" w:ascii="宋体" w:hAnsi="宋体" w:cs="宋体"/>
          <w:color w:val="auto"/>
          <w:highlight w:val="none"/>
          <w:lang w:eastAsia="zh-CN"/>
        </w:rPr>
        <w:t>0000</w:t>
      </w:r>
      <w:r>
        <w:rPr>
          <w:rFonts w:hint="eastAsia" w:ascii="宋体" w:hAnsi="宋体" w:cs="宋体"/>
          <w:color w:val="auto"/>
          <w:highlight w:val="none"/>
        </w:rPr>
        <w:t>元</w:t>
      </w:r>
    </w:p>
    <w:tbl>
      <w:tblPr>
        <w:tblStyle w:val="48"/>
        <w:tblW w:w="8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3576"/>
        <w:gridCol w:w="2255"/>
        <w:gridCol w:w="1050"/>
        <w:gridCol w:w="13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49" w:hRule="atLeast"/>
          <w:jc w:val="center"/>
        </w:trPr>
        <w:tc>
          <w:tcPr>
            <w:tcW w:w="666" w:type="dxa"/>
            <w:noWrap/>
            <w:vAlign w:val="center"/>
          </w:tcPr>
          <w:p>
            <w:pPr>
              <w:spacing w:line="336" w:lineRule="auto"/>
              <w:jc w:val="center"/>
              <w:rPr>
                <w:rFonts w:ascii="宋体" w:hAnsi="宋体" w:cs="宋体"/>
                <w:color w:val="auto"/>
                <w:highlight w:val="none"/>
              </w:rPr>
            </w:pPr>
            <w:r>
              <w:rPr>
                <w:rFonts w:hint="eastAsia" w:ascii="宋体" w:hAnsi="宋体" w:cs="宋体"/>
                <w:color w:val="auto"/>
                <w:highlight w:val="none"/>
              </w:rPr>
              <w:t>序号</w:t>
            </w:r>
          </w:p>
        </w:tc>
        <w:tc>
          <w:tcPr>
            <w:tcW w:w="3576" w:type="dxa"/>
            <w:noWrap/>
            <w:vAlign w:val="center"/>
          </w:tcPr>
          <w:p>
            <w:pPr>
              <w:spacing w:line="336" w:lineRule="auto"/>
              <w:jc w:val="center"/>
              <w:rPr>
                <w:rFonts w:ascii="宋体" w:hAnsi="宋体" w:cs="宋体"/>
                <w:color w:val="auto"/>
                <w:highlight w:val="none"/>
              </w:rPr>
            </w:pPr>
            <w:r>
              <w:rPr>
                <w:rFonts w:hint="eastAsia" w:ascii="宋体" w:hAnsi="宋体" w:cs="宋体"/>
                <w:color w:val="auto"/>
                <w:highlight w:val="none"/>
              </w:rPr>
              <w:t>包号</w:t>
            </w:r>
          </w:p>
        </w:tc>
        <w:tc>
          <w:tcPr>
            <w:tcW w:w="2255" w:type="dxa"/>
            <w:noWrap/>
            <w:vAlign w:val="center"/>
          </w:tcPr>
          <w:p>
            <w:pPr>
              <w:spacing w:line="336" w:lineRule="auto"/>
              <w:jc w:val="center"/>
              <w:rPr>
                <w:rFonts w:ascii="宋体" w:hAnsi="宋体" w:cs="宋体"/>
                <w:color w:val="auto"/>
                <w:highlight w:val="none"/>
              </w:rPr>
            </w:pPr>
            <w:r>
              <w:rPr>
                <w:rFonts w:hint="eastAsia" w:ascii="宋体" w:hAnsi="宋体" w:cs="宋体"/>
                <w:color w:val="auto"/>
                <w:highlight w:val="none"/>
              </w:rPr>
              <w:t>包名称</w:t>
            </w:r>
          </w:p>
        </w:tc>
        <w:tc>
          <w:tcPr>
            <w:tcW w:w="1050" w:type="dxa"/>
            <w:noWrap/>
            <w:vAlign w:val="center"/>
          </w:tcPr>
          <w:p>
            <w:pPr>
              <w:spacing w:line="336" w:lineRule="auto"/>
              <w:jc w:val="center"/>
              <w:rPr>
                <w:rFonts w:ascii="宋体" w:hAnsi="宋体" w:cs="宋体"/>
                <w:color w:val="auto"/>
                <w:highlight w:val="none"/>
              </w:rPr>
            </w:pPr>
            <w:r>
              <w:rPr>
                <w:rFonts w:hint="eastAsia" w:ascii="宋体" w:hAnsi="宋体" w:cs="宋体"/>
                <w:color w:val="auto"/>
                <w:highlight w:val="none"/>
              </w:rPr>
              <w:t>包预算（元）</w:t>
            </w:r>
          </w:p>
        </w:tc>
        <w:tc>
          <w:tcPr>
            <w:tcW w:w="1331" w:type="dxa"/>
            <w:noWrap/>
            <w:vAlign w:val="center"/>
          </w:tcPr>
          <w:p>
            <w:pPr>
              <w:spacing w:line="336" w:lineRule="auto"/>
              <w:jc w:val="center"/>
              <w:rPr>
                <w:rFonts w:ascii="宋体" w:hAnsi="宋体" w:cs="宋体"/>
                <w:color w:val="auto"/>
                <w:highlight w:val="none"/>
              </w:rPr>
            </w:pPr>
            <w:r>
              <w:rPr>
                <w:rFonts w:hint="eastAsia" w:ascii="宋体" w:hAnsi="宋体" w:cs="宋体"/>
                <w:color w:val="auto"/>
                <w:highlight w:val="none"/>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6" w:type="dxa"/>
            <w:noWrap/>
            <w:vAlign w:val="center"/>
          </w:tcPr>
          <w:p>
            <w:pPr>
              <w:spacing w:line="336" w:lineRule="auto"/>
              <w:jc w:val="center"/>
              <w:rPr>
                <w:rFonts w:ascii="宋体" w:hAnsi="宋体" w:cs="宋体"/>
                <w:color w:val="auto"/>
                <w:highlight w:val="none"/>
              </w:rPr>
            </w:pPr>
            <w:r>
              <w:rPr>
                <w:rFonts w:hint="eastAsia" w:ascii="宋体" w:hAnsi="宋体" w:cs="宋体"/>
                <w:color w:val="auto"/>
                <w:highlight w:val="none"/>
              </w:rPr>
              <w:t>1</w:t>
            </w:r>
          </w:p>
        </w:tc>
        <w:tc>
          <w:tcPr>
            <w:tcW w:w="3576" w:type="dxa"/>
            <w:noWrap/>
            <w:vAlign w:val="center"/>
          </w:tcPr>
          <w:p>
            <w:pPr>
              <w:spacing w:line="336" w:lineRule="auto"/>
              <w:jc w:val="center"/>
              <w:rPr>
                <w:rFonts w:ascii="宋体" w:hAnsi="宋体" w:cs="宋体"/>
                <w:bCs/>
                <w:color w:val="auto"/>
                <w:kern w:val="0"/>
                <w:highlight w:val="none"/>
              </w:rPr>
            </w:pPr>
            <w:r>
              <w:rPr>
                <w:rFonts w:hint="eastAsia" w:ascii="宋体" w:hAnsi="宋体" w:cs="宋体"/>
                <w:bCs/>
                <w:color w:val="auto"/>
                <w:kern w:val="0"/>
                <w:highlight w:val="none"/>
              </w:rPr>
              <w:t>平公资采2024609号-1</w:t>
            </w:r>
          </w:p>
        </w:tc>
        <w:tc>
          <w:tcPr>
            <w:tcW w:w="2255" w:type="dxa"/>
            <w:noWrap/>
            <w:vAlign w:val="center"/>
          </w:tcPr>
          <w:p>
            <w:pPr>
              <w:spacing w:line="336" w:lineRule="auto"/>
              <w:jc w:val="center"/>
              <w:rPr>
                <w:rFonts w:hint="eastAsia" w:ascii="宋体" w:hAnsi="宋体" w:eastAsia="宋体" w:cs="宋体"/>
                <w:bCs/>
                <w:color w:val="auto"/>
                <w:kern w:val="0"/>
                <w:highlight w:val="none"/>
                <w:lang w:eastAsia="zh-CN"/>
              </w:rPr>
            </w:pPr>
            <w:r>
              <w:rPr>
                <w:rFonts w:hint="eastAsia" w:ascii="宋体" w:hAnsi="宋体" w:cs="宋体"/>
                <w:color w:val="auto"/>
                <w:highlight w:val="none"/>
                <w:lang w:val="en-US" w:eastAsia="zh-CN"/>
              </w:rPr>
              <w:t>第一标段</w:t>
            </w:r>
          </w:p>
        </w:tc>
        <w:tc>
          <w:tcPr>
            <w:tcW w:w="1050" w:type="dxa"/>
            <w:noWrap/>
            <w:vAlign w:val="center"/>
          </w:tcPr>
          <w:p>
            <w:pPr>
              <w:spacing w:line="336" w:lineRule="auto"/>
              <w:jc w:val="center"/>
              <w:rPr>
                <w:rFonts w:hint="eastAsia" w:ascii="宋体" w:hAnsi="宋体" w:eastAsia="宋体" w:cs="宋体"/>
                <w:color w:val="auto"/>
                <w:highlight w:val="none"/>
                <w:lang w:eastAsia="zh-CN"/>
              </w:rPr>
            </w:pPr>
            <w:r>
              <w:rPr>
                <w:rFonts w:hint="eastAsia" w:ascii="宋体" w:hAnsi="宋体" w:cs="宋体"/>
                <w:color w:val="auto"/>
                <w:highlight w:val="none"/>
                <w:lang w:eastAsia="zh-CN"/>
              </w:rPr>
              <w:t>2</w:t>
            </w:r>
            <w:r>
              <w:rPr>
                <w:rFonts w:hint="eastAsia" w:ascii="宋体" w:hAnsi="宋体" w:cs="宋体"/>
                <w:color w:val="auto"/>
                <w:highlight w:val="none"/>
                <w:lang w:val="en-US" w:eastAsia="zh-CN"/>
              </w:rPr>
              <w:t>08</w:t>
            </w:r>
            <w:r>
              <w:rPr>
                <w:rFonts w:hint="eastAsia" w:ascii="宋体" w:hAnsi="宋体" w:cs="宋体"/>
                <w:color w:val="auto"/>
                <w:highlight w:val="none"/>
                <w:lang w:eastAsia="zh-CN"/>
              </w:rPr>
              <w:t>0000</w:t>
            </w:r>
          </w:p>
        </w:tc>
        <w:tc>
          <w:tcPr>
            <w:tcW w:w="1331" w:type="dxa"/>
            <w:noWrap/>
            <w:vAlign w:val="center"/>
          </w:tcPr>
          <w:p>
            <w:pPr>
              <w:spacing w:line="336" w:lineRule="auto"/>
              <w:jc w:val="center"/>
              <w:rPr>
                <w:rFonts w:hint="eastAsia" w:ascii="宋体" w:hAnsi="宋体" w:eastAsia="宋体" w:cs="宋体"/>
                <w:color w:val="auto"/>
                <w:highlight w:val="none"/>
                <w:lang w:eastAsia="zh-CN"/>
              </w:rPr>
            </w:pPr>
            <w:r>
              <w:rPr>
                <w:rFonts w:hint="eastAsia" w:ascii="宋体" w:hAnsi="宋体" w:cs="宋体"/>
                <w:color w:val="auto"/>
                <w:highlight w:val="none"/>
                <w:lang w:eastAsia="zh-CN"/>
              </w:rPr>
              <w:t>2</w:t>
            </w:r>
            <w:r>
              <w:rPr>
                <w:rFonts w:hint="eastAsia" w:ascii="宋体" w:hAnsi="宋体" w:cs="宋体"/>
                <w:color w:val="auto"/>
                <w:highlight w:val="none"/>
                <w:lang w:val="en-US" w:eastAsia="zh-CN"/>
              </w:rPr>
              <w:t>08</w:t>
            </w:r>
            <w:r>
              <w:rPr>
                <w:rFonts w:hint="eastAsia" w:ascii="宋体" w:hAnsi="宋体" w:cs="宋体"/>
                <w:color w:val="auto"/>
                <w:highlight w:val="none"/>
                <w:lang w:eastAsia="zh-CN"/>
              </w:rPr>
              <w:t>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6" w:type="dxa"/>
            <w:noWrap/>
            <w:vAlign w:val="center"/>
          </w:tcPr>
          <w:p>
            <w:pPr>
              <w:spacing w:line="336" w:lineRule="auto"/>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2</w:t>
            </w:r>
          </w:p>
        </w:tc>
        <w:tc>
          <w:tcPr>
            <w:tcW w:w="3576" w:type="dxa"/>
            <w:noWrap/>
            <w:vAlign w:val="center"/>
          </w:tcPr>
          <w:p>
            <w:pPr>
              <w:spacing w:line="336" w:lineRule="auto"/>
              <w:jc w:val="center"/>
              <w:rPr>
                <w:rFonts w:hint="eastAsia" w:ascii="宋体" w:hAnsi="宋体" w:eastAsia="宋体" w:cs="宋体"/>
                <w:color w:val="auto"/>
                <w:highlight w:val="none"/>
                <w:lang w:eastAsia="zh-CN"/>
              </w:rPr>
            </w:pPr>
            <w:r>
              <w:rPr>
                <w:rFonts w:hint="eastAsia" w:ascii="宋体" w:hAnsi="宋体" w:cs="宋体"/>
                <w:color w:val="auto"/>
                <w:highlight w:val="none"/>
              </w:rPr>
              <w:t>平公资采2024609号-</w:t>
            </w:r>
            <w:r>
              <w:rPr>
                <w:rFonts w:hint="eastAsia" w:ascii="宋体" w:hAnsi="宋体" w:cs="宋体"/>
                <w:color w:val="auto"/>
                <w:highlight w:val="none"/>
                <w:lang w:val="en-US" w:eastAsia="zh-CN"/>
              </w:rPr>
              <w:t>2</w:t>
            </w:r>
          </w:p>
        </w:tc>
        <w:tc>
          <w:tcPr>
            <w:tcW w:w="2255" w:type="dxa"/>
            <w:noWrap/>
            <w:vAlign w:val="center"/>
          </w:tcPr>
          <w:p>
            <w:pPr>
              <w:spacing w:line="336" w:lineRule="auto"/>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第二标段</w:t>
            </w:r>
          </w:p>
        </w:tc>
        <w:tc>
          <w:tcPr>
            <w:tcW w:w="1050" w:type="dxa"/>
            <w:noWrap/>
            <w:vAlign w:val="center"/>
          </w:tcPr>
          <w:p>
            <w:pPr>
              <w:spacing w:line="336" w:lineRule="auto"/>
              <w:jc w:val="center"/>
              <w:rPr>
                <w:rFonts w:hint="eastAsia" w:ascii="宋体" w:hAnsi="宋体" w:cs="宋体"/>
                <w:color w:val="auto"/>
                <w:highlight w:val="none"/>
                <w:lang w:eastAsia="zh-CN"/>
              </w:rPr>
            </w:pPr>
            <w:r>
              <w:rPr>
                <w:rFonts w:hint="eastAsia" w:ascii="宋体" w:hAnsi="宋体" w:cs="宋体"/>
                <w:color w:val="auto"/>
                <w:highlight w:val="none"/>
                <w:lang w:val="en-US" w:eastAsia="zh-CN"/>
              </w:rPr>
              <w:t>126</w:t>
            </w:r>
            <w:r>
              <w:rPr>
                <w:rFonts w:hint="eastAsia" w:ascii="宋体" w:hAnsi="宋体" w:cs="宋体"/>
                <w:color w:val="auto"/>
                <w:highlight w:val="none"/>
                <w:lang w:eastAsia="zh-CN"/>
              </w:rPr>
              <w:t>0000</w:t>
            </w:r>
          </w:p>
        </w:tc>
        <w:tc>
          <w:tcPr>
            <w:tcW w:w="1331" w:type="dxa"/>
            <w:noWrap/>
            <w:vAlign w:val="center"/>
          </w:tcPr>
          <w:p>
            <w:pPr>
              <w:spacing w:line="336" w:lineRule="auto"/>
              <w:jc w:val="center"/>
              <w:rPr>
                <w:rFonts w:hint="eastAsia" w:ascii="宋体" w:hAnsi="宋体" w:cs="宋体"/>
                <w:color w:val="auto"/>
                <w:highlight w:val="none"/>
                <w:lang w:eastAsia="zh-CN"/>
              </w:rPr>
            </w:pPr>
            <w:r>
              <w:rPr>
                <w:rFonts w:hint="eastAsia" w:ascii="宋体" w:hAnsi="宋体" w:cs="宋体"/>
                <w:color w:val="auto"/>
                <w:highlight w:val="none"/>
                <w:lang w:val="en-US" w:eastAsia="zh-CN"/>
              </w:rPr>
              <w:t>126</w:t>
            </w:r>
            <w:r>
              <w:rPr>
                <w:rFonts w:hint="eastAsia" w:ascii="宋体" w:hAnsi="宋体" w:cs="宋体"/>
                <w:color w:val="auto"/>
                <w:highlight w:val="none"/>
                <w:lang w:eastAsia="zh-CN"/>
              </w:rPr>
              <w:t>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6" w:type="dxa"/>
            <w:noWrap/>
            <w:vAlign w:val="center"/>
          </w:tcPr>
          <w:p>
            <w:pPr>
              <w:spacing w:line="336" w:lineRule="auto"/>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3</w:t>
            </w:r>
          </w:p>
        </w:tc>
        <w:tc>
          <w:tcPr>
            <w:tcW w:w="3576" w:type="dxa"/>
            <w:noWrap/>
            <w:vAlign w:val="center"/>
          </w:tcPr>
          <w:p>
            <w:pPr>
              <w:spacing w:line="336" w:lineRule="auto"/>
              <w:jc w:val="center"/>
              <w:rPr>
                <w:rFonts w:hint="eastAsia" w:ascii="宋体" w:hAnsi="宋体" w:eastAsia="宋体" w:cs="宋体"/>
                <w:color w:val="auto"/>
                <w:highlight w:val="none"/>
                <w:lang w:eastAsia="zh-CN"/>
              </w:rPr>
            </w:pPr>
            <w:r>
              <w:rPr>
                <w:rFonts w:hint="eastAsia" w:ascii="宋体" w:hAnsi="宋体" w:cs="宋体"/>
                <w:color w:val="auto"/>
                <w:highlight w:val="none"/>
              </w:rPr>
              <w:t>平公资采2024609号-</w:t>
            </w:r>
            <w:r>
              <w:rPr>
                <w:rFonts w:hint="eastAsia" w:ascii="宋体" w:hAnsi="宋体" w:cs="宋体"/>
                <w:color w:val="auto"/>
                <w:highlight w:val="none"/>
                <w:lang w:val="en-US" w:eastAsia="zh-CN"/>
              </w:rPr>
              <w:t>3</w:t>
            </w:r>
          </w:p>
        </w:tc>
        <w:tc>
          <w:tcPr>
            <w:tcW w:w="2255" w:type="dxa"/>
            <w:noWrap/>
            <w:vAlign w:val="center"/>
          </w:tcPr>
          <w:p>
            <w:pPr>
              <w:spacing w:line="336" w:lineRule="auto"/>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第三标段</w:t>
            </w:r>
          </w:p>
        </w:tc>
        <w:tc>
          <w:tcPr>
            <w:tcW w:w="1050" w:type="dxa"/>
            <w:noWrap/>
            <w:vAlign w:val="center"/>
          </w:tcPr>
          <w:p>
            <w:pPr>
              <w:spacing w:line="336" w:lineRule="auto"/>
              <w:jc w:val="center"/>
              <w:rPr>
                <w:rFonts w:hint="eastAsia" w:ascii="宋体" w:hAnsi="宋体" w:cs="宋体"/>
                <w:color w:val="auto"/>
                <w:highlight w:val="none"/>
                <w:lang w:eastAsia="zh-CN"/>
              </w:rPr>
            </w:pPr>
            <w:r>
              <w:rPr>
                <w:rFonts w:hint="eastAsia" w:ascii="宋体" w:hAnsi="宋体" w:cs="宋体"/>
                <w:color w:val="auto"/>
                <w:highlight w:val="none"/>
                <w:lang w:val="en-US" w:eastAsia="zh-CN"/>
              </w:rPr>
              <w:t>650</w:t>
            </w:r>
            <w:r>
              <w:rPr>
                <w:rFonts w:hint="eastAsia" w:ascii="宋体" w:hAnsi="宋体" w:cs="宋体"/>
                <w:color w:val="auto"/>
                <w:highlight w:val="none"/>
                <w:lang w:eastAsia="zh-CN"/>
              </w:rPr>
              <w:t>0000</w:t>
            </w:r>
          </w:p>
        </w:tc>
        <w:tc>
          <w:tcPr>
            <w:tcW w:w="1331" w:type="dxa"/>
            <w:noWrap/>
            <w:vAlign w:val="center"/>
          </w:tcPr>
          <w:p>
            <w:pPr>
              <w:spacing w:line="336" w:lineRule="auto"/>
              <w:jc w:val="center"/>
              <w:rPr>
                <w:rFonts w:hint="eastAsia" w:ascii="宋体" w:hAnsi="宋体" w:cs="宋体"/>
                <w:color w:val="auto"/>
                <w:highlight w:val="none"/>
                <w:lang w:eastAsia="zh-CN"/>
              </w:rPr>
            </w:pPr>
            <w:r>
              <w:rPr>
                <w:rFonts w:hint="eastAsia" w:ascii="宋体" w:hAnsi="宋体" w:cs="宋体"/>
                <w:color w:val="auto"/>
                <w:highlight w:val="none"/>
                <w:lang w:val="en-US" w:eastAsia="zh-CN"/>
              </w:rPr>
              <w:t>650</w:t>
            </w:r>
            <w:r>
              <w:rPr>
                <w:rFonts w:hint="eastAsia" w:ascii="宋体" w:hAnsi="宋体" w:cs="宋体"/>
                <w:color w:val="auto"/>
                <w:highlight w:val="none"/>
                <w:lang w:eastAsia="zh-CN"/>
              </w:rPr>
              <w:t>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6" w:type="dxa"/>
            <w:noWrap/>
            <w:vAlign w:val="center"/>
          </w:tcPr>
          <w:p>
            <w:pPr>
              <w:spacing w:line="336" w:lineRule="auto"/>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4</w:t>
            </w:r>
          </w:p>
        </w:tc>
        <w:tc>
          <w:tcPr>
            <w:tcW w:w="3576" w:type="dxa"/>
            <w:noWrap/>
            <w:vAlign w:val="center"/>
          </w:tcPr>
          <w:p>
            <w:pPr>
              <w:spacing w:line="336" w:lineRule="auto"/>
              <w:jc w:val="center"/>
              <w:rPr>
                <w:rFonts w:hint="eastAsia" w:ascii="宋体" w:hAnsi="宋体" w:eastAsia="宋体" w:cs="宋体"/>
                <w:color w:val="auto"/>
                <w:highlight w:val="none"/>
                <w:lang w:eastAsia="zh-CN"/>
              </w:rPr>
            </w:pPr>
            <w:r>
              <w:rPr>
                <w:rFonts w:hint="eastAsia" w:ascii="宋体" w:hAnsi="宋体" w:cs="宋体"/>
                <w:color w:val="auto"/>
                <w:highlight w:val="none"/>
              </w:rPr>
              <w:t>平公资采2024609号-</w:t>
            </w:r>
            <w:r>
              <w:rPr>
                <w:rFonts w:hint="eastAsia" w:ascii="宋体" w:hAnsi="宋体" w:cs="宋体"/>
                <w:color w:val="auto"/>
                <w:highlight w:val="none"/>
                <w:lang w:val="en-US" w:eastAsia="zh-CN"/>
              </w:rPr>
              <w:t>4</w:t>
            </w:r>
          </w:p>
        </w:tc>
        <w:tc>
          <w:tcPr>
            <w:tcW w:w="2255" w:type="dxa"/>
            <w:noWrap/>
            <w:vAlign w:val="center"/>
          </w:tcPr>
          <w:p>
            <w:pPr>
              <w:spacing w:line="336" w:lineRule="auto"/>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第四标段</w:t>
            </w:r>
          </w:p>
        </w:tc>
        <w:tc>
          <w:tcPr>
            <w:tcW w:w="1050" w:type="dxa"/>
            <w:noWrap/>
            <w:vAlign w:val="center"/>
          </w:tcPr>
          <w:p>
            <w:pPr>
              <w:spacing w:line="336" w:lineRule="auto"/>
              <w:jc w:val="center"/>
              <w:rPr>
                <w:rFonts w:hint="eastAsia" w:ascii="宋体" w:hAnsi="宋体" w:cs="宋体"/>
                <w:color w:val="auto"/>
                <w:highlight w:val="none"/>
                <w:lang w:eastAsia="zh-CN"/>
              </w:rPr>
            </w:pPr>
            <w:r>
              <w:rPr>
                <w:rFonts w:hint="eastAsia" w:ascii="宋体" w:hAnsi="宋体" w:cs="宋体"/>
                <w:color w:val="auto"/>
                <w:highlight w:val="none"/>
                <w:lang w:val="en-US" w:eastAsia="zh-CN"/>
              </w:rPr>
              <w:t>395</w:t>
            </w:r>
            <w:r>
              <w:rPr>
                <w:rFonts w:hint="eastAsia" w:ascii="宋体" w:hAnsi="宋体" w:cs="宋体"/>
                <w:color w:val="auto"/>
                <w:highlight w:val="none"/>
                <w:lang w:eastAsia="zh-CN"/>
              </w:rPr>
              <w:t>0000</w:t>
            </w:r>
          </w:p>
        </w:tc>
        <w:tc>
          <w:tcPr>
            <w:tcW w:w="1331" w:type="dxa"/>
            <w:noWrap/>
            <w:vAlign w:val="center"/>
          </w:tcPr>
          <w:p>
            <w:pPr>
              <w:spacing w:line="336" w:lineRule="auto"/>
              <w:jc w:val="center"/>
              <w:rPr>
                <w:rFonts w:hint="eastAsia" w:ascii="宋体" w:hAnsi="宋体" w:cs="宋体"/>
                <w:color w:val="auto"/>
                <w:highlight w:val="none"/>
                <w:lang w:eastAsia="zh-CN"/>
              </w:rPr>
            </w:pPr>
            <w:r>
              <w:rPr>
                <w:rFonts w:hint="eastAsia" w:ascii="宋体" w:hAnsi="宋体" w:cs="宋体"/>
                <w:color w:val="auto"/>
                <w:highlight w:val="none"/>
                <w:lang w:val="en-US" w:eastAsia="zh-CN"/>
              </w:rPr>
              <w:t>395</w:t>
            </w:r>
            <w:r>
              <w:rPr>
                <w:rFonts w:hint="eastAsia" w:ascii="宋体" w:hAnsi="宋体" w:cs="宋体"/>
                <w:color w:val="auto"/>
                <w:highlight w:val="none"/>
                <w:lang w:eastAsia="zh-CN"/>
              </w:rPr>
              <w:t>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6" w:type="dxa"/>
            <w:noWrap/>
            <w:vAlign w:val="center"/>
          </w:tcPr>
          <w:p>
            <w:pPr>
              <w:spacing w:line="336" w:lineRule="auto"/>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5</w:t>
            </w:r>
          </w:p>
        </w:tc>
        <w:tc>
          <w:tcPr>
            <w:tcW w:w="3576" w:type="dxa"/>
            <w:noWrap/>
            <w:vAlign w:val="center"/>
          </w:tcPr>
          <w:p>
            <w:pPr>
              <w:spacing w:line="336" w:lineRule="auto"/>
              <w:jc w:val="center"/>
              <w:rPr>
                <w:rFonts w:hint="eastAsia" w:ascii="宋体" w:hAnsi="宋体" w:eastAsia="宋体" w:cs="宋体"/>
                <w:color w:val="auto"/>
                <w:highlight w:val="none"/>
                <w:lang w:eastAsia="zh-CN"/>
              </w:rPr>
            </w:pPr>
            <w:r>
              <w:rPr>
                <w:rFonts w:hint="eastAsia" w:ascii="宋体" w:hAnsi="宋体" w:cs="宋体"/>
                <w:color w:val="auto"/>
                <w:highlight w:val="none"/>
              </w:rPr>
              <w:t>平公资采2024609号-</w:t>
            </w:r>
            <w:r>
              <w:rPr>
                <w:rFonts w:hint="eastAsia" w:ascii="宋体" w:hAnsi="宋体" w:cs="宋体"/>
                <w:color w:val="auto"/>
                <w:highlight w:val="none"/>
                <w:lang w:val="en-US" w:eastAsia="zh-CN"/>
              </w:rPr>
              <w:t>5</w:t>
            </w:r>
          </w:p>
        </w:tc>
        <w:tc>
          <w:tcPr>
            <w:tcW w:w="2255" w:type="dxa"/>
            <w:noWrap/>
            <w:vAlign w:val="center"/>
          </w:tcPr>
          <w:p>
            <w:pPr>
              <w:spacing w:line="336" w:lineRule="auto"/>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第五标段</w:t>
            </w:r>
          </w:p>
        </w:tc>
        <w:tc>
          <w:tcPr>
            <w:tcW w:w="1050" w:type="dxa"/>
            <w:noWrap/>
            <w:vAlign w:val="center"/>
          </w:tcPr>
          <w:p>
            <w:pPr>
              <w:spacing w:line="336" w:lineRule="auto"/>
              <w:jc w:val="center"/>
              <w:rPr>
                <w:rFonts w:hint="eastAsia" w:ascii="宋体" w:hAnsi="宋体" w:cs="宋体"/>
                <w:color w:val="auto"/>
                <w:highlight w:val="none"/>
                <w:lang w:eastAsia="zh-CN"/>
              </w:rPr>
            </w:pPr>
            <w:r>
              <w:rPr>
                <w:rFonts w:hint="eastAsia" w:ascii="宋体" w:hAnsi="宋体" w:cs="宋体"/>
                <w:color w:val="auto"/>
                <w:highlight w:val="none"/>
                <w:lang w:val="en-US" w:eastAsia="zh-CN"/>
              </w:rPr>
              <w:t>1100000</w:t>
            </w:r>
          </w:p>
        </w:tc>
        <w:tc>
          <w:tcPr>
            <w:tcW w:w="1331" w:type="dxa"/>
            <w:noWrap/>
            <w:vAlign w:val="center"/>
          </w:tcPr>
          <w:p>
            <w:pPr>
              <w:spacing w:line="336" w:lineRule="auto"/>
              <w:jc w:val="center"/>
              <w:rPr>
                <w:rFonts w:hint="eastAsia" w:ascii="宋体" w:hAnsi="宋体" w:cs="宋体"/>
                <w:color w:val="auto"/>
                <w:highlight w:val="none"/>
                <w:lang w:eastAsia="zh-CN"/>
              </w:rPr>
            </w:pPr>
            <w:r>
              <w:rPr>
                <w:rFonts w:hint="eastAsia" w:ascii="宋体" w:hAnsi="宋体" w:cs="宋体"/>
                <w:color w:val="auto"/>
                <w:highlight w:val="none"/>
                <w:lang w:val="en-US" w:eastAsia="zh-CN"/>
              </w:rPr>
              <w:t>1100000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6" w:type="dxa"/>
            <w:noWrap/>
            <w:vAlign w:val="center"/>
          </w:tcPr>
          <w:p>
            <w:pPr>
              <w:spacing w:line="336" w:lineRule="auto"/>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6</w:t>
            </w:r>
          </w:p>
        </w:tc>
        <w:tc>
          <w:tcPr>
            <w:tcW w:w="3576" w:type="dxa"/>
            <w:noWrap/>
            <w:vAlign w:val="center"/>
          </w:tcPr>
          <w:p>
            <w:pPr>
              <w:spacing w:line="336" w:lineRule="auto"/>
              <w:jc w:val="center"/>
              <w:rPr>
                <w:rFonts w:hint="eastAsia" w:ascii="宋体" w:hAnsi="宋体" w:eastAsia="宋体" w:cs="宋体"/>
                <w:color w:val="auto"/>
                <w:highlight w:val="none"/>
                <w:lang w:eastAsia="zh-CN"/>
              </w:rPr>
            </w:pPr>
            <w:r>
              <w:rPr>
                <w:rFonts w:hint="eastAsia" w:ascii="宋体" w:hAnsi="宋体" w:cs="宋体"/>
                <w:color w:val="auto"/>
                <w:highlight w:val="none"/>
              </w:rPr>
              <w:t>平公资采2024609号-</w:t>
            </w:r>
            <w:r>
              <w:rPr>
                <w:rFonts w:hint="eastAsia" w:ascii="宋体" w:hAnsi="宋体" w:cs="宋体"/>
                <w:color w:val="auto"/>
                <w:highlight w:val="none"/>
                <w:lang w:val="en-US" w:eastAsia="zh-CN"/>
              </w:rPr>
              <w:t>6</w:t>
            </w:r>
          </w:p>
        </w:tc>
        <w:tc>
          <w:tcPr>
            <w:tcW w:w="2255" w:type="dxa"/>
            <w:noWrap/>
            <w:vAlign w:val="center"/>
          </w:tcPr>
          <w:p>
            <w:pPr>
              <w:spacing w:line="336" w:lineRule="auto"/>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第六标段</w:t>
            </w:r>
          </w:p>
        </w:tc>
        <w:tc>
          <w:tcPr>
            <w:tcW w:w="1050" w:type="dxa"/>
            <w:noWrap/>
            <w:vAlign w:val="center"/>
          </w:tcPr>
          <w:p>
            <w:pPr>
              <w:spacing w:line="336" w:lineRule="auto"/>
              <w:jc w:val="center"/>
              <w:rPr>
                <w:rFonts w:hint="eastAsia" w:ascii="宋体" w:hAnsi="宋体" w:cs="宋体"/>
                <w:color w:val="auto"/>
                <w:highlight w:val="none"/>
                <w:lang w:eastAsia="zh-CN"/>
              </w:rPr>
            </w:pPr>
            <w:r>
              <w:rPr>
                <w:rFonts w:hint="eastAsia" w:ascii="宋体" w:hAnsi="宋体" w:cs="宋体"/>
                <w:color w:val="auto"/>
                <w:highlight w:val="none"/>
                <w:lang w:val="en-US" w:eastAsia="zh-CN"/>
              </w:rPr>
              <w:t>1600000</w:t>
            </w:r>
          </w:p>
        </w:tc>
        <w:tc>
          <w:tcPr>
            <w:tcW w:w="1331" w:type="dxa"/>
            <w:noWrap/>
            <w:vAlign w:val="center"/>
          </w:tcPr>
          <w:p>
            <w:pPr>
              <w:spacing w:line="336" w:lineRule="auto"/>
              <w:jc w:val="center"/>
              <w:rPr>
                <w:rFonts w:hint="eastAsia" w:ascii="宋体" w:hAnsi="宋体" w:cs="宋体"/>
                <w:color w:val="auto"/>
                <w:highlight w:val="none"/>
                <w:lang w:eastAsia="zh-CN"/>
              </w:rPr>
            </w:pPr>
            <w:r>
              <w:rPr>
                <w:rFonts w:hint="eastAsia" w:ascii="宋体" w:hAnsi="宋体" w:cs="宋体"/>
                <w:color w:val="auto"/>
                <w:highlight w:val="none"/>
                <w:lang w:val="en-US" w:eastAsia="zh-CN"/>
              </w:rPr>
              <w:t>1600000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6" w:type="dxa"/>
            <w:noWrap/>
            <w:vAlign w:val="center"/>
          </w:tcPr>
          <w:p>
            <w:pPr>
              <w:spacing w:line="336" w:lineRule="auto"/>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7</w:t>
            </w:r>
          </w:p>
        </w:tc>
        <w:tc>
          <w:tcPr>
            <w:tcW w:w="3576" w:type="dxa"/>
            <w:noWrap/>
            <w:vAlign w:val="center"/>
          </w:tcPr>
          <w:p>
            <w:pPr>
              <w:spacing w:line="336" w:lineRule="auto"/>
              <w:jc w:val="center"/>
              <w:rPr>
                <w:rFonts w:hint="eastAsia" w:ascii="宋体" w:hAnsi="宋体" w:eastAsia="宋体" w:cs="宋体"/>
                <w:color w:val="auto"/>
                <w:highlight w:val="none"/>
                <w:lang w:eastAsia="zh-CN"/>
              </w:rPr>
            </w:pPr>
            <w:r>
              <w:rPr>
                <w:rFonts w:hint="eastAsia" w:ascii="宋体" w:hAnsi="宋体" w:cs="宋体"/>
                <w:color w:val="auto"/>
                <w:highlight w:val="none"/>
              </w:rPr>
              <w:t>平公资采2024609号-</w:t>
            </w:r>
            <w:r>
              <w:rPr>
                <w:rFonts w:hint="eastAsia" w:ascii="宋体" w:hAnsi="宋体" w:cs="宋体"/>
                <w:color w:val="auto"/>
                <w:highlight w:val="none"/>
                <w:lang w:val="en-US" w:eastAsia="zh-CN"/>
              </w:rPr>
              <w:t>7</w:t>
            </w:r>
          </w:p>
        </w:tc>
        <w:tc>
          <w:tcPr>
            <w:tcW w:w="2255" w:type="dxa"/>
            <w:noWrap/>
            <w:vAlign w:val="center"/>
          </w:tcPr>
          <w:p>
            <w:pPr>
              <w:spacing w:line="336" w:lineRule="auto"/>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第七标段</w:t>
            </w:r>
          </w:p>
        </w:tc>
        <w:tc>
          <w:tcPr>
            <w:tcW w:w="1050" w:type="dxa"/>
            <w:noWrap/>
            <w:vAlign w:val="center"/>
          </w:tcPr>
          <w:p>
            <w:pPr>
              <w:spacing w:line="336" w:lineRule="auto"/>
              <w:jc w:val="center"/>
              <w:rPr>
                <w:rFonts w:hint="eastAsia" w:ascii="宋体" w:hAnsi="宋体" w:cs="宋体"/>
                <w:color w:val="auto"/>
                <w:highlight w:val="none"/>
                <w:lang w:eastAsia="zh-CN"/>
              </w:rPr>
            </w:pPr>
            <w:r>
              <w:rPr>
                <w:rFonts w:hint="eastAsia" w:ascii="宋体" w:hAnsi="宋体" w:cs="宋体"/>
                <w:color w:val="auto"/>
                <w:highlight w:val="none"/>
                <w:lang w:val="en-US" w:eastAsia="zh-CN"/>
              </w:rPr>
              <w:t>4800000</w:t>
            </w:r>
          </w:p>
        </w:tc>
        <w:tc>
          <w:tcPr>
            <w:tcW w:w="1331" w:type="dxa"/>
            <w:noWrap/>
            <w:vAlign w:val="center"/>
          </w:tcPr>
          <w:p>
            <w:pPr>
              <w:spacing w:line="336" w:lineRule="auto"/>
              <w:jc w:val="center"/>
              <w:rPr>
                <w:rFonts w:hint="eastAsia" w:ascii="宋体" w:hAnsi="宋体" w:cs="宋体"/>
                <w:color w:val="auto"/>
                <w:highlight w:val="none"/>
                <w:lang w:eastAsia="zh-CN"/>
              </w:rPr>
            </w:pPr>
            <w:r>
              <w:rPr>
                <w:rFonts w:hint="eastAsia" w:ascii="宋体" w:hAnsi="宋体" w:cs="宋体"/>
                <w:color w:val="auto"/>
                <w:highlight w:val="none"/>
                <w:lang w:val="en-US" w:eastAsia="zh-CN"/>
              </w:rPr>
              <w:t>4800000</w:t>
            </w:r>
          </w:p>
        </w:tc>
      </w:tr>
    </w:tbl>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5、采购需求（包括但不限于标的的名称、数量、简要技术需求或服务要求等）</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5.1项目采购内容：</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包</w:t>
      </w:r>
      <w:r>
        <w:rPr>
          <w:rFonts w:hint="eastAsia" w:ascii="宋体" w:hAnsi="宋体" w:cs="宋体"/>
          <w:color w:val="auto"/>
          <w:highlight w:val="none"/>
          <w:lang w:val="en-US" w:eastAsia="zh-CN"/>
        </w:rPr>
        <w:t>1</w:t>
      </w:r>
      <w:r>
        <w:rPr>
          <w:rFonts w:hint="eastAsia" w:ascii="宋体" w:hAnsi="宋体" w:cs="宋体"/>
          <w:color w:val="auto"/>
          <w:highlight w:val="none"/>
        </w:rPr>
        <w:t>：1200℃不锈钢节能箱式电炉一套，1300℃节能箱式电炉一套，1600℃节能箱式电炉一套，1200℃单温区管式炉一套，1600℃真空气氛管式炉一套，高低温介电阻抗温谱仪一套，高温绝缘材料电阻率测量系统一套，高温压电温谱仪一套，HPC高性能计算集群一套。</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包</w:t>
      </w:r>
      <w:r>
        <w:rPr>
          <w:rFonts w:hint="eastAsia" w:ascii="宋体" w:hAnsi="宋体" w:cs="宋体"/>
          <w:color w:val="auto"/>
          <w:highlight w:val="none"/>
          <w:lang w:val="en-US" w:eastAsia="zh-CN"/>
        </w:rPr>
        <w:t>2</w:t>
      </w:r>
      <w:r>
        <w:rPr>
          <w:rFonts w:hint="eastAsia" w:ascii="宋体" w:hAnsi="宋体" w:cs="宋体"/>
          <w:color w:val="auto"/>
          <w:highlight w:val="none"/>
        </w:rPr>
        <w:t>：热重分析仪一套</w:t>
      </w:r>
      <w:r>
        <w:rPr>
          <w:rFonts w:hint="eastAsia" w:ascii="宋体" w:hAnsi="宋体" w:cs="宋体"/>
          <w:color w:val="auto"/>
          <w:highlight w:val="none"/>
          <w:lang w:eastAsia="zh-CN"/>
        </w:rPr>
        <w:t>、</w:t>
      </w:r>
      <w:r>
        <w:rPr>
          <w:rFonts w:hint="eastAsia" w:ascii="宋体" w:hAnsi="宋体" w:cs="宋体"/>
          <w:color w:val="auto"/>
          <w:highlight w:val="none"/>
        </w:rPr>
        <w:t>热膨胀仪一套。</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包</w:t>
      </w:r>
      <w:r>
        <w:rPr>
          <w:rFonts w:hint="eastAsia" w:ascii="宋体" w:hAnsi="宋体" w:cs="宋体"/>
          <w:color w:val="auto"/>
          <w:highlight w:val="none"/>
          <w:lang w:val="en-US" w:eastAsia="zh-CN"/>
        </w:rPr>
        <w:t>3</w:t>
      </w:r>
      <w:r>
        <w:rPr>
          <w:rFonts w:hint="eastAsia" w:ascii="宋体" w:hAnsi="宋体" w:cs="宋体"/>
          <w:color w:val="auto"/>
          <w:highlight w:val="none"/>
        </w:rPr>
        <w:t>：X射线光电子能谱仪一套。</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包</w:t>
      </w:r>
      <w:r>
        <w:rPr>
          <w:rFonts w:hint="eastAsia" w:ascii="宋体" w:hAnsi="宋体" w:cs="宋体"/>
          <w:color w:val="auto"/>
          <w:highlight w:val="none"/>
          <w:lang w:val="en-US" w:eastAsia="zh-CN"/>
        </w:rPr>
        <w:t>4</w:t>
      </w:r>
      <w:r>
        <w:rPr>
          <w:rFonts w:hint="eastAsia" w:ascii="宋体" w:hAnsi="宋体" w:cs="宋体"/>
          <w:color w:val="auto"/>
          <w:highlight w:val="none"/>
        </w:rPr>
        <w:t>：大功率微区X射线衍射仪</w:t>
      </w:r>
      <w:r>
        <w:rPr>
          <w:rFonts w:hint="eastAsia" w:ascii="宋体" w:hAnsi="宋体" w:cs="宋体"/>
          <w:color w:val="auto"/>
          <w:highlight w:val="none"/>
          <w:lang w:val="en-US" w:eastAsia="zh-CN"/>
        </w:rPr>
        <w:t>一套</w:t>
      </w:r>
      <w:r>
        <w:rPr>
          <w:rFonts w:hint="eastAsia" w:ascii="宋体" w:hAnsi="宋体" w:cs="宋体"/>
          <w:color w:val="auto"/>
          <w:highlight w:val="none"/>
        </w:rPr>
        <w:t>。</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包</w:t>
      </w:r>
      <w:r>
        <w:rPr>
          <w:rFonts w:hint="eastAsia" w:ascii="宋体" w:hAnsi="宋体" w:cs="宋体"/>
          <w:color w:val="auto"/>
          <w:highlight w:val="none"/>
          <w:lang w:val="en-US" w:eastAsia="zh-CN"/>
        </w:rPr>
        <w:t>5</w:t>
      </w:r>
      <w:r>
        <w:rPr>
          <w:rFonts w:hint="eastAsia" w:ascii="宋体" w:hAnsi="宋体" w:cs="宋体"/>
          <w:color w:val="auto"/>
          <w:highlight w:val="none"/>
        </w:rPr>
        <w:t>：原位红外光谱仪</w:t>
      </w:r>
      <w:r>
        <w:rPr>
          <w:rFonts w:hint="eastAsia" w:ascii="宋体" w:hAnsi="宋体" w:cs="宋体"/>
          <w:color w:val="auto"/>
          <w:highlight w:val="none"/>
          <w:lang w:val="en-US" w:eastAsia="zh-CN"/>
        </w:rPr>
        <w:t>一套</w:t>
      </w:r>
      <w:r>
        <w:rPr>
          <w:rFonts w:hint="eastAsia" w:ascii="宋体" w:hAnsi="宋体" w:cs="宋体"/>
          <w:color w:val="auto"/>
          <w:highlight w:val="none"/>
          <w:lang w:eastAsia="zh-CN"/>
        </w:rPr>
        <w:t>、</w:t>
      </w:r>
      <w:r>
        <w:rPr>
          <w:rFonts w:hint="eastAsia" w:ascii="宋体" w:hAnsi="宋体" w:cs="宋体"/>
          <w:color w:val="auto"/>
          <w:highlight w:val="none"/>
        </w:rPr>
        <w:t>紫外可见近红外分光光度计</w:t>
      </w:r>
      <w:r>
        <w:rPr>
          <w:rFonts w:hint="eastAsia" w:ascii="宋体" w:hAnsi="宋体" w:cs="宋体"/>
          <w:color w:val="auto"/>
          <w:highlight w:val="none"/>
          <w:lang w:val="en-US" w:eastAsia="zh-CN"/>
        </w:rPr>
        <w:t>一套</w:t>
      </w:r>
      <w:r>
        <w:rPr>
          <w:rFonts w:hint="eastAsia" w:ascii="宋体" w:hAnsi="宋体" w:cs="宋体"/>
          <w:color w:val="auto"/>
          <w:highlight w:val="none"/>
        </w:rPr>
        <w:t>。</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包</w:t>
      </w:r>
      <w:r>
        <w:rPr>
          <w:rFonts w:hint="eastAsia" w:ascii="宋体" w:hAnsi="宋体" w:cs="宋体"/>
          <w:color w:val="auto"/>
          <w:highlight w:val="none"/>
          <w:lang w:val="en-US" w:eastAsia="zh-CN"/>
        </w:rPr>
        <w:t>6</w:t>
      </w:r>
      <w:r>
        <w:rPr>
          <w:rFonts w:hint="eastAsia" w:ascii="宋体" w:hAnsi="宋体" w:cs="宋体"/>
          <w:color w:val="auto"/>
          <w:highlight w:val="none"/>
        </w:rPr>
        <w:t>：闪射法导热仪</w:t>
      </w:r>
      <w:r>
        <w:rPr>
          <w:rFonts w:hint="eastAsia" w:ascii="宋体" w:hAnsi="宋体" w:cs="宋体"/>
          <w:color w:val="auto"/>
          <w:highlight w:val="none"/>
          <w:lang w:val="en-US" w:eastAsia="zh-CN"/>
        </w:rPr>
        <w:t>一套</w:t>
      </w:r>
      <w:r>
        <w:rPr>
          <w:rFonts w:hint="eastAsia" w:ascii="宋体" w:hAnsi="宋体" w:cs="宋体"/>
          <w:color w:val="auto"/>
          <w:highlight w:val="none"/>
        </w:rPr>
        <w:t>。</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包</w:t>
      </w:r>
      <w:r>
        <w:rPr>
          <w:rFonts w:hint="eastAsia" w:ascii="宋体" w:hAnsi="宋体" w:cs="宋体"/>
          <w:color w:val="auto"/>
          <w:highlight w:val="none"/>
          <w:lang w:val="en-US" w:eastAsia="zh-CN"/>
        </w:rPr>
        <w:t>7</w:t>
      </w:r>
      <w:r>
        <w:rPr>
          <w:rFonts w:hint="eastAsia" w:ascii="宋体" w:hAnsi="宋体" w:cs="宋体"/>
          <w:color w:val="auto"/>
          <w:highlight w:val="none"/>
        </w:rPr>
        <w:t>：200KV透射电子显微镜</w:t>
      </w:r>
      <w:r>
        <w:rPr>
          <w:rFonts w:hint="eastAsia" w:ascii="宋体" w:hAnsi="宋体" w:cs="宋体"/>
          <w:color w:val="auto"/>
          <w:highlight w:val="none"/>
          <w:lang w:val="en-US" w:eastAsia="zh-CN"/>
        </w:rPr>
        <w:t>一套</w:t>
      </w:r>
      <w:r>
        <w:rPr>
          <w:rFonts w:hint="eastAsia" w:ascii="宋体" w:hAnsi="宋体" w:cs="宋体"/>
          <w:color w:val="auto"/>
          <w:highlight w:val="none"/>
        </w:rPr>
        <w:t>。</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说明：主要用于陶瓷基复合材料的制备和测试。</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5.2标包划分：本项目划分</w:t>
      </w:r>
      <w:r>
        <w:rPr>
          <w:rFonts w:hint="eastAsia" w:ascii="宋体" w:hAnsi="宋体" w:cs="宋体"/>
          <w:color w:val="auto"/>
          <w:highlight w:val="none"/>
          <w:lang w:val="en-US" w:eastAsia="zh-CN"/>
        </w:rPr>
        <w:t>7</w:t>
      </w:r>
      <w:r>
        <w:rPr>
          <w:rFonts w:hint="eastAsia" w:ascii="宋体" w:hAnsi="宋体" w:cs="宋体"/>
          <w:color w:val="auto"/>
          <w:highlight w:val="none"/>
        </w:rPr>
        <w:t>个标段</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5.3质量要求：合格标准；</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5.4供货期：签订合同后进口设备90日历天</w:t>
      </w:r>
      <w:r>
        <w:rPr>
          <w:rFonts w:hint="eastAsia" w:ascii="宋体" w:hAnsi="宋体" w:cs="宋体"/>
          <w:color w:val="auto"/>
          <w:highlight w:val="none"/>
          <w:lang w:eastAsia="zh-CN"/>
        </w:rPr>
        <w:t>；</w:t>
      </w:r>
      <w:r>
        <w:rPr>
          <w:rFonts w:hint="eastAsia" w:ascii="宋体" w:hAnsi="宋体" w:cs="宋体"/>
          <w:color w:val="auto"/>
          <w:highlight w:val="none"/>
          <w:lang w:val="en-US" w:eastAsia="zh-CN"/>
        </w:rPr>
        <w:t>国产设备60日历天；</w:t>
      </w:r>
      <w:r>
        <w:rPr>
          <w:rFonts w:hint="eastAsia" w:ascii="宋体" w:hAnsi="宋体" w:cs="宋体"/>
          <w:color w:val="auto"/>
          <w:highlight w:val="none"/>
        </w:rPr>
        <w:t>完成交货、安装、调试、验收。</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5.5质保期：进口设备1年</w:t>
      </w:r>
      <w:r>
        <w:rPr>
          <w:rFonts w:hint="eastAsia" w:ascii="宋体" w:hAnsi="宋体" w:cs="宋体"/>
          <w:color w:val="auto"/>
          <w:highlight w:val="none"/>
          <w:lang w:eastAsia="zh-CN"/>
        </w:rPr>
        <w:t>，</w:t>
      </w:r>
      <w:r>
        <w:rPr>
          <w:rFonts w:hint="eastAsia" w:ascii="宋体" w:hAnsi="宋体" w:cs="宋体"/>
          <w:color w:val="auto"/>
          <w:highlight w:val="none"/>
          <w:lang w:val="en-US" w:eastAsia="zh-CN"/>
        </w:rPr>
        <w:t>国产设备3年。</w:t>
      </w:r>
      <w:r>
        <w:rPr>
          <w:rFonts w:hint="eastAsia" w:ascii="宋体" w:hAnsi="宋体" w:cs="宋体"/>
          <w:color w:val="auto"/>
          <w:highlight w:val="none"/>
        </w:rPr>
        <w:t>所有设备厂家终身保修、软件免费升级更新，质保期外上门服务，免收人工费等，零配件费按80%折扣收取。</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6、合同履行期限：同供货期</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7、本项目是否接受联合体投标：否</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8、是否接受进口产品：是</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9、是否专门面向中小企业：否</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二、申请人资格要求：</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1、满足《中华人民共和国政府采购法》第二十二条规定；</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2、落实政府采购政策满足的资格要求：</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本项目非专门面向中小企业采购。供应商为中小微企业、监狱企业、残疾人福利性单位，落实中小企业价格评审优惠政策；中小企业划型标准请依据工信部联企业【2011】300号文件之规定。</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3、本项目的特定资格要求</w:t>
      </w:r>
    </w:p>
    <w:p>
      <w:pPr>
        <w:autoSpaceDE w:val="0"/>
        <w:autoSpaceDN w:val="0"/>
        <w:adjustRightInd w:val="0"/>
        <w:spacing w:line="440" w:lineRule="exact"/>
        <w:ind w:firstLine="422" w:firstLineChars="200"/>
        <w:jc w:val="left"/>
        <w:rPr>
          <w:rFonts w:hint="eastAsia" w:ascii="宋体" w:hAnsi="宋体" w:cs="宋体"/>
          <w:b/>
          <w:bCs/>
          <w:color w:val="auto"/>
          <w:highlight w:val="none"/>
          <w:lang w:eastAsia="zh-CN"/>
        </w:rPr>
      </w:pPr>
      <w:r>
        <w:rPr>
          <w:rFonts w:hint="eastAsia" w:ascii="宋体" w:hAnsi="宋体" w:cs="宋体"/>
          <w:b/>
          <w:bCs/>
          <w:color w:val="auto"/>
          <w:highlight w:val="none"/>
        </w:rPr>
        <w:t>包1：（国产产品），不接受进口产品</w:t>
      </w:r>
      <w:r>
        <w:rPr>
          <w:rFonts w:hint="eastAsia" w:ascii="宋体" w:hAnsi="宋体" w:cs="宋体"/>
          <w:b/>
          <w:bCs/>
          <w:color w:val="auto"/>
          <w:highlight w:val="none"/>
          <w:lang w:eastAsia="zh-CN"/>
        </w:rPr>
        <w:t>；</w:t>
      </w:r>
      <w:r>
        <w:rPr>
          <w:rFonts w:hint="eastAsia" w:ascii="宋体" w:hAnsi="宋体" w:cs="宋体"/>
          <w:b/>
          <w:bCs/>
          <w:color w:val="auto"/>
          <w:highlight w:val="none"/>
        </w:rPr>
        <w:t>包2: 包3：</w:t>
      </w:r>
      <w:r>
        <w:rPr>
          <w:rFonts w:hint="eastAsia" w:ascii="宋体" w:hAnsi="宋体" w:cs="宋体"/>
          <w:b/>
          <w:bCs/>
          <w:color w:val="auto"/>
          <w:highlight w:val="none"/>
          <w:lang w:val="en-US" w:eastAsia="zh-CN"/>
        </w:rPr>
        <w:t>包3：包4：包5：包6：包7：</w:t>
      </w:r>
      <w:r>
        <w:rPr>
          <w:rFonts w:hint="eastAsia" w:ascii="宋体" w:hAnsi="宋体" w:cs="宋体"/>
          <w:b/>
          <w:bCs/>
          <w:color w:val="auto"/>
          <w:highlight w:val="none"/>
        </w:rPr>
        <w:t>（进口产品）</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3、本项目的特定资格要求</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3.1具有独立承担民事责任的能力（提供有效的营业执照、税务登记证、组织机构代码证或三证合一营业执照或电子营业执照）；</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3.2具有良好的商业信誉和健全的财务会计制度（提供承诺函）；</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3.3具有履行合同所必需的设备和专业技术能力（提供承诺函）；</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3.4有依法缴纳税收和社会保障资金的良好记录（提供承诺函）；</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3.5参加政府采购活动前三年内，在经营活动中没有重大违法记录（提供承诺函）；</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3.6进口产品需提供所投产品制造商或国内总代理商出具的授权书；</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3.7提供中国执行公开网 “失信被执行人”和信用中国网“重大税收违法失信主体”，中国政府采购网“政府采购严重违法失信行为名单” 查询结果页面截图；若有不良记录，执行财库[2016]125号文；</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3.8 单位负责人为同一人或存在控股、管理关系的不同单位，不得同时参加本项目的投标【提供 “国家企业信用信息公示系统”中公示的公司信息、股东（或投资人）信息的截图】；</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3.9本项目采用资格后审。</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注：本项目投标单位不可投报多个标段。</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三、获取招标文件</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1.时间：2024年0</w:t>
      </w:r>
      <w:r>
        <w:rPr>
          <w:rFonts w:hint="eastAsia" w:ascii="宋体" w:hAnsi="宋体" w:cs="宋体"/>
          <w:color w:val="auto"/>
          <w:highlight w:val="none"/>
          <w:lang w:val="en-US" w:eastAsia="zh-CN"/>
        </w:rPr>
        <w:t>7</w:t>
      </w:r>
      <w:r>
        <w:rPr>
          <w:rFonts w:hint="eastAsia" w:ascii="宋体" w:hAnsi="宋体" w:cs="宋体"/>
          <w:color w:val="auto"/>
          <w:highlight w:val="none"/>
        </w:rPr>
        <w:t>月2</w:t>
      </w:r>
      <w:r>
        <w:rPr>
          <w:rFonts w:hint="eastAsia" w:ascii="宋体" w:hAnsi="宋体" w:cs="宋体"/>
          <w:color w:val="auto"/>
          <w:highlight w:val="none"/>
          <w:lang w:val="en-US" w:eastAsia="zh-CN"/>
        </w:rPr>
        <w:t>9</w:t>
      </w:r>
      <w:r>
        <w:rPr>
          <w:rFonts w:hint="eastAsia" w:ascii="宋体" w:hAnsi="宋体" w:cs="宋体"/>
          <w:color w:val="auto"/>
          <w:highlight w:val="none"/>
        </w:rPr>
        <w:t>日 至 2024年0</w:t>
      </w:r>
      <w:r>
        <w:rPr>
          <w:rFonts w:hint="eastAsia" w:ascii="宋体" w:hAnsi="宋体" w:cs="宋体"/>
          <w:color w:val="auto"/>
          <w:highlight w:val="none"/>
          <w:lang w:val="en-US" w:eastAsia="zh-CN"/>
        </w:rPr>
        <w:t>8</w:t>
      </w:r>
      <w:r>
        <w:rPr>
          <w:rFonts w:hint="eastAsia" w:ascii="宋体" w:hAnsi="宋体" w:cs="宋体"/>
          <w:color w:val="auto"/>
          <w:highlight w:val="none"/>
        </w:rPr>
        <w:t>月1</w:t>
      </w:r>
      <w:r>
        <w:rPr>
          <w:rFonts w:hint="eastAsia" w:ascii="宋体" w:hAnsi="宋体" w:cs="宋体"/>
          <w:color w:val="auto"/>
          <w:highlight w:val="none"/>
          <w:lang w:val="en-US" w:eastAsia="zh-CN"/>
        </w:rPr>
        <w:t>8</w:t>
      </w:r>
      <w:r>
        <w:rPr>
          <w:rFonts w:hint="eastAsia" w:ascii="宋体" w:hAnsi="宋体" w:cs="宋体"/>
          <w:color w:val="auto"/>
          <w:highlight w:val="none"/>
        </w:rPr>
        <w:t>日，每天上午00:00至12:00，下午12:00至23:59（北京时间，法定节假日除外。）</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2.地点：平顶山市公共资源交易中心网。</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方式：本项目只接受网上报名，不接受其它形式报名。潜在投标人报名需凭CA数字证书通过全国公共资源交易平台（河南省·平顶山市）（网址：http://ggzy.pds.gov.cn/）“投标人登录”入口进入交易系统进行报名。具体操作请查看以下链接：</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链接地址：http://ggzy.pds.gov.cn/fwzn/11020.jhtml</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办理CA证书：http://ggzy.pds.gov.cn/tzgg/10814.jhtml</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4.售价：0元</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四、投标截止时间及地点</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1.时间：2024年0</w:t>
      </w:r>
      <w:r>
        <w:rPr>
          <w:rFonts w:hint="eastAsia" w:ascii="宋体" w:hAnsi="宋体" w:cs="宋体"/>
          <w:color w:val="auto"/>
          <w:highlight w:val="none"/>
          <w:lang w:val="en-US" w:eastAsia="zh-CN"/>
        </w:rPr>
        <w:t>8</w:t>
      </w:r>
      <w:r>
        <w:rPr>
          <w:rFonts w:hint="eastAsia" w:ascii="宋体" w:hAnsi="宋体" w:cs="宋体"/>
          <w:color w:val="auto"/>
          <w:highlight w:val="none"/>
        </w:rPr>
        <w:t>月1</w:t>
      </w:r>
      <w:r>
        <w:rPr>
          <w:rFonts w:hint="eastAsia" w:ascii="宋体" w:hAnsi="宋体" w:cs="宋体"/>
          <w:color w:val="auto"/>
          <w:highlight w:val="none"/>
          <w:lang w:val="en-US" w:eastAsia="zh-CN"/>
        </w:rPr>
        <w:t>9</w:t>
      </w:r>
      <w:r>
        <w:rPr>
          <w:rFonts w:hint="eastAsia" w:ascii="宋体" w:hAnsi="宋体" w:cs="宋体"/>
          <w:color w:val="auto"/>
          <w:highlight w:val="none"/>
        </w:rPr>
        <w:t>日09时00分（北京时间）</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2.地点：平顶山市公共资源交易中心网上开标大厅。</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五、开标时间及地点</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1.时间：2024年0</w:t>
      </w:r>
      <w:r>
        <w:rPr>
          <w:rFonts w:hint="eastAsia" w:ascii="宋体" w:hAnsi="宋体" w:cs="宋体"/>
          <w:color w:val="auto"/>
          <w:highlight w:val="none"/>
          <w:lang w:val="en-US" w:eastAsia="zh-CN"/>
        </w:rPr>
        <w:t>8</w:t>
      </w:r>
      <w:r>
        <w:rPr>
          <w:rFonts w:hint="eastAsia" w:ascii="宋体" w:hAnsi="宋体" w:cs="宋体"/>
          <w:color w:val="auto"/>
          <w:highlight w:val="none"/>
        </w:rPr>
        <w:t>月1</w:t>
      </w:r>
      <w:r>
        <w:rPr>
          <w:rFonts w:hint="eastAsia" w:ascii="宋体" w:hAnsi="宋体" w:cs="宋体"/>
          <w:color w:val="auto"/>
          <w:highlight w:val="none"/>
          <w:lang w:val="en-US" w:eastAsia="zh-CN"/>
        </w:rPr>
        <w:t>9</w:t>
      </w:r>
      <w:r>
        <w:rPr>
          <w:rFonts w:hint="eastAsia" w:ascii="宋体" w:hAnsi="宋体" w:cs="宋体"/>
          <w:color w:val="auto"/>
          <w:highlight w:val="none"/>
        </w:rPr>
        <w:t>日09时00分（北京时间）</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2.地点：平顶山市公共资源交易中心网上开标大厅。</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六、发布公告的媒介及招标公告期限</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 xml:space="preserve">本次招标公告在《河南省政府采购网》、《平顶山市政府采购网》、《全国公共资源交易平台（河南省.平顶山）》上发布， 招标公告期限为五个工作日 。 </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七、其他补充事宜</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1、平顶山市公共资源交易中心全面实行在线“不见面”开标，供应商远程在线解密投标文件，不再到开标现场，供应商开标前应仔细阅读《“不见面”开标注意事项及操作流程》。</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2、监督单位：平顶山市政府采购服务中心</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统一社会信用代码：12410400MB1N33980Q</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 xml:space="preserve">电话：0375-2627591 </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3、通过平顶山市公共资源交易平台向采购人（代理机构）、行政监督部门提出在线质疑（异议）、投诉。</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4、该公告已同步至“平顶山市公共资源交易中心微信公众号,”可通过公众号中的服务栏目进行查阅。</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八、凡对本次招标提出询问，请按照以下方式联系</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1. 采购人信息</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名称：尧山实验室</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地址：平顶山市城乡一体化示范区未来路南段（平顶山学院湖滨校区）</w:t>
      </w:r>
    </w:p>
    <w:p>
      <w:pPr>
        <w:autoSpaceDE w:val="0"/>
        <w:autoSpaceDN w:val="0"/>
        <w:adjustRightInd w:val="0"/>
        <w:spacing w:line="440" w:lineRule="exact"/>
        <w:ind w:firstLine="420" w:firstLineChars="200"/>
        <w:jc w:val="left"/>
        <w:rPr>
          <w:rFonts w:hint="default" w:ascii="宋体" w:hAnsi="宋体" w:eastAsia="宋体" w:cs="宋体"/>
          <w:color w:val="auto"/>
          <w:highlight w:val="none"/>
          <w:lang w:val="en-US" w:eastAsia="zh-CN"/>
        </w:rPr>
      </w:pPr>
      <w:r>
        <w:rPr>
          <w:rFonts w:hint="eastAsia" w:ascii="宋体" w:hAnsi="宋体" w:cs="宋体"/>
          <w:color w:val="auto"/>
          <w:highlight w:val="none"/>
        </w:rPr>
        <w:t>联系人：</w:t>
      </w:r>
      <w:r>
        <w:rPr>
          <w:rFonts w:hint="eastAsia" w:ascii="宋体" w:hAnsi="宋体" w:cs="宋体"/>
          <w:color w:val="auto"/>
          <w:highlight w:val="none"/>
          <w:lang w:val="en-US" w:eastAsia="zh-CN"/>
        </w:rPr>
        <w:t>贾老师</w:t>
      </w:r>
    </w:p>
    <w:p>
      <w:pPr>
        <w:autoSpaceDE w:val="0"/>
        <w:autoSpaceDN w:val="0"/>
        <w:adjustRightInd w:val="0"/>
        <w:spacing w:line="440" w:lineRule="exact"/>
        <w:ind w:firstLine="420" w:firstLineChars="200"/>
        <w:jc w:val="left"/>
        <w:rPr>
          <w:rFonts w:hint="default" w:ascii="宋体" w:hAnsi="宋体" w:eastAsia="宋体" w:cs="宋体"/>
          <w:color w:val="auto"/>
          <w:highlight w:val="none"/>
          <w:lang w:val="en-US" w:eastAsia="zh-CN"/>
        </w:rPr>
      </w:pPr>
      <w:r>
        <w:rPr>
          <w:rFonts w:hint="eastAsia" w:ascii="宋体" w:hAnsi="宋体" w:cs="宋体"/>
          <w:color w:val="auto"/>
          <w:highlight w:val="none"/>
        </w:rPr>
        <w:t>联系方式：</w:t>
      </w:r>
      <w:r>
        <w:rPr>
          <w:rFonts w:hint="eastAsia" w:ascii="宋体" w:hAnsi="宋体" w:cs="宋体"/>
          <w:color w:val="auto"/>
          <w:highlight w:val="none"/>
          <w:lang w:val="en-US" w:eastAsia="zh-CN"/>
        </w:rPr>
        <w:t>17612715557</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2.采购代理机构信息（如有）</w:t>
      </w:r>
    </w:p>
    <w:p>
      <w:pPr>
        <w:autoSpaceDE w:val="0"/>
        <w:autoSpaceDN w:val="0"/>
        <w:adjustRightInd w:val="0"/>
        <w:spacing w:line="440" w:lineRule="exact"/>
        <w:ind w:firstLine="420" w:firstLineChars="200"/>
        <w:jc w:val="left"/>
        <w:rPr>
          <w:rFonts w:hint="eastAsia" w:ascii="宋体" w:hAnsi="宋体" w:eastAsia="宋体" w:cs="宋体"/>
          <w:color w:val="auto"/>
          <w:highlight w:val="none"/>
          <w:lang w:eastAsia="zh-CN"/>
        </w:rPr>
      </w:pPr>
      <w:r>
        <w:rPr>
          <w:rFonts w:hint="eastAsia" w:ascii="宋体" w:hAnsi="宋体" w:cs="宋体"/>
          <w:color w:val="auto"/>
          <w:highlight w:val="none"/>
        </w:rPr>
        <w:t>名称：</w:t>
      </w:r>
      <w:r>
        <w:rPr>
          <w:rFonts w:hint="eastAsia" w:ascii="宋体" w:hAnsi="宋体" w:cs="宋体"/>
          <w:color w:val="auto"/>
          <w:highlight w:val="none"/>
          <w:lang w:eastAsia="zh-CN"/>
        </w:rPr>
        <w:t>河南大明建设工程管理有限公司</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地址：郑州市花园路27号河南省科技信息大厦12楼</w:t>
      </w:r>
    </w:p>
    <w:p>
      <w:pPr>
        <w:autoSpaceDE w:val="0"/>
        <w:autoSpaceDN w:val="0"/>
        <w:adjustRightInd w:val="0"/>
        <w:spacing w:line="440" w:lineRule="exact"/>
        <w:ind w:firstLine="420" w:firstLineChars="200"/>
        <w:jc w:val="left"/>
        <w:rPr>
          <w:rFonts w:hint="default" w:ascii="宋体" w:hAnsi="宋体" w:eastAsia="宋体" w:cs="宋体"/>
          <w:color w:val="auto"/>
          <w:highlight w:val="none"/>
          <w:lang w:val="en-US" w:eastAsia="zh-CN"/>
        </w:rPr>
      </w:pPr>
      <w:r>
        <w:rPr>
          <w:rFonts w:hint="eastAsia" w:ascii="宋体" w:hAnsi="宋体" w:cs="宋体"/>
          <w:color w:val="auto"/>
          <w:highlight w:val="none"/>
        </w:rPr>
        <w:t>联系人：</w:t>
      </w:r>
      <w:r>
        <w:rPr>
          <w:rFonts w:hint="eastAsia" w:ascii="宋体" w:hAnsi="宋体" w:cs="宋体"/>
          <w:color w:val="auto"/>
          <w:highlight w:val="none"/>
          <w:lang w:val="en-US" w:eastAsia="zh-CN"/>
        </w:rPr>
        <w:t>王先生</w:t>
      </w:r>
    </w:p>
    <w:p>
      <w:pPr>
        <w:autoSpaceDE w:val="0"/>
        <w:autoSpaceDN w:val="0"/>
        <w:adjustRightInd w:val="0"/>
        <w:spacing w:line="440" w:lineRule="exact"/>
        <w:ind w:firstLine="420" w:firstLineChars="200"/>
        <w:jc w:val="left"/>
        <w:rPr>
          <w:rFonts w:hint="default" w:ascii="宋体" w:hAnsi="宋体" w:eastAsia="宋体" w:cs="宋体"/>
          <w:color w:val="auto"/>
          <w:highlight w:val="none"/>
          <w:lang w:val="en-US" w:eastAsia="zh-CN"/>
        </w:rPr>
      </w:pPr>
      <w:r>
        <w:rPr>
          <w:rFonts w:hint="eastAsia" w:ascii="宋体" w:hAnsi="宋体" w:cs="宋体"/>
          <w:color w:val="auto"/>
          <w:highlight w:val="none"/>
        </w:rPr>
        <w:t>联系方式：</w:t>
      </w:r>
      <w:r>
        <w:rPr>
          <w:rFonts w:hint="eastAsia" w:ascii="宋体" w:hAnsi="宋体" w:cs="宋体"/>
          <w:color w:val="auto"/>
          <w:highlight w:val="none"/>
          <w:lang w:val="en-US" w:eastAsia="zh-CN"/>
        </w:rPr>
        <w:t>18737514111</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3.项目联系方式</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项目联系人：</w:t>
      </w:r>
      <w:r>
        <w:rPr>
          <w:rFonts w:hint="eastAsia" w:ascii="宋体" w:hAnsi="宋体" w:cs="宋体"/>
          <w:color w:val="auto"/>
          <w:highlight w:val="none"/>
          <w:lang w:val="en-US" w:eastAsia="zh-CN"/>
        </w:rPr>
        <w:t>王先生</w:t>
      </w:r>
    </w:p>
    <w:p>
      <w:pPr>
        <w:autoSpaceDE w:val="0"/>
        <w:autoSpaceDN w:val="0"/>
        <w:adjustRightInd w:val="0"/>
        <w:spacing w:line="440" w:lineRule="exact"/>
        <w:ind w:firstLine="420" w:firstLineChars="200"/>
        <w:jc w:val="left"/>
        <w:rPr>
          <w:rFonts w:ascii="宋体" w:hAnsi="宋体" w:cs="宋体"/>
          <w:color w:val="auto"/>
          <w:kern w:val="0"/>
          <w:highlight w:val="none"/>
        </w:rPr>
      </w:pPr>
      <w:r>
        <w:rPr>
          <w:rFonts w:hint="eastAsia" w:ascii="宋体" w:hAnsi="宋体" w:cs="宋体"/>
          <w:color w:val="auto"/>
          <w:highlight w:val="none"/>
        </w:rPr>
        <w:t>联系方式：</w:t>
      </w:r>
      <w:r>
        <w:rPr>
          <w:rFonts w:hint="eastAsia" w:ascii="宋体" w:hAnsi="宋体" w:cs="宋体"/>
          <w:color w:val="auto"/>
          <w:highlight w:val="none"/>
          <w:lang w:val="en-US" w:eastAsia="zh-CN"/>
        </w:rPr>
        <w:t>18737514111</w:t>
      </w:r>
    </w:p>
    <w:bookmarkEnd w:id="15"/>
    <w:bookmarkEnd w:id="16"/>
    <w:bookmarkEnd w:id="17"/>
    <w:bookmarkEnd w:id="18"/>
    <w:bookmarkEnd w:id="19"/>
    <w:bookmarkEnd w:id="20"/>
    <w:bookmarkEnd w:id="21"/>
    <w:bookmarkEnd w:id="22"/>
    <w:bookmarkEnd w:id="23"/>
    <w:p>
      <w:pPr>
        <w:rPr>
          <w:rFonts w:ascii="宋体" w:hAnsi="宋体" w:cs="宋体"/>
          <w:color w:val="auto"/>
          <w:sz w:val="32"/>
          <w:szCs w:val="32"/>
          <w:highlight w:val="none"/>
        </w:rPr>
      </w:pPr>
      <w:r>
        <w:rPr>
          <w:rFonts w:hint="eastAsia" w:ascii="宋体" w:hAnsi="宋体" w:cs="宋体"/>
          <w:color w:val="auto"/>
          <w:sz w:val="32"/>
          <w:szCs w:val="32"/>
          <w:highlight w:val="none"/>
        </w:rPr>
        <w:br w:type="page"/>
      </w:r>
    </w:p>
    <w:p>
      <w:pPr>
        <w:pStyle w:val="3"/>
        <w:tabs>
          <w:tab w:val="left" w:pos="1134"/>
          <w:tab w:val="left" w:pos="4820"/>
          <w:tab w:val="left" w:pos="4962"/>
        </w:tabs>
        <w:spacing w:before="45" w:after="45" w:line="440" w:lineRule="exact"/>
        <w:rPr>
          <w:rFonts w:ascii="??" w:hAnsi="??" w:cs="??"/>
          <w:color w:val="auto"/>
          <w:sz w:val="32"/>
          <w:szCs w:val="32"/>
          <w:highlight w:val="none"/>
        </w:rPr>
      </w:pPr>
      <w:bookmarkStart w:id="27" w:name="_Toc1125"/>
      <w:r>
        <w:rPr>
          <w:rFonts w:hint="eastAsia" w:ascii="宋体" w:hAnsi="宋体" w:cs="宋体"/>
          <w:color w:val="auto"/>
          <w:sz w:val="32"/>
          <w:szCs w:val="32"/>
          <w:highlight w:val="none"/>
        </w:rPr>
        <w:t>第二章 投标人须知</w:t>
      </w:r>
      <w:bookmarkEnd w:id="0"/>
      <w:bookmarkEnd w:id="1"/>
      <w:bookmarkEnd w:id="2"/>
      <w:bookmarkEnd w:id="3"/>
      <w:bookmarkEnd w:id="4"/>
      <w:bookmarkEnd w:id="5"/>
      <w:bookmarkEnd w:id="6"/>
      <w:bookmarkEnd w:id="27"/>
    </w:p>
    <w:p>
      <w:pPr>
        <w:bidi w:val="0"/>
        <w:jc w:val="center"/>
        <w:rPr>
          <w:sz w:val="28"/>
          <w:szCs w:val="28"/>
        </w:rPr>
      </w:pPr>
      <w:bookmarkStart w:id="28" w:name="_Toc456601830"/>
      <w:bookmarkStart w:id="29" w:name="_Toc27630"/>
      <w:bookmarkStart w:id="30" w:name="_Toc453941752"/>
      <w:r>
        <w:rPr>
          <w:rFonts w:hint="eastAsia"/>
          <w:sz w:val="28"/>
          <w:szCs w:val="28"/>
        </w:rPr>
        <w:t>投标人须知前附表</w:t>
      </w:r>
      <w:bookmarkEnd w:id="28"/>
      <w:bookmarkEnd w:id="29"/>
      <w:bookmarkEnd w:id="30"/>
    </w:p>
    <w:tbl>
      <w:tblPr>
        <w:tblStyle w:val="48"/>
        <w:tblW w:w="9725" w:type="dxa"/>
        <w:jc w:val="center"/>
        <w:tblLayout w:type="fixed"/>
        <w:tblCellMar>
          <w:top w:w="0" w:type="dxa"/>
          <w:left w:w="108" w:type="dxa"/>
          <w:bottom w:w="0" w:type="dxa"/>
          <w:right w:w="108" w:type="dxa"/>
        </w:tblCellMar>
      </w:tblPr>
      <w:tblGrid>
        <w:gridCol w:w="993"/>
        <w:gridCol w:w="1985"/>
        <w:gridCol w:w="6747"/>
      </w:tblGrid>
      <w:tr>
        <w:tblPrEx>
          <w:tblCellMar>
            <w:top w:w="0" w:type="dxa"/>
            <w:left w:w="108" w:type="dxa"/>
            <w:bottom w:w="0" w:type="dxa"/>
            <w:right w:w="108" w:type="dxa"/>
          </w:tblCellMar>
        </w:tblPrEx>
        <w:trPr>
          <w:trHeight w:val="90" w:hRule="atLeast"/>
          <w:tblHeader/>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b/>
                <w:bCs/>
                <w:color w:val="auto"/>
                <w:highlight w:val="none"/>
              </w:rPr>
            </w:pPr>
            <w:r>
              <w:rPr>
                <w:rFonts w:hint="eastAsia" w:ascii="宋体" w:hAnsi="宋体" w:cs="宋体"/>
                <w:b/>
                <w:bCs/>
                <w:color w:val="auto"/>
                <w:highlight w:val="none"/>
              </w:rPr>
              <w:t>条款号</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b/>
                <w:bCs/>
                <w:color w:val="auto"/>
                <w:highlight w:val="none"/>
              </w:rPr>
            </w:pPr>
            <w:r>
              <w:rPr>
                <w:rFonts w:hint="eastAsia" w:ascii="宋体" w:hAnsi="宋体" w:cs="宋体"/>
                <w:b/>
                <w:bCs/>
                <w:color w:val="auto"/>
                <w:highlight w:val="none"/>
              </w:rPr>
              <w:t>条款名称</w:t>
            </w:r>
          </w:p>
        </w:tc>
        <w:tc>
          <w:tcPr>
            <w:tcW w:w="6747"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b/>
                <w:bCs/>
                <w:color w:val="auto"/>
                <w:highlight w:val="none"/>
              </w:rPr>
            </w:pPr>
            <w:r>
              <w:rPr>
                <w:rFonts w:hint="eastAsia" w:ascii="宋体" w:hAnsi="宋体" w:cs="宋体"/>
                <w:b/>
                <w:bCs/>
                <w:color w:val="auto"/>
                <w:highlight w:val="none"/>
              </w:rPr>
              <w:t>编列内容</w:t>
            </w:r>
          </w:p>
        </w:tc>
      </w:tr>
      <w:tr>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1.2.1</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采购人</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line="400" w:lineRule="exact"/>
              <w:rPr>
                <w:rFonts w:hint="eastAsia" w:ascii="宋体" w:hAnsi="宋体" w:cs="宋体"/>
                <w:color w:val="auto"/>
                <w:highlight w:val="none"/>
              </w:rPr>
            </w:pPr>
            <w:r>
              <w:rPr>
                <w:rFonts w:hint="eastAsia" w:ascii="宋体" w:hAnsi="宋体" w:cs="宋体"/>
                <w:color w:val="auto"/>
                <w:highlight w:val="none"/>
              </w:rPr>
              <w:t>名称：尧山实验室</w:t>
            </w:r>
          </w:p>
          <w:p>
            <w:pPr>
              <w:adjustRightInd w:val="0"/>
              <w:snapToGrid w:val="0"/>
              <w:spacing w:line="400" w:lineRule="exact"/>
              <w:rPr>
                <w:rFonts w:hint="eastAsia" w:ascii="宋体" w:hAnsi="宋体" w:cs="宋体"/>
                <w:color w:val="auto"/>
                <w:highlight w:val="none"/>
              </w:rPr>
            </w:pPr>
            <w:r>
              <w:rPr>
                <w:rFonts w:hint="eastAsia" w:ascii="宋体" w:hAnsi="宋体" w:cs="宋体"/>
                <w:color w:val="auto"/>
                <w:highlight w:val="none"/>
              </w:rPr>
              <w:t>地址：平顶山市城乡一体化示范区未来路南段（平顶山学院湖滨校区）</w:t>
            </w:r>
          </w:p>
          <w:p>
            <w:pPr>
              <w:adjustRightInd w:val="0"/>
              <w:snapToGrid w:val="0"/>
              <w:spacing w:line="400" w:lineRule="exact"/>
              <w:rPr>
                <w:rFonts w:hint="eastAsia" w:ascii="宋体" w:hAnsi="宋体" w:cs="宋体"/>
                <w:color w:val="auto"/>
                <w:highlight w:val="none"/>
              </w:rPr>
            </w:pPr>
            <w:r>
              <w:rPr>
                <w:rFonts w:hint="eastAsia" w:ascii="宋体" w:hAnsi="宋体" w:cs="宋体"/>
                <w:color w:val="auto"/>
                <w:highlight w:val="none"/>
              </w:rPr>
              <w:t>联系人：贾老师</w:t>
            </w:r>
          </w:p>
          <w:p>
            <w:pPr>
              <w:adjustRightInd w:val="0"/>
              <w:snapToGrid w:val="0"/>
              <w:spacing w:line="400" w:lineRule="exact"/>
              <w:rPr>
                <w:rFonts w:hint="eastAsia" w:ascii="宋体" w:hAnsi="宋体" w:eastAsia="宋体" w:cs="宋体"/>
                <w:color w:val="auto"/>
                <w:highlight w:val="none"/>
                <w:lang w:eastAsia="zh-CN"/>
              </w:rPr>
            </w:pPr>
            <w:r>
              <w:rPr>
                <w:rFonts w:hint="eastAsia" w:ascii="宋体" w:hAnsi="宋体" w:cs="宋体"/>
                <w:color w:val="auto"/>
                <w:highlight w:val="none"/>
              </w:rPr>
              <w:t>联系方式：17612715557</w:t>
            </w:r>
          </w:p>
        </w:tc>
      </w:tr>
      <w:tr>
        <w:tblPrEx>
          <w:tblCellMar>
            <w:top w:w="0" w:type="dxa"/>
            <w:left w:w="108" w:type="dxa"/>
            <w:bottom w:w="0" w:type="dxa"/>
            <w:right w:w="108" w:type="dxa"/>
          </w:tblCellMar>
        </w:tblPrEx>
        <w:trPr>
          <w:trHeight w:val="1740"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1.2.2</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采购代理机构</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line="400" w:lineRule="exact"/>
              <w:rPr>
                <w:rFonts w:hint="eastAsia" w:ascii="宋体" w:hAnsi="宋体" w:cs="宋体"/>
                <w:color w:val="auto"/>
                <w:highlight w:val="none"/>
              </w:rPr>
            </w:pPr>
            <w:r>
              <w:rPr>
                <w:rFonts w:hint="eastAsia" w:ascii="宋体" w:hAnsi="宋体" w:cs="宋体"/>
                <w:color w:val="auto"/>
                <w:highlight w:val="none"/>
              </w:rPr>
              <w:t>名称：河南大明建设工程管理有限公司</w:t>
            </w:r>
          </w:p>
          <w:p>
            <w:pPr>
              <w:adjustRightInd w:val="0"/>
              <w:snapToGrid w:val="0"/>
              <w:spacing w:line="400" w:lineRule="exact"/>
              <w:rPr>
                <w:rFonts w:hint="eastAsia" w:ascii="宋体" w:hAnsi="宋体" w:cs="宋体"/>
                <w:color w:val="auto"/>
                <w:highlight w:val="none"/>
              </w:rPr>
            </w:pPr>
            <w:r>
              <w:rPr>
                <w:rFonts w:hint="eastAsia" w:ascii="宋体" w:hAnsi="宋体" w:cs="宋体"/>
                <w:color w:val="auto"/>
                <w:highlight w:val="none"/>
              </w:rPr>
              <w:t>地址：郑州市花园路27号河南省科技信息大厦12楼</w:t>
            </w:r>
          </w:p>
          <w:p>
            <w:pPr>
              <w:adjustRightInd w:val="0"/>
              <w:snapToGrid w:val="0"/>
              <w:spacing w:line="400" w:lineRule="exact"/>
              <w:rPr>
                <w:rFonts w:hint="eastAsia" w:ascii="宋体" w:hAnsi="宋体" w:cs="宋体"/>
                <w:color w:val="auto"/>
                <w:highlight w:val="none"/>
              </w:rPr>
            </w:pPr>
            <w:r>
              <w:rPr>
                <w:rFonts w:hint="eastAsia" w:ascii="宋体" w:hAnsi="宋体" w:cs="宋体"/>
                <w:color w:val="auto"/>
                <w:highlight w:val="none"/>
              </w:rPr>
              <w:t>联系人：王先生</w:t>
            </w:r>
          </w:p>
          <w:p>
            <w:pPr>
              <w:adjustRightInd w:val="0"/>
              <w:snapToGrid w:val="0"/>
              <w:spacing w:line="400" w:lineRule="exact"/>
              <w:rPr>
                <w:rFonts w:ascii="宋体" w:hAnsi="宋体" w:cs="宋体"/>
                <w:color w:val="auto"/>
                <w:highlight w:val="none"/>
              </w:rPr>
            </w:pPr>
            <w:r>
              <w:rPr>
                <w:rFonts w:hint="eastAsia" w:ascii="宋体" w:hAnsi="宋体" w:cs="宋体"/>
                <w:color w:val="auto"/>
                <w:highlight w:val="none"/>
              </w:rPr>
              <w:t>联系方式：18737514111</w:t>
            </w:r>
          </w:p>
        </w:tc>
      </w:tr>
      <w:tr>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1.2.4</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投标人资格条件</w:t>
            </w:r>
          </w:p>
        </w:tc>
        <w:tc>
          <w:tcPr>
            <w:tcW w:w="6747" w:type="dxa"/>
            <w:tcBorders>
              <w:top w:val="single" w:color="auto" w:sz="4" w:space="0"/>
              <w:left w:val="nil"/>
              <w:bottom w:val="single" w:color="auto" w:sz="4" w:space="0"/>
              <w:right w:val="single" w:color="auto" w:sz="4" w:space="0"/>
            </w:tcBorders>
            <w:vAlign w:val="center"/>
          </w:tcPr>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1、满足《中华人民共和国政府采购法》第二十二条规定；</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2、落实政府采购政策满足的资格要求：</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本项目非专门面向中小企业采购。供应商为中小微企业、监狱企业、残疾人福利性单位，落实中小企业价格评审优惠政策；中小企业划型标准请依据工信部联企业【2011】300号文件之规定。</w:t>
            </w:r>
          </w:p>
          <w:p>
            <w:pPr>
              <w:autoSpaceDE w:val="0"/>
              <w:autoSpaceDN w:val="0"/>
              <w:adjustRightInd w:val="0"/>
              <w:spacing w:line="440" w:lineRule="exact"/>
              <w:ind w:firstLine="422" w:firstLineChars="200"/>
              <w:jc w:val="left"/>
              <w:rPr>
                <w:rFonts w:hint="eastAsia"/>
              </w:rPr>
            </w:pPr>
            <w:r>
              <w:rPr>
                <w:rFonts w:hint="eastAsia" w:ascii="宋体" w:hAnsi="宋体" w:cs="宋体"/>
                <w:b/>
                <w:bCs/>
                <w:color w:val="auto"/>
                <w:highlight w:val="none"/>
              </w:rPr>
              <w:t>包1：（国产产品），不接受进口产品</w:t>
            </w:r>
            <w:r>
              <w:rPr>
                <w:rFonts w:hint="eastAsia" w:ascii="宋体" w:hAnsi="宋体" w:cs="宋体"/>
                <w:b/>
                <w:bCs/>
                <w:color w:val="auto"/>
                <w:highlight w:val="none"/>
                <w:lang w:eastAsia="zh-CN"/>
              </w:rPr>
              <w:t>；</w:t>
            </w:r>
            <w:r>
              <w:rPr>
                <w:rFonts w:hint="eastAsia" w:ascii="宋体" w:hAnsi="宋体" w:cs="宋体"/>
                <w:b/>
                <w:bCs/>
                <w:color w:val="auto"/>
                <w:highlight w:val="none"/>
              </w:rPr>
              <w:t>包2: 包3：</w:t>
            </w:r>
            <w:r>
              <w:rPr>
                <w:rFonts w:hint="eastAsia" w:ascii="宋体" w:hAnsi="宋体" w:cs="宋体"/>
                <w:b/>
                <w:bCs/>
                <w:color w:val="auto"/>
                <w:highlight w:val="none"/>
                <w:lang w:val="en-US" w:eastAsia="zh-CN"/>
              </w:rPr>
              <w:t>包3：包4：包5：包6：包7：</w:t>
            </w:r>
            <w:r>
              <w:rPr>
                <w:rFonts w:hint="eastAsia" w:ascii="宋体" w:hAnsi="宋体" w:cs="宋体"/>
                <w:b/>
                <w:bCs/>
                <w:color w:val="auto"/>
                <w:highlight w:val="none"/>
              </w:rPr>
              <w:t>（进口产品）</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3、本项目的特定资格要求</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3.1具有独立承担民事责任的能力（提供有效的营业执照、税务登记证、组织机构代码证或三证合一营业执照或电子营业执照）；</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3.2具有良好的商业信誉和健全的财务会计制度（提供承诺函）；</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3.3具有履行合同所必需的设备和专业技术能力（提供承诺函）；</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3.4有依法缴纳税收和社会保障资金的良好记录（提供承诺函）；</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3.5参加政府采购活动前三年内，在经营活动中没有重大违法记录（提供承诺函）；</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3.6进口产品需提供所投产品制造商或国内总代理商出具的授权书；</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3.7提供中国执行公开网 “失信被执行人”和信用中国网“重大税收违法失信主体”，中国政府采购网“政府采购严重违法失信行为名单” 查询结果页面截图；若有不良记录，执行财库[2016]125号文；</w:t>
            </w:r>
          </w:p>
          <w:p>
            <w:pPr>
              <w:autoSpaceDE w:val="0"/>
              <w:autoSpaceDN w:val="0"/>
              <w:adjustRightInd w:val="0"/>
              <w:spacing w:line="440" w:lineRule="exact"/>
              <w:ind w:firstLine="420" w:firstLineChars="200"/>
              <w:jc w:val="left"/>
              <w:rPr>
                <w:rFonts w:hint="eastAsia" w:ascii="宋体" w:hAnsi="宋体" w:cs="宋体"/>
                <w:color w:val="auto"/>
                <w:highlight w:val="none"/>
              </w:rPr>
            </w:pPr>
            <w:r>
              <w:rPr>
                <w:rFonts w:hint="eastAsia" w:ascii="宋体" w:hAnsi="宋体" w:cs="宋体"/>
                <w:color w:val="auto"/>
                <w:highlight w:val="none"/>
              </w:rPr>
              <w:t>3.8 单位负责人为同一人或存在控股、管理关系的不同单位，不得同时参加本项目的投标【提供 “国家企业信用信息公示系统”中公示的公司信息、股东（或投资人）信息的截图】；</w:t>
            </w:r>
          </w:p>
          <w:p>
            <w:pPr>
              <w:spacing w:line="400" w:lineRule="exact"/>
              <w:ind w:firstLine="420" w:firstLineChars="200"/>
              <w:rPr>
                <w:rFonts w:ascii="宋体" w:hAnsi="宋体" w:cs="宋体"/>
                <w:color w:val="auto"/>
                <w:highlight w:val="yellow"/>
              </w:rPr>
            </w:pPr>
            <w:r>
              <w:rPr>
                <w:rFonts w:hint="eastAsia" w:ascii="宋体" w:hAnsi="宋体" w:cs="宋体"/>
                <w:color w:val="auto"/>
                <w:highlight w:val="none"/>
              </w:rPr>
              <w:t>3.9本项目采用资格后审。注：本项目投标单位不可投报多个标段</w:t>
            </w:r>
          </w:p>
        </w:tc>
      </w:tr>
      <w:tr>
        <w:tblPrEx>
          <w:tblCellMar>
            <w:top w:w="0" w:type="dxa"/>
            <w:left w:w="108" w:type="dxa"/>
            <w:bottom w:w="0" w:type="dxa"/>
            <w:right w:w="108" w:type="dxa"/>
          </w:tblCellMar>
        </w:tblPrEx>
        <w:trPr>
          <w:trHeight w:val="693"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1.2.10</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是否接受联合体</w:t>
            </w:r>
          </w:p>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投标</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before="31" w:beforeLines="10" w:after="31" w:afterLines="10" w:line="400" w:lineRule="exact"/>
              <w:ind w:left="21" w:leftChars="10" w:right="21" w:rightChars="10"/>
              <w:rPr>
                <w:rFonts w:ascii="宋体" w:hAnsi="宋体" w:cs="宋体"/>
                <w:color w:val="auto"/>
                <w:highlight w:val="none"/>
              </w:rPr>
            </w:pPr>
            <w:r>
              <w:rPr>
                <w:rFonts w:hint="eastAsia" w:ascii="宋体" w:hAnsi="宋体" w:cs="宋体"/>
                <w:color w:val="auto"/>
                <w:highlight w:val="none"/>
              </w:rPr>
              <w:sym w:font="Wingdings" w:char="00A8"/>
            </w:r>
            <w:r>
              <w:rPr>
                <w:rFonts w:hint="eastAsia" w:ascii="宋体" w:hAnsi="宋体" w:cs="宋体"/>
                <w:color w:val="auto"/>
                <w:highlight w:val="none"/>
              </w:rPr>
              <w:t>接受；☑不接受；</w:t>
            </w:r>
          </w:p>
        </w:tc>
      </w:tr>
      <w:tr>
        <w:tblPrEx>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1.3.1</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项目名称</w:t>
            </w:r>
          </w:p>
        </w:tc>
        <w:tc>
          <w:tcPr>
            <w:tcW w:w="6747" w:type="dxa"/>
            <w:tcBorders>
              <w:top w:val="single" w:color="auto" w:sz="4" w:space="0"/>
              <w:left w:val="nil"/>
              <w:bottom w:val="single" w:color="auto" w:sz="4" w:space="0"/>
              <w:right w:val="single" w:color="auto" w:sz="4" w:space="0"/>
            </w:tcBorders>
            <w:vAlign w:val="center"/>
          </w:tcPr>
          <w:p>
            <w:pPr>
              <w:adjustRightInd w:val="0"/>
              <w:spacing w:line="400" w:lineRule="exact"/>
              <w:rPr>
                <w:rFonts w:hint="eastAsia" w:ascii="宋体" w:hAnsi="宋体" w:eastAsia="宋体" w:cs="宋体"/>
                <w:color w:val="auto"/>
                <w:highlight w:val="none"/>
                <w:lang w:eastAsia="zh-CN"/>
              </w:rPr>
            </w:pPr>
            <w:r>
              <w:rPr>
                <w:rFonts w:hint="eastAsia" w:ascii="宋体" w:hAnsi="宋体" w:cs="宋体"/>
                <w:color w:val="auto"/>
                <w:highlight w:val="none"/>
                <w:lang w:eastAsia="zh-CN"/>
              </w:rPr>
              <w:t>尧山实验室2024年陶瓷基复合材料实验设备采购项目</w:t>
            </w:r>
          </w:p>
        </w:tc>
      </w:tr>
      <w:tr>
        <w:tblPrEx>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1.3.2</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资金来源</w:t>
            </w:r>
          </w:p>
        </w:tc>
        <w:tc>
          <w:tcPr>
            <w:tcW w:w="6747" w:type="dxa"/>
            <w:tcBorders>
              <w:top w:val="single" w:color="auto" w:sz="4" w:space="0"/>
              <w:left w:val="nil"/>
              <w:bottom w:val="single" w:color="auto" w:sz="4" w:space="0"/>
              <w:right w:val="single" w:color="auto" w:sz="4" w:space="0"/>
            </w:tcBorders>
            <w:vAlign w:val="center"/>
          </w:tcPr>
          <w:p>
            <w:pPr>
              <w:adjustRightInd w:val="0"/>
              <w:spacing w:line="400" w:lineRule="exact"/>
              <w:rPr>
                <w:rFonts w:ascii="宋体" w:hAnsi="宋体" w:cs="宋体"/>
                <w:color w:val="auto"/>
                <w:highlight w:val="none"/>
              </w:rPr>
            </w:pPr>
            <w:r>
              <w:rPr>
                <w:rFonts w:hint="eastAsia" w:ascii="宋体" w:hAnsi="宋体" w:cs="宋体"/>
                <w:color w:val="auto"/>
                <w:highlight w:val="none"/>
              </w:rPr>
              <w:t>财政资金</w:t>
            </w:r>
          </w:p>
        </w:tc>
      </w:tr>
      <w:tr>
        <w:tblPrEx>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1.3.3</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资金落实情况</w:t>
            </w:r>
          </w:p>
        </w:tc>
        <w:tc>
          <w:tcPr>
            <w:tcW w:w="6747" w:type="dxa"/>
            <w:tcBorders>
              <w:top w:val="single" w:color="auto" w:sz="4" w:space="0"/>
              <w:left w:val="nil"/>
              <w:bottom w:val="single" w:color="auto" w:sz="4" w:space="0"/>
              <w:right w:val="single" w:color="auto" w:sz="4" w:space="0"/>
            </w:tcBorders>
            <w:vAlign w:val="center"/>
          </w:tcPr>
          <w:p>
            <w:pPr>
              <w:adjustRightInd w:val="0"/>
              <w:spacing w:line="400" w:lineRule="exact"/>
              <w:rPr>
                <w:rFonts w:ascii="宋体" w:hAnsi="宋体" w:cs="宋体"/>
                <w:color w:val="auto"/>
                <w:highlight w:val="none"/>
              </w:rPr>
            </w:pPr>
            <w:r>
              <w:rPr>
                <w:rFonts w:hint="eastAsia" w:ascii="宋体" w:hAnsi="宋体" w:cs="宋体"/>
                <w:color w:val="auto"/>
                <w:highlight w:val="none"/>
              </w:rPr>
              <w:t>已落实</w:t>
            </w:r>
          </w:p>
        </w:tc>
      </w:tr>
      <w:tr>
        <w:tblPrEx>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1.4.1</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采购内容</w:t>
            </w:r>
          </w:p>
        </w:tc>
        <w:tc>
          <w:tcPr>
            <w:tcW w:w="6747" w:type="dxa"/>
            <w:tcBorders>
              <w:top w:val="single" w:color="auto" w:sz="4" w:space="0"/>
              <w:left w:val="nil"/>
              <w:bottom w:val="single" w:color="auto" w:sz="4" w:space="0"/>
              <w:right w:val="single" w:color="auto" w:sz="4" w:space="0"/>
            </w:tcBorders>
            <w:vAlign w:val="center"/>
          </w:tcPr>
          <w:p>
            <w:pPr>
              <w:spacing w:line="40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包1：</w:t>
            </w:r>
            <w:r>
              <w:rPr>
                <w:rFonts w:hint="eastAsia" w:ascii="宋体" w:hAnsi="宋体" w:cs="宋体"/>
                <w:color w:val="auto"/>
                <w:highlight w:val="none"/>
              </w:rPr>
              <w:t>1200℃不锈钢节能箱式电炉</w:t>
            </w:r>
            <w:r>
              <w:rPr>
                <w:rFonts w:hint="eastAsia" w:ascii="宋体" w:hAnsi="宋体" w:cs="宋体"/>
                <w:color w:val="auto"/>
                <w:highlight w:val="none"/>
                <w:lang w:val="en-US" w:eastAsia="zh-CN"/>
              </w:rPr>
              <w:t>一套</w:t>
            </w:r>
            <w:r>
              <w:rPr>
                <w:rFonts w:hint="eastAsia" w:ascii="宋体" w:hAnsi="宋体" w:cs="宋体"/>
                <w:color w:val="auto"/>
                <w:highlight w:val="none"/>
              </w:rPr>
              <w:t>，1300℃节能箱式电炉</w:t>
            </w:r>
            <w:r>
              <w:rPr>
                <w:rFonts w:hint="eastAsia" w:ascii="宋体" w:hAnsi="宋体" w:cs="宋体"/>
                <w:color w:val="auto"/>
                <w:highlight w:val="none"/>
                <w:lang w:val="en-US" w:eastAsia="zh-CN"/>
              </w:rPr>
              <w:t>一套</w:t>
            </w:r>
            <w:r>
              <w:rPr>
                <w:rFonts w:hint="eastAsia" w:ascii="宋体" w:hAnsi="宋体" w:cs="宋体"/>
                <w:color w:val="auto"/>
                <w:highlight w:val="none"/>
              </w:rPr>
              <w:t>，1600℃节能箱式电炉</w:t>
            </w:r>
            <w:r>
              <w:rPr>
                <w:rFonts w:hint="eastAsia" w:ascii="宋体" w:hAnsi="宋体" w:cs="宋体"/>
                <w:color w:val="auto"/>
                <w:highlight w:val="none"/>
                <w:lang w:val="en-US" w:eastAsia="zh-CN"/>
              </w:rPr>
              <w:t>一套</w:t>
            </w:r>
            <w:r>
              <w:rPr>
                <w:rFonts w:hint="eastAsia" w:ascii="宋体" w:hAnsi="宋体" w:cs="宋体"/>
                <w:color w:val="auto"/>
                <w:highlight w:val="none"/>
              </w:rPr>
              <w:t>，1200℃单温区管式炉</w:t>
            </w:r>
            <w:r>
              <w:rPr>
                <w:rFonts w:hint="eastAsia" w:ascii="宋体" w:hAnsi="宋体" w:cs="宋体"/>
                <w:color w:val="auto"/>
                <w:highlight w:val="none"/>
                <w:lang w:val="en-US" w:eastAsia="zh-CN"/>
              </w:rPr>
              <w:t>一套</w:t>
            </w:r>
            <w:r>
              <w:rPr>
                <w:rFonts w:hint="eastAsia" w:ascii="宋体" w:hAnsi="宋体" w:cs="宋体"/>
                <w:color w:val="auto"/>
                <w:highlight w:val="none"/>
              </w:rPr>
              <w:t>，1600℃真空气氛管式炉</w:t>
            </w:r>
            <w:r>
              <w:rPr>
                <w:rFonts w:hint="eastAsia" w:ascii="宋体" w:hAnsi="宋体" w:cs="宋体"/>
                <w:color w:val="auto"/>
                <w:highlight w:val="none"/>
                <w:lang w:val="en-US" w:eastAsia="zh-CN"/>
              </w:rPr>
              <w:t>一套</w:t>
            </w:r>
            <w:r>
              <w:rPr>
                <w:rFonts w:hint="eastAsia" w:ascii="宋体" w:hAnsi="宋体" w:cs="宋体"/>
                <w:color w:val="auto"/>
                <w:highlight w:val="none"/>
              </w:rPr>
              <w:t>，高低温介电阻抗温谱仪</w:t>
            </w:r>
            <w:r>
              <w:rPr>
                <w:rFonts w:hint="eastAsia" w:ascii="宋体" w:hAnsi="宋体" w:cs="宋体"/>
                <w:color w:val="auto"/>
                <w:highlight w:val="none"/>
                <w:lang w:val="en-US" w:eastAsia="zh-CN"/>
              </w:rPr>
              <w:t>一套</w:t>
            </w:r>
            <w:r>
              <w:rPr>
                <w:rFonts w:hint="eastAsia" w:ascii="宋体" w:hAnsi="宋体" w:cs="宋体"/>
                <w:color w:val="auto"/>
                <w:highlight w:val="none"/>
              </w:rPr>
              <w:t>，高温绝缘材料电阻率测量系统</w:t>
            </w:r>
            <w:r>
              <w:rPr>
                <w:rFonts w:hint="eastAsia" w:ascii="宋体" w:hAnsi="宋体" w:cs="宋体"/>
                <w:color w:val="auto"/>
                <w:highlight w:val="none"/>
                <w:lang w:val="en-US" w:eastAsia="zh-CN"/>
              </w:rPr>
              <w:t>一套</w:t>
            </w:r>
            <w:r>
              <w:rPr>
                <w:rFonts w:hint="eastAsia" w:ascii="宋体" w:hAnsi="宋体" w:cs="宋体"/>
                <w:color w:val="auto"/>
                <w:highlight w:val="none"/>
              </w:rPr>
              <w:t>，高温压电温谱仪</w:t>
            </w:r>
            <w:r>
              <w:rPr>
                <w:rFonts w:hint="eastAsia" w:ascii="宋体" w:hAnsi="宋体" w:cs="宋体"/>
                <w:color w:val="auto"/>
                <w:highlight w:val="none"/>
                <w:lang w:val="en-US" w:eastAsia="zh-CN"/>
              </w:rPr>
              <w:t>一套</w:t>
            </w:r>
            <w:r>
              <w:rPr>
                <w:rFonts w:hint="eastAsia" w:ascii="宋体" w:hAnsi="宋体" w:cs="宋体"/>
                <w:color w:val="auto"/>
                <w:highlight w:val="none"/>
              </w:rPr>
              <w:t>，HPC高性能计算集群</w:t>
            </w:r>
            <w:r>
              <w:rPr>
                <w:rFonts w:hint="eastAsia" w:ascii="宋体" w:hAnsi="宋体" w:cs="宋体"/>
                <w:color w:val="auto"/>
                <w:highlight w:val="none"/>
                <w:lang w:val="en-US" w:eastAsia="zh-CN"/>
              </w:rPr>
              <w:t>一套</w:t>
            </w:r>
          </w:p>
          <w:p>
            <w:pPr>
              <w:spacing w:line="400" w:lineRule="exact"/>
              <w:rPr>
                <w:rFonts w:hint="eastAsia" w:ascii="宋体" w:hAnsi="宋体" w:cs="宋体"/>
                <w:color w:val="auto"/>
                <w:highlight w:val="none"/>
              </w:rPr>
            </w:pPr>
            <w:r>
              <w:rPr>
                <w:rFonts w:hint="eastAsia" w:ascii="宋体" w:hAnsi="宋体" w:cs="宋体"/>
                <w:color w:val="auto"/>
                <w:highlight w:val="none"/>
                <w:lang w:val="en-US" w:eastAsia="zh-CN"/>
              </w:rPr>
              <w:t>包2：</w:t>
            </w:r>
            <w:r>
              <w:rPr>
                <w:rFonts w:hint="eastAsia" w:ascii="宋体" w:hAnsi="宋体" w:cs="宋体"/>
                <w:color w:val="auto"/>
                <w:highlight w:val="none"/>
              </w:rPr>
              <w:t>热重分析仪一套</w:t>
            </w:r>
            <w:r>
              <w:rPr>
                <w:rFonts w:hint="eastAsia" w:ascii="宋体" w:hAnsi="宋体" w:cs="宋体"/>
                <w:color w:val="auto"/>
                <w:highlight w:val="none"/>
                <w:lang w:eastAsia="zh-CN"/>
              </w:rPr>
              <w:t>、</w:t>
            </w:r>
            <w:r>
              <w:rPr>
                <w:rFonts w:hint="eastAsia" w:ascii="宋体" w:hAnsi="宋体" w:cs="宋体"/>
                <w:color w:val="auto"/>
                <w:highlight w:val="none"/>
              </w:rPr>
              <w:t>热膨胀仪一套。</w:t>
            </w:r>
          </w:p>
          <w:p>
            <w:pPr>
              <w:spacing w:line="400" w:lineRule="exact"/>
              <w:rPr>
                <w:rFonts w:hint="eastAsia" w:ascii="宋体" w:hAnsi="宋体" w:cs="宋体"/>
                <w:color w:val="auto"/>
                <w:highlight w:val="none"/>
              </w:rPr>
            </w:pPr>
            <w:r>
              <w:rPr>
                <w:rFonts w:hint="eastAsia" w:ascii="宋体" w:hAnsi="宋体" w:cs="宋体"/>
                <w:color w:val="auto"/>
                <w:highlight w:val="none"/>
                <w:lang w:val="en-US" w:eastAsia="zh-CN"/>
              </w:rPr>
              <w:t>包3：</w:t>
            </w:r>
            <w:r>
              <w:rPr>
                <w:rFonts w:hint="eastAsia" w:ascii="宋体" w:hAnsi="宋体" w:cs="宋体"/>
                <w:color w:val="auto"/>
                <w:highlight w:val="none"/>
              </w:rPr>
              <w:t>X射线光电子能谱仪一套。</w:t>
            </w:r>
          </w:p>
          <w:p>
            <w:pPr>
              <w:spacing w:line="400" w:lineRule="exact"/>
              <w:rPr>
                <w:rFonts w:hint="eastAsia" w:ascii="宋体" w:hAnsi="宋体" w:cs="宋体"/>
                <w:color w:val="auto"/>
                <w:highlight w:val="none"/>
              </w:rPr>
            </w:pPr>
            <w:r>
              <w:rPr>
                <w:rFonts w:hint="eastAsia" w:ascii="宋体" w:hAnsi="宋体" w:cs="宋体"/>
                <w:color w:val="auto"/>
                <w:highlight w:val="none"/>
                <w:lang w:val="en-US" w:eastAsia="zh-CN"/>
              </w:rPr>
              <w:t>包4：</w:t>
            </w:r>
            <w:r>
              <w:rPr>
                <w:rFonts w:hint="eastAsia" w:ascii="宋体" w:hAnsi="宋体" w:cs="宋体"/>
                <w:color w:val="auto"/>
                <w:highlight w:val="none"/>
              </w:rPr>
              <w:t>大功率微区X射线衍射仪</w:t>
            </w:r>
            <w:r>
              <w:rPr>
                <w:rFonts w:hint="eastAsia" w:ascii="宋体" w:hAnsi="宋体" w:cs="宋体"/>
                <w:color w:val="auto"/>
                <w:highlight w:val="none"/>
                <w:lang w:val="en-US" w:eastAsia="zh-CN"/>
              </w:rPr>
              <w:t>一套</w:t>
            </w:r>
            <w:r>
              <w:rPr>
                <w:rFonts w:hint="eastAsia" w:ascii="宋体" w:hAnsi="宋体" w:cs="宋体"/>
                <w:color w:val="auto"/>
                <w:highlight w:val="none"/>
              </w:rPr>
              <w:t>。</w:t>
            </w:r>
          </w:p>
          <w:p>
            <w:pPr>
              <w:spacing w:line="400" w:lineRule="exact"/>
              <w:rPr>
                <w:rFonts w:hint="eastAsia" w:ascii="宋体" w:hAnsi="宋体" w:cs="宋体"/>
                <w:color w:val="auto"/>
                <w:highlight w:val="none"/>
              </w:rPr>
            </w:pPr>
            <w:r>
              <w:rPr>
                <w:rFonts w:hint="eastAsia" w:ascii="宋体" w:hAnsi="宋体" w:cs="宋体"/>
                <w:color w:val="auto"/>
                <w:highlight w:val="none"/>
                <w:lang w:val="en-US" w:eastAsia="zh-CN"/>
              </w:rPr>
              <w:t>包5：</w:t>
            </w:r>
            <w:r>
              <w:rPr>
                <w:rFonts w:hint="eastAsia" w:ascii="宋体" w:hAnsi="宋体" w:cs="宋体"/>
                <w:color w:val="auto"/>
                <w:highlight w:val="none"/>
              </w:rPr>
              <w:t>原位红外光谱仪</w:t>
            </w:r>
            <w:r>
              <w:rPr>
                <w:rFonts w:hint="eastAsia" w:ascii="宋体" w:hAnsi="宋体" w:cs="宋体"/>
                <w:color w:val="auto"/>
                <w:highlight w:val="none"/>
                <w:lang w:val="en-US" w:eastAsia="zh-CN"/>
              </w:rPr>
              <w:t>一套</w:t>
            </w:r>
            <w:r>
              <w:rPr>
                <w:rFonts w:hint="eastAsia" w:ascii="宋体" w:hAnsi="宋体" w:cs="宋体"/>
                <w:color w:val="auto"/>
                <w:highlight w:val="none"/>
                <w:lang w:eastAsia="zh-CN"/>
              </w:rPr>
              <w:t>、</w:t>
            </w:r>
            <w:r>
              <w:rPr>
                <w:rFonts w:hint="eastAsia" w:ascii="宋体" w:hAnsi="宋体" w:cs="宋体"/>
                <w:color w:val="auto"/>
                <w:highlight w:val="none"/>
              </w:rPr>
              <w:t>紫外可见近红外分光光度计</w:t>
            </w:r>
            <w:r>
              <w:rPr>
                <w:rFonts w:hint="eastAsia" w:ascii="宋体" w:hAnsi="宋体" w:cs="宋体"/>
                <w:color w:val="auto"/>
                <w:highlight w:val="none"/>
                <w:lang w:val="en-US" w:eastAsia="zh-CN"/>
              </w:rPr>
              <w:t>一套</w:t>
            </w:r>
            <w:r>
              <w:rPr>
                <w:rFonts w:hint="eastAsia" w:ascii="宋体" w:hAnsi="宋体" w:cs="宋体"/>
                <w:color w:val="auto"/>
                <w:highlight w:val="none"/>
              </w:rPr>
              <w:t>。</w:t>
            </w:r>
          </w:p>
          <w:p>
            <w:pPr>
              <w:spacing w:line="400" w:lineRule="exact"/>
              <w:rPr>
                <w:rFonts w:hint="eastAsia" w:ascii="宋体" w:hAnsi="宋体" w:cs="宋体"/>
                <w:color w:val="auto"/>
                <w:highlight w:val="none"/>
              </w:rPr>
            </w:pPr>
            <w:r>
              <w:rPr>
                <w:rFonts w:hint="eastAsia" w:ascii="宋体" w:hAnsi="宋体" w:cs="宋体"/>
                <w:color w:val="auto"/>
                <w:highlight w:val="none"/>
                <w:lang w:val="en-US" w:eastAsia="zh-CN"/>
              </w:rPr>
              <w:t>包6：</w:t>
            </w:r>
            <w:r>
              <w:rPr>
                <w:rFonts w:hint="eastAsia" w:ascii="宋体" w:hAnsi="宋体" w:cs="宋体"/>
                <w:color w:val="auto"/>
                <w:highlight w:val="none"/>
              </w:rPr>
              <w:t>闪射法导热仪</w:t>
            </w:r>
            <w:r>
              <w:rPr>
                <w:rFonts w:hint="eastAsia" w:ascii="宋体" w:hAnsi="宋体" w:cs="宋体"/>
                <w:color w:val="auto"/>
                <w:highlight w:val="none"/>
                <w:lang w:val="en-US" w:eastAsia="zh-CN"/>
              </w:rPr>
              <w:t>一套</w:t>
            </w:r>
            <w:r>
              <w:rPr>
                <w:rFonts w:hint="eastAsia" w:ascii="宋体" w:hAnsi="宋体" w:cs="宋体"/>
                <w:color w:val="auto"/>
                <w:highlight w:val="none"/>
              </w:rPr>
              <w:t>。</w:t>
            </w:r>
          </w:p>
          <w:p>
            <w:pPr>
              <w:autoSpaceDE w:val="0"/>
              <w:autoSpaceDN w:val="0"/>
              <w:adjustRightInd w:val="0"/>
              <w:spacing w:line="440" w:lineRule="exact"/>
              <w:jc w:val="left"/>
              <w:rPr>
                <w:rFonts w:hint="eastAsia" w:ascii="宋体" w:hAnsi="宋体" w:cs="宋体"/>
                <w:color w:val="auto"/>
                <w:highlight w:val="none"/>
              </w:rPr>
            </w:pPr>
            <w:r>
              <w:rPr>
                <w:rFonts w:hint="eastAsia" w:ascii="宋体" w:hAnsi="宋体" w:cs="宋体"/>
                <w:color w:val="auto"/>
                <w:highlight w:val="none"/>
                <w:lang w:val="en-US" w:eastAsia="zh-CN"/>
              </w:rPr>
              <w:t>包7：</w:t>
            </w:r>
            <w:r>
              <w:rPr>
                <w:rFonts w:hint="eastAsia" w:ascii="宋体" w:hAnsi="宋体" w:cs="宋体"/>
                <w:color w:val="auto"/>
                <w:highlight w:val="none"/>
              </w:rPr>
              <w:t>200KV透射电子显微镜</w:t>
            </w:r>
            <w:r>
              <w:rPr>
                <w:rFonts w:hint="eastAsia" w:ascii="宋体" w:hAnsi="宋体" w:cs="宋体"/>
                <w:color w:val="auto"/>
                <w:highlight w:val="none"/>
                <w:lang w:val="en-US" w:eastAsia="zh-CN"/>
              </w:rPr>
              <w:t>一套</w:t>
            </w:r>
            <w:r>
              <w:rPr>
                <w:rFonts w:hint="eastAsia" w:ascii="宋体" w:hAnsi="宋体" w:cs="宋体"/>
                <w:color w:val="auto"/>
                <w:highlight w:val="none"/>
              </w:rPr>
              <w:t>。</w:t>
            </w:r>
          </w:p>
          <w:p>
            <w:pPr>
              <w:autoSpaceDE w:val="0"/>
              <w:autoSpaceDN w:val="0"/>
              <w:adjustRightInd w:val="0"/>
              <w:spacing w:line="440" w:lineRule="exact"/>
              <w:jc w:val="left"/>
              <w:rPr>
                <w:rFonts w:hint="default" w:eastAsia="宋体"/>
                <w:lang w:val="en-US" w:eastAsia="zh-CN"/>
              </w:rPr>
            </w:pPr>
            <w:r>
              <w:rPr>
                <w:rFonts w:hint="eastAsia" w:ascii="宋体" w:hAnsi="宋体" w:cs="宋体"/>
                <w:color w:val="auto"/>
                <w:highlight w:val="none"/>
              </w:rPr>
              <w:t>说明：主要用于陶瓷基复合材料的制备和测试。</w:t>
            </w:r>
          </w:p>
        </w:tc>
      </w:tr>
      <w:tr>
        <w:tblPrEx>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1.4.2</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lang w:val="en-US" w:eastAsia="zh-CN"/>
              </w:rPr>
              <w:t>供</w:t>
            </w:r>
            <w:r>
              <w:rPr>
                <w:rFonts w:hint="eastAsia" w:ascii="宋体" w:hAnsi="宋体" w:cs="宋体"/>
                <w:color w:val="auto"/>
                <w:highlight w:val="none"/>
              </w:rPr>
              <w:t>货期</w:t>
            </w:r>
          </w:p>
        </w:tc>
        <w:tc>
          <w:tcPr>
            <w:tcW w:w="6747" w:type="dxa"/>
            <w:tcBorders>
              <w:top w:val="single" w:color="auto" w:sz="4" w:space="0"/>
              <w:left w:val="nil"/>
              <w:bottom w:val="single" w:color="auto" w:sz="4" w:space="0"/>
              <w:right w:val="single" w:color="auto" w:sz="4" w:space="0"/>
            </w:tcBorders>
            <w:vAlign w:val="center"/>
          </w:tcPr>
          <w:p>
            <w:pPr>
              <w:adjustRightInd w:val="0"/>
              <w:spacing w:line="400" w:lineRule="exact"/>
              <w:rPr>
                <w:rFonts w:ascii="宋体" w:hAnsi="宋体" w:cs="宋体"/>
                <w:color w:val="auto"/>
                <w:highlight w:val="none"/>
              </w:rPr>
            </w:pPr>
            <w:r>
              <w:rPr>
                <w:rFonts w:hint="eastAsia" w:ascii="宋体" w:hAnsi="宋体" w:cs="宋体"/>
                <w:color w:val="auto"/>
                <w:highlight w:val="none"/>
                <w:lang w:val="en-US" w:eastAsia="zh-CN"/>
              </w:rPr>
              <w:t>签订合同后进口设备90日历天；国产设备60日历天；完成交货、安装、调试、验收</w:t>
            </w:r>
          </w:p>
        </w:tc>
      </w:tr>
      <w:tr>
        <w:tblPrEx>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1.4.3</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质量要求</w:t>
            </w:r>
          </w:p>
        </w:tc>
        <w:tc>
          <w:tcPr>
            <w:tcW w:w="6747" w:type="dxa"/>
            <w:tcBorders>
              <w:top w:val="single" w:color="auto" w:sz="4" w:space="0"/>
              <w:left w:val="nil"/>
              <w:bottom w:val="single" w:color="auto" w:sz="4" w:space="0"/>
              <w:right w:val="single" w:color="auto" w:sz="4" w:space="0"/>
            </w:tcBorders>
            <w:vAlign w:val="center"/>
          </w:tcPr>
          <w:p>
            <w:pPr>
              <w:adjustRightInd w:val="0"/>
              <w:spacing w:line="400" w:lineRule="exact"/>
              <w:rPr>
                <w:rFonts w:ascii="宋体" w:hAnsi="宋体" w:cs="宋体"/>
                <w:color w:val="auto"/>
                <w:highlight w:val="none"/>
              </w:rPr>
            </w:pPr>
            <w:r>
              <w:rPr>
                <w:rFonts w:hint="eastAsia" w:ascii="宋体" w:hAnsi="宋体" w:cs="宋体"/>
                <w:color w:val="auto"/>
                <w:highlight w:val="none"/>
              </w:rPr>
              <w:t>合格，符合国家及行业标准。</w:t>
            </w:r>
          </w:p>
        </w:tc>
      </w:tr>
      <w:tr>
        <w:tblPrEx>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1.4.4</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质保期</w:t>
            </w:r>
          </w:p>
        </w:tc>
        <w:tc>
          <w:tcPr>
            <w:tcW w:w="6747" w:type="dxa"/>
            <w:tcBorders>
              <w:top w:val="single" w:color="auto" w:sz="4" w:space="0"/>
              <w:left w:val="nil"/>
              <w:bottom w:val="single" w:color="auto" w:sz="4" w:space="0"/>
              <w:right w:val="single" w:color="auto" w:sz="4" w:space="0"/>
            </w:tcBorders>
            <w:vAlign w:val="center"/>
          </w:tcPr>
          <w:p>
            <w:pPr>
              <w:adjustRightInd w:val="0"/>
              <w:spacing w:line="400" w:lineRule="exact"/>
              <w:rPr>
                <w:rFonts w:hint="eastAsia" w:ascii="宋体" w:hAnsi="宋体" w:eastAsia="宋体" w:cs="宋体"/>
                <w:color w:val="auto"/>
                <w:highlight w:val="none"/>
                <w:lang w:val="en-US" w:eastAsia="zh-CN"/>
              </w:rPr>
            </w:pPr>
            <w:r>
              <w:rPr>
                <w:rFonts w:hint="eastAsia" w:ascii="宋体" w:hAnsi="宋体" w:cs="宋体"/>
                <w:color w:val="auto"/>
                <w:highlight w:val="none"/>
              </w:rPr>
              <w:t>进口设备质保期1年，国产设备质保期3年</w:t>
            </w:r>
            <w:r>
              <w:rPr>
                <w:rFonts w:hint="eastAsia" w:ascii="宋体" w:hAnsi="宋体" w:cs="宋体"/>
                <w:color w:val="auto"/>
                <w:highlight w:val="none"/>
                <w:lang w:val="en-US" w:eastAsia="zh-CN"/>
              </w:rPr>
              <w:t>.</w:t>
            </w:r>
            <w:r>
              <w:rPr>
                <w:rFonts w:hint="eastAsia" w:ascii="宋体" w:hAnsi="宋体" w:cs="宋体"/>
                <w:color w:val="auto"/>
                <w:highlight w:val="none"/>
              </w:rPr>
              <w:t>所有设备厂家终身保修、软件免费升级更新，质保期外上门服务，免收人工费等，零配件费按80%折扣收取。</w:t>
            </w:r>
          </w:p>
        </w:tc>
      </w:tr>
      <w:tr>
        <w:tblPrEx>
          <w:tblCellMar>
            <w:top w:w="0" w:type="dxa"/>
            <w:left w:w="108" w:type="dxa"/>
            <w:bottom w:w="0" w:type="dxa"/>
            <w:right w:w="108" w:type="dxa"/>
          </w:tblCellMar>
        </w:tblPrEx>
        <w:trPr>
          <w:trHeight w:val="45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1.4.5</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交货地点</w:t>
            </w:r>
          </w:p>
        </w:tc>
        <w:tc>
          <w:tcPr>
            <w:tcW w:w="6747" w:type="dxa"/>
            <w:tcBorders>
              <w:top w:val="single" w:color="auto" w:sz="4" w:space="0"/>
              <w:left w:val="nil"/>
              <w:bottom w:val="single" w:color="auto" w:sz="4" w:space="0"/>
              <w:right w:val="single" w:color="auto" w:sz="4" w:space="0"/>
            </w:tcBorders>
            <w:vAlign w:val="center"/>
          </w:tcPr>
          <w:p>
            <w:pPr>
              <w:adjustRightInd w:val="0"/>
              <w:spacing w:line="400" w:lineRule="exact"/>
              <w:rPr>
                <w:rFonts w:ascii="宋体" w:hAnsi="宋体" w:cs="宋体"/>
                <w:color w:val="auto"/>
                <w:highlight w:val="none"/>
              </w:rPr>
            </w:pPr>
            <w:r>
              <w:rPr>
                <w:rFonts w:hint="eastAsia" w:ascii="宋体" w:hAnsi="宋体" w:cs="宋体"/>
                <w:color w:val="auto"/>
                <w:highlight w:val="none"/>
              </w:rPr>
              <w:t>采购人指定地点</w:t>
            </w:r>
          </w:p>
        </w:tc>
      </w:tr>
      <w:tr>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1.6</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现场考察</w:t>
            </w:r>
          </w:p>
        </w:tc>
        <w:tc>
          <w:tcPr>
            <w:tcW w:w="6747" w:type="dxa"/>
            <w:tcBorders>
              <w:top w:val="single" w:color="auto" w:sz="4" w:space="0"/>
              <w:left w:val="nil"/>
              <w:bottom w:val="single" w:color="auto" w:sz="4" w:space="0"/>
              <w:right w:val="single" w:color="auto" w:sz="4" w:space="0"/>
            </w:tcBorders>
            <w:vAlign w:val="center"/>
          </w:tcPr>
          <w:p>
            <w:pPr>
              <w:pStyle w:val="46"/>
              <w:adjustRightInd w:val="0"/>
              <w:snapToGrid w:val="0"/>
              <w:spacing w:before="31" w:beforeLines="10" w:after="31" w:afterLines="10" w:line="400" w:lineRule="exact"/>
              <w:ind w:left="21" w:leftChars="10" w:right="21" w:rightChars="10"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组织</w:t>
            </w:r>
          </w:p>
          <w:p>
            <w:pPr>
              <w:pStyle w:val="46"/>
              <w:adjustRightInd w:val="0"/>
              <w:snapToGrid w:val="0"/>
              <w:spacing w:before="31" w:beforeLines="10" w:after="31" w:afterLines="10" w:line="400" w:lineRule="exact"/>
              <w:ind w:left="21" w:leftChars="10" w:right="21" w:rightChars="10" w:firstLine="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组织，考察时间：</w:t>
            </w:r>
          </w:p>
          <w:p>
            <w:pPr>
              <w:adjustRightInd w:val="0"/>
              <w:snapToGrid w:val="0"/>
              <w:spacing w:before="31" w:beforeLines="10" w:after="31" w:afterLines="10" w:line="400" w:lineRule="exact"/>
              <w:ind w:left="21" w:leftChars="10" w:right="21" w:rightChars="10"/>
              <w:rPr>
                <w:rFonts w:ascii="宋体" w:hAnsi="宋体" w:cs="宋体"/>
                <w:color w:val="auto"/>
                <w:highlight w:val="none"/>
              </w:rPr>
            </w:pPr>
            <w:r>
              <w:rPr>
                <w:rFonts w:hint="eastAsia" w:ascii="宋体" w:hAnsi="宋体" w:cs="宋体"/>
                <w:color w:val="auto"/>
                <w:highlight w:val="none"/>
              </w:rPr>
              <w:t>考察地点：</w:t>
            </w:r>
          </w:p>
          <w:p>
            <w:pPr>
              <w:adjustRightInd w:val="0"/>
              <w:snapToGrid w:val="0"/>
              <w:spacing w:before="31" w:beforeLines="10" w:after="31" w:afterLines="10" w:line="400" w:lineRule="exact"/>
              <w:ind w:left="21" w:leftChars="10" w:right="21" w:rightChars="10"/>
              <w:rPr>
                <w:rFonts w:ascii="宋体" w:hAnsi="宋体" w:cs="宋体"/>
                <w:color w:val="auto"/>
                <w:highlight w:val="none"/>
              </w:rPr>
            </w:pPr>
            <w:r>
              <w:rPr>
                <w:rFonts w:hint="eastAsia" w:ascii="宋体" w:hAnsi="宋体" w:cs="宋体"/>
                <w:color w:val="auto"/>
                <w:highlight w:val="none"/>
              </w:rPr>
              <w:t>☑不组织</w:t>
            </w:r>
          </w:p>
        </w:tc>
      </w:tr>
      <w:tr>
        <w:tblPrEx>
          <w:tblCellMar>
            <w:top w:w="0" w:type="dxa"/>
            <w:left w:w="108" w:type="dxa"/>
            <w:bottom w:w="0" w:type="dxa"/>
            <w:right w:w="108" w:type="dxa"/>
          </w:tblCellMar>
        </w:tblPrEx>
        <w:trPr>
          <w:trHeight w:val="395"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1.7</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分包</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before="31" w:beforeLines="10" w:after="31" w:afterLines="10" w:line="400" w:lineRule="exact"/>
              <w:ind w:left="21" w:leftChars="10" w:right="21" w:rightChars="10"/>
              <w:rPr>
                <w:rFonts w:ascii="宋体" w:hAnsi="宋体" w:cs="宋体"/>
                <w:color w:val="auto"/>
                <w:highlight w:val="none"/>
              </w:rPr>
            </w:pPr>
            <w:r>
              <w:rPr>
                <w:rFonts w:hint="eastAsia" w:ascii="宋体" w:hAnsi="宋体" w:cs="宋体"/>
                <w:color w:val="auto"/>
                <w:highlight w:val="none"/>
              </w:rPr>
              <w:t>☑不允许</w:t>
            </w:r>
          </w:p>
          <w:p>
            <w:pPr>
              <w:adjustRightInd w:val="0"/>
              <w:snapToGrid w:val="0"/>
              <w:spacing w:before="31" w:beforeLines="10" w:after="31" w:afterLines="10" w:line="400" w:lineRule="exact"/>
              <w:ind w:left="21" w:leftChars="10" w:right="21" w:rightChars="10"/>
              <w:rPr>
                <w:rFonts w:ascii="宋体" w:hAnsi="宋体" w:cs="宋体"/>
                <w:color w:val="auto"/>
                <w:highlight w:val="none"/>
              </w:rPr>
            </w:pPr>
            <w:r>
              <w:rPr>
                <w:rFonts w:hint="eastAsia" w:ascii="宋体" w:hAnsi="宋体" w:cs="宋体"/>
                <w:color w:val="auto"/>
                <w:highlight w:val="none"/>
              </w:rPr>
              <w:sym w:font="Wingdings" w:char="00A8"/>
            </w:r>
            <w:r>
              <w:rPr>
                <w:rFonts w:hint="eastAsia" w:ascii="宋体" w:hAnsi="宋体" w:cs="宋体"/>
                <w:color w:val="auto"/>
                <w:highlight w:val="none"/>
              </w:rPr>
              <w:t>允许，分包内容要求：</w:t>
            </w:r>
          </w:p>
          <w:p>
            <w:pPr>
              <w:adjustRightInd w:val="0"/>
              <w:snapToGrid w:val="0"/>
              <w:spacing w:before="31" w:beforeLines="10" w:after="31" w:afterLines="10" w:line="400" w:lineRule="exact"/>
              <w:ind w:left="21" w:leftChars="10" w:right="21" w:rightChars="10" w:firstLine="877" w:firstLineChars="418"/>
              <w:rPr>
                <w:rFonts w:ascii="宋体" w:hAnsi="宋体" w:cs="宋体"/>
                <w:color w:val="auto"/>
                <w:highlight w:val="none"/>
              </w:rPr>
            </w:pPr>
            <w:r>
              <w:rPr>
                <w:rFonts w:hint="eastAsia" w:ascii="宋体" w:hAnsi="宋体" w:cs="宋体"/>
                <w:color w:val="auto"/>
                <w:highlight w:val="none"/>
              </w:rPr>
              <w:t>分包金额要求：</w:t>
            </w:r>
          </w:p>
          <w:p>
            <w:pPr>
              <w:adjustRightInd w:val="0"/>
              <w:snapToGrid w:val="0"/>
              <w:spacing w:before="31" w:beforeLines="10" w:after="31" w:afterLines="10" w:line="400" w:lineRule="exact"/>
              <w:ind w:left="21" w:leftChars="10" w:right="21" w:rightChars="10" w:firstLine="877" w:firstLineChars="418"/>
              <w:rPr>
                <w:rFonts w:ascii="宋体" w:hAnsi="宋体" w:cs="宋体"/>
                <w:color w:val="auto"/>
                <w:highlight w:val="none"/>
              </w:rPr>
            </w:pPr>
            <w:r>
              <w:rPr>
                <w:rFonts w:hint="eastAsia" w:ascii="宋体" w:hAnsi="宋体" w:cs="宋体"/>
                <w:color w:val="auto"/>
                <w:highlight w:val="none"/>
              </w:rPr>
              <w:t>对分包人的资质要求：</w:t>
            </w:r>
          </w:p>
        </w:tc>
      </w:tr>
      <w:tr>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2.2.2</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采购人对招标文件澄清或修改的时间</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before="31" w:beforeLines="10" w:after="31" w:afterLines="10" w:line="400" w:lineRule="exact"/>
              <w:ind w:left="21" w:leftChars="10" w:right="21" w:rightChars="10"/>
              <w:rPr>
                <w:rFonts w:ascii="宋体" w:hAnsi="宋体" w:cs="宋体"/>
                <w:color w:val="auto"/>
                <w:highlight w:val="none"/>
              </w:rPr>
            </w:pPr>
            <w:r>
              <w:rPr>
                <w:rFonts w:hint="eastAsia" w:ascii="宋体" w:hAnsi="宋体" w:cs="宋体"/>
                <w:color w:val="auto"/>
                <w:highlight w:val="none"/>
              </w:rPr>
              <w:t>投标截止时间15日前</w:t>
            </w:r>
          </w:p>
        </w:tc>
      </w:tr>
      <w:tr>
        <w:tblPrEx>
          <w:tblCellMar>
            <w:top w:w="0" w:type="dxa"/>
            <w:left w:w="108" w:type="dxa"/>
            <w:bottom w:w="0" w:type="dxa"/>
            <w:right w:w="108" w:type="dxa"/>
          </w:tblCellMar>
        </w:tblPrEx>
        <w:trPr>
          <w:trHeight w:val="465"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3.8.1</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投标保证金</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before="31" w:beforeLines="10" w:after="31" w:afterLines="10" w:line="400" w:lineRule="exact"/>
              <w:ind w:left="21" w:leftChars="10" w:right="21" w:rightChars="10"/>
              <w:rPr>
                <w:rFonts w:ascii="宋体" w:hAnsi="宋体" w:cs="宋体"/>
                <w:b/>
                <w:bCs/>
                <w:color w:val="auto"/>
                <w:highlight w:val="none"/>
              </w:rPr>
            </w:pPr>
            <w:r>
              <w:rPr>
                <w:rFonts w:hint="eastAsia" w:ascii="宋体" w:hAnsi="宋体" w:cs="宋体"/>
                <w:color w:val="auto"/>
                <w:highlight w:val="none"/>
              </w:rPr>
              <w:t>不收取投标保证金</w:t>
            </w:r>
          </w:p>
        </w:tc>
      </w:tr>
      <w:tr>
        <w:tblPrEx>
          <w:tblCellMar>
            <w:top w:w="0" w:type="dxa"/>
            <w:left w:w="108" w:type="dxa"/>
            <w:bottom w:w="0" w:type="dxa"/>
            <w:right w:w="108" w:type="dxa"/>
          </w:tblCellMar>
        </w:tblPrEx>
        <w:trPr>
          <w:trHeight w:val="499"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3.9.1</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投标有效期</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before="31" w:beforeLines="10" w:after="31" w:afterLines="10" w:line="400" w:lineRule="exact"/>
              <w:ind w:left="21" w:leftChars="10" w:right="21" w:rightChars="10"/>
              <w:rPr>
                <w:rFonts w:ascii="宋体" w:hAnsi="宋体" w:cs="宋体"/>
                <w:color w:val="auto"/>
                <w:highlight w:val="none"/>
              </w:rPr>
            </w:pPr>
            <w:r>
              <w:rPr>
                <w:rFonts w:hint="eastAsia" w:ascii="宋体" w:hAnsi="宋体" w:cs="宋体"/>
                <w:color w:val="auto"/>
                <w:highlight w:val="none"/>
              </w:rPr>
              <w:t>递交投标文件的截止之日起</w:t>
            </w:r>
            <w:r>
              <w:rPr>
                <w:rFonts w:hint="eastAsia" w:ascii="宋体" w:hAnsi="宋体" w:cs="宋体"/>
                <w:color w:val="auto"/>
                <w:highlight w:val="none"/>
                <w:u w:val="single"/>
              </w:rPr>
              <w:t>60</w:t>
            </w:r>
            <w:r>
              <w:rPr>
                <w:rFonts w:hint="eastAsia" w:ascii="宋体" w:hAnsi="宋体" w:cs="宋体"/>
                <w:color w:val="auto"/>
                <w:highlight w:val="none"/>
              </w:rPr>
              <w:t>日历天</w:t>
            </w:r>
          </w:p>
        </w:tc>
      </w:tr>
      <w:tr>
        <w:tblPrEx>
          <w:tblCellMar>
            <w:top w:w="0" w:type="dxa"/>
            <w:left w:w="108" w:type="dxa"/>
            <w:bottom w:w="0" w:type="dxa"/>
            <w:right w:w="108" w:type="dxa"/>
          </w:tblCellMar>
        </w:tblPrEx>
        <w:trPr>
          <w:trHeight w:val="684"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3.10.3</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开标程序</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line="400" w:lineRule="exact"/>
              <w:rPr>
                <w:rFonts w:hint="eastAsia" w:ascii="宋体" w:hAnsi="宋体" w:cs="宋体"/>
                <w:color w:val="auto"/>
                <w:highlight w:val="none"/>
              </w:rPr>
            </w:pPr>
            <w:r>
              <w:rPr>
                <w:rFonts w:hint="eastAsia" w:ascii="宋体" w:hAnsi="宋体" w:cs="宋体"/>
                <w:color w:val="auto"/>
                <w:highlight w:val="none"/>
              </w:rPr>
              <w:t>（1）开标时，投标人采用网上远程异地解密时，请用CA证书登录平顶山市公共资源交易中心业务系统，进入本项目开标大厅点击解密来完成投标文件的解密工作。每位投标人的解密时间从开标时间起60 分钟内完成，超过规定时间解密的投标文件不予接收。</w:t>
            </w:r>
          </w:p>
          <w:p>
            <w:pPr>
              <w:adjustRightInd w:val="0"/>
              <w:snapToGrid w:val="0"/>
              <w:spacing w:line="400" w:lineRule="exact"/>
              <w:rPr>
                <w:rFonts w:hint="eastAsia" w:ascii="宋体" w:hAnsi="宋体" w:cs="宋体"/>
                <w:color w:val="auto"/>
                <w:highlight w:val="none"/>
              </w:rPr>
            </w:pPr>
            <w:r>
              <w:rPr>
                <w:rFonts w:hint="eastAsia" w:ascii="宋体" w:hAnsi="宋体" w:cs="宋体"/>
                <w:color w:val="auto"/>
                <w:highlight w:val="none"/>
              </w:rPr>
              <w:t>（2）待所有投标人投标文件解密完成后，由代理机构操作，对所有已解密投标文件进行唱标。</w:t>
            </w:r>
          </w:p>
          <w:p>
            <w:pPr>
              <w:adjustRightInd w:val="0"/>
              <w:snapToGrid w:val="0"/>
              <w:spacing w:line="400" w:lineRule="exact"/>
              <w:rPr>
                <w:rFonts w:ascii="宋体" w:hAnsi="宋体" w:cs="宋体"/>
                <w:color w:val="auto"/>
                <w:highlight w:val="none"/>
              </w:rPr>
            </w:pPr>
            <w:r>
              <w:rPr>
                <w:rFonts w:hint="eastAsia" w:ascii="宋体" w:hAnsi="宋体" w:cs="宋体"/>
                <w:color w:val="auto"/>
                <w:highlight w:val="none"/>
              </w:rPr>
              <w:t>（3）请所有投标人在专家评审期间保持电话畅通并密切关注系统内评审专家的质疑，并在规定的时间及时回复，因超时未回复造成的后果由投标人自行承担。</w:t>
            </w:r>
          </w:p>
        </w:tc>
      </w:tr>
      <w:tr>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4.1.1</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递交投标文件的</w:t>
            </w:r>
          </w:p>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截止时间</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before="31" w:beforeLines="10" w:after="31" w:afterLines="10" w:line="400" w:lineRule="exact"/>
              <w:ind w:right="21" w:rightChars="10"/>
              <w:rPr>
                <w:rFonts w:ascii="宋体" w:hAnsi="宋体" w:cs="宋体"/>
                <w:b/>
                <w:bCs/>
                <w:color w:val="auto"/>
                <w:highlight w:val="none"/>
              </w:rPr>
            </w:pPr>
            <w:r>
              <w:rPr>
                <w:rFonts w:hint="eastAsia" w:ascii="宋体" w:hAnsi="宋体" w:cs="宋体"/>
                <w:b/>
                <w:bCs/>
                <w:color w:val="auto"/>
                <w:highlight w:val="none"/>
                <w:shd w:val="clear" w:color="auto" w:fill="FFFFFF"/>
              </w:rPr>
              <w:t>2024年</w:t>
            </w:r>
            <w:r>
              <w:rPr>
                <w:rFonts w:hint="eastAsia" w:ascii="宋体" w:hAnsi="宋体" w:cs="宋体"/>
                <w:b/>
                <w:bCs/>
                <w:color w:val="auto"/>
                <w:highlight w:val="none"/>
                <w:shd w:val="clear" w:color="auto" w:fill="FFFFFF"/>
                <w:lang w:val="en-US" w:eastAsia="zh-CN"/>
              </w:rPr>
              <w:t>8</w:t>
            </w:r>
            <w:r>
              <w:rPr>
                <w:rFonts w:hint="eastAsia" w:ascii="宋体" w:hAnsi="宋体" w:cs="宋体"/>
                <w:b/>
                <w:bCs/>
                <w:color w:val="auto"/>
                <w:highlight w:val="none"/>
                <w:shd w:val="clear" w:color="auto" w:fill="FFFFFF"/>
              </w:rPr>
              <w:t>月</w:t>
            </w:r>
            <w:r>
              <w:rPr>
                <w:rFonts w:hint="eastAsia" w:ascii="宋体" w:hAnsi="宋体" w:cs="宋体"/>
                <w:b/>
                <w:bCs/>
                <w:color w:val="auto"/>
                <w:highlight w:val="none"/>
                <w:shd w:val="clear" w:color="auto" w:fill="FFFFFF"/>
                <w:lang w:val="en-US" w:eastAsia="zh-CN"/>
              </w:rPr>
              <w:t>19</w:t>
            </w:r>
            <w:r>
              <w:rPr>
                <w:rFonts w:hint="eastAsia" w:ascii="宋体" w:hAnsi="宋体" w:cs="宋体"/>
                <w:b/>
                <w:bCs/>
                <w:color w:val="auto"/>
                <w:highlight w:val="none"/>
                <w:shd w:val="clear" w:color="auto" w:fill="FFFFFF"/>
              </w:rPr>
              <w:t>日09点00分（北京时间）</w:t>
            </w:r>
          </w:p>
        </w:tc>
      </w:tr>
      <w:tr>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4.1.3</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递交投标文件地点</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line="400" w:lineRule="exact"/>
              <w:rPr>
                <w:rFonts w:ascii="宋体" w:hAnsi="宋体" w:cs="宋体"/>
                <w:color w:val="auto"/>
                <w:highlight w:val="none"/>
              </w:rPr>
            </w:pPr>
            <w:r>
              <w:rPr>
                <w:rFonts w:hint="eastAsia" w:ascii="宋体" w:hAnsi="宋体" w:cs="宋体"/>
                <w:color w:val="auto"/>
                <w:highlight w:val="none"/>
              </w:rPr>
              <w:t>不见面开标，投标人登录平顶山市公共资源交易中心网站不见面开标大厅远程参与。</w:t>
            </w:r>
          </w:p>
        </w:tc>
      </w:tr>
      <w:tr>
        <w:tblPrEx>
          <w:tblCellMar>
            <w:top w:w="0" w:type="dxa"/>
            <w:left w:w="108" w:type="dxa"/>
            <w:bottom w:w="0" w:type="dxa"/>
            <w:right w:w="108" w:type="dxa"/>
          </w:tblCellMar>
        </w:tblPrEx>
        <w:trPr>
          <w:trHeight w:val="949"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5.1.1</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开标时间和地点</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line="400" w:lineRule="exact"/>
              <w:rPr>
                <w:rFonts w:ascii="宋体" w:hAnsi="宋体" w:cs="宋体"/>
                <w:color w:val="auto"/>
                <w:highlight w:val="none"/>
              </w:rPr>
            </w:pPr>
            <w:r>
              <w:rPr>
                <w:rFonts w:hint="eastAsia" w:ascii="宋体" w:hAnsi="宋体" w:cs="宋体"/>
                <w:color w:val="auto"/>
                <w:highlight w:val="none"/>
              </w:rPr>
              <w:t>开标时间：同投标截止时间</w:t>
            </w:r>
          </w:p>
          <w:p>
            <w:pPr>
              <w:adjustRightInd w:val="0"/>
              <w:snapToGrid w:val="0"/>
              <w:spacing w:line="400" w:lineRule="exact"/>
              <w:rPr>
                <w:rFonts w:hint="default" w:ascii="宋体" w:hAnsi="宋体" w:eastAsia="宋体" w:cs="宋体"/>
                <w:color w:val="auto"/>
                <w:highlight w:val="none"/>
                <w:lang w:val="en-US" w:eastAsia="zh-CN"/>
              </w:rPr>
            </w:pPr>
            <w:r>
              <w:rPr>
                <w:rFonts w:hint="eastAsia" w:ascii="宋体" w:hAnsi="宋体" w:cs="宋体"/>
                <w:color w:val="auto"/>
                <w:highlight w:val="none"/>
              </w:rPr>
              <w:t>开标地点：平顶山市公共资源交易</w:t>
            </w:r>
            <w:r>
              <w:rPr>
                <w:rFonts w:hint="eastAsia" w:ascii="宋体" w:hAnsi="宋体" w:cs="宋体"/>
                <w:color w:val="auto"/>
                <w:highlight w:val="none"/>
                <w:lang w:val="en-US" w:eastAsia="zh-CN"/>
              </w:rPr>
              <w:t>中心网</w:t>
            </w:r>
          </w:p>
        </w:tc>
      </w:tr>
      <w:tr>
        <w:tblPrEx>
          <w:tblCellMar>
            <w:top w:w="0" w:type="dxa"/>
            <w:left w:w="108" w:type="dxa"/>
            <w:bottom w:w="0" w:type="dxa"/>
            <w:right w:w="108" w:type="dxa"/>
          </w:tblCellMar>
        </w:tblPrEx>
        <w:trPr>
          <w:trHeight w:val="1078"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6.1.1</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评标委员会的构成</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line="400" w:lineRule="exact"/>
              <w:rPr>
                <w:rFonts w:hint="eastAsia" w:ascii="宋体" w:hAnsi="宋体" w:cs="宋体"/>
                <w:color w:val="auto"/>
                <w:highlight w:val="none"/>
              </w:rPr>
            </w:pPr>
            <w:r>
              <w:rPr>
                <w:rFonts w:hint="eastAsia" w:ascii="宋体" w:hAnsi="宋体" w:cs="宋体"/>
                <w:color w:val="auto"/>
                <w:highlight w:val="none"/>
              </w:rPr>
              <w:t>评标小组构成：由采购人代表、经济、技术类专家</w:t>
            </w:r>
            <w:r>
              <w:rPr>
                <w:rFonts w:hint="eastAsia" w:ascii="宋体" w:hAnsi="宋体" w:cs="宋体"/>
                <w:color w:val="auto"/>
                <w:highlight w:val="none"/>
                <w:lang w:val="en-US" w:eastAsia="zh-CN"/>
              </w:rPr>
              <w:t>7</w:t>
            </w:r>
            <w:r>
              <w:rPr>
                <w:rFonts w:hint="eastAsia" w:ascii="宋体" w:hAnsi="宋体" w:cs="宋体"/>
                <w:color w:val="auto"/>
                <w:highlight w:val="none"/>
              </w:rPr>
              <w:t>人及以上单数组成，其中经济、技术专家不得少于成员人数的三分之二。</w:t>
            </w:r>
          </w:p>
          <w:p>
            <w:pPr>
              <w:adjustRightInd w:val="0"/>
              <w:snapToGrid w:val="0"/>
              <w:spacing w:line="400" w:lineRule="exact"/>
              <w:rPr>
                <w:rFonts w:ascii="宋体" w:hAnsi="宋体" w:cs="宋体"/>
                <w:color w:val="auto"/>
                <w:highlight w:val="none"/>
              </w:rPr>
            </w:pPr>
            <w:r>
              <w:rPr>
                <w:rFonts w:hint="eastAsia" w:ascii="宋体" w:hAnsi="宋体" w:cs="宋体"/>
                <w:color w:val="auto"/>
                <w:highlight w:val="none"/>
              </w:rPr>
              <w:t>评标小组确定方式：从政府部门组建的评标专家库随机抽取，上述规定为一组评标专家委员会组成方式，根据项目标段数量和评标工作量，可由多组专家委员会完成评审，但一个标段只能由一组评标专家委员会评审。</w:t>
            </w:r>
          </w:p>
        </w:tc>
      </w:tr>
      <w:tr>
        <w:tblPrEx>
          <w:tblCellMar>
            <w:top w:w="0" w:type="dxa"/>
            <w:left w:w="108" w:type="dxa"/>
            <w:bottom w:w="0" w:type="dxa"/>
            <w:right w:w="108" w:type="dxa"/>
          </w:tblCellMar>
        </w:tblPrEx>
        <w:trPr>
          <w:trHeight w:val="545"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6.1.2</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评标委员会推荐</w:t>
            </w:r>
          </w:p>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中标候选人的人数</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line="400" w:lineRule="exact"/>
              <w:rPr>
                <w:rFonts w:ascii="宋体" w:hAnsi="宋体" w:cs="宋体"/>
                <w:color w:val="auto"/>
                <w:highlight w:val="none"/>
              </w:rPr>
            </w:pPr>
            <w:r>
              <w:rPr>
                <w:rFonts w:hint="eastAsia" w:ascii="宋体" w:hAnsi="宋体" w:cs="宋体"/>
                <w:color w:val="auto"/>
                <w:highlight w:val="none"/>
                <w:lang w:val="en-US" w:eastAsia="zh-CN"/>
              </w:rPr>
              <w:t>3</w:t>
            </w:r>
            <w:r>
              <w:rPr>
                <w:rFonts w:hint="eastAsia" w:ascii="宋体" w:hAnsi="宋体" w:cs="宋体"/>
                <w:color w:val="auto"/>
                <w:highlight w:val="none"/>
              </w:rPr>
              <w:t>名</w:t>
            </w:r>
          </w:p>
        </w:tc>
      </w:tr>
      <w:tr>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6.5.4</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本项目采用</w:t>
            </w:r>
          </w:p>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评标办法</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before="31" w:beforeLines="10" w:after="31" w:afterLines="10" w:line="400" w:lineRule="exact"/>
              <w:ind w:left="21" w:leftChars="10" w:right="21" w:rightChars="10"/>
              <w:rPr>
                <w:rFonts w:ascii="宋体" w:hAnsi="宋体" w:cs="宋体"/>
                <w:color w:val="auto"/>
                <w:highlight w:val="none"/>
              </w:rPr>
            </w:pPr>
            <w:r>
              <w:rPr>
                <w:rFonts w:hint="eastAsia" w:ascii="宋体" w:hAnsi="宋体" w:cs="宋体"/>
                <w:color w:val="auto"/>
                <w:spacing w:val="-1"/>
                <w:kern w:val="0"/>
                <w:highlight w:val="none"/>
              </w:rPr>
              <w:t>□</w:t>
            </w:r>
            <w:r>
              <w:rPr>
                <w:rFonts w:hint="eastAsia" w:ascii="宋体" w:hAnsi="宋体" w:cs="宋体"/>
                <w:color w:val="auto"/>
                <w:highlight w:val="none"/>
              </w:rPr>
              <w:t>最低评标价法</w:t>
            </w:r>
          </w:p>
          <w:p>
            <w:pPr>
              <w:adjustRightInd w:val="0"/>
              <w:snapToGrid w:val="0"/>
              <w:spacing w:before="31" w:beforeLines="10" w:after="31" w:afterLines="10" w:line="400" w:lineRule="exact"/>
              <w:ind w:left="21" w:leftChars="10" w:right="21" w:rightChars="10"/>
              <w:rPr>
                <w:rFonts w:ascii="宋体" w:hAnsi="宋体" w:cs="宋体"/>
                <w:color w:val="auto"/>
                <w:highlight w:val="none"/>
              </w:rPr>
            </w:pPr>
            <w:r>
              <w:rPr>
                <w:rFonts w:hint="eastAsia" w:ascii="宋体" w:hAnsi="宋体" w:cs="宋体"/>
                <w:color w:val="auto"/>
                <w:spacing w:val="-1"/>
                <w:kern w:val="0"/>
                <w:highlight w:val="none"/>
              </w:rPr>
              <w:t>☑</w:t>
            </w:r>
            <w:r>
              <w:rPr>
                <w:rFonts w:hint="eastAsia" w:ascii="宋体" w:hAnsi="宋体" w:cs="宋体"/>
                <w:color w:val="auto"/>
                <w:highlight w:val="none"/>
              </w:rPr>
              <w:t>综合评分法</w:t>
            </w:r>
          </w:p>
        </w:tc>
      </w:tr>
      <w:tr>
        <w:tblPrEx>
          <w:tblCellMar>
            <w:top w:w="0" w:type="dxa"/>
            <w:left w:w="108" w:type="dxa"/>
            <w:bottom w:w="0" w:type="dxa"/>
            <w:right w:w="108" w:type="dxa"/>
          </w:tblCellMar>
        </w:tblPrEx>
        <w:trPr>
          <w:trHeight w:val="753"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7.3</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中标公告</w:t>
            </w:r>
          </w:p>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媒体及期限</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before="31" w:beforeLines="10" w:after="31" w:afterLines="10" w:line="400" w:lineRule="exact"/>
              <w:ind w:left="21" w:leftChars="10" w:right="21" w:rightChars="10"/>
              <w:rPr>
                <w:rFonts w:ascii="宋体" w:hAnsi="宋体" w:cs="宋体"/>
                <w:color w:val="auto"/>
                <w:highlight w:val="none"/>
              </w:rPr>
            </w:pPr>
            <w:r>
              <w:rPr>
                <w:rFonts w:hint="eastAsia" w:ascii="宋体" w:hAnsi="宋体" w:cs="宋体"/>
                <w:color w:val="auto"/>
                <w:highlight w:val="none"/>
              </w:rPr>
              <w:t>原招标公告发布媒体，中标公告期限为1个工作日</w:t>
            </w:r>
          </w:p>
        </w:tc>
      </w:tr>
      <w:tr>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7.7</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履约担保</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before="31" w:beforeLines="10" w:after="31" w:afterLines="10" w:line="400" w:lineRule="exact"/>
              <w:ind w:left="21" w:leftChars="10" w:right="21" w:rightChars="10"/>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不收取</w:t>
            </w:r>
          </w:p>
        </w:tc>
      </w:tr>
      <w:tr>
        <w:tblPrEx>
          <w:tblCellMar>
            <w:top w:w="0" w:type="dxa"/>
            <w:left w:w="108" w:type="dxa"/>
            <w:bottom w:w="0" w:type="dxa"/>
            <w:right w:w="108" w:type="dxa"/>
          </w:tblCellMar>
        </w:tblPrEx>
        <w:trPr>
          <w:trHeight w:val="492"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7.8</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rPr>
                <w:rFonts w:ascii="宋体" w:hAnsi="宋体" w:cs="宋体"/>
                <w:color w:val="auto"/>
                <w:highlight w:val="none"/>
              </w:rPr>
            </w:pPr>
            <w:r>
              <w:rPr>
                <w:rFonts w:hint="eastAsia" w:ascii="宋体" w:hAnsi="宋体" w:cs="宋体"/>
                <w:color w:val="auto"/>
                <w:highlight w:val="none"/>
              </w:rPr>
              <w:t>中标服务费</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line="400" w:lineRule="exact"/>
              <w:rPr>
                <w:rFonts w:ascii="宋体" w:hAnsi="宋体" w:cs="宋体"/>
                <w:color w:val="auto"/>
                <w:highlight w:val="none"/>
              </w:rPr>
            </w:pPr>
            <w:r>
              <w:rPr>
                <w:rFonts w:hint="eastAsia" w:ascii="宋体" w:hAnsi="宋体" w:cs="宋体"/>
                <w:color w:val="auto"/>
                <w:highlight w:val="none"/>
              </w:rPr>
              <w:t>参照《河南省招标代理服务收费指导意见》（豫招协〔2023〕002号）的收费标准，由中标单位向采购代理机构支付。</w:t>
            </w:r>
          </w:p>
        </w:tc>
      </w:tr>
      <w:tr>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10</w:t>
            </w:r>
          </w:p>
        </w:tc>
        <w:tc>
          <w:tcPr>
            <w:tcW w:w="8732" w:type="dxa"/>
            <w:gridSpan w:val="2"/>
            <w:tcBorders>
              <w:top w:val="single" w:color="auto" w:sz="4" w:space="0"/>
              <w:left w:val="nil"/>
              <w:bottom w:val="single" w:color="auto" w:sz="4" w:space="0"/>
              <w:right w:val="single" w:color="auto" w:sz="4" w:space="0"/>
            </w:tcBorders>
            <w:vAlign w:val="center"/>
          </w:tcPr>
          <w:p>
            <w:pPr>
              <w:adjustRightInd w:val="0"/>
              <w:spacing w:line="400" w:lineRule="exact"/>
              <w:jc w:val="left"/>
              <w:textAlignment w:val="baseline"/>
              <w:rPr>
                <w:rFonts w:ascii="宋体" w:hAnsi="宋体" w:cs="宋体"/>
                <w:color w:val="auto"/>
                <w:highlight w:val="none"/>
              </w:rPr>
            </w:pPr>
            <w:r>
              <w:rPr>
                <w:rFonts w:hint="eastAsia" w:ascii="宋体" w:hAnsi="宋体" w:cs="宋体"/>
                <w:color w:val="auto"/>
                <w:highlight w:val="none"/>
              </w:rPr>
              <w:t>需要补充的其他内容</w:t>
            </w:r>
          </w:p>
        </w:tc>
      </w:tr>
      <w:tr>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10.1</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最高限价</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line="40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最高限价：21290000.00元</w:t>
            </w:r>
          </w:p>
          <w:p>
            <w:pPr>
              <w:adjustRightInd w:val="0"/>
              <w:snapToGrid w:val="0"/>
              <w:spacing w:line="40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包1:2080000.00元；</w:t>
            </w:r>
          </w:p>
          <w:p>
            <w:pPr>
              <w:adjustRightInd w:val="0"/>
              <w:snapToGrid w:val="0"/>
              <w:spacing w:line="40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包2:1260000.00元；</w:t>
            </w:r>
          </w:p>
          <w:p>
            <w:pPr>
              <w:adjustRightInd w:val="0"/>
              <w:snapToGrid w:val="0"/>
              <w:spacing w:line="40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包3:6500000元；</w:t>
            </w:r>
          </w:p>
          <w:p>
            <w:pPr>
              <w:adjustRightInd w:val="0"/>
              <w:snapToGrid w:val="0"/>
              <w:spacing w:line="40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包4：3950000元；</w:t>
            </w:r>
          </w:p>
          <w:p>
            <w:pPr>
              <w:adjustRightInd w:val="0"/>
              <w:snapToGrid w:val="0"/>
              <w:spacing w:line="40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包5：1100000元；</w:t>
            </w:r>
          </w:p>
          <w:p>
            <w:pPr>
              <w:adjustRightInd w:val="0"/>
              <w:snapToGrid w:val="0"/>
              <w:spacing w:line="40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包6：1600000元；</w:t>
            </w:r>
          </w:p>
          <w:p>
            <w:pPr>
              <w:adjustRightInd w:val="0"/>
              <w:snapToGrid w:val="0"/>
              <w:spacing w:line="40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包7：4800000元。</w:t>
            </w:r>
          </w:p>
          <w:p>
            <w:pPr>
              <w:adjustRightInd w:val="0"/>
              <w:snapToGrid w:val="0"/>
              <w:spacing w:line="400" w:lineRule="exact"/>
              <w:rPr>
                <w:rFonts w:ascii="宋体" w:hAnsi="宋体" w:cs="宋体"/>
                <w:color w:val="auto"/>
                <w:highlight w:val="none"/>
              </w:rPr>
            </w:pPr>
            <w:r>
              <w:rPr>
                <w:rFonts w:hint="eastAsia" w:ascii="宋体" w:hAnsi="宋体" w:cs="宋体"/>
                <w:color w:val="auto"/>
                <w:highlight w:val="none"/>
                <w:lang w:val="en-US" w:eastAsia="zh-CN"/>
              </w:rPr>
              <w:t>注：超出最高限价按废标处理。</w:t>
            </w:r>
          </w:p>
        </w:tc>
      </w:tr>
      <w:tr>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10.2</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投标人提出问题的截止时间</w:t>
            </w:r>
          </w:p>
        </w:tc>
        <w:tc>
          <w:tcPr>
            <w:tcW w:w="6747" w:type="dxa"/>
            <w:tcBorders>
              <w:top w:val="single" w:color="auto" w:sz="4" w:space="0"/>
              <w:left w:val="nil"/>
              <w:bottom w:val="single" w:color="auto" w:sz="4" w:space="0"/>
              <w:right w:val="single" w:color="auto" w:sz="4" w:space="0"/>
            </w:tcBorders>
            <w:vAlign w:val="center"/>
          </w:tcPr>
          <w:p>
            <w:pPr>
              <w:adjustRightInd w:val="0"/>
              <w:spacing w:line="400" w:lineRule="exact"/>
              <w:jc w:val="left"/>
              <w:textAlignment w:val="baseline"/>
              <w:rPr>
                <w:rFonts w:ascii="宋体" w:hAnsi="宋体" w:cs="宋体"/>
                <w:color w:val="auto"/>
                <w:highlight w:val="none"/>
              </w:rPr>
            </w:pPr>
            <w:r>
              <w:rPr>
                <w:rFonts w:hint="eastAsia" w:ascii="宋体" w:hAnsi="宋体" w:cs="宋体"/>
                <w:color w:val="auto"/>
                <w:highlight w:val="none"/>
              </w:rPr>
              <w:t>递交投标文件截止之日10天前在电子交易系统中提出</w:t>
            </w:r>
          </w:p>
        </w:tc>
      </w:tr>
      <w:tr>
        <w:tblPrEx>
          <w:tblCellMar>
            <w:top w:w="0" w:type="dxa"/>
            <w:left w:w="108" w:type="dxa"/>
            <w:bottom w:w="0" w:type="dxa"/>
            <w:right w:w="108" w:type="dxa"/>
          </w:tblCellMar>
        </w:tblPrEx>
        <w:trPr>
          <w:trHeight w:val="418"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10.3</w:t>
            </w:r>
          </w:p>
        </w:tc>
        <w:tc>
          <w:tcPr>
            <w:tcW w:w="1985" w:type="dxa"/>
            <w:tcBorders>
              <w:top w:val="single" w:color="auto" w:sz="4" w:space="0"/>
              <w:left w:val="nil"/>
              <w:bottom w:val="single" w:color="auto" w:sz="4" w:space="0"/>
              <w:right w:val="single" w:color="auto" w:sz="4" w:space="0"/>
            </w:tcBorders>
            <w:vAlign w:val="center"/>
          </w:tcPr>
          <w:p>
            <w:pPr>
              <w:adjustRightInd w:val="0"/>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付款方式</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before="31" w:beforeLines="10" w:after="31" w:afterLines="10" w:line="400" w:lineRule="exact"/>
              <w:ind w:left="21" w:leftChars="10" w:right="21" w:rightChars="10"/>
              <w:rPr>
                <w:rFonts w:ascii="宋体" w:hAnsi="宋体" w:cs="宋体"/>
                <w:color w:val="auto"/>
                <w:highlight w:val="none"/>
              </w:rPr>
            </w:pPr>
            <w:r>
              <w:rPr>
                <w:rFonts w:hint="eastAsia" w:ascii="宋体" w:hAnsi="宋体" w:cs="宋体"/>
                <w:color w:val="auto"/>
                <w:highlight w:val="none"/>
              </w:rPr>
              <w:t>合同签订后支付合同价的30%为预付款，安装调试完毕，经甲方试用、验收合格后，甲方向乙方支付剩余合同价的70%。</w:t>
            </w:r>
          </w:p>
        </w:tc>
      </w:tr>
      <w:tr>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adjustRightInd w:val="0"/>
              <w:spacing w:line="400" w:lineRule="exact"/>
              <w:jc w:val="center"/>
              <w:textAlignment w:val="baseline"/>
              <w:rPr>
                <w:rFonts w:hint="eastAsia" w:ascii="宋体" w:hAnsi="宋体" w:eastAsia="宋体" w:cs="宋体"/>
                <w:color w:val="auto"/>
                <w:highlight w:val="none"/>
                <w:lang w:eastAsia="zh-CN"/>
              </w:rPr>
            </w:pPr>
            <w:r>
              <w:rPr>
                <w:rFonts w:hint="eastAsia" w:ascii="宋体" w:hAnsi="宋体" w:cs="宋体"/>
                <w:color w:val="auto"/>
                <w:highlight w:val="none"/>
              </w:rPr>
              <w:t>10.</w:t>
            </w:r>
            <w:r>
              <w:rPr>
                <w:rFonts w:hint="eastAsia" w:ascii="宋体" w:hAnsi="宋体" w:cs="宋体"/>
                <w:color w:val="auto"/>
                <w:highlight w:val="none"/>
                <w:lang w:val="en-US" w:eastAsia="zh-CN"/>
              </w:rPr>
              <w:t>4</w:t>
            </w:r>
          </w:p>
        </w:tc>
        <w:tc>
          <w:tcPr>
            <w:tcW w:w="1985" w:type="dxa"/>
            <w:tcBorders>
              <w:top w:val="single" w:color="auto" w:sz="4" w:space="0"/>
              <w:left w:val="nil"/>
              <w:bottom w:val="single" w:color="auto" w:sz="4" w:space="0"/>
              <w:right w:val="single" w:color="auto" w:sz="4" w:space="0"/>
            </w:tcBorders>
            <w:vAlign w:val="center"/>
          </w:tcPr>
          <w:p>
            <w:pPr>
              <w:adjustRightInd w:val="0"/>
              <w:snapToGrid w:val="0"/>
              <w:spacing w:before="31" w:beforeLines="10" w:after="31" w:afterLines="10" w:line="400" w:lineRule="exact"/>
              <w:ind w:left="21" w:leftChars="10" w:right="21" w:rightChars="10"/>
              <w:jc w:val="center"/>
              <w:rPr>
                <w:rFonts w:ascii="宋体" w:hAnsi="宋体" w:cs="宋体"/>
                <w:color w:val="auto"/>
                <w:highlight w:val="none"/>
              </w:rPr>
            </w:pPr>
            <w:r>
              <w:rPr>
                <w:rFonts w:hint="eastAsia" w:ascii="宋体" w:hAnsi="宋体" w:cs="宋体"/>
                <w:color w:val="auto"/>
                <w:highlight w:val="none"/>
              </w:rPr>
              <w:t>政采领域优化营商环境相关政策</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一、落实四个“一日办”精神：</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按照《平顶山市财政局关于压减政府采购各环节时限 进一步优化政府采购营商环境的通知》（平财购〔2021〕34号）通知，落实四个“一日办”精神：</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（1）在评审结束后1日内确定采购结果，同时对中标单位发出中标或成交通知书，并在网上进行公告；</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（2）中标或成交通知书发出后，1日内与中标或成交供应商签订合同，合同签订当日完成合同备案工作；</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（3）政府采购项目供应商履约完成后，采购人应在供应商提出验收申请1个工作日内完成验收，同时在平顶山市政府采购网发布验收结果公告；</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（4）验收合格具备付款条件的项目，采购人要在1个工作日内按照合同约定支付项目资金。</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注：签合同需法定代表人携带本人身份证（如为授权委托人，则携带法定代表人授权委托书及本人身份证）、单位公章、合同纸质版本一式六份及合同电子版。</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二、维护企业在政府采购活动中的知情权</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三、提供中小企业声明函格式</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在采购文件中，采购代理机构应按照财政部、工信部印发的《政府采购促进中小企业发展管理办法》的通知精神（财库〔2020〕46号）提供中小企业声明函格式。</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根据《政府采购促进中小企业发展管理办法》（财库〔2020〕46号）第四条：在政府采购活动中，供应商提供的货物、工程或者服务符合下列情形的，享受本办法规定的中小企业扶持政策：</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（一）在货物采购项目中，货物由中小企业制造，即货物由中小企业生产且使用该中小企业商号或者注册商标；</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（二）在工程采购项目中，工程由中小企业承建，即工程施工单位为中小企业；</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（三）在服务采购项目中，服务由中小企业承接，即提供服务的人员为中小企业依照《中华人民共和国劳动合同法》订立劳动合同的从业人员。</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在货物采购项目中，供应商提供的货物既有中小企业制造货物，也有大型企业制造货物的，不享受本办法规定的中小企业扶持政策。</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以联合体形式参加政府采购活动，联合体各方均为中小企业的，联合体视同中小企业。其中，联合体各方均为小微企业的，联合体视同小微企业。</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四、推广政府采购合同融资</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要求采购人和代理机构将“政府采购合同融资告知函”写入招标文件，鼓励中标供应商凭借采购合同申请贷款，助力解决中小企业融资难、融资贵的问题。</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五、落实预留采购份额</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六、落实价格评审优惠政策</w:t>
            </w:r>
          </w:p>
          <w:p>
            <w:pPr>
              <w:adjustRightInd w:val="0"/>
              <w:snapToGrid w:val="0"/>
              <w:spacing w:before="31" w:beforeLines="10" w:after="31" w:afterLines="10" w:line="400" w:lineRule="exact"/>
              <w:ind w:left="21" w:leftChars="10" w:right="21" w:rightChars="10"/>
              <w:rPr>
                <w:rFonts w:hint="eastAsia" w:ascii="宋体" w:hAnsi="宋体" w:cs="宋体"/>
                <w:color w:val="auto"/>
                <w:highlight w:val="none"/>
              </w:rPr>
            </w:pPr>
            <w:r>
              <w:rPr>
                <w:rFonts w:hint="eastAsia" w:ascii="宋体" w:hAnsi="宋体" w:cs="宋体"/>
                <w:color w:val="auto"/>
                <w:highlight w:val="none"/>
              </w:rPr>
              <w:t>对于未预留份额专门面向中小企业采购的采购项目，以及预留份额项目中的非预留部分采购包，采购人、采购代理机构应当对符合《政府采购促进中小企业发展管理办法》（财库〔2020〕46号）规定的小微企业报价给予6%—10%（工程项目为 3%—5%）的扣除，用扣除后的价格参加评审。大中型企业与小微企业组成联合体或者大中型企业向小微企业分包的（联合协议或者分包意向协议约定小微企业的合同份额应占合同总金额的30%以上），给予联合体或大中型企业2%—3%（工程项目为1%—2%）的价格扣除优惠，用扣除后的价格参加评审。按照平顶山市财政局出台的《平顶山市财政局关于进一步加大政府采购支持中小企业力度的通知》（平财购〔2022〕8号）的规定：采购人在货物和服务采购项目中， 对于经主管预算单位统筹后未预留份额专门面向中小企业的采购项目，以及预留份额项目中的非预留部分采购包，给予小微企业10%—20%的价格扣除优惠。大中型企业与小微企业组成联合体或者大中型企业向小微企业分包的（联合协议或者分包意向协议约定小微企业的合同份额应占合同总金额的30%以上），给予联合体或大中型企业4%—6%的价格扣除优惠，用扣除后的价格参加评审。鼓励采购人结合采购标的相关行业平均利润率、市场竞争状况等从高选择价格扣除比例和评审优惠幅度，支持中小企业发展。上述政策应当在评审办法中注明确定值。</w:t>
            </w:r>
          </w:p>
        </w:tc>
      </w:tr>
      <w:tr>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textAlignment w:val="baseline"/>
              <w:rPr>
                <w:rFonts w:hint="eastAsia" w:ascii="宋体" w:hAnsi="宋体" w:eastAsia="宋体" w:cs="宋体"/>
                <w:color w:val="auto"/>
                <w:highlight w:val="none"/>
                <w:lang w:eastAsia="zh-CN"/>
              </w:rPr>
            </w:pPr>
            <w:r>
              <w:rPr>
                <w:rFonts w:hint="eastAsia" w:ascii="宋体" w:hAnsi="宋体" w:cs="宋体"/>
                <w:color w:val="auto"/>
                <w:highlight w:val="none"/>
              </w:rPr>
              <w:t>10.</w:t>
            </w:r>
            <w:r>
              <w:rPr>
                <w:rFonts w:hint="eastAsia" w:ascii="宋体" w:hAnsi="宋体" w:cs="宋体"/>
                <w:color w:val="auto"/>
                <w:highlight w:val="none"/>
                <w:lang w:val="en-US" w:eastAsia="zh-CN"/>
              </w:rPr>
              <w:t>5</w:t>
            </w:r>
          </w:p>
        </w:tc>
        <w:tc>
          <w:tcPr>
            <w:tcW w:w="1985" w:type="dxa"/>
            <w:tcBorders>
              <w:top w:val="single" w:color="auto" w:sz="4" w:space="0"/>
              <w:left w:val="nil"/>
              <w:bottom w:val="single" w:color="auto" w:sz="4" w:space="0"/>
              <w:right w:val="single" w:color="auto" w:sz="4" w:space="0"/>
            </w:tcBorders>
            <w:vAlign w:val="center"/>
          </w:tcPr>
          <w:p>
            <w:pPr>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落实绿色产品（节能产品、环境标志产品）优先采购政策</w:t>
            </w:r>
          </w:p>
        </w:tc>
        <w:tc>
          <w:tcPr>
            <w:tcW w:w="6747" w:type="dxa"/>
            <w:tcBorders>
              <w:top w:val="single" w:color="auto" w:sz="4" w:space="0"/>
              <w:left w:val="nil"/>
              <w:bottom w:val="single" w:color="auto" w:sz="4" w:space="0"/>
              <w:right w:val="single" w:color="auto" w:sz="4" w:space="0"/>
            </w:tcBorders>
            <w:vAlign w:val="center"/>
          </w:tcPr>
          <w:p>
            <w:pPr>
              <w:pStyle w:val="46"/>
              <w:spacing w:after="0" w:line="400" w:lineRule="exact"/>
              <w:ind w:firstLine="457" w:firstLineChars="218"/>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采购人、采购代理机构在编制采购文件制定评审规则时，采用综合评分法的项目，对技术和价格给予一定幅度的加分：一是在价格项中，可以对绿色产品给予价格总分值3%-5%幅度不等的加分；二是在技术中，可以对绿色产品给予技术总分值3%-5%幅度不等的加分。采用最低评标价法，最低成交价的采购项目，对绿色产品可以在评审时对其投标价格给予2%-5%不等的价格扣除。一个产品，既属于优先采购的节能产品，又列入环境标志产品清单中，在评审规则中可以设置重复加分，也可以只算其中一个。这个权力有采购人掌握，应在采购文件中注明。上述政策应当在评审办法中注明确定值。</w:t>
            </w:r>
          </w:p>
        </w:tc>
      </w:tr>
      <w:tr>
        <w:tblPrEx>
          <w:tblCellMar>
            <w:top w:w="0" w:type="dxa"/>
            <w:left w:w="108" w:type="dxa"/>
            <w:bottom w:w="0" w:type="dxa"/>
            <w:right w:w="108" w:type="dxa"/>
          </w:tblCellMar>
        </w:tblPrEx>
        <w:trPr>
          <w:trHeight w:val="567"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textAlignment w:val="baseline"/>
              <w:rPr>
                <w:rFonts w:hint="eastAsia" w:ascii="宋体" w:hAnsi="宋体" w:eastAsia="宋体" w:cs="宋体"/>
                <w:color w:val="auto"/>
                <w:highlight w:val="none"/>
                <w:lang w:eastAsia="zh-CN"/>
              </w:rPr>
            </w:pPr>
            <w:r>
              <w:rPr>
                <w:rFonts w:hint="eastAsia" w:ascii="宋体" w:hAnsi="宋体" w:cs="宋体"/>
                <w:color w:val="auto"/>
                <w:highlight w:val="none"/>
              </w:rPr>
              <w:t>10.</w:t>
            </w:r>
            <w:r>
              <w:rPr>
                <w:rFonts w:hint="eastAsia" w:ascii="宋体" w:hAnsi="宋体" w:cs="宋体"/>
                <w:color w:val="auto"/>
                <w:highlight w:val="none"/>
                <w:lang w:val="en-US" w:eastAsia="zh-CN"/>
              </w:rPr>
              <w:t>6</w:t>
            </w:r>
          </w:p>
        </w:tc>
        <w:tc>
          <w:tcPr>
            <w:tcW w:w="1985" w:type="dxa"/>
            <w:tcBorders>
              <w:top w:val="single" w:color="auto" w:sz="4" w:space="0"/>
              <w:left w:val="nil"/>
              <w:bottom w:val="single" w:color="auto" w:sz="4" w:space="0"/>
              <w:right w:val="single" w:color="auto" w:sz="4" w:space="0"/>
            </w:tcBorders>
            <w:vAlign w:val="center"/>
          </w:tcPr>
          <w:p>
            <w:pPr>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接收质疑函的方式和联系方式</w:t>
            </w:r>
          </w:p>
        </w:tc>
        <w:tc>
          <w:tcPr>
            <w:tcW w:w="6747" w:type="dxa"/>
            <w:tcBorders>
              <w:top w:val="single" w:color="auto" w:sz="4" w:space="0"/>
              <w:left w:val="nil"/>
              <w:bottom w:val="single" w:color="auto" w:sz="4" w:space="0"/>
              <w:right w:val="single" w:color="auto" w:sz="4" w:space="0"/>
            </w:tcBorders>
            <w:vAlign w:val="center"/>
          </w:tcPr>
          <w:p>
            <w:pPr>
              <w:adjustRightInd w:val="0"/>
              <w:snapToGrid w:val="0"/>
              <w:spacing w:before="31" w:beforeLines="10" w:after="31" w:afterLines="10" w:line="400" w:lineRule="exact"/>
              <w:ind w:left="21" w:leftChars="10" w:right="21" w:rightChars="10"/>
              <w:textAlignment w:val="baseline"/>
              <w:rPr>
                <w:rFonts w:hint="eastAsia" w:ascii="宋体" w:hAnsi="宋体" w:cs="宋体"/>
                <w:color w:val="auto"/>
                <w:highlight w:val="none"/>
              </w:rPr>
            </w:pPr>
            <w:r>
              <w:rPr>
                <w:rFonts w:hint="eastAsia" w:ascii="宋体" w:hAnsi="宋体" w:cs="宋体"/>
                <w:color w:val="auto"/>
                <w:highlight w:val="none"/>
              </w:rPr>
              <w:t>质疑函应在平顶山市公共资源交易系统中接收，质疑函的格式和内容应当符合相关法律法规的要求。联系方式如下：</w:t>
            </w:r>
          </w:p>
          <w:p>
            <w:pPr>
              <w:adjustRightInd w:val="0"/>
              <w:snapToGrid w:val="0"/>
              <w:spacing w:before="31" w:beforeLines="10" w:after="31" w:afterLines="10" w:line="400" w:lineRule="exact"/>
              <w:ind w:left="21" w:leftChars="10" w:right="21" w:rightChars="10"/>
              <w:textAlignment w:val="baseline"/>
              <w:rPr>
                <w:rFonts w:hint="default" w:ascii="宋体" w:hAnsi="宋体" w:eastAsia="宋体" w:cs="宋体"/>
                <w:color w:val="auto"/>
                <w:highlight w:val="none"/>
                <w:lang w:val="en-US" w:eastAsia="zh-CN"/>
              </w:rPr>
            </w:pPr>
            <w:r>
              <w:rPr>
                <w:rFonts w:hint="eastAsia" w:ascii="宋体" w:hAnsi="宋体" w:cs="宋体"/>
                <w:color w:val="auto"/>
                <w:highlight w:val="none"/>
              </w:rPr>
              <w:t>联系人：</w:t>
            </w:r>
            <w:r>
              <w:rPr>
                <w:rFonts w:hint="eastAsia" w:ascii="宋体" w:hAnsi="宋体" w:cs="宋体"/>
                <w:color w:val="auto"/>
                <w:highlight w:val="none"/>
                <w:lang w:val="en-US" w:eastAsia="zh-CN"/>
              </w:rPr>
              <w:t>王先生</w:t>
            </w:r>
            <w:r>
              <w:rPr>
                <w:rFonts w:hint="eastAsia" w:ascii="宋体" w:hAnsi="宋体" w:cs="宋体"/>
                <w:color w:val="auto"/>
                <w:highlight w:val="none"/>
              </w:rPr>
              <w:t xml:space="preserve"> 电  话：</w:t>
            </w:r>
            <w:r>
              <w:rPr>
                <w:rFonts w:hint="eastAsia" w:ascii="宋体" w:hAnsi="宋体" w:cs="宋体"/>
                <w:color w:val="auto"/>
                <w:highlight w:val="none"/>
                <w:lang w:val="en-US" w:eastAsia="zh-CN"/>
              </w:rPr>
              <w:t>18737514111</w:t>
            </w:r>
          </w:p>
          <w:p>
            <w:pPr>
              <w:adjustRightInd w:val="0"/>
              <w:snapToGrid w:val="0"/>
              <w:spacing w:before="31" w:beforeLines="10" w:after="31" w:afterLines="10" w:line="400" w:lineRule="exact"/>
              <w:ind w:left="21" w:leftChars="10" w:right="21" w:rightChars="10"/>
              <w:textAlignment w:val="baseline"/>
              <w:rPr>
                <w:rFonts w:ascii="宋体" w:hAnsi="宋体" w:cs="宋体"/>
                <w:color w:val="auto"/>
                <w:kern w:val="0"/>
                <w:sz w:val="24"/>
                <w:szCs w:val="24"/>
                <w:highlight w:val="none"/>
              </w:rPr>
            </w:pPr>
            <w:r>
              <w:rPr>
                <w:rFonts w:hint="eastAsia" w:ascii="宋体" w:hAnsi="宋体" w:cs="宋体"/>
                <w:color w:val="auto"/>
                <w:highlight w:val="none"/>
              </w:rPr>
              <w:t>对供应商提出的质疑，采购人、采购代理机构应当依法及时答复和处理，不得推诿扯皮故意刁难，须进行实质性回应。</w:t>
            </w:r>
          </w:p>
        </w:tc>
      </w:tr>
      <w:tr>
        <w:tblPrEx>
          <w:tblCellMar>
            <w:top w:w="0" w:type="dxa"/>
            <w:left w:w="108" w:type="dxa"/>
            <w:bottom w:w="0" w:type="dxa"/>
            <w:right w:w="108" w:type="dxa"/>
          </w:tblCellMar>
        </w:tblPrEx>
        <w:trPr>
          <w:trHeight w:val="1022"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textAlignment w:val="baseline"/>
              <w:rPr>
                <w:rFonts w:hint="eastAsia" w:ascii="宋体" w:hAnsi="宋体" w:eastAsia="宋体" w:cs="宋体"/>
                <w:color w:val="auto"/>
                <w:highlight w:val="none"/>
                <w:lang w:eastAsia="zh-CN"/>
              </w:rPr>
            </w:pPr>
            <w:r>
              <w:rPr>
                <w:rFonts w:hint="eastAsia" w:ascii="宋体" w:hAnsi="宋体" w:cs="宋体"/>
                <w:color w:val="auto"/>
                <w:highlight w:val="none"/>
              </w:rPr>
              <w:t>10.</w:t>
            </w:r>
            <w:r>
              <w:rPr>
                <w:rFonts w:hint="eastAsia" w:ascii="宋体" w:hAnsi="宋体" w:cs="宋体"/>
                <w:color w:val="auto"/>
                <w:highlight w:val="none"/>
                <w:lang w:val="en-US" w:eastAsia="zh-CN"/>
              </w:rPr>
              <w:t>7</w:t>
            </w:r>
          </w:p>
        </w:tc>
        <w:tc>
          <w:tcPr>
            <w:tcW w:w="198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textAlignment w:val="baseline"/>
              <w:rPr>
                <w:rFonts w:ascii="宋体" w:hAnsi="宋体" w:cs="宋体"/>
                <w:color w:val="auto"/>
                <w:highlight w:val="none"/>
              </w:rPr>
            </w:pPr>
            <w:r>
              <w:rPr>
                <w:rFonts w:hint="eastAsia" w:ascii="宋体" w:hAnsi="宋体" w:cs="宋体"/>
                <w:color w:val="auto"/>
                <w:highlight w:val="none"/>
              </w:rPr>
              <w:t>本项目所属行业</w:t>
            </w:r>
          </w:p>
        </w:tc>
        <w:tc>
          <w:tcPr>
            <w:tcW w:w="6747" w:type="dxa"/>
            <w:tcBorders>
              <w:top w:val="single" w:color="auto" w:sz="4" w:space="0"/>
              <w:left w:val="nil"/>
              <w:bottom w:val="single" w:color="auto" w:sz="4" w:space="0"/>
              <w:right w:val="single" w:color="auto" w:sz="4" w:space="0"/>
            </w:tcBorders>
            <w:vAlign w:val="center"/>
          </w:tcPr>
          <w:p>
            <w:pPr>
              <w:widowControl/>
              <w:spacing w:line="400" w:lineRule="exact"/>
              <w:jc w:val="left"/>
              <w:rPr>
                <w:rFonts w:ascii="宋体" w:hAnsi="宋体" w:cs="宋体"/>
                <w:color w:val="auto"/>
                <w:highlight w:val="none"/>
              </w:rPr>
            </w:pPr>
            <w:r>
              <w:rPr>
                <w:rFonts w:hint="eastAsia" w:ascii="宋体" w:hAnsi="宋体" w:cs="宋体"/>
                <w:color w:val="auto"/>
                <w:kern w:val="0"/>
                <w:highlight w:val="none"/>
              </w:rPr>
              <w:t>工业(制造业）（行业属性划分参照关于印发中小企业划型标准规定的通知(工信部联企业〔2011〕300号) ）</w:t>
            </w:r>
          </w:p>
        </w:tc>
      </w:tr>
      <w:tr>
        <w:tblPrEx>
          <w:tblCellMar>
            <w:top w:w="0" w:type="dxa"/>
            <w:left w:w="108" w:type="dxa"/>
            <w:bottom w:w="0" w:type="dxa"/>
            <w:right w:w="108" w:type="dxa"/>
          </w:tblCellMar>
        </w:tblPrEx>
        <w:trPr>
          <w:trHeight w:val="1022"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textAlignment w:val="baseline"/>
              <w:rPr>
                <w:rFonts w:hint="default" w:ascii="宋体" w:hAnsi="宋体" w:eastAsia="宋体" w:cs="宋体"/>
                <w:color w:val="auto"/>
                <w:highlight w:val="none"/>
                <w:lang w:val="en-US" w:eastAsia="zh-CN"/>
              </w:rPr>
            </w:pPr>
            <w:bookmarkStart w:id="31" w:name="_Toc22953397"/>
            <w:bookmarkStart w:id="32" w:name="_Toc22568789"/>
            <w:bookmarkStart w:id="33" w:name="_Toc22962878"/>
            <w:bookmarkStart w:id="34" w:name="_Toc22570496"/>
            <w:bookmarkStart w:id="35" w:name="_Toc22804075"/>
            <w:bookmarkStart w:id="36" w:name="_Toc22723956"/>
            <w:bookmarkStart w:id="37" w:name="_Toc99423254"/>
            <w:r>
              <w:rPr>
                <w:rFonts w:hint="eastAsia" w:ascii="宋体" w:hAnsi="宋体" w:cs="宋体"/>
                <w:color w:val="auto"/>
                <w:highlight w:val="none"/>
                <w:lang w:val="en-US" w:eastAsia="zh-CN"/>
              </w:rPr>
              <w:t>10.8</w:t>
            </w:r>
          </w:p>
        </w:tc>
        <w:tc>
          <w:tcPr>
            <w:tcW w:w="198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合同签订方式</w:t>
            </w:r>
          </w:p>
        </w:tc>
        <w:tc>
          <w:tcPr>
            <w:tcW w:w="6747" w:type="dxa"/>
            <w:tcBorders>
              <w:top w:val="single" w:color="auto" w:sz="4" w:space="0"/>
              <w:left w:val="nil"/>
              <w:bottom w:val="single" w:color="auto" w:sz="4" w:space="0"/>
              <w:right w:val="single" w:color="auto" w:sz="4" w:space="0"/>
            </w:tcBorders>
            <w:vAlign w:val="center"/>
          </w:tcPr>
          <w:p>
            <w:pPr>
              <w:pStyle w:val="46"/>
              <w:ind w:right="105" w:rightChars="5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合同在线签订，招标人（采购人）与中标人（供应商）利用平顶山公共资源交易平台“合同在线签订模块”，将电子合同推送至对方进行审核，经双方确认均无异议通过后，进行在线签章，完成合同签订并公示。</w:t>
            </w:r>
          </w:p>
          <w:p>
            <w:pPr>
              <w:widowControl/>
              <w:spacing w:line="40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原则支持合同在线签订，如因系统等其他因素合同线签订无法完成时，需法定代表人携带本人身份证（如为授权委托人，则携带法定代表人授权委托书及本人身份证）、单位公章、合同纸质版本一式六份及合同电子版。</w:t>
            </w:r>
          </w:p>
        </w:tc>
      </w:tr>
      <w:tr>
        <w:tblPrEx>
          <w:tblCellMar>
            <w:top w:w="0" w:type="dxa"/>
            <w:left w:w="108" w:type="dxa"/>
            <w:bottom w:w="0" w:type="dxa"/>
            <w:right w:w="108" w:type="dxa"/>
          </w:tblCellMar>
        </w:tblPrEx>
        <w:trPr>
          <w:trHeight w:val="1022"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textAlignment w:val="baseline"/>
              <w:rPr>
                <w:rFonts w:hint="default"/>
                <w:lang w:val="en-US" w:eastAsia="zh-CN"/>
              </w:rPr>
            </w:pPr>
            <w:r>
              <w:rPr>
                <w:rFonts w:hint="eastAsia" w:ascii="宋体" w:hAnsi="宋体" w:cs="宋体"/>
                <w:color w:val="auto"/>
                <w:highlight w:val="none"/>
                <w:lang w:val="en-US" w:eastAsia="zh-CN"/>
              </w:rPr>
              <w:t>10.9</w:t>
            </w:r>
          </w:p>
        </w:tc>
        <w:tc>
          <w:tcPr>
            <w:tcW w:w="1985"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★专家特别注意</w:t>
            </w:r>
          </w:p>
          <w:p>
            <w:pPr>
              <w:spacing w:line="400" w:lineRule="exact"/>
              <w:jc w:val="center"/>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“四方信用评价”须知（采购人、代理机构、本项目评审专家、本项目中标供应商）</w:t>
            </w:r>
          </w:p>
        </w:tc>
        <w:tc>
          <w:tcPr>
            <w:tcW w:w="6747" w:type="dxa"/>
            <w:tcBorders>
              <w:top w:val="single" w:color="auto" w:sz="4" w:space="0"/>
              <w:left w:val="nil"/>
              <w:bottom w:val="single" w:color="auto" w:sz="4" w:space="0"/>
              <w:right w:val="single" w:color="auto" w:sz="4" w:space="0"/>
            </w:tcBorders>
            <w:vAlign w:val="center"/>
          </w:tcPr>
          <w:p>
            <w:pPr>
              <w:spacing w:after="120" w:line="312" w:lineRule="auto"/>
              <w:ind w:right="105" w:rightChars="5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《河南省政府采购网》目前已增加“四方信用评价”功能。请本项目采购人、代理机构、本项目评审专家、本项目中标供应商，按照评价时间节点按时完成评价工作。</w:t>
            </w:r>
          </w:p>
          <w:p>
            <w:pPr>
              <w:spacing w:after="120" w:line="312" w:lineRule="auto"/>
              <w:ind w:right="105" w:rightChars="5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时间节点在评审结束后的五个工作日内。如果超期未评价，系统会默认超期不让评价。注：请各方注意时间，避免因超期未评价影响自身信用！</w:t>
            </w:r>
          </w:p>
          <w:p>
            <w:pPr>
              <w:spacing w:after="120" w:line="312" w:lineRule="auto"/>
              <w:ind w:right="105" w:rightChars="5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1.采购人、采购代理机构应当在评审工作结束后五个工作日内对评审专家进行评价。</w:t>
            </w:r>
          </w:p>
          <w:p>
            <w:pPr>
              <w:spacing w:after="120" w:line="312" w:lineRule="auto"/>
              <w:ind w:right="105" w:rightChars="5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2.采购人、评审专家、供应商应当在评审工作结束后五个工作日内对代理机构进行评价。</w:t>
            </w:r>
          </w:p>
          <w:p>
            <w:pPr>
              <w:spacing w:after="120" w:line="312" w:lineRule="auto"/>
              <w:ind w:right="105" w:rightChars="5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3.采购人应当在合同履约完成后对中标供应商进行评价。</w:t>
            </w:r>
          </w:p>
          <w:p>
            <w:pPr>
              <w:widowControl/>
              <w:spacing w:line="40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4.中标供应商应当在合同履约完成后对采购人进行评价。</w:t>
            </w:r>
          </w:p>
        </w:tc>
      </w:tr>
      <w:tr>
        <w:tblPrEx>
          <w:tblCellMar>
            <w:top w:w="0" w:type="dxa"/>
            <w:left w:w="108" w:type="dxa"/>
            <w:bottom w:w="0" w:type="dxa"/>
            <w:right w:w="108" w:type="dxa"/>
          </w:tblCellMar>
        </w:tblPrEx>
        <w:trPr>
          <w:trHeight w:val="1022"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textAlignment w:val="baseline"/>
              <w:rPr>
                <w:rFonts w:hint="default" w:ascii="宋体" w:hAnsi="宋体" w:cs="宋体"/>
                <w:color w:val="auto"/>
                <w:highlight w:val="none"/>
                <w:lang w:val="en-US" w:eastAsia="zh-CN"/>
              </w:rPr>
            </w:pPr>
            <w:r>
              <w:rPr>
                <w:rFonts w:hint="eastAsia" w:ascii="宋体" w:hAnsi="宋体" w:cs="宋体"/>
                <w:color w:val="auto"/>
                <w:highlight w:val="none"/>
                <w:lang w:val="en-US" w:eastAsia="zh-CN"/>
              </w:rPr>
              <w:t>10.10</w:t>
            </w:r>
          </w:p>
        </w:tc>
        <w:tc>
          <w:tcPr>
            <w:tcW w:w="198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★供应商特别注意</w:t>
            </w:r>
          </w:p>
        </w:tc>
        <w:tc>
          <w:tcPr>
            <w:tcW w:w="6747" w:type="dxa"/>
            <w:tcBorders>
              <w:top w:val="single" w:color="auto" w:sz="4" w:space="0"/>
              <w:left w:val="nil"/>
              <w:bottom w:val="single" w:color="auto" w:sz="4" w:space="0"/>
              <w:right w:val="single" w:color="auto" w:sz="4" w:space="0"/>
            </w:tcBorders>
            <w:vAlign w:val="center"/>
          </w:tcPr>
          <w:p>
            <w:pPr>
              <w:widowControl/>
              <w:spacing w:line="40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开标前需在“河南省政府采购网”完成供应商注册，以备中标后合同公示能够提取到供应商相关信息。</w:t>
            </w:r>
          </w:p>
        </w:tc>
      </w:tr>
      <w:tr>
        <w:tblPrEx>
          <w:tblCellMar>
            <w:top w:w="0" w:type="dxa"/>
            <w:left w:w="108" w:type="dxa"/>
            <w:bottom w:w="0" w:type="dxa"/>
            <w:right w:w="108" w:type="dxa"/>
          </w:tblCellMar>
        </w:tblPrEx>
        <w:trPr>
          <w:trHeight w:val="1022"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textAlignment w:val="baseline"/>
              <w:rPr>
                <w:rFonts w:hint="default" w:ascii="宋体" w:hAnsi="宋体" w:cs="宋体"/>
                <w:color w:val="auto"/>
                <w:highlight w:val="none"/>
                <w:lang w:val="en-US" w:eastAsia="zh-CN"/>
              </w:rPr>
            </w:pPr>
            <w:r>
              <w:rPr>
                <w:rFonts w:hint="eastAsia" w:ascii="宋体" w:hAnsi="宋体" w:cs="宋体"/>
                <w:color w:val="auto"/>
                <w:highlight w:val="none"/>
                <w:lang w:val="en-US" w:eastAsia="zh-CN"/>
              </w:rPr>
              <w:t>10.11</w:t>
            </w:r>
          </w:p>
        </w:tc>
        <w:tc>
          <w:tcPr>
            <w:tcW w:w="198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是否接受进口产品</w:t>
            </w:r>
          </w:p>
        </w:tc>
        <w:tc>
          <w:tcPr>
            <w:tcW w:w="6747" w:type="dxa"/>
            <w:tcBorders>
              <w:top w:val="single" w:color="auto" w:sz="4" w:space="0"/>
              <w:left w:val="nil"/>
              <w:bottom w:val="single" w:color="auto" w:sz="4" w:space="0"/>
              <w:right w:val="single" w:color="auto" w:sz="4" w:space="0"/>
            </w:tcBorders>
            <w:vAlign w:val="center"/>
          </w:tcPr>
          <w:p>
            <w:pPr>
              <w:tabs>
                <w:tab w:val="left" w:pos="1322"/>
              </w:tabs>
              <w:adjustRightInd w:val="0"/>
              <w:snapToGrid w:val="0"/>
              <w:spacing w:line="360" w:lineRule="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en-US" w:eastAsia="zh-CN" w:bidi="ar-SA"/>
              </w:rPr>
              <w:t>包1(国产产品，不接受进口产品)。</w:t>
            </w:r>
          </w:p>
          <w:p>
            <w:pPr>
              <w:tabs>
                <w:tab w:val="left" w:pos="1322"/>
              </w:tabs>
              <w:adjustRightInd w:val="0"/>
              <w:snapToGrid w:val="0"/>
              <w:spacing w:line="360" w:lineRule="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包2</w:t>
            </w:r>
            <w:r>
              <w:rPr>
                <w:rFonts w:hint="eastAsia" w:ascii="宋体" w:hAnsi="宋体" w:eastAsia="宋体" w:cs="宋体"/>
                <w:color w:val="auto"/>
                <w:kern w:val="2"/>
                <w:sz w:val="21"/>
                <w:szCs w:val="21"/>
                <w:highlight w:val="none"/>
                <w:lang w:val="en-US" w:eastAsia="zh-CN" w:bidi="ar-SA"/>
              </w:rPr>
              <w:t>(可接受进口产品)。</w:t>
            </w:r>
          </w:p>
          <w:p>
            <w:pPr>
              <w:tabs>
                <w:tab w:val="left" w:pos="1322"/>
              </w:tabs>
              <w:adjustRightInd w:val="0"/>
              <w:snapToGrid w:val="0"/>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zh-CN" w:eastAsia="zh-CN" w:bidi="ar-SA"/>
              </w:rPr>
              <w:t>包3</w:t>
            </w:r>
            <w:r>
              <w:rPr>
                <w:rFonts w:hint="eastAsia" w:ascii="宋体" w:hAnsi="宋体" w:eastAsia="宋体" w:cs="宋体"/>
                <w:color w:val="auto"/>
                <w:kern w:val="2"/>
                <w:sz w:val="21"/>
                <w:szCs w:val="21"/>
                <w:highlight w:val="none"/>
                <w:lang w:val="en-US" w:eastAsia="zh-CN" w:bidi="ar-SA"/>
              </w:rPr>
              <w:t>(可接受进口产品)。</w:t>
            </w:r>
          </w:p>
          <w:p>
            <w:pPr>
              <w:tabs>
                <w:tab w:val="left" w:pos="1322"/>
              </w:tabs>
              <w:adjustRightInd w:val="0"/>
              <w:snapToGrid w:val="0"/>
              <w:spacing w:line="360" w:lineRule="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包</w:t>
            </w:r>
            <w:r>
              <w:rPr>
                <w:rFonts w:hint="eastAsia" w:ascii="宋体" w:hAnsi="宋体" w:eastAsia="宋体" w:cs="宋体"/>
                <w:color w:val="auto"/>
                <w:kern w:val="2"/>
                <w:sz w:val="21"/>
                <w:szCs w:val="21"/>
                <w:highlight w:val="none"/>
                <w:lang w:val="en-US" w:eastAsia="zh-CN" w:bidi="ar-SA"/>
              </w:rPr>
              <w:t>4(可接受进口产品)。</w:t>
            </w:r>
          </w:p>
          <w:p>
            <w:pPr>
              <w:tabs>
                <w:tab w:val="left" w:pos="1322"/>
              </w:tabs>
              <w:adjustRightInd w:val="0"/>
              <w:snapToGrid w:val="0"/>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zh-CN" w:eastAsia="zh-CN" w:bidi="ar-SA"/>
              </w:rPr>
              <w:t>包</w:t>
            </w:r>
            <w:r>
              <w:rPr>
                <w:rFonts w:hint="eastAsia" w:ascii="宋体" w:hAnsi="宋体" w:eastAsia="宋体" w:cs="宋体"/>
                <w:color w:val="auto"/>
                <w:kern w:val="2"/>
                <w:sz w:val="21"/>
                <w:szCs w:val="21"/>
                <w:highlight w:val="none"/>
                <w:lang w:val="en-US" w:eastAsia="zh-CN" w:bidi="ar-SA"/>
              </w:rPr>
              <w:t>5(可接受进口产品)。</w:t>
            </w:r>
          </w:p>
          <w:p>
            <w:pPr>
              <w:tabs>
                <w:tab w:val="left" w:pos="1322"/>
              </w:tabs>
              <w:adjustRightInd w:val="0"/>
              <w:snapToGrid w:val="0"/>
              <w:spacing w:line="360" w:lineRule="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包</w:t>
            </w:r>
            <w:r>
              <w:rPr>
                <w:rFonts w:hint="eastAsia" w:ascii="宋体" w:hAnsi="宋体" w:eastAsia="宋体" w:cs="宋体"/>
                <w:color w:val="auto"/>
                <w:kern w:val="2"/>
                <w:sz w:val="21"/>
                <w:szCs w:val="21"/>
                <w:highlight w:val="none"/>
                <w:lang w:val="en-US" w:eastAsia="zh-CN" w:bidi="ar-SA"/>
              </w:rPr>
              <w:t>6(可接受进口产品)。</w:t>
            </w:r>
          </w:p>
          <w:p>
            <w:pPr>
              <w:widowControl/>
              <w:spacing w:line="400" w:lineRule="exact"/>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zh-CN" w:eastAsia="zh-CN" w:bidi="ar-SA"/>
              </w:rPr>
              <w:t>包</w:t>
            </w:r>
            <w:r>
              <w:rPr>
                <w:rFonts w:hint="eastAsia" w:ascii="宋体" w:hAnsi="宋体" w:eastAsia="宋体" w:cs="宋体"/>
                <w:color w:val="auto"/>
                <w:kern w:val="2"/>
                <w:sz w:val="21"/>
                <w:szCs w:val="21"/>
                <w:highlight w:val="none"/>
                <w:lang w:val="en-US" w:eastAsia="zh-CN" w:bidi="ar-SA"/>
              </w:rPr>
              <w:t>7(可接受进口产品)。</w:t>
            </w:r>
          </w:p>
        </w:tc>
      </w:tr>
    </w:tbl>
    <w:p>
      <w:pPr>
        <w:pStyle w:val="4"/>
        <w:numPr>
          <w:ilvl w:val="0"/>
          <w:numId w:val="1"/>
        </w:numPr>
        <w:tabs>
          <w:tab w:val="left" w:pos="284"/>
          <w:tab w:val="left" w:pos="721"/>
          <w:tab w:val="left" w:pos="4111"/>
          <w:tab w:val="left" w:pos="4253"/>
          <w:tab w:val="clear" w:pos="405"/>
        </w:tabs>
        <w:adjustRightInd w:val="0"/>
        <w:snapToGrid w:val="0"/>
        <w:spacing w:before="0" w:after="0" w:line="440" w:lineRule="exact"/>
        <w:ind w:left="0" w:firstLine="0"/>
        <w:jc w:val="both"/>
        <w:rPr>
          <w:rFonts w:asciiTheme="minorEastAsia" w:hAnsiTheme="minorEastAsia" w:eastAsiaTheme="minorEastAsia" w:cstheme="minorEastAsia"/>
          <w:color w:val="auto"/>
          <w:sz w:val="21"/>
          <w:szCs w:val="21"/>
          <w:highlight w:val="none"/>
        </w:rPr>
      </w:pPr>
      <w:r>
        <w:rPr>
          <w:rFonts w:ascii="??" w:hAnsi="??" w:cs="??"/>
          <w:color w:val="auto"/>
          <w:sz w:val="21"/>
          <w:szCs w:val="21"/>
          <w:highlight w:val="none"/>
        </w:rPr>
        <w:br w:type="page"/>
      </w:r>
      <w:bookmarkStart w:id="38" w:name="_Toc12391"/>
      <w:r>
        <w:rPr>
          <w:rFonts w:hint="eastAsia" w:asciiTheme="minorEastAsia" w:hAnsiTheme="minorEastAsia" w:eastAsiaTheme="minorEastAsia" w:cstheme="minorEastAsia"/>
          <w:color w:val="auto"/>
          <w:sz w:val="21"/>
          <w:szCs w:val="21"/>
          <w:highlight w:val="none"/>
        </w:rPr>
        <w:t>说明</w:t>
      </w:r>
      <w:bookmarkEnd w:id="31"/>
      <w:bookmarkEnd w:id="32"/>
      <w:bookmarkEnd w:id="33"/>
      <w:bookmarkEnd w:id="34"/>
      <w:bookmarkEnd w:id="35"/>
      <w:bookmarkEnd w:id="36"/>
      <w:bookmarkEnd w:id="37"/>
      <w:bookmarkEnd w:id="38"/>
    </w:p>
    <w:p>
      <w:pPr>
        <w:pStyle w:val="5"/>
        <w:numPr>
          <w:ilvl w:val="1"/>
          <w:numId w:val="2"/>
        </w:numPr>
        <w:tabs>
          <w:tab w:val="left" w:pos="709"/>
        </w:tabs>
        <w:adjustRightInd w:val="0"/>
        <w:snapToGrid w:val="0"/>
        <w:spacing w:before="0" w:after="0" w:line="440" w:lineRule="exact"/>
        <w:ind w:left="0" w:firstLine="323" w:firstLineChars="134"/>
        <w:rPr>
          <w:rFonts w:asciiTheme="minorEastAsia" w:hAnsiTheme="minorEastAsia" w:eastAsiaTheme="minorEastAsia" w:cstheme="minorEastAsia"/>
          <w:color w:val="auto"/>
          <w:sz w:val="21"/>
          <w:szCs w:val="21"/>
          <w:highlight w:val="none"/>
        </w:rPr>
      </w:pPr>
      <w:r>
        <w:rPr>
          <w:rFonts w:hint="eastAsia" w:cs="MingLiU"/>
          <w:b/>
          <w:sz w:val="24"/>
          <w:szCs w:val="24"/>
          <w:lang w:val="en-US" w:bidi="ar-SA"/>
        </w:rPr>
        <w:t>项目概况</w:t>
      </w:r>
    </w:p>
    <w:p>
      <w:pPr>
        <w:tabs>
          <w:tab w:val="left" w:pos="840"/>
        </w:tabs>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根据《政府采购货物和服务招标投标管理办法》（财政部令第87号）等有关法律、法规和规章的规定，本招标项目已具备招标条件，现对本项目进行招标。</w:t>
      </w:r>
    </w:p>
    <w:p>
      <w:pPr>
        <w:pStyle w:val="5"/>
        <w:numPr>
          <w:ilvl w:val="1"/>
          <w:numId w:val="2"/>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bookmarkStart w:id="39" w:name="_Toc99423256"/>
      <w:r>
        <w:rPr>
          <w:rFonts w:hint="eastAsia" w:asciiTheme="minorEastAsia" w:hAnsiTheme="minorEastAsia" w:eastAsiaTheme="minorEastAsia" w:cstheme="minorEastAsia"/>
          <w:color w:val="auto"/>
          <w:sz w:val="21"/>
          <w:szCs w:val="21"/>
          <w:highlight w:val="none"/>
        </w:rPr>
        <w:t>定义</w:t>
      </w:r>
      <w:bookmarkEnd w:id="39"/>
    </w:p>
    <w:p>
      <w:pPr>
        <w:numPr>
          <w:ilvl w:val="1"/>
          <w:numId w:val="3"/>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采购人：是指依法进行政府采购的国家机关、事业单位、团体组织。</w:t>
      </w:r>
    </w:p>
    <w:p>
      <w:pPr>
        <w:numPr>
          <w:ilvl w:val="1"/>
          <w:numId w:val="3"/>
        </w:numPr>
        <w:tabs>
          <w:tab w:val="left" w:pos="993"/>
        </w:tabs>
        <w:adjustRightInd w:val="0"/>
        <w:snapToGrid w:val="0"/>
        <w:spacing w:line="440" w:lineRule="exact"/>
        <w:ind w:left="0" w:firstLine="420" w:firstLineChars="200"/>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color w:val="auto"/>
          <w:highlight w:val="none"/>
        </w:rPr>
        <w:t>采购代理机构：是指在采购人的委托范围内办理政府采购事宜。</w:t>
      </w:r>
    </w:p>
    <w:p>
      <w:pPr>
        <w:numPr>
          <w:ilvl w:val="1"/>
          <w:numId w:val="3"/>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投标人：是指向采购人提供货物、工程或者服务的法人、其他组织或者自然人。</w:t>
      </w:r>
    </w:p>
    <w:p>
      <w:pPr>
        <w:numPr>
          <w:ilvl w:val="1"/>
          <w:numId w:val="3"/>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合格的投标人：提供资格证明文件并通过资格审查的投标人。</w:t>
      </w:r>
    </w:p>
    <w:p>
      <w:pPr>
        <w:adjustRightInd w:val="0"/>
        <w:snapToGrid w:val="0"/>
        <w:spacing w:line="440" w:lineRule="exact"/>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1.2.4.1</w:t>
      </w:r>
      <w:r>
        <w:rPr>
          <w:rFonts w:hint="eastAsia" w:asciiTheme="minorEastAsia" w:hAnsiTheme="minorEastAsia" w:eastAsiaTheme="minorEastAsia" w:cstheme="minorEastAsia"/>
          <w:color w:val="auto"/>
          <w:highlight w:val="none"/>
        </w:rPr>
        <w:t>若投标人须知前附表中写明专门面向中小企业采购的，如投标人非中小企业，其投标将被认定为投标无效。</w:t>
      </w:r>
    </w:p>
    <w:p>
      <w:pPr>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1.2.4.2</w:t>
      </w:r>
      <w:r>
        <w:rPr>
          <w:rFonts w:hint="eastAsia" w:asciiTheme="minorEastAsia" w:hAnsiTheme="minorEastAsia" w:eastAsiaTheme="minorEastAsia" w:cstheme="minorEastAsia"/>
          <w:color w:val="auto"/>
          <w:highlight w:val="none"/>
        </w:rPr>
        <w:t>若投标人须知前附表中写明允许采购进口产品，但不限制满足招标文件要求的国内产品参与采购活动，投标人应保证所投产品可履行合法报通关手续进入中国关境内。若投标人须知前附表中未写明允许采购进口产品，如投标人提供产品为进口产品，其投标文件将被认定为无效投标文件。</w:t>
      </w:r>
    </w:p>
    <w:p>
      <w:pPr>
        <w:numPr>
          <w:ilvl w:val="1"/>
          <w:numId w:val="3"/>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中标人：接到并接受中标通知，最终被授予合同的投标人。</w:t>
      </w:r>
    </w:p>
    <w:p>
      <w:pPr>
        <w:numPr>
          <w:ilvl w:val="1"/>
          <w:numId w:val="3"/>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投标文件：指投标人根据招标文件提交的所有文件。</w:t>
      </w:r>
    </w:p>
    <w:p>
      <w:pPr>
        <w:numPr>
          <w:ilvl w:val="1"/>
          <w:numId w:val="3"/>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货物：指除了咨询服务以外的所有的物品、货物、装置和/或包括附件、备品备件、图纸、技术文件、用于运输和安装的包装、培训、维修和其他类似服务的供应。</w:t>
      </w:r>
    </w:p>
    <w:p>
      <w:pPr>
        <w:numPr>
          <w:ilvl w:val="1"/>
          <w:numId w:val="3"/>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保：本次采购所要求的质保或质保期限，是指投标人所提供的产品在承诺的质保期限内发生质量问题，必须提供伴随服务及必须无条件更换产品（注：所需的一切费用均已包含在该包投标总报价中），并由此享有原投标文件中承诺的质保期限及伴随服务。</w:t>
      </w:r>
    </w:p>
    <w:p>
      <w:pPr>
        <w:numPr>
          <w:ilvl w:val="1"/>
          <w:numId w:val="3"/>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进口产品：是指通过中国海关报关验放进入中国境内且产自关境外的产品。本招标文件中如有“进口货物”的描述，是指采购人已按照财政部《政府采购进口产品管理办法》的通知财库[2007]119号、财政部办公厅《关于政府采购进口产品管理有关问题的通知》财办库[2008]248号文件要求的程序办理过报批手续。</w:t>
      </w:r>
    </w:p>
    <w:p>
      <w:pPr>
        <w:numPr>
          <w:ilvl w:val="1"/>
          <w:numId w:val="3"/>
        </w:numPr>
        <w:tabs>
          <w:tab w:val="left" w:pos="993"/>
          <w:tab w:val="left" w:pos="1134"/>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合体投标：（1）两个以上的自然人、法人或者其他组织可以组成一个联合体，以一个投标人的身份共同参加政府采购。（2）以联合体形式进行政府采购的，参加联合体的投标人均应当具备符合《中华人民共和国政府采购法》第二十二条、《中华人民共和国政府采购法》实施条例第十七条规定的条件，并应当向采购人提交联合协议，载明联合体各方承担的工作和义务。联合体各方应当共同与采购人签订采购合同，就采购合同约定的事项对采购人承担连带责任。联合体中有同类资质的投标人按照联合体分工承担相同工作的，应当按照资质等级较低的投标人确定资质等级。（3）以联合体形式参加政府采购活动的，联合体各方不得再单独参加或者与其他投标人另外组成联合体参加同一合同项下的政府采购活动。</w:t>
      </w:r>
    </w:p>
    <w:p>
      <w:pPr>
        <w:pStyle w:val="5"/>
        <w:numPr>
          <w:ilvl w:val="1"/>
          <w:numId w:val="2"/>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项目名称、资金来源和落实情况</w:t>
      </w:r>
    </w:p>
    <w:p>
      <w:pPr>
        <w:pStyle w:val="46"/>
        <w:numPr>
          <w:ilvl w:val="2"/>
          <w:numId w:val="4"/>
        </w:numPr>
        <w:tabs>
          <w:tab w:val="left" w:pos="993"/>
        </w:tabs>
        <w:adjustRightInd w:val="0"/>
        <w:snapToGrid w:val="0"/>
        <w:spacing w:after="0"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项目名称：见投标人须知前附表。</w:t>
      </w:r>
    </w:p>
    <w:p>
      <w:pPr>
        <w:pStyle w:val="46"/>
        <w:numPr>
          <w:ilvl w:val="2"/>
          <w:numId w:val="4"/>
        </w:numPr>
        <w:tabs>
          <w:tab w:val="left" w:pos="993"/>
        </w:tabs>
        <w:adjustRightInd w:val="0"/>
        <w:snapToGrid w:val="0"/>
        <w:spacing w:after="0"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资金来源：见投标人须知前附表。</w:t>
      </w:r>
    </w:p>
    <w:p>
      <w:pPr>
        <w:pStyle w:val="46"/>
        <w:numPr>
          <w:ilvl w:val="2"/>
          <w:numId w:val="4"/>
        </w:numPr>
        <w:tabs>
          <w:tab w:val="left" w:pos="993"/>
        </w:tabs>
        <w:adjustRightInd w:val="0"/>
        <w:snapToGrid w:val="0"/>
        <w:spacing w:after="0"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资金落实情况：见投标人须知前附表。</w:t>
      </w:r>
    </w:p>
    <w:p>
      <w:pPr>
        <w:pStyle w:val="5"/>
        <w:numPr>
          <w:ilvl w:val="1"/>
          <w:numId w:val="2"/>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采购内容、交货期、质量、质保期等</w:t>
      </w:r>
    </w:p>
    <w:p>
      <w:pPr>
        <w:pStyle w:val="46"/>
        <w:numPr>
          <w:ilvl w:val="0"/>
          <w:numId w:val="5"/>
        </w:numPr>
        <w:tabs>
          <w:tab w:val="left" w:pos="993"/>
        </w:tabs>
        <w:adjustRightInd w:val="0"/>
        <w:snapToGrid w:val="0"/>
        <w:spacing w:after="0"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采购内容：见投标人须知前附表。</w:t>
      </w:r>
    </w:p>
    <w:p>
      <w:pPr>
        <w:pStyle w:val="46"/>
        <w:numPr>
          <w:ilvl w:val="0"/>
          <w:numId w:val="5"/>
        </w:numPr>
        <w:tabs>
          <w:tab w:val="left" w:pos="993"/>
        </w:tabs>
        <w:adjustRightInd w:val="0"/>
        <w:snapToGrid w:val="0"/>
        <w:spacing w:after="0"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交货期：见投标人须知前附表。</w:t>
      </w:r>
    </w:p>
    <w:p>
      <w:pPr>
        <w:pStyle w:val="46"/>
        <w:numPr>
          <w:ilvl w:val="0"/>
          <w:numId w:val="5"/>
        </w:numPr>
        <w:tabs>
          <w:tab w:val="left" w:pos="993"/>
        </w:tabs>
        <w:adjustRightInd w:val="0"/>
        <w:snapToGrid w:val="0"/>
        <w:spacing w:after="0"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质量要求：见投标人须知前附表。</w:t>
      </w:r>
    </w:p>
    <w:p>
      <w:pPr>
        <w:pStyle w:val="46"/>
        <w:numPr>
          <w:ilvl w:val="0"/>
          <w:numId w:val="5"/>
        </w:numPr>
        <w:tabs>
          <w:tab w:val="left" w:pos="993"/>
        </w:tabs>
        <w:adjustRightInd w:val="0"/>
        <w:snapToGrid w:val="0"/>
        <w:spacing w:after="0"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质保期：见投标人须知前附表。</w:t>
      </w:r>
    </w:p>
    <w:p>
      <w:pPr>
        <w:pStyle w:val="46"/>
        <w:numPr>
          <w:ilvl w:val="0"/>
          <w:numId w:val="5"/>
        </w:numPr>
        <w:tabs>
          <w:tab w:val="left" w:pos="993"/>
        </w:tabs>
        <w:adjustRightInd w:val="0"/>
        <w:snapToGrid w:val="0"/>
        <w:spacing w:after="0"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交货地点：见投标人须知前附表。</w:t>
      </w:r>
    </w:p>
    <w:p>
      <w:pPr>
        <w:pStyle w:val="5"/>
        <w:numPr>
          <w:ilvl w:val="1"/>
          <w:numId w:val="2"/>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bookmarkStart w:id="40" w:name="_Toc99423257"/>
      <w:r>
        <w:rPr>
          <w:rFonts w:hint="eastAsia" w:asciiTheme="minorEastAsia" w:hAnsiTheme="minorEastAsia" w:eastAsiaTheme="minorEastAsia" w:cstheme="minorEastAsia"/>
          <w:color w:val="auto"/>
          <w:sz w:val="21"/>
          <w:szCs w:val="21"/>
          <w:highlight w:val="none"/>
        </w:rPr>
        <w:t>投标费用</w:t>
      </w:r>
      <w:bookmarkEnd w:id="40"/>
    </w:p>
    <w:p>
      <w:pPr>
        <w:numPr>
          <w:ilvl w:val="1"/>
          <w:numId w:val="6"/>
        </w:numPr>
        <w:tabs>
          <w:tab w:val="left" w:pos="851"/>
          <w:tab w:val="left" w:pos="928"/>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无论投标过程中的作法和结果如何,投标人应自行承担所有与参加投标有关的全部费用，采购人和采购代理机构在任何情况下均无义务和责任承担上述费用。</w:t>
      </w:r>
    </w:p>
    <w:p>
      <w:pPr>
        <w:pStyle w:val="5"/>
        <w:numPr>
          <w:ilvl w:val="1"/>
          <w:numId w:val="2"/>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现场考察</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现场考察：不组织。</w:t>
      </w:r>
    </w:p>
    <w:p>
      <w:pPr>
        <w:pStyle w:val="5"/>
        <w:numPr>
          <w:ilvl w:val="1"/>
          <w:numId w:val="2"/>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分包</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投标人根据招标文件的规定和采购项目的实际情况，拟在中标后将中标项目的非主体、非关键性工作分包的，应当在投标文件中载明分包承担主体，分包承担主体应当具备相应资质条件且不得再次分包。</w:t>
      </w:r>
    </w:p>
    <w:p>
      <w:pPr>
        <w:pStyle w:val="5"/>
        <w:numPr>
          <w:ilvl w:val="1"/>
          <w:numId w:val="2"/>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响应和偏差</w:t>
      </w:r>
    </w:p>
    <w:p>
      <w:pPr>
        <w:tabs>
          <w:tab w:val="left" w:pos="851"/>
          <w:tab w:val="left" w:pos="928"/>
        </w:tabs>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1.8.1投标文件应当对招标文件的实质性要求和条件作出满足性或更有利于采购人的响应，否则，投标人的投标将被否决。</w:t>
      </w:r>
    </w:p>
    <w:p>
      <w:pPr>
        <w:tabs>
          <w:tab w:val="left" w:pos="851"/>
          <w:tab w:val="left" w:pos="928"/>
        </w:tabs>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1.8.2投标人应根据招标文件的要求提供投标设备技术性能指标的详细描述、技术支持资料及技术服务和质保期服务计划等内容以对招标文件作出响应。</w:t>
      </w:r>
    </w:p>
    <w:p>
      <w:pPr>
        <w:tabs>
          <w:tab w:val="left" w:pos="851"/>
          <w:tab w:val="left" w:pos="928"/>
        </w:tabs>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1.8.3投标文件中应针对实质性要求和条件中列明的技术要求提供技术支持资料。技术支持资料以制造商公开发布的印刷资料，或检测机构出具的检测报告或投标人须知前附表允许的其他形式为准，不符合前述要求的，视为无技术支持资料，其投标将被否决。</w:t>
      </w:r>
    </w:p>
    <w:p>
      <w:pPr>
        <w:tabs>
          <w:tab w:val="left" w:pos="851"/>
          <w:tab w:val="left" w:pos="928"/>
        </w:tabs>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1.8.4招标文件规定了可以偏差的范围和最高偏差项数的，偏差应当符合文件规定的偏差范围和最高项数，超出偏差范围和最高偏差项数的投标将被否决。</w:t>
      </w:r>
    </w:p>
    <w:p>
      <w:pPr>
        <w:tabs>
          <w:tab w:val="left" w:pos="851"/>
          <w:tab w:val="left" w:pos="928"/>
        </w:tabs>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1.8.5投标文件对招标文件的全部偏差，均应在投标文件的商务和技术偏差表中列明，除列明的内容外，视为投标人响应招标文件的全部要求。</w:t>
      </w:r>
    </w:p>
    <w:p>
      <w:pPr>
        <w:pStyle w:val="4"/>
        <w:numPr>
          <w:ilvl w:val="0"/>
          <w:numId w:val="1"/>
        </w:numPr>
        <w:tabs>
          <w:tab w:val="left" w:pos="284"/>
          <w:tab w:val="left" w:pos="721"/>
          <w:tab w:val="left" w:pos="4111"/>
          <w:tab w:val="left" w:pos="4253"/>
          <w:tab w:val="clear" w:pos="405"/>
        </w:tabs>
        <w:adjustRightInd w:val="0"/>
        <w:snapToGrid w:val="0"/>
        <w:spacing w:before="0" w:after="0" w:line="440" w:lineRule="exact"/>
        <w:ind w:left="0" w:firstLine="0"/>
        <w:jc w:val="both"/>
        <w:rPr>
          <w:rFonts w:asciiTheme="minorEastAsia" w:hAnsiTheme="minorEastAsia" w:eastAsiaTheme="minorEastAsia" w:cstheme="minorEastAsia"/>
          <w:color w:val="auto"/>
          <w:sz w:val="21"/>
          <w:szCs w:val="21"/>
          <w:highlight w:val="none"/>
        </w:rPr>
      </w:pPr>
      <w:bookmarkStart w:id="41" w:name="_Toc22723957"/>
      <w:bookmarkStart w:id="42" w:name="_Toc22962879"/>
      <w:bookmarkStart w:id="43" w:name="_Toc17470"/>
      <w:bookmarkStart w:id="44" w:name="_Toc22568790"/>
      <w:bookmarkStart w:id="45" w:name="_Toc99423258"/>
      <w:bookmarkStart w:id="46" w:name="_Toc22953398"/>
      <w:bookmarkStart w:id="47" w:name="_Toc22804076"/>
      <w:bookmarkStart w:id="48" w:name="_Toc22570497"/>
      <w:r>
        <w:rPr>
          <w:rFonts w:hint="eastAsia" w:asciiTheme="minorEastAsia" w:hAnsiTheme="minorEastAsia" w:eastAsiaTheme="minorEastAsia" w:cstheme="minorEastAsia"/>
          <w:color w:val="auto"/>
          <w:sz w:val="21"/>
          <w:szCs w:val="21"/>
          <w:highlight w:val="none"/>
        </w:rPr>
        <w:t>招标文件</w:t>
      </w:r>
      <w:bookmarkEnd w:id="41"/>
      <w:bookmarkEnd w:id="42"/>
      <w:bookmarkEnd w:id="43"/>
      <w:bookmarkEnd w:id="44"/>
      <w:bookmarkEnd w:id="45"/>
      <w:bookmarkEnd w:id="46"/>
      <w:bookmarkEnd w:id="47"/>
      <w:bookmarkEnd w:id="48"/>
    </w:p>
    <w:p>
      <w:pPr>
        <w:pStyle w:val="5"/>
        <w:numPr>
          <w:ilvl w:val="0"/>
          <w:numId w:val="7"/>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bookmarkStart w:id="49" w:name="_Toc99423259"/>
      <w:r>
        <w:rPr>
          <w:rFonts w:hint="eastAsia" w:asciiTheme="minorEastAsia" w:hAnsiTheme="minorEastAsia" w:eastAsiaTheme="minorEastAsia" w:cstheme="minorEastAsia"/>
          <w:color w:val="auto"/>
          <w:sz w:val="21"/>
          <w:szCs w:val="21"/>
          <w:highlight w:val="none"/>
        </w:rPr>
        <w:t>招标文件的构成</w:t>
      </w:r>
      <w:bookmarkEnd w:id="49"/>
    </w:p>
    <w:p>
      <w:pPr>
        <w:pStyle w:val="40"/>
        <w:numPr>
          <w:ilvl w:val="1"/>
          <w:numId w:val="8"/>
        </w:numPr>
        <w:tabs>
          <w:tab w:val="left" w:pos="851"/>
          <w:tab w:val="left" w:pos="993"/>
        </w:tabs>
        <w:adjustRightInd w:val="0"/>
        <w:snapToGrid w:val="0"/>
        <w:spacing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招标文件用以阐明本次招标的货物要求、招标投标程序和合同条件。</w:t>
      </w:r>
    </w:p>
    <w:p>
      <w:pPr>
        <w:pStyle w:val="40"/>
        <w:tabs>
          <w:tab w:val="left" w:pos="720"/>
          <w:tab w:val="left" w:pos="1080"/>
        </w:tabs>
        <w:adjustRightInd w:val="0"/>
        <w:snapToGrid w:val="0"/>
        <w:spacing w:line="440" w:lineRule="exact"/>
        <w:ind w:left="0" w:firstLine="567" w:firstLineChars="27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招标文件由下述部分组成：</w:t>
      </w:r>
    </w:p>
    <w:p>
      <w:pPr>
        <w:pStyle w:val="37"/>
        <w:numPr>
          <w:ilvl w:val="0"/>
          <w:numId w:val="9"/>
        </w:numPr>
        <w:tabs>
          <w:tab w:val="left" w:pos="1080"/>
          <w:tab w:val="clear" w:pos="1980"/>
        </w:tabs>
        <w:adjustRightInd w:val="0"/>
        <w:snapToGrid w:val="0"/>
        <w:spacing w:line="440" w:lineRule="exact"/>
        <w:ind w:left="0" w:firstLine="567" w:firstLineChars="27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招标公告</w:t>
      </w:r>
    </w:p>
    <w:p>
      <w:pPr>
        <w:pStyle w:val="37"/>
        <w:numPr>
          <w:ilvl w:val="0"/>
          <w:numId w:val="9"/>
        </w:numPr>
        <w:tabs>
          <w:tab w:val="left" w:pos="1080"/>
          <w:tab w:val="clear" w:pos="1980"/>
        </w:tabs>
        <w:adjustRightInd w:val="0"/>
        <w:snapToGrid w:val="0"/>
        <w:spacing w:line="440" w:lineRule="exact"/>
        <w:ind w:left="0" w:firstLine="567" w:firstLineChars="27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投标人须知</w:t>
      </w:r>
    </w:p>
    <w:p>
      <w:pPr>
        <w:pStyle w:val="37"/>
        <w:numPr>
          <w:ilvl w:val="0"/>
          <w:numId w:val="9"/>
        </w:numPr>
        <w:tabs>
          <w:tab w:val="left" w:pos="1080"/>
          <w:tab w:val="clear" w:pos="1980"/>
        </w:tabs>
        <w:adjustRightInd w:val="0"/>
        <w:snapToGrid w:val="0"/>
        <w:spacing w:line="440" w:lineRule="exact"/>
        <w:ind w:left="0" w:firstLine="567" w:firstLineChars="27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HYPERLINK \l "_合同格式"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评标办法</w:t>
      </w:r>
      <w:r>
        <w:rPr>
          <w:rFonts w:hint="eastAsia" w:asciiTheme="minorEastAsia" w:hAnsiTheme="minorEastAsia" w:eastAsiaTheme="minorEastAsia" w:cstheme="minorEastAsia"/>
          <w:color w:val="auto"/>
          <w:sz w:val="21"/>
          <w:szCs w:val="21"/>
          <w:highlight w:val="none"/>
        </w:rPr>
        <w:fldChar w:fldCharType="end"/>
      </w:r>
    </w:p>
    <w:p>
      <w:pPr>
        <w:pStyle w:val="37"/>
        <w:numPr>
          <w:ilvl w:val="0"/>
          <w:numId w:val="9"/>
        </w:numPr>
        <w:tabs>
          <w:tab w:val="left" w:pos="1080"/>
          <w:tab w:val="clear" w:pos="1980"/>
        </w:tabs>
        <w:adjustRightInd w:val="0"/>
        <w:snapToGrid w:val="0"/>
        <w:spacing w:line="440" w:lineRule="exact"/>
        <w:ind w:left="0" w:firstLine="567" w:firstLineChars="27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合同条款与格式</w:t>
      </w:r>
    </w:p>
    <w:p>
      <w:pPr>
        <w:pStyle w:val="37"/>
        <w:numPr>
          <w:ilvl w:val="0"/>
          <w:numId w:val="9"/>
        </w:numPr>
        <w:tabs>
          <w:tab w:val="left" w:pos="1080"/>
          <w:tab w:val="clear" w:pos="1980"/>
        </w:tabs>
        <w:adjustRightInd w:val="0"/>
        <w:snapToGrid w:val="0"/>
        <w:spacing w:line="440" w:lineRule="exact"/>
        <w:ind w:left="0" w:firstLine="567" w:firstLineChars="27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技术标准和要求</w:t>
      </w:r>
    </w:p>
    <w:p>
      <w:pPr>
        <w:pStyle w:val="37"/>
        <w:numPr>
          <w:ilvl w:val="0"/>
          <w:numId w:val="9"/>
        </w:numPr>
        <w:tabs>
          <w:tab w:val="left" w:pos="1080"/>
          <w:tab w:val="clear" w:pos="1980"/>
        </w:tabs>
        <w:adjustRightInd w:val="0"/>
        <w:snapToGrid w:val="0"/>
        <w:spacing w:line="440" w:lineRule="exact"/>
        <w:ind w:left="0" w:firstLine="567" w:firstLineChars="27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投标文件格式</w:t>
      </w:r>
    </w:p>
    <w:p>
      <w:pPr>
        <w:pStyle w:val="40"/>
        <w:numPr>
          <w:ilvl w:val="1"/>
          <w:numId w:val="8"/>
        </w:numPr>
        <w:tabs>
          <w:tab w:val="left" w:pos="851"/>
          <w:tab w:val="left" w:pos="993"/>
        </w:tabs>
        <w:adjustRightInd w:val="0"/>
        <w:snapToGrid w:val="0"/>
        <w:spacing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人应仔细阅读招标文件中投标人须知、合同条款的所有事项、格式要求和技术规范，按招标文件的要求提供投标文件，并保证所提供的全部资料的真实性，以使其投标对招标文件做出实质性响应，否则，将承担其投标被拒绝或废标的风险。</w:t>
      </w:r>
    </w:p>
    <w:p>
      <w:pPr>
        <w:pStyle w:val="5"/>
        <w:numPr>
          <w:ilvl w:val="0"/>
          <w:numId w:val="7"/>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bookmarkStart w:id="50" w:name="_Toc99423260"/>
      <w:r>
        <w:rPr>
          <w:rFonts w:hint="eastAsia" w:asciiTheme="minorEastAsia" w:hAnsiTheme="minorEastAsia" w:eastAsiaTheme="minorEastAsia" w:cstheme="minorEastAsia"/>
          <w:color w:val="auto"/>
          <w:sz w:val="21"/>
          <w:szCs w:val="21"/>
          <w:highlight w:val="none"/>
        </w:rPr>
        <w:t>招标文件的澄清</w:t>
      </w:r>
      <w:bookmarkEnd w:id="50"/>
      <w:r>
        <w:rPr>
          <w:rFonts w:hint="eastAsia" w:asciiTheme="minorEastAsia" w:hAnsiTheme="minorEastAsia" w:eastAsiaTheme="minorEastAsia" w:cstheme="minorEastAsia"/>
          <w:color w:val="auto"/>
          <w:sz w:val="21"/>
          <w:szCs w:val="21"/>
          <w:highlight w:val="none"/>
        </w:rPr>
        <w:t>或修改</w:t>
      </w:r>
    </w:p>
    <w:p>
      <w:pPr>
        <w:numPr>
          <w:ilvl w:val="0"/>
          <w:numId w:val="10"/>
        </w:numPr>
        <w:tabs>
          <w:tab w:val="left" w:pos="720"/>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pPr>
        <w:numPr>
          <w:ilvl w:val="0"/>
          <w:numId w:val="10"/>
        </w:numPr>
        <w:tabs>
          <w:tab w:val="left" w:pos="720"/>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numPr>
          <w:ilvl w:val="0"/>
          <w:numId w:val="10"/>
        </w:numPr>
        <w:tabs>
          <w:tab w:val="left" w:pos="720"/>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投标人认为需要对招标文件进行澄清或者修改的，可以以书面形式向采购人或采购代理机构提出申请，但招标采购单位可以决定是否采纳投标人的申请事项。</w:t>
      </w:r>
    </w:p>
    <w:p>
      <w:pPr>
        <w:pStyle w:val="4"/>
        <w:numPr>
          <w:ilvl w:val="0"/>
          <w:numId w:val="1"/>
        </w:numPr>
        <w:tabs>
          <w:tab w:val="left" w:pos="284"/>
          <w:tab w:val="left" w:pos="721"/>
          <w:tab w:val="left" w:pos="4111"/>
          <w:tab w:val="left" w:pos="4253"/>
          <w:tab w:val="clear" w:pos="405"/>
        </w:tabs>
        <w:adjustRightInd w:val="0"/>
        <w:snapToGrid w:val="0"/>
        <w:spacing w:before="0" w:after="0" w:line="440" w:lineRule="exact"/>
        <w:ind w:left="0" w:firstLine="0"/>
        <w:jc w:val="both"/>
        <w:rPr>
          <w:rFonts w:asciiTheme="minorEastAsia" w:hAnsiTheme="minorEastAsia" w:eastAsiaTheme="minorEastAsia" w:cstheme="minorEastAsia"/>
          <w:color w:val="auto"/>
          <w:sz w:val="21"/>
          <w:szCs w:val="21"/>
          <w:highlight w:val="none"/>
        </w:rPr>
      </w:pPr>
      <w:bookmarkStart w:id="51" w:name="_Toc22723958"/>
      <w:bookmarkStart w:id="52" w:name="_Toc22953399"/>
      <w:bookmarkStart w:id="53" w:name="_Toc22804077"/>
      <w:bookmarkStart w:id="54" w:name="_Toc99423262"/>
      <w:bookmarkStart w:id="55" w:name="_Toc22568791"/>
      <w:bookmarkStart w:id="56" w:name="_Toc22570498"/>
      <w:bookmarkStart w:id="57" w:name="_Toc22962880"/>
      <w:bookmarkStart w:id="58" w:name="_Toc11922"/>
      <w:r>
        <w:rPr>
          <w:rFonts w:hint="eastAsia" w:asciiTheme="minorEastAsia" w:hAnsiTheme="minorEastAsia" w:eastAsiaTheme="minorEastAsia" w:cstheme="minorEastAsia"/>
          <w:color w:val="auto"/>
          <w:sz w:val="21"/>
          <w:szCs w:val="21"/>
          <w:highlight w:val="none"/>
        </w:rPr>
        <w:t>投标文件的编写</w:t>
      </w:r>
      <w:bookmarkEnd w:id="51"/>
      <w:bookmarkEnd w:id="52"/>
      <w:bookmarkEnd w:id="53"/>
      <w:bookmarkEnd w:id="54"/>
      <w:bookmarkEnd w:id="55"/>
      <w:bookmarkEnd w:id="56"/>
      <w:bookmarkEnd w:id="57"/>
      <w:bookmarkEnd w:id="58"/>
    </w:p>
    <w:p>
      <w:pPr>
        <w:pStyle w:val="5"/>
        <w:numPr>
          <w:ilvl w:val="0"/>
          <w:numId w:val="11"/>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bookmarkStart w:id="59" w:name="_Toc99423263"/>
      <w:r>
        <w:rPr>
          <w:rFonts w:hint="eastAsia" w:asciiTheme="minorEastAsia" w:hAnsiTheme="minorEastAsia" w:eastAsiaTheme="minorEastAsia" w:cstheme="minorEastAsia"/>
          <w:color w:val="auto"/>
          <w:sz w:val="21"/>
          <w:szCs w:val="21"/>
          <w:highlight w:val="none"/>
        </w:rPr>
        <w:t>投标语言</w:t>
      </w:r>
      <w:bookmarkEnd w:id="59"/>
    </w:p>
    <w:p>
      <w:pPr>
        <w:tabs>
          <w:tab w:val="left" w:pos="720"/>
          <w:tab w:val="left" w:pos="1904"/>
        </w:tabs>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投标文件以及投标人所有与采购人及采购代理机构就投标来往的函电均使用中文。投标人提供的外文资料应附有相应的中文译本，并以中文译本为准。</w:t>
      </w:r>
    </w:p>
    <w:p>
      <w:pPr>
        <w:pStyle w:val="5"/>
        <w:numPr>
          <w:ilvl w:val="0"/>
          <w:numId w:val="11"/>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bookmarkStart w:id="60" w:name="_Toc99423264"/>
      <w:r>
        <w:rPr>
          <w:rFonts w:hint="eastAsia" w:asciiTheme="minorEastAsia" w:hAnsiTheme="minorEastAsia" w:eastAsiaTheme="minorEastAsia" w:cstheme="minorEastAsia"/>
          <w:color w:val="auto"/>
          <w:sz w:val="21"/>
          <w:szCs w:val="21"/>
          <w:highlight w:val="none"/>
        </w:rPr>
        <w:t>投标文件计量单位</w:t>
      </w:r>
      <w:bookmarkEnd w:id="60"/>
    </w:p>
    <w:p>
      <w:pPr>
        <w:pStyle w:val="37"/>
        <w:tabs>
          <w:tab w:val="left" w:pos="721"/>
        </w:tabs>
        <w:adjustRightInd w:val="0"/>
        <w:snapToGrid w:val="0"/>
        <w:spacing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除在招标文件的技术文件中另有规定外，计量单位均使用公制计量单位。</w:t>
      </w:r>
    </w:p>
    <w:p>
      <w:pPr>
        <w:pStyle w:val="5"/>
        <w:numPr>
          <w:ilvl w:val="0"/>
          <w:numId w:val="11"/>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bookmarkStart w:id="61" w:name="_Toc99423265"/>
      <w:r>
        <w:rPr>
          <w:rFonts w:hint="eastAsia" w:asciiTheme="minorEastAsia" w:hAnsiTheme="minorEastAsia" w:eastAsiaTheme="minorEastAsia" w:cstheme="minorEastAsia"/>
          <w:color w:val="auto"/>
          <w:sz w:val="21"/>
          <w:szCs w:val="21"/>
          <w:highlight w:val="none"/>
        </w:rPr>
        <w:t>投标文件的组成</w:t>
      </w:r>
      <w:bookmarkEnd w:id="61"/>
    </w:p>
    <w:p>
      <w:pPr>
        <w:numPr>
          <w:ilvl w:val="1"/>
          <w:numId w:val="12"/>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详见投标文件格式</w:t>
      </w:r>
    </w:p>
    <w:p>
      <w:pPr>
        <w:pStyle w:val="5"/>
        <w:numPr>
          <w:ilvl w:val="0"/>
          <w:numId w:val="11"/>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bookmarkStart w:id="62" w:name="_Toc99423266"/>
      <w:r>
        <w:rPr>
          <w:rFonts w:hint="eastAsia" w:asciiTheme="minorEastAsia" w:hAnsiTheme="minorEastAsia" w:eastAsiaTheme="minorEastAsia" w:cstheme="minorEastAsia"/>
          <w:color w:val="auto"/>
          <w:sz w:val="21"/>
          <w:szCs w:val="21"/>
          <w:highlight w:val="none"/>
        </w:rPr>
        <w:t>投标格式</w:t>
      </w:r>
      <w:bookmarkEnd w:id="62"/>
    </w:p>
    <w:p>
      <w:pPr>
        <w:numPr>
          <w:ilvl w:val="0"/>
          <w:numId w:val="13"/>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投标人应按照招标文件中提供的格式要求如实填写投标函、开标一览表、报价</w:t>
      </w:r>
      <w:r>
        <w:rPr>
          <w:rFonts w:hint="eastAsia" w:asciiTheme="minorEastAsia" w:hAnsiTheme="minorEastAsia" w:eastAsiaTheme="minorEastAsia" w:cstheme="minorEastAsia"/>
          <w:color w:val="auto"/>
          <w:highlight w:val="none"/>
          <w:lang w:val="en-US" w:eastAsia="zh-CN"/>
        </w:rPr>
        <w:t>明细</w:t>
      </w:r>
      <w:r>
        <w:rPr>
          <w:rFonts w:hint="eastAsia" w:asciiTheme="minorEastAsia" w:hAnsiTheme="minorEastAsia" w:eastAsiaTheme="minorEastAsia" w:cstheme="minorEastAsia"/>
          <w:color w:val="auto"/>
          <w:highlight w:val="none"/>
        </w:rPr>
        <w:t>表、</w:t>
      </w:r>
      <w:r>
        <w:rPr>
          <w:rFonts w:hint="eastAsia" w:asciiTheme="minorEastAsia" w:hAnsiTheme="minorEastAsia" w:eastAsiaTheme="minorEastAsia" w:cstheme="minorEastAsia"/>
          <w:color w:val="auto"/>
          <w:highlight w:val="none"/>
          <w:lang w:val="en-US" w:eastAsia="zh-CN"/>
        </w:rPr>
        <w:t>商务及</w:t>
      </w:r>
      <w:r>
        <w:rPr>
          <w:rFonts w:hint="eastAsia" w:asciiTheme="minorEastAsia" w:hAnsiTheme="minorEastAsia" w:eastAsiaTheme="minorEastAsia" w:cstheme="minorEastAsia"/>
          <w:color w:val="auto"/>
          <w:highlight w:val="none"/>
        </w:rPr>
        <w:t>技术</w:t>
      </w:r>
      <w:r>
        <w:rPr>
          <w:rFonts w:hint="eastAsia" w:asciiTheme="minorEastAsia" w:hAnsiTheme="minorEastAsia" w:eastAsiaTheme="minorEastAsia" w:cstheme="minorEastAsia"/>
          <w:color w:val="auto"/>
          <w:highlight w:val="none"/>
          <w:lang w:val="en-US" w:eastAsia="zh-CN"/>
        </w:rPr>
        <w:t>要求偏离</w:t>
      </w:r>
      <w:r>
        <w:rPr>
          <w:rFonts w:hint="eastAsia" w:asciiTheme="minorEastAsia" w:hAnsiTheme="minorEastAsia" w:eastAsiaTheme="minorEastAsia" w:cstheme="minorEastAsia"/>
          <w:color w:val="auto"/>
          <w:highlight w:val="none"/>
        </w:rPr>
        <w:t>表。</w:t>
      </w:r>
    </w:p>
    <w:p>
      <w:pPr>
        <w:pStyle w:val="5"/>
        <w:numPr>
          <w:ilvl w:val="0"/>
          <w:numId w:val="11"/>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bookmarkStart w:id="63" w:name="_Toc99423267"/>
      <w:r>
        <w:rPr>
          <w:rFonts w:hint="eastAsia" w:asciiTheme="minorEastAsia" w:hAnsiTheme="minorEastAsia" w:eastAsiaTheme="minorEastAsia" w:cstheme="minorEastAsia"/>
          <w:color w:val="auto"/>
          <w:sz w:val="21"/>
          <w:szCs w:val="21"/>
          <w:highlight w:val="none"/>
        </w:rPr>
        <w:t>投标报价</w:t>
      </w:r>
      <w:bookmarkEnd w:id="63"/>
    </w:p>
    <w:p>
      <w:pPr>
        <w:numPr>
          <w:ilvl w:val="1"/>
          <w:numId w:val="14"/>
        </w:numPr>
        <w:tabs>
          <w:tab w:val="left" w:pos="720"/>
          <w:tab w:val="left" w:pos="993"/>
        </w:tabs>
        <w:adjustRightInd w:val="0"/>
        <w:snapToGrid w:val="0"/>
        <w:spacing w:line="440" w:lineRule="exact"/>
        <w:ind w:left="-108" w:firstLine="420" w:firstLineChars="200"/>
        <w:rPr>
          <w:rFonts w:asciiTheme="minorEastAsia" w:hAnsiTheme="minorEastAsia" w:eastAsiaTheme="minorEastAsia" w:cstheme="minorEastAsia"/>
          <w:color w:val="auto"/>
          <w:highlight w:val="none"/>
        </w:rPr>
      </w:pPr>
      <w:r>
        <w:rPr>
          <w:rFonts w:hint="eastAsia" w:ascii="宋体" w:hAnsi="宋体" w:cs="宋体"/>
          <w:color w:val="auto"/>
          <w:highlight w:val="none"/>
        </w:rPr>
        <w:t>投标报价是指包括但不限于货物价款、包装、运输、装卸、保险费、安装及相关材料费、调试费、软件费、检验费、培训费等各种伴随服务的费用以及税金等。合同总价之外，甲方不再另行支付任何费用。</w:t>
      </w:r>
    </w:p>
    <w:p>
      <w:pPr>
        <w:numPr>
          <w:ilvl w:val="1"/>
          <w:numId w:val="14"/>
        </w:numPr>
        <w:tabs>
          <w:tab w:val="left" w:pos="720"/>
          <w:tab w:val="left" w:pos="993"/>
        </w:tabs>
        <w:adjustRightInd w:val="0"/>
        <w:snapToGrid w:val="0"/>
        <w:spacing w:line="440" w:lineRule="exact"/>
        <w:ind w:left="-108"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投标人的投标报价应包含验收合格正式交付使用前所发生的一切费用，且投标人只能提出一个不变价格，采购人不接受任何选择价。</w:t>
      </w:r>
    </w:p>
    <w:p>
      <w:pPr>
        <w:numPr>
          <w:ilvl w:val="1"/>
          <w:numId w:val="14"/>
        </w:numPr>
        <w:tabs>
          <w:tab w:val="left" w:pos="720"/>
          <w:tab w:val="left" w:pos="993"/>
        </w:tabs>
        <w:adjustRightInd w:val="0"/>
        <w:snapToGrid w:val="0"/>
        <w:spacing w:line="440" w:lineRule="exact"/>
        <w:ind w:left="-108"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投标文件的投标报价，应是完成本文件所列招标范围的全部内容。</w:t>
      </w:r>
    </w:p>
    <w:p>
      <w:pPr>
        <w:pStyle w:val="5"/>
        <w:numPr>
          <w:ilvl w:val="0"/>
          <w:numId w:val="11"/>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b w:val="0"/>
          <w:bCs w:val="0"/>
          <w:color w:val="auto"/>
          <w:kern w:val="2"/>
          <w:sz w:val="21"/>
          <w:szCs w:val="21"/>
          <w:highlight w:val="none"/>
        </w:rPr>
      </w:pPr>
      <w:bookmarkStart w:id="64" w:name="_Toc99423269"/>
      <w:r>
        <w:rPr>
          <w:rFonts w:hint="eastAsia" w:asciiTheme="minorEastAsia" w:hAnsiTheme="minorEastAsia" w:eastAsiaTheme="minorEastAsia" w:cstheme="minorEastAsia"/>
          <w:color w:val="auto"/>
          <w:sz w:val="21"/>
          <w:szCs w:val="21"/>
          <w:highlight w:val="none"/>
        </w:rPr>
        <w:t>投标人资格的证明文件</w:t>
      </w:r>
      <w:bookmarkEnd w:id="64"/>
    </w:p>
    <w:p>
      <w:pPr>
        <w:numPr>
          <w:ilvl w:val="0"/>
          <w:numId w:val="15"/>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依据第二章“投标人须知前附表”中的要求提交相应的资格证明文件，作为投标文件的一部分，以证明其有资格进行投标和有能力履行合同。</w:t>
      </w:r>
    </w:p>
    <w:p>
      <w:pPr>
        <w:pStyle w:val="5"/>
        <w:numPr>
          <w:ilvl w:val="0"/>
          <w:numId w:val="11"/>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bookmarkStart w:id="65" w:name="_Toc99423270"/>
      <w:r>
        <w:rPr>
          <w:rFonts w:hint="eastAsia" w:asciiTheme="minorEastAsia" w:hAnsiTheme="minorEastAsia" w:eastAsiaTheme="minorEastAsia" w:cstheme="minorEastAsia"/>
          <w:color w:val="auto"/>
          <w:sz w:val="21"/>
          <w:szCs w:val="21"/>
          <w:highlight w:val="none"/>
        </w:rPr>
        <w:t>证明投标货物符合招标文件技术要求的文件</w:t>
      </w:r>
      <w:bookmarkEnd w:id="65"/>
    </w:p>
    <w:p>
      <w:pPr>
        <w:numPr>
          <w:ilvl w:val="0"/>
          <w:numId w:val="16"/>
        </w:numPr>
        <w:tabs>
          <w:tab w:val="left" w:pos="720"/>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投标人应对招标文件技术要求逐条应答，并标明与招标文件条文的偏差和例外。对招标文件有具体规格、参数的指标，投标人必须提供其所投货物的具体数值。</w:t>
      </w:r>
    </w:p>
    <w:p>
      <w:pPr>
        <w:numPr>
          <w:ilvl w:val="0"/>
          <w:numId w:val="16"/>
        </w:numPr>
        <w:tabs>
          <w:tab w:val="left" w:pos="720"/>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按照财政部发展改革委生态环境部市场监管总局关于调整优化节能产品环境标志产品政府采购执行机制的通知（财库〔2019〕9号）文件规定，自2019年4月1日起《财政部生态环境部关于调整公布第二十二期环境标志产品政府采购清单的通知》（财库〔2018〕70号）和《财政部国家发展改革委关于调整公布第二十四期节能产品政府采购清单的通知》（财库〔2018〕73号）同时停止执行。对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不再发布“节能产品政府采购清单”和“环境标志产品政府采购清单”。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pPr>
        <w:numPr>
          <w:ilvl w:val="0"/>
          <w:numId w:val="16"/>
        </w:numPr>
        <w:tabs>
          <w:tab w:val="left" w:pos="720"/>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依据《财政部、工业和信息化部、国家质检总局、国家认监委关于信息安全产品实施政府采购的通知》财库〔2010〕48号文件要求，各潜在投标人在本次投标活动投标货物中，如有涉及到信息安全产品的，则所投涉及到上述货物的产品必须提供由中国信息安全认证中心颁发的有效认证证书。</w:t>
      </w:r>
    </w:p>
    <w:p>
      <w:pPr>
        <w:numPr>
          <w:ilvl w:val="0"/>
          <w:numId w:val="16"/>
        </w:numPr>
        <w:tabs>
          <w:tab w:val="left" w:pos="720"/>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所投产品已列入国家强制性产品认证的产品，必须提供通过国家3C认证的有关证明材料。</w:t>
      </w:r>
    </w:p>
    <w:p>
      <w:pPr>
        <w:pStyle w:val="5"/>
        <w:numPr>
          <w:ilvl w:val="0"/>
          <w:numId w:val="11"/>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bookmarkStart w:id="66" w:name="_Toc99423271"/>
      <w:r>
        <w:rPr>
          <w:rFonts w:hint="eastAsia" w:asciiTheme="minorEastAsia" w:hAnsiTheme="minorEastAsia" w:eastAsiaTheme="minorEastAsia" w:cstheme="minorEastAsia"/>
          <w:color w:val="auto"/>
          <w:sz w:val="21"/>
          <w:szCs w:val="21"/>
          <w:highlight w:val="none"/>
        </w:rPr>
        <w:t>投标保证金</w:t>
      </w:r>
      <w:bookmarkEnd w:id="66"/>
      <w:r>
        <w:rPr>
          <w:rFonts w:hint="eastAsia" w:asciiTheme="minorEastAsia" w:hAnsiTheme="minorEastAsia" w:eastAsiaTheme="minorEastAsia" w:cstheme="minorEastAsia"/>
          <w:color w:val="auto"/>
          <w:sz w:val="21"/>
          <w:szCs w:val="21"/>
          <w:highlight w:val="none"/>
        </w:rPr>
        <w:tab/>
      </w:r>
    </w:p>
    <w:p>
      <w:pPr>
        <w:pStyle w:val="37"/>
        <w:numPr>
          <w:ilvl w:val="0"/>
          <w:numId w:val="17"/>
        </w:numPr>
        <w:tabs>
          <w:tab w:val="left" w:pos="720"/>
          <w:tab w:val="left" w:pos="993"/>
        </w:tabs>
        <w:adjustRightInd w:val="0"/>
        <w:snapToGrid w:val="0"/>
        <w:spacing w:line="440" w:lineRule="exact"/>
        <w:ind w:left="0" w:firstLine="412" w:firstLineChars="200"/>
        <w:rPr>
          <w:rFonts w:asciiTheme="minorEastAsia" w:hAnsiTheme="minorEastAsia" w:eastAsiaTheme="minorEastAsia" w:cstheme="minorEastAsia"/>
          <w:color w:val="auto"/>
          <w:spacing w:val="-2"/>
          <w:sz w:val="21"/>
          <w:szCs w:val="21"/>
          <w:highlight w:val="none"/>
        </w:rPr>
      </w:pPr>
      <w:r>
        <w:rPr>
          <w:rFonts w:hint="eastAsia" w:asciiTheme="minorEastAsia" w:hAnsiTheme="minorEastAsia" w:eastAsiaTheme="minorEastAsia" w:cstheme="minorEastAsia"/>
          <w:color w:val="auto"/>
          <w:spacing w:val="-2"/>
          <w:sz w:val="21"/>
          <w:szCs w:val="21"/>
          <w:highlight w:val="none"/>
        </w:rPr>
        <w:t>按第二章“投标人须知前附表”中规定。</w:t>
      </w:r>
    </w:p>
    <w:p>
      <w:pPr>
        <w:pStyle w:val="5"/>
        <w:numPr>
          <w:ilvl w:val="0"/>
          <w:numId w:val="11"/>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bookmarkStart w:id="67" w:name="_Toc99423272"/>
      <w:r>
        <w:rPr>
          <w:rFonts w:hint="eastAsia" w:asciiTheme="minorEastAsia" w:hAnsiTheme="minorEastAsia" w:eastAsiaTheme="minorEastAsia" w:cstheme="minorEastAsia"/>
          <w:color w:val="auto"/>
          <w:sz w:val="21"/>
          <w:szCs w:val="21"/>
          <w:highlight w:val="none"/>
        </w:rPr>
        <w:t>投标有效期</w:t>
      </w:r>
      <w:bookmarkEnd w:id="67"/>
    </w:p>
    <w:p>
      <w:pPr>
        <w:numPr>
          <w:ilvl w:val="0"/>
          <w:numId w:val="18"/>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投标有效期是保障投标、开标、评标、定标以及签订合同全过程时效要求，是招标、投标体现法律效力的前提条件。</w:t>
      </w:r>
    </w:p>
    <w:p>
      <w:pPr>
        <w:numPr>
          <w:ilvl w:val="0"/>
          <w:numId w:val="18"/>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投标文件应自投标规定的开标之日起，在第二章“投标人须知前附表”规定的时间内保持有效。</w:t>
      </w:r>
    </w:p>
    <w:p>
      <w:pPr>
        <w:numPr>
          <w:ilvl w:val="0"/>
          <w:numId w:val="18"/>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在特殊情况下，采购人和采购代理机构可征求投标人同意延长投标有效期。这种要求与答复均应以书面形式提交。</w:t>
      </w:r>
    </w:p>
    <w:p>
      <w:pPr>
        <w:pStyle w:val="5"/>
        <w:numPr>
          <w:ilvl w:val="0"/>
          <w:numId w:val="11"/>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b w:val="0"/>
          <w:bCs w:val="0"/>
          <w:color w:val="auto"/>
          <w:sz w:val="21"/>
          <w:szCs w:val="21"/>
          <w:highlight w:val="none"/>
        </w:rPr>
      </w:pPr>
      <w:bookmarkStart w:id="68" w:name="_Toc99423273"/>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投标文件的</w:t>
      </w:r>
      <w:bookmarkEnd w:id="68"/>
      <w:r>
        <w:rPr>
          <w:rFonts w:hint="eastAsia" w:asciiTheme="minorEastAsia" w:hAnsiTheme="minorEastAsia" w:eastAsiaTheme="minorEastAsia" w:cstheme="minorEastAsia"/>
          <w:color w:val="auto"/>
          <w:sz w:val="21"/>
          <w:szCs w:val="21"/>
          <w:highlight w:val="none"/>
        </w:rPr>
        <w:t>编制</w:t>
      </w:r>
    </w:p>
    <w:p>
      <w:pPr>
        <w:numPr>
          <w:ilvl w:val="0"/>
          <w:numId w:val="19"/>
        </w:numPr>
        <w:tabs>
          <w:tab w:val="left" w:pos="420"/>
          <w:tab w:val="left" w:pos="1134"/>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投标文件应按第六章“投标文件格式”进行编写，如有必要，可以增加附页，作为投标文件的组成部分。</w:t>
      </w:r>
    </w:p>
    <w:p>
      <w:pPr>
        <w:numPr>
          <w:ilvl w:val="0"/>
          <w:numId w:val="19"/>
        </w:numPr>
        <w:tabs>
          <w:tab w:val="left" w:pos="420"/>
          <w:tab w:val="left" w:pos="1134"/>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投标文件应当对招标文件有关交货期、投标有效期、质量要求、采购内容等实质性内容作出响应。投标文件在满足招标文件实质性要求的基础上，可以提出比招标文件要求更有利于采购人的承诺。</w:t>
      </w:r>
    </w:p>
    <w:p>
      <w:pPr>
        <w:numPr>
          <w:ilvl w:val="0"/>
          <w:numId w:val="19"/>
        </w:numPr>
        <w:tabs>
          <w:tab w:val="left" w:pos="420"/>
          <w:tab w:val="left" w:pos="1134"/>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按招标文件要求，在需要签字的地方由法定代表人或其委托代理人签字或签章，在需要盖章的地方加盖投标单位签章。</w:t>
      </w:r>
    </w:p>
    <w:p>
      <w:pPr>
        <w:pStyle w:val="4"/>
        <w:numPr>
          <w:ilvl w:val="0"/>
          <w:numId w:val="1"/>
        </w:numPr>
        <w:tabs>
          <w:tab w:val="left" w:pos="284"/>
          <w:tab w:val="left" w:pos="720"/>
          <w:tab w:val="left" w:pos="4111"/>
          <w:tab w:val="left" w:pos="4253"/>
          <w:tab w:val="clear" w:pos="405"/>
        </w:tabs>
        <w:adjustRightInd w:val="0"/>
        <w:snapToGrid w:val="0"/>
        <w:spacing w:before="0" w:after="0" w:line="440" w:lineRule="exact"/>
        <w:ind w:left="0" w:firstLine="0"/>
        <w:jc w:val="both"/>
        <w:rPr>
          <w:rFonts w:asciiTheme="minorEastAsia" w:hAnsiTheme="minorEastAsia" w:eastAsiaTheme="minorEastAsia" w:cstheme="minorEastAsia"/>
          <w:color w:val="auto"/>
          <w:sz w:val="21"/>
          <w:szCs w:val="21"/>
          <w:highlight w:val="none"/>
        </w:rPr>
      </w:pPr>
      <w:bookmarkStart w:id="69" w:name="_Toc22804078"/>
      <w:bookmarkStart w:id="70" w:name="_Toc22570499"/>
      <w:bookmarkStart w:id="71" w:name="_Toc22953400"/>
      <w:bookmarkStart w:id="72" w:name="_Toc22723959"/>
      <w:bookmarkStart w:id="73" w:name="_Toc22962881"/>
      <w:bookmarkStart w:id="74" w:name="_Toc22568792"/>
      <w:bookmarkStart w:id="75" w:name="_Toc99423274"/>
      <w:bookmarkStart w:id="76" w:name="_Toc30136"/>
      <w:r>
        <w:rPr>
          <w:rFonts w:hint="eastAsia" w:asciiTheme="minorEastAsia" w:hAnsiTheme="minorEastAsia" w:eastAsiaTheme="minorEastAsia" w:cstheme="minorEastAsia"/>
          <w:color w:val="auto"/>
          <w:sz w:val="21"/>
          <w:szCs w:val="21"/>
          <w:highlight w:val="none"/>
        </w:rPr>
        <w:t>投标文件的递交</w:t>
      </w:r>
      <w:bookmarkEnd w:id="69"/>
      <w:bookmarkEnd w:id="70"/>
      <w:bookmarkEnd w:id="71"/>
      <w:bookmarkEnd w:id="72"/>
      <w:bookmarkEnd w:id="73"/>
      <w:bookmarkEnd w:id="74"/>
      <w:bookmarkEnd w:id="75"/>
      <w:bookmarkEnd w:id="76"/>
    </w:p>
    <w:p>
      <w:pPr>
        <w:pStyle w:val="5"/>
        <w:numPr>
          <w:ilvl w:val="0"/>
          <w:numId w:val="20"/>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投标文件的递交</w:t>
      </w:r>
    </w:p>
    <w:p>
      <w:pPr>
        <w:numPr>
          <w:ilvl w:val="0"/>
          <w:numId w:val="21"/>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递交投标文件的截止时间：见投标人须知前附表。</w:t>
      </w:r>
    </w:p>
    <w:p>
      <w:pPr>
        <w:numPr>
          <w:ilvl w:val="0"/>
          <w:numId w:val="21"/>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递交投标文件的地点：见投标人须知前附表。</w:t>
      </w:r>
    </w:p>
    <w:p>
      <w:pPr>
        <w:numPr>
          <w:ilvl w:val="0"/>
          <w:numId w:val="21"/>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除投标人须知前附表另有规定外，投标人所递交的投标文件不予退还。</w:t>
      </w:r>
      <w:bookmarkStart w:id="77" w:name="_Toc24009"/>
      <w:bookmarkEnd w:id="77"/>
    </w:p>
    <w:p>
      <w:pPr>
        <w:pStyle w:val="5"/>
        <w:numPr>
          <w:ilvl w:val="0"/>
          <w:numId w:val="20"/>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投标文件的上传</w:t>
      </w:r>
    </w:p>
    <w:p>
      <w:pPr>
        <w:numPr>
          <w:ilvl w:val="1"/>
          <w:numId w:val="22"/>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加密的电子投标文件上传时必须得到电脑“上传成功”的确认。请投标人在上传时认真检查上传投标文件是否完整、正确。投标人因交易中心投标系统问题无法上传电子投标文件时，请在工作时间与</w:t>
      </w:r>
      <w:r>
        <w:rPr>
          <w:rFonts w:hint="eastAsia" w:asciiTheme="minorEastAsia" w:hAnsiTheme="minorEastAsia" w:eastAsiaTheme="minorEastAsia" w:cstheme="minorEastAsia"/>
          <w:color w:val="auto"/>
          <w:highlight w:val="none"/>
          <w:lang w:val="en-US" w:eastAsia="zh-CN"/>
        </w:rPr>
        <w:t>平顶山市</w:t>
      </w:r>
      <w:r>
        <w:rPr>
          <w:rFonts w:hint="eastAsia" w:asciiTheme="minorEastAsia" w:hAnsiTheme="minorEastAsia" w:eastAsiaTheme="minorEastAsia" w:cstheme="minorEastAsia"/>
          <w:color w:val="auto"/>
          <w:highlight w:val="none"/>
        </w:rPr>
        <w:t>公共资源交易中心联系，联系方式详见</w:t>
      </w:r>
      <w:r>
        <w:rPr>
          <w:rFonts w:hint="eastAsia" w:asciiTheme="minorEastAsia" w:hAnsiTheme="minorEastAsia" w:eastAsiaTheme="minorEastAsia" w:cstheme="minorEastAsia"/>
          <w:color w:val="auto"/>
          <w:highlight w:val="none"/>
          <w:lang w:val="en-US" w:eastAsia="zh-CN"/>
        </w:rPr>
        <w:t>平顶山市</w:t>
      </w:r>
      <w:r>
        <w:rPr>
          <w:rFonts w:hint="eastAsia" w:asciiTheme="minorEastAsia" w:hAnsiTheme="minorEastAsia" w:eastAsiaTheme="minorEastAsia" w:cstheme="minorEastAsia"/>
          <w:color w:val="auto"/>
          <w:highlight w:val="none"/>
        </w:rPr>
        <w:t>公共资源交易中心（http://ggzy.pds.gov.cn/）网站的通知。</w:t>
      </w:r>
    </w:p>
    <w:p>
      <w:pPr>
        <w:numPr>
          <w:ilvl w:val="1"/>
          <w:numId w:val="22"/>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在投标截止期之后，投标人不得对其投标做任何实质性条款修改。</w:t>
      </w:r>
    </w:p>
    <w:p>
      <w:pPr>
        <w:pStyle w:val="4"/>
        <w:numPr>
          <w:ilvl w:val="0"/>
          <w:numId w:val="1"/>
        </w:numPr>
        <w:tabs>
          <w:tab w:val="left" w:pos="284"/>
          <w:tab w:val="left" w:pos="720"/>
          <w:tab w:val="left" w:pos="4111"/>
          <w:tab w:val="left" w:pos="4253"/>
          <w:tab w:val="clear" w:pos="405"/>
        </w:tabs>
        <w:adjustRightInd w:val="0"/>
        <w:snapToGrid w:val="0"/>
        <w:spacing w:before="0" w:after="0" w:line="440" w:lineRule="exact"/>
        <w:ind w:left="0" w:firstLine="0"/>
        <w:jc w:val="both"/>
        <w:rPr>
          <w:rFonts w:asciiTheme="minorEastAsia" w:hAnsiTheme="minorEastAsia" w:eastAsiaTheme="minorEastAsia" w:cstheme="minorEastAsia"/>
          <w:color w:val="auto"/>
          <w:sz w:val="21"/>
          <w:szCs w:val="21"/>
          <w:highlight w:val="none"/>
        </w:rPr>
      </w:pPr>
      <w:bookmarkStart w:id="78" w:name="_Toc22568793"/>
      <w:bookmarkStart w:id="79" w:name="_Toc22570500"/>
      <w:bookmarkStart w:id="80" w:name="_Toc22723960"/>
      <w:bookmarkStart w:id="81" w:name="_Toc22804079"/>
      <w:bookmarkStart w:id="82" w:name="_Toc22953401"/>
      <w:bookmarkStart w:id="83" w:name="_Toc26321"/>
      <w:bookmarkStart w:id="84" w:name="_Toc99423279"/>
      <w:bookmarkStart w:id="85" w:name="_Toc22962882"/>
      <w:r>
        <w:rPr>
          <w:rFonts w:hint="eastAsia" w:asciiTheme="minorEastAsia" w:hAnsiTheme="minorEastAsia" w:eastAsiaTheme="minorEastAsia" w:cstheme="minorEastAsia"/>
          <w:color w:val="auto"/>
          <w:sz w:val="21"/>
          <w:szCs w:val="21"/>
          <w:highlight w:val="none"/>
        </w:rPr>
        <w:t>开标</w:t>
      </w:r>
      <w:bookmarkEnd w:id="78"/>
      <w:bookmarkEnd w:id="79"/>
      <w:bookmarkEnd w:id="80"/>
      <w:bookmarkEnd w:id="81"/>
      <w:bookmarkEnd w:id="82"/>
      <w:bookmarkEnd w:id="83"/>
      <w:bookmarkEnd w:id="84"/>
      <w:bookmarkEnd w:id="85"/>
    </w:p>
    <w:p>
      <w:pPr>
        <w:pStyle w:val="5"/>
        <w:numPr>
          <w:ilvl w:val="0"/>
          <w:numId w:val="23"/>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开标</w:t>
      </w:r>
    </w:p>
    <w:p>
      <w:pPr>
        <w:numPr>
          <w:ilvl w:val="0"/>
          <w:numId w:val="24"/>
        </w:numPr>
        <w:tabs>
          <w:tab w:val="left" w:pos="851"/>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开标时间和地点：见“投标人须知前附表”。</w:t>
      </w:r>
    </w:p>
    <w:p>
      <w:pPr>
        <w:pStyle w:val="4"/>
        <w:numPr>
          <w:ilvl w:val="0"/>
          <w:numId w:val="1"/>
        </w:numPr>
        <w:tabs>
          <w:tab w:val="left" w:pos="284"/>
          <w:tab w:val="left" w:pos="720"/>
          <w:tab w:val="left" w:pos="4111"/>
          <w:tab w:val="left" w:pos="4253"/>
          <w:tab w:val="clear" w:pos="405"/>
        </w:tabs>
        <w:adjustRightInd w:val="0"/>
        <w:snapToGrid w:val="0"/>
        <w:spacing w:before="0" w:after="0" w:line="440" w:lineRule="exact"/>
        <w:ind w:left="0" w:firstLine="0"/>
        <w:jc w:val="both"/>
        <w:rPr>
          <w:rFonts w:asciiTheme="minorEastAsia" w:hAnsiTheme="minorEastAsia" w:eastAsiaTheme="minorEastAsia" w:cstheme="minorEastAsia"/>
          <w:color w:val="auto"/>
          <w:sz w:val="21"/>
          <w:szCs w:val="21"/>
          <w:highlight w:val="none"/>
        </w:rPr>
      </w:pPr>
      <w:bookmarkStart w:id="86" w:name="_Toc29972"/>
      <w:r>
        <w:rPr>
          <w:rFonts w:hint="eastAsia" w:asciiTheme="minorEastAsia" w:hAnsiTheme="minorEastAsia" w:eastAsiaTheme="minorEastAsia" w:cstheme="minorEastAsia"/>
          <w:color w:val="auto"/>
          <w:sz w:val="21"/>
          <w:szCs w:val="21"/>
          <w:highlight w:val="none"/>
        </w:rPr>
        <w:t>评标</w:t>
      </w:r>
      <w:bookmarkEnd w:id="86"/>
    </w:p>
    <w:p>
      <w:pPr>
        <w:pStyle w:val="5"/>
        <w:tabs>
          <w:tab w:val="left" w:pos="709"/>
        </w:tabs>
        <w:adjustRightInd w:val="0"/>
        <w:snapToGrid w:val="0"/>
        <w:spacing w:before="0" w:after="0" w:line="440" w:lineRule="exact"/>
        <w:ind w:left="281" w:leftChars="134"/>
        <w:rPr>
          <w:rFonts w:asciiTheme="minorEastAsia" w:hAnsiTheme="minorEastAsia" w:eastAsiaTheme="minorEastAsia" w:cstheme="minorEastAsia"/>
          <w:color w:val="auto"/>
          <w:sz w:val="21"/>
          <w:szCs w:val="21"/>
          <w:highlight w:val="none"/>
        </w:rPr>
      </w:pPr>
      <w:bookmarkStart w:id="87" w:name="_Toc99423281"/>
      <w:r>
        <w:rPr>
          <w:rFonts w:hint="eastAsia" w:asciiTheme="minorEastAsia" w:hAnsiTheme="minorEastAsia" w:eastAsiaTheme="minorEastAsia" w:cstheme="minorEastAsia"/>
          <w:color w:val="auto"/>
          <w:sz w:val="21"/>
          <w:szCs w:val="21"/>
          <w:highlight w:val="none"/>
        </w:rPr>
        <w:t>6.1评标工作</w:t>
      </w:r>
      <w:bookmarkEnd w:id="87"/>
    </w:p>
    <w:p>
      <w:pPr>
        <w:numPr>
          <w:ilvl w:val="0"/>
          <w:numId w:val="25"/>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highlight w:val="none"/>
        </w:rPr>
        <w:t>评标由评标委员会负责，评标委员会由采购人代表和有关技术、经济等方面的专家组成，成员人数见“投标人须知前附表”。其中技术、经济等方面的专家不少于成员总数的三分之二。评标专家由采购人</w:t>
      </w:r>
      <w:r>
        <w:rPr>
          <w:rFonts w:hint="eastAsia" w:asciiTheme="minorEastAsia" w:hAnsiTheme="minorEastAsia" w:eastAsiaTheme="minorEastAsia" w:cstheme="minorEastAsia"/>
          <w:color w:val="auto"/>
          <w:highlight w:val="none"/>
          <w:lang w:val="en-US" w:eastAsia="zh-CN"/>
        </w:rPr>
        <w:t>或采购代理机构</w:t>
      </w:r>
      <w:r>
        <w:rPr>
          <w:rFonts w:hint="eastAsia" w:asciiTheme="minorEastAsia" w:hAnsiTheme="minorEastAsia" w:eastAsiaTheme="minorEastAsia" w:cstheme="minorEastAsia"/>
          <w:color w:val="auto"/>
          <w:highlight w:val="none"/>
        </w:rPr>
        <w:t>从河南省财政厅政府采购专家库中提交抽取申请，有关人员对评标委员会成员名单须严格保密。</w:t>
      </w:r>
    </w:p>
    <w:p>
      <w:pPr>
        <w:numPr>
          <w:ilvl w:val="0"/>
          <w:numId w:val="25"/>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评标工作由评标委员会（下称评委会）主持，对所有投标人的投标文件进行评审，并依评分由高到低的顺序推荐出</w:t>
      </w:r>
      <w:r>
        <w:rPr>
          <w:rFonts w:hint="eastAsia" w:asciiTheme="minorEastAsia" w:hAnsiTheme="minorEastAsia" w:eastAsiaTheme="minorEastAsia" w:cstheme="minorEastAsia"/>
          <w:color w:val="auto"/>
          <w:highlight w:val="none"/>
          <w:lang w:val="en-US" w:eastAsia="zh-CN"/>
        </w:rPr>
        <w:t>3</w:t>
      </w:r>
      <w:r>
        <w:rPr>
          <w:rFonts w:hint="eastAsia" w:asciiTheme="minorEastAsia" w:hAnsiTheme="minorEastAsia" w:eastAsiaTheme="minorEastAsia" w:cstheme="minorEastAsia"/>
          <w:color w:val="auto"/>
          <w:highlight w:val="none"/>
        </w:rPr>
        <w:t>名中标候选人。</w:t>
      </w:r>
    </w:p>
    <w:p>
      <w:pPr>
        <w:numPr>
          <w:ilvl w:val="0"/>
          <w:numId w:val="25"/>
        </w:numPr>
        <w:tabs>
          <w:tab w:val="left" w:pos="993"/>
        </w:tabs>
        <w:adjustRightInd w:val="0"/>
        <w:snapToGrid w:val="0"/>
        <w:spacing w:line="440" w:lineRule="exact"/>
        <w:ind w:left="0" w:firstLine="422"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依据《政府采购货物和服务招标投标管理办法》(财政部令87号)四十四条“公开招标采购项目开标结束后，采购人或者采购代理机构应当依法对投标人的资格进行审查。”</w:t>
      </w:r>
    </w:p>
    <w:p>
      <w:pPr>
        <w:pStyle w:val="5"/>
        <w:tabs>
          <w:tab w:val="left" w:pos="709"/>
        </w:tabs>
        <w:adjustRightInd w:val="0"/>
        <w:snapToGrid w:val="0"/>
        <w:spacing w:before="0" w:after="0" w:line="440" w:lineRule="exact"/>
        <w:ind w:left="281" w:leftChars="134"/>
        <w:rPr>
          <w:rFonts w:asciiTheme="minorEastAsia" w:hAnsiTheme="minorEastAsia" w:eastAsiaTheme="minorEastAsia" w:cstheme="minorEastAsia"/>
          <w:color w:val="auto"/>
          <w:sz w:val="21"/>
          <w:szCs w:val="21"/>
          <w:highlight w:val="none"/>
        </w:rPr>
      </w:pPr>
      <w:bookmarkStart w:id="88" w:name="_Toc99423282"/>
      <w:r>
        <w:rPr>
          <w:rFonts w:hint="eastAsia" w:asciiTheme="minorEastAsia" w:hAnsiTheme="minorEastAsia" w:eastAsiaTheme="minorEastAsia" w:cstheme="minorEastAsia"/>
          <w:color w:val="auto"/>
          <w:sz w:val="21"/>
          <w:szCs w:val="21"/>
          <w:highlight w:val="none"/>
        </w:rPr>
        <w:t>6.2投标文件的澄清</w:t>
      </w:r>
      <w:bookmarkEnd w:id="88"/>
    </w:p>
    <w:p>
      <w:pPr>
        <w:pStyle w:val="37"/>
        <w:numPr>
          <w:ilvl w:val="0"/>
          <w:numId w:val="26"/>
        </w:numPr>
        <w:tabs>
          <w:tab w:val="left" w:pos="720"/>
          <w:tab w:val="left" w:pos="993"/>
        </w:tabs>
        <w:adjustRightInd w:val="0"/>
        <w:snapToGrid w:val="0"/>
        <w:spacing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在评标过程中，对于投标文件中含义不明确、同类问题表述不一致或者有明显文字和计算错误的内容，评标委员会应当以书面形式要求投标人作出必要的澄清、说明或者补正。</w:t>
      </w:r>
    </w:p>
    <w:p>
      <w:pPr>
        <w:pStyle w:val="37"/>
        <w:numPr>
          <w:ilvl w:val="0"/>
          <w:numId w:val="26"/>
        </w:numPr>
        <w:tabs>
          <w:tab w:val="left" w:pos="720"/>
          <w:tab w:val="left" w:pos="993"/>
        </w:tabs>
        <w:adjustRightInd w:val="0"/>
        <w:snapToGrid w:val="0"/>
        <w:spacing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投标人的澄清、说明或者补正应当采用书面形式，并加盖公章，或者由法定代表人或其授权的代表签字。投标人的澄清、说明或者补正不得超出投标文件的范围或者改变投标文件的实质性内容。</w:t>
      </w:r>
      <w:bookmarkStart w:id="89" w:name="_Toc99423283"/>
    </w:p>
    <w:p>
      <w:pPr>
        <w:pStyle w:val="5"/>
        <w:tabs>
          <w:tab w:val="left" w:pos="709"/>
        </w:tabs>
        <w:adjustRightInd w:val="0"/>
        <w:snapToGrid w:val="0"/>
        <w:spacing w:before="0" w:after="0" w:line="440" w:lineRule="exact"/>
        <w:ind w:left="281" w:left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6.3投标文件的初审</w:t>
      </w:r>
      <w:bookmarkEnd w:id="89"/>
    </w:p>
    <w:p>
      <w:pPr>
        <w:numPr>
          <w:ilvl w:val="0"/>
          <w:numId w:val="27"/>
        </w:numPr>
        <w:tabs>
          <w:tab w:val="left" w:pos="993"/>
          <w:tab w:val="left" w:pos="1134"/>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评委会将审查投标文件是否完整、总体编排是否有序、文件签署是否合格、有无计算上的错误等。</w:t>
      </w:r>
    </w:p>
    <w:p>
      <w:pPr>
        <w:numPr>
          <w:ilvl w:val="0"/>
          <w:numId w:val="27"/>
        </w:numPr>
        <w:tabs>
          <w:tab w:val="left" w:pos="993"/>
          <w:tab w:val="left" w:pos="1134"/>
        </w:tabs>
        <w:adjustRightInd w:val="0"/>
        <w:snapToGrid w:val="0"/>
        <w:spacing w:line="440" w:lineRule="exact"/>
        <w:ind w:left="0" w:firstLine="422" w:firstLineChars="200"/>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评标委员会成员对需要共同认定的事项存在争议的，应当按照少数服从多数的原则作出结论。持不同意见的评标委员会成员应当在评标报告上签署不同意见及理由，否则视为同意评标报告。</w:t>
      </w:r>
    </w:p>
    <w:p>
      <w:pPr>
        <w:numPr>
          <w:ilvl w:val="0"/>
          <w:numId w:val="27"/>
        </w:numPr>
        <w:tabs>
          <w:tab w:val="left" w:pos="993"/>
          <w:tab w:val="left" w:pos="1134"/>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允许修正投标文件中不构成重大偏离的、微小的、非正规的、不一致或不规则的地方。</w:t>
      </w:r>
    </w:p>
    <w:p>
      <w:pPr>
        <w:numPr>
          <w:ilvl w:val="0"/>
          <w:numId w:val="27"/>
        </w:numPr>
        <w:tabs>
          <w:tab w:val="left" w:pos="993"/>
          <w:tab w:val="left" w:pos="1134"/>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在对投标文件进行详细评审之前，评标委员会将确定投标文件是否对招标文件的要求做出了实质性的响应，而没有重大偏离。实质性响应的投标是指投标符合招标文件的实质性条款、条件和规定且没有重大偏离和保留。重大偏离和保留是指对招标文件规定的采购需求、交货期、质量保证期、投标有效期、付款方式等产生重大或不可接受的偏差，或限制了采购</w:t>
      </w:r>
      <w:r>
        <w:rPr>
          <w:rFonts w:hint="eastAsia" w:asciiTheme="minorEastAsia" w:hAnsiTheme="minorEastAsia" w:eastAsiaTheme="minorEastAsia" w:cstheme="minorEastAsia"/>
          <w:color w:val="auto"/>
          <w:highlight w:val="none"/>
          <w:lang w:val="en-US" w:eastAsia="zh-CN"/>
        </w:rPr>
        <w:t>代理</w:t>
      </w:r>
      <w:r>
        <w:rPr>
          <w:rFonts w:hint="eastAsia" w:asciiTheme="minorEastAsia" w:hAnsiTheme="minorEastAsia" w:eastAsiaTheme="minorEastAsia" w:cstheme="minorEastAsia"/>
          <w:color w:val="auto"/>
          <w:highlight w:val="none"/>
        </w:rPr>
        <w:t>机构、采购人的权利和投标人的义务的规定，而纠正这些偏离将影响到其它提交实质性响应投标的投标人的公平竞争地位。</w:t>
      </w:r>
    </w:p>
    <w:p>
      <w:pPr>
        <w:numPr>
          <w:ilvl w:val="0"/>
          <w:numId w:val="27"/>
        </w:numPr>
        <w:tabs>
          <w:tab w:val="left" w:pos="993"/>
          <w:tab w:val="left" w:pos="1134"/>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评委会判断投标文件的响应性仅基于投标文件本身内容而不靠外部证据。</w:t>
      </w:r>
    </w:p>
    <w:p>
      <w:pPr>
        <w:numPr>
          <w:ilvl w:val="0"/>
          <w:numId w:val="27"/>
        </w:numPr>
        <w:tabs>
          <w:tab w:val="left" w:pos="993"/>
          <w:tab w:val="left" w:pos="1134"/>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评委会将依据投标人提供的资格证明文件审查投标人的财务、技术和生产能力。</w:t>
      </w:r>
    </w:p>
    <w:p>
      <w:pPr>
        <w:pStyle w:val="5"/>
        <w:tabs>
          <w:tab w:val="left" w:pos="709"/>
        </w:tabs>
        <w:adjustRightInd w:val="0"/>
        <w:snapToGrid w:val="0"/>
        <w:spacing w:before="0" w:after="0" w:line="440" w:lineRule="exact"/>
        <w:ind w:left="281" w:left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6.4评标原则</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(1)按照“公正、公平”的原则对待所有投标人。</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(2)坚持招标文件的所有相关规定，公平评标。</w:t>
      </w:r>
    </w:p>
    <w:p>
      <w:pPr>
        <w:pStyle w:val="5"/>
        <w:tabs>
          <w:tab w:val="left" w:pos="709"/>
        </w:tabs>
        <w:adjustRightInd w:val="0"/>
        <w:snapToGrid w:val="0"/>
        <w:spacing w:before="0" w:after="0" w:line="440" w:lineRule="exact"/>
        <w:ind w:left="281" w:left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6.5评标标准</w:t>
      </w:r>
    </w:p>
    <w:p>
      <w:pPr>
        <w:pStyle w:val="204"/>
        <w:numPr>
          <w:ilvl w:val="0"/>
          <w:numId w:val="28"/>
        </w:numPr>
        <w:tabs>
          <w:tab w:val="left" w:pos="993"/>
        </w:tabs>
        <w:adjustRightInd w:val="0"/>
        <w:snapToGrid w:val="0"/>
        <w:spacing w:line="440" w:lineRule="exact"/>
        <w:ind w:left="0" w:firstLine="422" w:firstLineChars="200"/>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在招标采购中，出现下列情形之一的，应予废标：</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（一）符合专业条件的投标人或者对招标文件作实质响应的投标人不足三家的；</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（二）出现影响采购公正的违法、违规行为的；</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（三）投标人的报价均超过了采购预算，采购人不能支付的；</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（四）因重大变故，采购任务取消的。</w:t>
      </w:r>
    </w:p>
    <w:p>
      <w:pPr>
        <w:pStyle w:val="204"/>
        <w:numPr>
          <w:ilvl w:val="0"/>
          <w:numId w:val="28"/>
        </w:numPr>
        <w:tabs>
          <w:tab w:val="left" w:pos="993"/>
        </w:tabs>
        <w:adjustRightInd w:val="0"/>
        <w:snapToGrid w:val="0"/>
        <w:spacing w:line="440" w:lineRule="exact"/>
        <w:ind w:left="0" w:firstLine="422"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投标人存在下列情况之一的，投标无效：</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（一）投标文件未按招标文件要求签署、盖章的；</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（二）不具备招标文件中规定的资格要求的；</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（三）报价超过招标文件中规定的预算金额或者最高限价的；</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（四）投标文件含有采购人不能接受的附加条件的；</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（五）不满足招标文件实质性条款的；</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（六）法律、法规和招标文件规定的其他无效情形。</w:t>
      </w:r>
    </w:p>
    <w:p>
      <w:pPr>
        <w:pStyle w:val="204"/>
        <w:numPr>
          <w:ilvl w:val="0"/>
          <w:numId w:val="28"/>
        </w:numPr>
        <w:tabs>
          <w:tab w:val="left" w:pos="993"/>
        </w:tabs>
        <w:adjustRightInd w:val="0"/>
        <w:snapToGrid w:val="0"/>
        <w:spacing w:line="440" w:lineRule="exact"/>
        <w:ind w:left="0" w:firstLine="422" w:firstLineChars="200"/>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有下列情形之一的，视为投标人串通投标，其投标无效：</w:t>
      </w:r>
    </w:p>
    <w:p>
      <w:pPr>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（一）不同投标人的投标文件由同一单位或者个人编制；</w:t>
      </w:r>
    </w:p>
    <w:p>
      <w:pPr>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（二）不同投标人委托同一单位或者个人办理投标事宜；</w:t>
      </w:r>
    </w:p>
    <w:p>
      <w:pPr>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（三）不同投标人的投标文件载明的项目管理成员或者联系人员为同一人；</w:t>
      </w:r>
    </w:p>
    <w:p>
      <w:pPr>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（四）不同投标人的投标文件异常一致或者投标报价呈规律性差异。</w:t>
      </w:r>
    </w:p>
    <w:p>
      <w:pPr>
        <w:pStyle w:val="204"/>
        <w:numPr>
          <w:ilvl w:val="0"/>
          <w:numId w:val="28"/>
        </w:numPr>
        <w:tabs>
          <w:tab w:val="left" w:pos="993"/>
        </w:tabs>
        <w:adjustRightInd w:val="0"/>
        <w:snapToGrid w:val="0"/>
        <w:spacing w:line="440" w:lineRule="exact"/>
        <w:ind w:left="0" w:firstLine="422" w:firstLineChars="200"/>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常用评标办法解释</w:t>
      </w:r>
    </w:p>
    <w:p>
      <w:pPr>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综合评分法：《政府采购货物和服务招标投标管理办法》(财政部令87号)五十五条的规定，“综合评分法，是指投标文件满足招标文件全部实质性要求，且按照评审因素的量化指标评审得分最高的投标人为中标候选人的评标方法”。</w:t>
      </w:r>
    </w:p>
    <w:p>
      <w:pPr>
        <w:pStyle w:val="204"/>
        <w:numPr>
          <w:ilvl w:val="0"/>
          <w:numId w:val="28"/>
        </w:numPr>
        <w:tabs>
          <w:tab w:val="left" w:pos="993"/>
        </w:tabs>
        <w:adjustRightInd w:val="0"/>
        <w:snapToGrid w:val="0"/>
        <w:spacing w:line="440" w:lineRule="exact"/>
        <w:ind w:left="0" w:firstLine="422" w:firstLineChars="200"/>
        <w:rPr>
          <w:rFonts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中标标准</w:t>
      </w:r>
    </w:p>
    <w:p>
      <w:pPr>
        <w:pStyle w:val="204"/>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采用综合评分法评标时，综合得分最高的投标人作为中标候选人或中标人。</w:t>
      </w:r>
    </w:p>
    <w:p>
      <w:pPr>
        <w:pStyle w:val="204"/>
        <w:adjustRightInd w:val="0"/>
        <w:snapToGrid w:val="0"/>
        <w:spacing w:line="440" w:lineRule="exact"/>
        <w:ind w:firstLine="422" w:firstLineChars="200"/>
        <w:rPr>
          <w:rFonts w:asciiTheme="minorEastAsia" w:hAnsiTheme="minorEastAsia" w:eastAsiaTheme="minorEastAsia" w:cstheme="minorEastAsia"/>
          <w:b/>
          <w:bCs/>
          <w:color w:val="auto"/>
          <w:highlight w:val="none"/>
        </w:rPr>
      </w:pPr>
      <w:bookmarkStart w:id="90" w:name="_Toc99423287"/>
      <w:r>
        <w:rPr>
          <w:rFonts w:hint="eastAsia" w:asciiTheme="minorEastAsia" w:hAnsiTheme="minorEastAsia" w:eastAsiaTheme="minorEastAsia" w:cstheme="minorEastAsia"/>
          <w:b/>
          <w:bCs/>
          <w:color w:val="auto"/>
          <w:highlight w:val="none"/>
        </w:rPr>
        <w:t>评标结果汇总完成后，除下列情形外，任何人不得修改评标结果：</w:t>
      </w:r>
    </w:p>
    <w:p>
      <w:pPr>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（一）分值汇总计算错误的；</w:t>
      </w:r>
    </w:p>
    <w:p>
      <w:pPr>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（二）分项评分超出评分标准范围的；</w:t>
      </w:r>
    </w:p>
    <w:p>
      <w:pPr>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（三）评标委员会成员对客观评审因素评分不一致的；</w:t>
      </w:r>
    </w:p>
    <w:p>
      <w:pPr>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（四）经评标委员会认定评分畸高、畸低的。</w:t>
      </w:r>
    </w:p>
    <w:p>
      <w:pPr>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投标人对本条第一款情形提出质疑的，采购人或者采购代理机构可以组织原评标委员会进行重新评审，重新评审改变评标结果的，应当书面报告本级财政部门。</w:t>
      </w:r>
    </w:p>
    <w:p>
      <w:pPr>
        <w:pStyle w:val="5"/>
        <w:tabs>
          <w:tab w:val="left" w:pos="709"/>
        </w:tabs>
        <w:adjustRightInd w:val="0"/>
        <w:snapToGrid w:val="0"/>
        <w:spacing w:before="0" w:after="0" w:line="440" w:lineRule="exact"/>
        <w:ind w:left="281" w:left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6.6保密及其它注意事项</w:t>
      </w:r>
      <w:bookmarkEnd w:id="90"/>
    </w:p>
    <w:p>
      <w:pPr>
        <w:pStyle w:val="37"/>
        <w:tabs>
          <w:tab w:val="left" w:pos="993"/>
        </w:tabs>
        <w:adjustRightInd w:val="0"/>
        <w:snapToGrid w:val="0"/>
        <w:spacing w:line="440" w:lineRule="exact"/>
        <w:ind w:left="420" w:firstLine="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6.6.1评标是招标工作的重要环节，评标工作在评委会内独立进行。</w:t>
      </w:r>
    </w:p>
    <w:p>
      <w:pPr>
        <w:pStyle w:val="37"/>
        <w:tabs>
          <w:tab w:val="left" w:pos="993"/>
        </w:tabs>
        <w:adjustRightInd w:val="0"/>
        <w:snapToGrid w:val="0"/>
        <w:spacing w:line="440" w:lineRule="exact"/>
        <w:ind w:left="420" w:firstLine="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6.6.2评委会将遵照规定的评标方法，公正、平等地对待所有投标人。</w:t>
      </w:r>
    </w:p>
    <w:p>
      <w:pPr>
        <w:pStyle w:val="37"/>
        <w:keepNext w:val="0"/>
        <w:keepLines w:val="0"/>
        <w:pageBreakBefore w:val="0"/>
        <w:widowControl w:val="0"/>
        <w:tabs>
          <w:tab w:val="left" w:pos="993"/>
        </w:tabs>
        <w:kinsoku/>
        <w:wordWrap/>
        <w:overflowPunct/>
        <w:topLinePunct w:val="0"/>
        <w:autoSpaceDE/>
        <w:autoSpaceDN/>
        <w:bidi w:val="0"/>
        <w:adjustRightInd w:val="0"/>
        <w:snapToGrid w:val="0"/>
        <w:spacing w:line="440" w:lineRule="exact"/>
        <w:ind w:left="0" w:leftChars="0" w:firstLine="420" w:firstLineChars="200"/>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6.6.3在开标、评标期间，投标人不得向评委询问评标情况，不得进行旨在影响评标结果的活动，否则其投标可能被拒绝。</w:t>
      </w:r>
    </w:p>
    <w:p>
      <w:pPr>
        <w:pStyle w:val="37"/>
        <w:tabs>
          <w:tab w:val="left" w:pos="993"/>
        </w:tabs>
        <w:adjustRightInd w:val="0"/>
        <w:snapToGrid w:val="0"/>
        <w:spacing w:line="440" w:lineRule="exact"/>
        <w:ind w:left="420" w:firstLine="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6.6.4为保证评标的公正性，开标后直至授予投标人合同，评委不得与投标人私下交换意见。</w:t>
      </w:r>
    </w:p>
    <w:p>
      <w:pPr>
        <w:pStyle w:val="37"/>
        <w:keepNext w:val="0"/>
        <w:keepLines w:val="0"/>
        <w:pageBreakBefore w:val="0"/>
        <w:widowControl w:val="0"/>
        <w:tabs>
          <w:tab w:val="left" w:pos="993"/>
        </w:tabs>
        <w:kinsoku/>
        <w:wordWrap/>
        <w:overflowPunct/>
        <w:topLinePunct w:val="0"/>
        <w:autoSpaceDE/>
        <w:autoSpaceDN/>
        <w:bidi w:val="0"/>
        <w:adjustRightInd w:val="0"/>
        <w:snapToGrid w:val="0"/>
        <w:spacing w:line="440" w:lineRule="exact"/>
        <w:ind w:left="0" w:leftChars="0" w:firstLine="420" w:firstLineChars="200"/>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6.6.5采购人、采购代理机构应当采取必要措施，保证评标在严格保密的情况下进行。除采购人代表、评标现场组织人员外，采购人的其他工作人员以及与评标工作无关的人员不得进入评标现场。</w:t>
      </w:r>
    </w:p>
    <w:p>
      <w:pPr>
        <w:pStyle w:val="37"/>
        <w:tabs>
          <w:tab w:val="left" w:pos="993"/>
        </w:tabs>
        <w:adjustRightInd w:val="0"/>
        <w:snapToGrid w:val="0"/>
        <w:spacing w:line="440" w:lineRule="exact"/>
        <w:ind w:left="420" w:firstLine="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6.6.6有关人员对评标情况以及在评标过程中获悉的国家秘密、商业秘密负有保密责任。</w:t>
      </w:r>
    </w:p>
    <w:p>
      <w:pPr>
        <w:pStyle w:val="4"/>
        <w:numPr>
          <w:ilvl w:val="0"/>
          <w:numId w:val="1"/>
        </w:numPr>
        <w:tabs>
          <w:tab w:val="left" w:pos="284"/>
          <w:tab w:val="left" w:pos="721"/>
          <w:tab w:val="left" w:pos="4111"/>
          <w:tab w:val="left" w:pos="4253"/>
          <w:tab w:val="clear" w:pos="405"/>
        </w:tabs>
        <w:adjustRightInd w:val="0"/>
        <w:snapToGrid w:val="0"/>
        <w:spacing w:before="0" w:after="0" w:line="440" w:lineRule="exact"/>
        <w:ind w:left="0" w:firstLine="0"/>
        <w:jc w:val="both"/>
        <w:rPr>
          <w:rFonts w:asciiTheme="minorEastAsia" w:hAnsiTheme="minorEastAsia" w:eastAsiaTheme="minorEastAsia" w:cstheme="minorEastAsia"/>
          <w:color w:val="auto"/>
          <w:sz w:val="21"/>
          <w:szCs w:val="21"/>
          <w:highlight w:val="none"/>
        </w:rPr>
      </w:pPr>
      <w:bookmarkStart w:id="91" w:name="_Toc22953402"/>
      <w:bookmarkStart w:id="92" w:name="_Toc22570501"/>
      <w:bookmarkStart w:id="93" w:name="_Toc99423288"/>
      <w:bookmarkStart w:id="94" w:name="_Toc17940"/>
      <w:bookmarkStart w:id="95" w:name="_Toc22723961"/>
      <w:bookmarkStart w:id="96" w:name="_Toc22568794"/>
      <w:bookmarkStart w:id="97" w:name="_Toc22962883"/>
      <w:bookmarkStart w:id="98" w:name="_Toc22804080"/>
      <w:r>
        <w:rPr>
          <w:rFonts w:hint="eastAsia" w:asciiTheme="minorEastAsia" w:hAnsiTheme="minorEastAsia" w:eastAsiaTheme="minorEastAsia" w:cstheme="minorEastAsia"/>
          <w:color w:val="auto"/>
          <w:sz w:val="21"/>
          <w:szCs w:val="21"/>
          <w:highlight w:val="none"/>
        </w:rPr>
        <w:t>授予合同</w:t>
      </w:r>
      <w:bookmarkEnd w:id="91"/>
      <w:bookmarkEnd w:id="92"/>
      <w:bookmarkEnd w:id="93"/>
      <w:bookmarkEnd w:id="94"/>
      <w:bookmarkEnd w:id="95"/>
      <w:bookmarkEnd w:id="96"/>
      <w:bookmarkEnd w:id="97"/>
      <w:bookmarkEnd w:id="98"/>
    </w:p>
    <w:p>
      <w:pPr>
        <w:pStyle w:val="5"/>
        <w:numPr>
          <w:ilvl w:val="2"/>
          <w:numId w:val="29"/>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bookmarkStart w:id="99" w:name="_Toc99423289"/>
      <w:r>
        <w:rPr>
          <w:rFonts w:hint="eastAsia" w:asciiTheme="minorEastAsia" w:hAnsiTheme="minorEastAsia" w:eastAsiaTheme="minorEastAsia" w:cstheme="minorEastAsia"/>
          <w:color w:val="auto"/>
          <w:sz w:val="21"/>
          <w:szCs w:val="21"/>
          <w:highlight w:val="none"/>
        </w:rPr>
        <w:t>合同授予标准</w:t>
      </w:r>
      <w:bookmarkEnd w:id="99"/>
    </w:p>
    <w:p>
      <w:pPr>
        <w:numPr>
          <w:ilvl w:val="0"/>
          <w:numId w:val="30"/>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除第7.4条的规定之外，采购人将把合同授予被确定为实质上响应招标文件要求，并有履行合同能力的评标价最低或评分最高的投标人作为中标人。</w:t>
      </w:r>
    </w:p>
    <w:p>
      <w:pPr>
        <w:pStyle w:val="5"/>
        <w:numPr>
          <w:ilvl w:val="2"/>
          <w:numId w:val="29"/>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bookmarkStart w:id="100" w:name="_Toc99423290"/>
      <w:r>
        <w:rPr>
          <w:rFonts w:hint="eastAsia" w:asciiTheme="minorEastAsia" w:hAnsiTheme="minorEastAsia" w:eastAsiaTheme="minorEastAsia" w:cstheme="minorEastAsia"/>
          <w:color w:val="auto"/>
          <w:sz w:val="21"/>
          <w:szCs w:val="21"/>
          <w:highlight w:val="none"/>
        </w:rPr>
        <w:t>授标时更改采购货物数量的权力</w:t>
      </w:r>
      <w:bookmarkEnd w:id="100"/>
    </w:p>
    <w:p>
      <w:pPr>
        <w:numPr>
          <w:ilvl w:val="0"/>
          <w:numId w:val="31"/>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采购人在授予合同时有权在“投标人须知前附表”规定的范围内，对项目需求中规定的货物的数量予以增加或减少，但不得对货物单价及伴随服务内容或其它实质性的条款和条件做任何改变。</w:t>
      </w:r>
    </w:p>
    <w:p>
      <w:pPr>
        <w:pStyle w:val="5"/>
        <w:numPr>
          <w:ilvl w:val="2"/>
          <w:numId w:val="29"/>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中标结果</w:t>
      </w:r>
    </w:p>
    <w:p>
      <w:pPr>
        <w:pStyle w:val="37"/>
        <w:numPr>
          <w:ilvl w:val="0"/>
          <w:numId w:val="32"/>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采购代理机构应当在评标结束后2个工作日内将评标报告送采购人。</w:t>
      </w:r>
    </w:p>
    <w:p>
      <w:pPr>
        <w:pStyle w:val="37"/>
        <w:numPr>
          <w:ilvl w:val="0"/>
          <w:numId w:val="32"/>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采购人应当自收到评标报告之日起5个工作日内，在评标报告确定的中标候选人名单中按顺序确定中标人。得分相同的，按投标报价由低到高顺序排列。得分与投标报价均相同的，按技术指标优劣排列。</w:t>
      </w:r>
      <w:r>
        <w:rPr>
          <w:rFonts w:hint="eastAsia" w:asciiTheme="minorEastAsia" w:hAnsiTheme="minorEastAsia" w:eastAsiaTheme="minorEastAsia" w:cstheme="minorEastAsia"/>
          <w:color w:val="auto"/>
          <w:spacing w:val="-2"/>
          <w:sz w:val="21"/>
          <w:szCs w:val="21"/>
          <w:highlight w:val="none"/>
        </w:rPr>
        <w:t>如因其他特殊原因不能在收到评标报告后五个工作日内，确定中标投标人的，确认结果时间可以适当延长，但最长期限不得超过第一中标候选人的投标有效期。</w:t>
      </w:r>
    </w:p>
    <w:p>
      <w:pPr>
        <w:pStyle w:val="37"/>
        <w:numPr>
          <w:ilvl w:val="0"/>
          <w:numId w:val="32"/>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采购人在收到评标报告5个工作日内未按评标报告推荐的中标候选人顺序确定中标人，又不能说明合法理由的，视同按评标报告推荐的顺序确定排名第一的中标候选人为中标人。</w:t>
      </w:r>
    </w:p>
    <w:p>
      <w:pPr>
        <w:pStyle w:val="37"/>
        <w:numPr>
          <w:ilvl w:val="0"/>
          <w:numId w:val="32"/>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采购人或者采购代理机构应当自中标人确定之日起2个工作日内，在财政部门指定的媒体上公告中标结果，招标文件应当随中标结果同时公告。</w:t>
      </w:r>
    </w:p>
    <w:p>
      <w:pPr>
        <w:pStyle w:val="37"/>
        <w:numPr>
          <w:ilvl w:val="0"/>
          <w:numId w:val="32"/>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中标结果公告内容应当按照财政部第19号令、财库（2015）135号及《政府采购货物和服务招标投标管理办法》(财政部令87号)规定内容编制。</w:t>
      </w:r>
    </w:p>
    <w:p>
      <w:pPr>
        <w:pStyle w:val="37"/>
        <w:numPr>
          <w:ilvl w:val="0"/>
          <w:numId w:val="32"/>
        </w:numPr>
        <w:tabs>
          <w:tab w:val="left" w:pos="993"/>
        </w:tabs>
        <w:adjustRightInd w:val="0"/>
        <w:snapToGrid w:val="0"/>
        <w:spacing w:line="44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中标公告期限为1个工作日。</w:t>
      </w:r>
    </w:p>
    <w:p>
      <w:pPr>
        <w:pStyle w:val="37"/>
        <w:numPr>
          <w:ilvl w:val="0"/>
          <w:numId w:val="32"/>
        </w:numPr>
        <w:tabs>
          <w:tab w:val="left" w:pos="993"/>
        </w:tabs>
        <w:adjustRightInd w:val="0"/>
        <w:snapToGrid w:val="0"/>
        <w:spacing w:line="48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邀请招标采购人采用书面推荐方式产生符合资格条件的潜在投标人的，还应当将所有被推荐投标人名单和推荐理由随中标结果同时公告。</w:t>
      </w:r>
    </w:p>
    <w:p>
      <w:pPr>
        <w:pStyle w:val="37"/>
        <w:numPr>
          <w:ilvl w:val="0"/>
          <w:numId w:val="32"/>
        </w:numPr>
        <w:tabs>
          <w:tab w:val="left" w:pos="993"/>
        </w:tabs>
        <w:adjustRightInd w:val="0"/>
        <w:snapToGrid w:val="0"/>
        <w:spacing w:line="48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在公告中标结果的同时，采购人或者采购代理机构应当向中标人发出中标通知书；对未通过资格审查的投标人，应当告知其未通过的原因。</w:t>
      </w:r>
    </w:p>
    <w:p>
      <w:pPr>
        <w:pStyle w:val="37"/>
        <w:numPr>
          <w:ilvl w:val="0"/>
          <w:numId w:val="32"/>
        </w:numPr>
        <w:tabs>
          <w:tab w:val="left" w:pos="993"/>
        </w:tabs>
        <w:adjustRightInd w:val="0"/>
        <w:snapToGrid w:val="0"/>
        <w:spacing w:line="480" w:lineRule="exact"/>
        <w:ind w:left="0"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中标或者成交供应商拒绝与采购人签订合同的，采购人可以按照评标报告推荐的中标或者成交候选人名单排序，确定下一候选人为中标或者成交供应商，也可以重新开展政府采购活动。</w:t>
      </w:r>
    </w:p>
    <w:p>
      <w:pPr>
        <w:pStyle w:val="5"/>
        <w:numPr>
          <w:ilvl w:val="2"/>
          <w:numId w:val="29"/>
        </w:numPr>
        <w:tabs>
          <w:tab w:val="left" w:pos="709"/>
        </w:tabs>
        <w:adjustRightInd w:val="0"/>
        <w:snapToGrid w:val="0"/>
        <w:spacing w:before="0" w:after="0" w:line="480" w:lineRule="exact"/>
        <w:ind w:left="0" w:firstLine="282" w:firstLineChars="134"/>
        <w:rPr>
          <w:rFonts w:asciiTheme="minorEastAsia" w:hAnsiTheme="minorEastAsia" w:eastAsiaTheme="minorEastAsia" w:cstheme="minorEastAsia"/>
          <w:color w:val="auto"/>
          <w:sz w:val="21"/>
          <w:szCs w:val="21"/>
          <w:highlight w:val="none"/>
        </w:rPr>
      </w:pPr>
      <w:bookmarkStart w:id="101" w:name="_Toc99423292"/>
      <w:r>
        <w:rPr>
          <w:rFonts w:hint="eastAsia" w:asciiTheme="minorEastAsia" w:hAnsiTheme="minorEastAsia" w:eastAsiaTheme="minorEastAsia" w:cstheme="minorEastAsia"/>
          <w:color w:val="auto"/>
          <w:sz w:val="21"/>
          <w:szCs w:val="21"/>
          <w:highlight w:val="none"/>
        </w:rPr>
        <w:t>接受和拒绝任何或所有投标的权力</w:t>
      </w:r>
      <w:bookmarkEnd w:id="101"/>
    </w:p>
    <w:p>
      <w:pPr>
        <w:numPr>
          <w:ilvl w:val="0"/>
          <w:numId w:val="33"/>
        </w:numPr>
        <w:tabs>
          <w:tab w:val="left" w:pos="993"/>
        </w:tabs>
        <w:adjustRightInd w:val="0"/>
        <w:snapToGrid w:val="0"/>
        <w:spacing w:line="48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如出现重大变故，采购任务取消情况，采购代理机构和采购人保留因此原因在授标之前任何时候接受或拒绝任何投标、以及宣布招标无效或拒绝所有投标的权力，对受影响的投标人不承担任何责任。</w:t>
      </w:r>
    </w:p>
    <w:p>
      <w:pPr>
        <w:pStyle w:val="5"/>
        <w:numPr>
          <w:ilvl w:val="2"/>
          <w:numId w:val="29"/>
        </w:numPr>
        <w:tabs>
          <w:tab w:val="left" w:pos="709"/>
        </w:tabs>
        <w:adjustRightInd w:val="0"/>
        <w:snapToGrid w:val="0"/>
        <w:spacing w:before="0" w:after="0" w:line="480" w:lineRule="exact"/>
        <w:ind w:left="0" w:firstLine="282" w:firstLineChars="134"/>
        <w:rPr>
          <w:rFonts w:asciiTheme="minorEastAsia" w:hAnsiTheme="minorEastAsia" w:eastAsiaTheme="minorEastAsia" w:cstheme="minorEastAsia"/>
          <w:color w:val="auto"/>
          <w:sz w:val="21"/>
          <w:szCs w:val="21"/>
          <w:highlight w:val="none"/>
        </w:rPr>
      </w:pPr>
      <w:bookmarkStart w:id="102" w:name="_Toc99423293"/>
      <w:r>
        <w:rPr>
          <w:rFonts w:hint="eastAsia" w:asciiTheme="minorEastAsia" w:hAnsiTheme="minorEastAsia" w:eastAsiaTheme="minorEastAsia" w:cstheme="minorEastAsia"/>
          <w:color w:val="auto"/>
          <w:sz w:val="21"/>
          <w:szCs w:val="21"/>
          <w:highlight w:val="none"/>
        </w:rPr>
        <w:t>中标通知书</w:t>
      </w:r>
      <w:bookmarkEnd w:id="102"/>
    </w:p>
    <w:p>
      <w:pPr>
        <w:numPr>
          <w:ilvl w:val="0"/>
          <w:numId w:val="34"/>
        </w:numPr>
        <w:tabs>
          <w:tab w:val="left" w:pos="993"/>
        </w:tabs>
        <w:adjustRightInd w:val="0"/>
        <w:snapToGrid w:val="0"/>
        <w:spacing w:line="48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在投标有效期满之前，采购代理机构将以书面形式通知中标人中标。</w:t>
      </w:r>
    </w:p>
    <w:p>
      <w:pPr>
        <w:numPr>
          <w:ilvl w:val="0"/>
          <w:numId w:val="34"/>
        </w:numPr>
        <w:tabs>
          <w:tab w:val="left" w:pos="993"/>
        </w:tabs>
        <w:adjustRightInd w:val="0"/>
        <w:snapToGrid w:val="0"/>
        <w:spacing w:line="48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中标通知书将作为进行合同谈判和签订合同的依据。</w:t>
      </w:r>
    </w:p>
    <w:p>
      <w:pPr>
        <w:pStyle w:val="5"/>
        <w:numPr>
          <w:ilvl w:val="2"/>
          <w:numId w:val="29"/>
        </w:numPr>
        <w:tabs>
          <w:tab w:val="left" w:pos="709"/>
        </w:tabs>
        <w:adjustRightInd w:val="0"/>
        <w:snapToGrid w:val="0"/>
        <w:spacing w:before="0" w:after="0" w:line="480" w:lineRule="exact"/>
        <w:ind w:left="0" w:firstLine="282" w:firstLineChars="134"/>
        <w:rPr>
          <w:rFonts w:asciiTheme="minorEastAsia" w:hAnsiTheme="minorEastAsia" w:eastAsiaTheme="minorEastAsia" w:cstheme="minorEastAsia"/>
          <w:color w:val="auto"/>
          <w:sz w:val="21"/>
          <w:szCs w:val="21"/>
          <w:highlight w:val="none"/>
        </w:rPr>
      </w:pPr>
      <w:bookmarkStart w:id="103" w:name="_Toc99423294"/>
      <w:r>
        <w:rPr>
          <w:rFonts w:hint="eastAsia" w:asciiTheme="minorEastAsia" w:hAnsiTheme="minorEastAsia" w:eastAsiaTheme="minorEastAsia" w:cstheme="minorEastAsia"/>
          <w:color w:val="auto"/>
          <w:sz w:val="21"/>
          <w:szCs w:val="21"/>
          <w:highlight w:val="none"/>
        </w:rPr>
        <w:t>签订合同</w:t>
      </w:r>
      <w:bookmarkEnd w:id="103"/>
    </w:p>
    <w:p>
      <w:pPr>
        <w:numPr>
          <w:ilvl w:val="0"/>
          <w:numId w:val="35"/>
        </w:numPr>
        <w:tabs>
          <w:tab w:val="left" w:pos="993"/>
        </w:tabs>
        <w:adjustRightInd w:val="0"/>
        <w:snapToGrid w:val="0"/>
        <w:spacing w:line="48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采购人应当自中标通知书发出之日起15日内，按照招标文件和中标人投标文件的规定，与中标人签订书面合同。所签订的合同不得对招标文件确定的事项和中标人投标文件作实质性修改。</w:t>
      </w:r>
    </w:p>
    <w:p>
      <w:pPr>
        <w:numPr>
          <w:ilvl w:val="0"/>
          <w:numId w:val="35"/>
        </w:numPr>
        <w:tabs>
          <w:tab w:val="left" w:pos="993"/>
        </w:tabs>
        <w:adjustRightInd w:val="0"/>
        <w:snapToGrid w:val="0"/>
        <w:spacing w:line="48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采购人不得向中标人提出任何不合理的要求作为签订合同的条件。</w:t>
      </w:r>
    </w:p>
    <w:p>
      <w:pPr>
        <w:numPr>
          <w:ilvl w:val="0"/>
          <w:numId w:val="35"/>
        </w:numPr>
        <w:tabs>
          <w:tab w:val="left" w:pos="993"/>
        </w:tabs>
        <w:adjustRightInd w:val="0"/>
        <w:snapToGrid w:val="0"/>
        <w:spacing w:line="48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中标人应按中标通知书指定的时间、地点，与采购人进行合同谈判。</w:t>
      </w:r>
    </w:p>
    <w:p>
      <w:pPr>
        <w:numPr>
          <w:ilvl w:val="0"/>
          <w:numId w:val="35"/>
        </w:numPr>
        <w:tabs>
          <w:tab w:val="left" w:pos="993"/>
        </w:tabs>
        <w:adjustRightInd w:val="0"/>
        <w:snapToGrid w:val="0"/>
        <w:spacing w:line="48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招标文件、中标人的投标文件和澄清文件等，均应作为签约的合同文本的基础。</w:t>
      </w:r>
    </w:p>
    <w:p>
      <w:pPr>
        <w:numPr>
          <w:ilvl w:val="0"/>
          <w:numId w:val="35"/>
        </w:numPr>
        <w:tabs>
          <w:tab w:val="left" w:pos="993"/>
        </w:tabs>
        <w:adjustRightInd w:val="0"/>
        <w:snapToGrid w:val="0"/>
        <w:spacing w:line="48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如采购人或中标人拒签合同，则按违约处理。</w:t>
      </w:r>
    </w:p>
    <w:p>
      <w:pPr>
        <w:numPr>
          <w:ilvl w:val="0"/>
          <w:numId w:val="35"/>
        </w:numPr>
        <w:tabs>
          <w:tab w:val="left" w:pos="993"/>
        </w:tabs>
        <w:adjustRightInd w:val="0"/>
        <w:snapToGrid w:val="0"/>
        <w:spacing w:line="480" w:lineRule="exact"/>
        <w:ind w:left="0"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如中标人不按第7.6.1条约定签合同，采购代理机构和采购人将报请政府采购行政主管部门将取消其中标决定。</w:t>
      </w:r>
    </w:p>
    <w:p>
      <w:pPr>
        <w:pStyle w:val="5"/>
        <w:numPr>
          <w:ilvl w:val="2"/>
          <w:numId w:val="29"/>
        </w:numPr>
        <w:tabs>
          <w:tab w:val="left" w:pos="709"/>
        </w:tabs>
        <w:adjustRightInd w:val="0"/>
        <w:snapToGrid w:val="0"/>
        <w:spacing w:before="0" w:after="0" w:line="480" w:lineRule="exact"/>
        <w:ind w:left="0" w:firstLine="282" w:firstLineChars="134"/>
        <w:rPr>
          <w:rFonts w:asciiTheme="minorEastAsia" w:hAnsiTheme="minorEastAsia" w:eastAsiaTheme="minorEastAsia" w:cstheme="minorEastAsia"/>
          <w:b w:val="0"/>
          <w:bCs w:val="0"/>
          <w:color w:val="auto"/>
          <w:sz w:val="21"/>
          <w:szCs w:val="21"/>
          <w:highlight w:val="none"/>
        </w:rPr>
      </w:pPr>
      <w:bookmarkStart w:id="104" w:name="_Toc99423295"/>
      <w:r>
        <w:rPr>
          <w:rFonts w:hint="eastAsia" w:asciiTheme="minorEastAsia" w:hAnsiTheme="minorEastAsia" w:eastAsiaTheme="minorEastAsia" w:cstheme="minorEastAsia"/>
          <w:color w:val="auto"/>
          <w:sz w:val="21"/>
          <w:szCs w:val="21"/>
          <w:highlight w:val="none"/>
        </w:rPr>
        <w:t>履约</w:t>
      </w:r>
      <w:bookmarkEnd w:id="104"/>
      <w:r>
        <w:rPr>
          <w:rFonts w:hint="eastAsia" w:asciiTheme="minorEastAsia" w:hAnsiTheme="minorEastAsia" w:eastAsiaTheme="minorEastAsia" w:cstheme="minorEastAsia"/>
          <w:color w:val="auto"/>
          <w:sz w:val="21"/>
          <w:szCs w:val="21"/>
          <w:highlight w:val="none"/>
        </w:rPr>
        <w:t>担保</w:t>
      </w:r>
    </w:p>
    <w:p>
      <w:pPr>
        <w:adjustRightInd w:val="0"/>
        <w:snapToGrid w:val="0"/>
        <w:spacing w:line="480" w:lineRule="exact"/>
        <w:ind w:firstLine="420" w:firstLineChars="200"/>
        <w:rPr>
          <w:rFonts w:asciiTheme="minorEastAsia" w:hAnsiTheme="minorEastAsia" w:eastAsiaTheme="minorEastAsia" w:cstheme="minorEastAsia"/>
          <w:color w:val="auto"/>
          <w:highlight w:val="none"/>
        </w:rPr>
      </w:pPr>
      <w:bookmarkStart w:id="105" w:name="_Toc99423296"/>
      <w:r>
        <w:rPr>
          <w:rFonts w:hint="eastAsia" w:asciiTheme="minorEastAsia" w:hAnsiTheme="minorEastAsia" w:eastAsiaTheme="minorEastAsia" w:cstheme="minorEastAsia"/>
          <w:color w:val="auto"/>
          <w:highlight w:val="none"/>
        </w:rPr>
        <w:t>中标人应按招标文件的规定向采购人提交履约保证金。采购人不得以中标人事先缴纳履约保证金作为签订合同的条件,并应在中标人履行完合同约定义务事项后及时退还。</w:t>
      </w:r>
    </w:p>
    <w:p>
      <w:pPr>
        <w:pStyle w:val="5"/>
        <w:numPr>
          <w:ilvl w:val="2"/>
          <w:numId w:val="29"/>
        </w:numPr>
        <w:tabs>
          <w:tab w:val="left" w:pos="709"/>
        </w:tabs>
        <w:adjustRightInd w:val="0"/>
        <w:snapToGrid w:val="0"/>
        <w:spacing w:before="0" w:after="0" w:line="480" w:lineRule="exact"/>
        <w:ind w:left="0" w:firstLine="282" w:firstLine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中标服务费</w:t>
      </w:r>
      <w:bookmarkEnd w:id="105"/>
    </w:p>
    <w:p>
      <w:pPr>
        <w:adjustRightInd w:val="0"/>
        <w:snapToGrid w:val="0"/>
        <w:spacing w:line="48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中标人应在领取中标通知书的同时，按第二章“投标人须知前附表”中的规定向采购代理机构支付中标服务费。</w:t>
      </w:r>
    </w:p>
    <w:p>
      <w:pPr>
        <w:pStyle w:val="4"/>
        <w:numPr>
          <w:ilvl w:val="0"/>
          <w:numId w:val="1"/>
        </w:numPr>
        <w:tabs>
          <w:tab w:val="left" w:pos="284"/>
          <w:tab w:val="left" w:pos="721"/>
          <w:tab w:val="left" w:pos="4111"/>
          <w:tab w:val="left" w:pos="4253"/>
          <w:tab w:val="clear" w:pos="405"/>
        </w:tabs>
        <w:adjustRightInd w:val="0"/>
        <w:snapToGrid w:val="0"/>
        <w:spacing w:before="0" w:after="0" w:line="440" w:lineRule="exact"/>
        <w:ind w:left="0" w:firstLine="0"/>
        <w:jc w:val="both"/>
        <w:rPr>
          <w:rFonts w:asciiTheme="minorEastAsia" w:hAnsiTheme="minorEastAsia" w:eastAsiaTheme="minorEastAsia" w:cstheme="minorEastAsia"/>
          <w:color w:val="auto"/>
          <w:sz w:val="21"/>
          <w:szCs w:val="21"/>
          <w:highlight w:val="none"/>
        </w:rPr>
      </w:pPr>
      <w:bookmarkStart w:id="106" w:name="_Toc15980"/>
      <w:r>
        <w:rPr>
          <w:rFonts w:hint="eastAsia" w:asciiTheme="minorEastAsia" w:hAnsiTheme="minorEastAsia" w:eastAsiaTheme="minorEastAsia" w:cstheme="minorEastAsia"/>
          <w:color w:val="auto"/>
          <w:sz w:val="21"/>
          <w:szCs w:val="21"/>
          <w:highlight w:val="none"/>
        </w:rPr>
        <w:t>重新招标</w:t>
      </w:r>
      <w:bookmarkEnd w:id="106"/>
    </w:p>
    <w:p>
      <w:pPr>
        <w:pStyle w:val="5"/>
        <w:numPr>
          <w:ilvl w:val="2"/>
          <w:numId w:val="36"/>
        </w:numPr>
        <w:tabs>
          <w:tab w:val="left" w:pos="709"/>
        </w:tabs>
        <w:adjustRightInd w:val="0"/>
        <w:snapToGrid w:val="0"/>
        <w:spacing w:before="0" w:after="0" w:line="440" w:lineRule="exact"/>
        <w:ind w:left="0" w:firstLine="28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有下列情形之一的，采购人将重新招标：</w:t>
      </w:r>
    </w:p>
    <w:p>
      <w:pPr>
        <w:numPr>
          <w:ilvl w:val="0"/>
          <w:numId w:val="37"/>
        </w:numPr>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投标截止时间止，投标人少于3个的；</w:t>
      </w:r>
    </w:p>
    <w:p>
      <w:pPr>
        <w:numPr>
          <w:ilvl w:val="0"/>
          <w:numId w:val="37"/>
        </w:numPr>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公开招标采购项目开标结束后，采购人或者采购代理机构应当依法对投标人的资格进行审查。合格投标人不足3家的，不得评标；</w:t>
      </w:r>
    </w:p>
    <w:p>
      <w:pPr>
        <w:numPr>
          <w:ilvl w:val="0"/>
          <w:numId w:val="37"/>
        </w:numPr>
        <w:adjustRightInd w:val="0"/>
        <w:snapToGrid w:val="0"/>
        <w:spacing w:line="440" w:lineRule="exact"/>
        <w:ind w:firstLine="420"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经评审小组评审后否决所有投标的。</w:t>
      </w:r>
    </w:p>
    <w:p>
      <w:pPr>
        <w:pStyle w:val="4"/>
        <w:numPr>
          <w:ilvl w:val="0"/>
          <w:numId w:val="1"/>
        </w:numPr>
        <w:tabs>
          <w:tab w:val="left" w:pos="284"/>
          <w:tab w:val="left" w:pos="721"/>
          <w:tab w:val="left" w:pos="4111"/>
          <w:tab w:val="left" w:pos="4253"/>
          <w:tab w:val="clear" w:pos="405"/>
        </w:tabs>
        <w:adjustRightInd w:val="0"/>
        <w:snapToGrid w:val="0"/>
        <w:spacing w:before="0" w:after="0" w:line="440" w:lineRule="exact"/>
        <w:ind w:left="0" w:firstLine="0"/>
        <w:jc w:val="both"/>
        <w:rPr>
          <w:rFonts w:asciiTheme="minorEastAsia" w:hAnsiTheme="minorEastAsia" w:eastAsiaTheme="minorEastAsia" w:cstheme="minorEastAsia"/>
          <w:color w:val="auto"/>
          <w:sz w:val="21"/>
          <w:szCs w:val="21"/>
          <w:highlight w:val="none"/>
        </w:rPr>
      </w:pPr>
      <w:bookmarkStart w:id="107" w:name="_Toc14156"/>
      <w:r>
        <w:rPr>
          <w:rFonts w:hint="eastAsia" w:asciiTheme="minorEastAsia" w:hAnsiTheme="minorEastAsia" w:eastAsiaTheme="minorEastAsia" w:cstheme="minorEastAsia"/>
          <w:color w:val="auto"/>
          <w:sz w:val="21"/>
          <w:szCs w:val="21"/>
          <w:highlight w:val="none"/>
        </w:rPr>
        <w:t>纪律和监督</w:t>
      </w:r>
      <w:bookmarkEnd w:id="107"/>
    </w:p>
    <w:p>
      <w:pPr>
        <w:pStyle w:val="5"/>
        <w:numPr>
          <w:ilvl w:val="1"/>
          <w:numId w:val="38"/>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纪律要求</w:t>
      </w:r>
    </w:p>
    <w:p>
      <w:pPr>
        <w:numPr>
          <w:ilvl w:val="0"/>
          <w:numId w:val="39"/>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采购人不得泄漏采购活动中应当保密的情况和资料，不得与投标人串通损害国家利益、社会公共利益或者他人合法权益。</w:t>
      </w:r>
    </w:p>
    <w:p>
      <w:pPr>
        <w:numPr>
          <w:ilvl w:val="0"/>
          <w:numId w:val="39"/>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投标人不得相互串通投标或者与采购人串通投标，不得向采购人或者评审小组行贿谋取中标，不得以他人名义投标或者以其他方式弄虚作假骗取中标；投标人不得以任何方式干扰、影响评审工作。</w:t>
      </w:r>
    </w:p>
    <w:p>
      <w:pPr>
        <w:numPr>
          <w:ilvl w:val="0"/>
          <w:numId w:val="39"/>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评审专家应当遵守评审工作纪律、不得泄露评审情况和评审中获悉的国家秘密、商业秘密。</w:t>
      </w:r>
    </w:p>
    <w:p>
      <w:pPr>
        <w:numPr>
          <w:ilvl w:val="0"/>
          <w:numId w:val="39"/>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评审小组在评审过程中发现投标人有行贿、提供虚假材料或者串通等违法行为的，应当及时向财政部门报告。</w:t>
      </w:r>
    </w:p>
    <w:p>
      <w:pPr>
        <w:numPr>
          <w:ilvl w:val="0"/>
          <w:numId w:val="39"/>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评审专家在评审过程中受到非法干涉的，应当及时向财政、监察等部门举报。</w:t>
      </w:r>
    </w:p>
    <w:p>
      <w:pPr>
        <w:numPr>
          <w:ilvl w:val="0"/>
          <w:numId w:val="39"/>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与评审活动有关的工作人员不得收受他人的财物或者其他好处，不得向他人透漏获悉的国家秘密、商业秘密。在评审活动中，与评审活动有关的工作人员不得擅离职守，影响评审程序正常进行。</w:t>
      </w:r>
    </w:p>
    <w:p>
      <w:pPr>
        <w:pStyle w:val="5"/>
        <w:numPr>
          <w:ilvl w:val="1"/>
          <w:numId w:val="38"/>
        </w:numPr>
        <w:tabs>
          <w:tab w:val="left" w:pos="709"/>
        </w:tabs>
        <w:adjustRightInd w:val="0"/>
        <w:snapToGrid w:val="0"/>
        <w:spacing w:before="0" w:after="0" w:line="440" w:lineRule="exact"/>
        <w:ind w:left="0" w:firstLine="282" w:firstLineChars="134"/>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质疑、投诉</w:t>
      </w:r>
    </w:p>
    <w:p>
      <w:pPr>
        <w:numPr>
          <w:ilvl w:val="0"/>
          <w:numId w:val="40"/>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为保护政府采购当事人的合法权益，维护政府采购公平竞争环境，建立规范高效的政府采购质疑处理机制，依据《中国人民共和国政府采购法》、《政府采购质疑和投诉办法》（财政部94号令）、《财政部关于加强政府采购投标人投诉受理审查工作的通知》（财库[2007]1号）、豫财办购[2005]23号文件等文件的规定，制定本暂行须知。</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本须知所称被质疑人是指采购人和政府采购代理机构。</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本须知所称投标人是指符合《政府采购法》的规定条件，参与政府采购竞争活动的当事人。</w:t>
      </w:r>
    </w:p>
    <w:p>
      <w:pPr>
        <w:numPr>
          <w:ilvl w:val="0"/>
          <w:numId w:val="40"/>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人如果对招标文件相关条款有何疑义或疑问，可以在知道或者应当知道其权益受到损害之日起7个工作日内（不足7个工作日的必须在投标截止3个日历日前）向采购人和采购代理机构分别提出，否则均视为可接受条款，开标后不再受理对招标文件相关条款的质疑。</w:t>
      </w:r>
    </w:p>
    <w:p>
      <w:pPr>
        <w:numPr>
          <w:ilvl w:val="0"/>
          <w:numId w:val="40"/>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各有关当事人认为采购过程、预中标(成交)结果或中标(成交)结果使自己的权益受到损害的，可以在知道或者应当知道其权益受到损害之日起7个工作日内，以书面形式同时向采购人和河南大明建设工程管理有限公司提出质疑(加盖单位公章且法人签字)，由法定代表人或其原授权代表亲自携带企业营业执照副本原件及本人身份证件（原件）一并提交（邮寄、传真件不予受理），并以质疑函接受确认日期作为受理时间。逾期未提交或未按照要求提交的质疑函将不予受理。</w:t>
      </w:r>
    </w:p>
    <w:p>
      <w:pPr>
        <w:numPr>
          <w:ilvl w:val="0"/>
          <w:numId w:val="40"/>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投标人质疑应当符合下列条件：</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（一）必须是参与该质疑政府采购项目活动的投标人；</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（二）在质疑有效期内提出的质疑；</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（三）政府采购监督管理部门规定的其他条件。</w:t>
      </w:r>
    </w:p>
    <w:p>
      <w:pPr>
        <w:numPr>
          <w:ilvl w:val="0"/>
          <w:numId w:val="40"/>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投标人的书面质疑应当包括以下主要内容：</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（一）供应商的姓名或者名称、地址、邮编、联系人及联系电话；</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（二）质疑项目的名称、编号；</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（三）具体、明确的质疑事项和与质疑事项相关的请求；</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（四）事实依据；</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（五）必要的法律依据；</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（六）提出质疑的日期。</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供应商为自然人的，应当由本人签字；供应商为法人或者其他组织的，应当由法定代表人、主要负责人，或者其授权代表签字或者盖章，并加盖公章。</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人的书面质疑如出现质疑事项不清晰、质疑相关依据或证明材料不全、不符合本须知第四条、第五条的规定等情形，均视为无效质疑，投标人应当依据上述规定重新修改质疑文件，并在规定的期限内提交，逾期不予受理。质疑事项属于有关法律、法规和规章规定处于保密阶段的事项，质疑人应提供有效证据，否则，将认定为无效质疑事项。</w:t>
      </w:r>
    </w:p>
    <w:p>
      <w:pPr>
        <w:numPr>
          <w:ilvl w:val="0"/>
          <w:numId w:val="40"/>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投标人的书面质疑属于下列情形之一的，被质疑人可不予受理，并告知其不予受理的原因：</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（一）不是参与该政府采购项目活动的投标人；</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（二）已超过法律规定的质疑期限的；</w:t>
      </w:r>
    </w:p>
    <w:p>
      <w:pPr>
        <w:suppressAutoHyphens/>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（三）匿名的、无法开展调查取证的。</w:t>
      </w:r>
    </w:p>
    <w:p>
      <w:pPr>
        <w:numPr>
          <w:ilvl w:val="0"/>
          <w:numId w:val="40"/>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质疑人拒绝配合采购人和采购代理机构依法进行调查的，按自动撤回质疑处理。</w:t>
      </w:r>
    </w:p>
    <w:p>
      <w:pPr>
        <w:numPr>
          <w:ilvl w:val="0"/>
          <w:numId w:val="40"/>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被质疑人应当在收到投标人的书面质疑后7个工作日内做出答复，并以书面形式通知质疑投标人和其他有关投标人。但答复的内容不得涉及商业秘密。</w:t>
      </w:r>
    </w:p>
    <w:p>
      <w:pPr>
        <w:numPr>
          <w:ilvl w:val="0"/>
          <w:numId w:val="40"/>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经调查核实，对质疑事项分别作出下列处理决定：</w:t>
      </w:r>
    </w:p>
    <w:p>
      <w:pPr>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（一）质疑人撤回质疑的，终止质疑处理；</w:t>
      </w:r>
    </w:p>
    <w:p>
      <w:pPr>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（二）质疑缺乏事实依据的，驳回质疑；</w:t>
      </w:r>
    </w:p>
    <w:p>
      <w:pPr>
        <w:adjustRightInd w:val="0"/>
        <w:snapToGrid w:val="0"/>
        <w:spacing w:line="440" w:lineRule="exact"/>
        <w:ind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（三）质疑事项经查证属实的，将按照政府采购有关法律规定处理。</w:t>
      </w:r>
    </w:p>
    <w:p>
      <w:pPr>
        <w:numPr>
          <w:ilvl w:val="0"/>
          <w:numId w:val="40"/>
        </w:numPr>
        <w:tabs>
          <w:tab w:val="left" w:pos="993"/>
        </w:tabs>
        <w:suppressAutoHyphens/>
        <w:adjustRightInd w:val="0"/>
        <w:snapToGrid w:val="0"/>
        <w:spacing w:line="440" w:lineRule="exact"/>
        <w:ind w:left="0" w:firstLine="420" w:firstLineChars="200"/>
        <w:rPr>
          <w:rFonts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质疑人捏造事实或者提供虚假质疑材料的,属于虚假、恶意质疑，被质疑人应当驳回质疑，并向同级政府采购监督管理部门报告，核实后将其列入不良行为记录名单，并依法予以处罚。</w:t>
      </w:r>
    </w:p>
    <w:p>
      <w:pPr>
        <w:pStyle w:val="4"/>
        <w:numPr>
          <w:ilvl w:val="0"/>
          <w:numId w:val="1"/>
        </w:numPr>
        <w:tabs>
          <w:tab w:val="left" w:pos="721"/>
          <w:tab w:val="left" w:pos="4111"/>
          <w:tab w:val="left" w:pos="4253"/>
        </w:tabs>
        <w:adjustRightInd w:val="0"/>
        <w:snapToGrid w:val="0"/>
        <w:spacing w:before="0" w:after="0" w:line="440" w:lineRule="exact"/>
        <w:ind w:left="0" w:firstLine="0"/>
        <w:jc w:val="both"/>
        <w:rPr>
          <w:rFonts w:asciiTheme="minorEastAsia" w:hAnsiTheme="minorEastAsia" w:eastAsiaTheme="minorEastAsia" w:cstheme="minorEastAsia"/>
          <w:color w:val="auto"/>
          <w:sz w:val="21"/>
          <w:szCs w:val="21"/>
          <w:highlight w:val="none"/>
        </w:rPr>
      </w:pPr>
      <w:bookmarkStart w:id="108" w:name="_Toc31526"/>
      <w:r>
        <w:rPr>
          <w:rFonts w:hint="eastAsia" w:asciiTheme="minorEastAsia" w:hAnsiTheme="minorEastAsia" w:eastAsiaTheme="minorEastAsia" w:cstheme="minorEastAsia"/>
          <w:color w:val="auto"/>
          <w:sz w:val="21"/>
          <w:szCs w:val="21"/>
          <w:highlight w:val="none"/>
        </w:rPr>
        <w:t>需要补充的其他内容</w:t>
      </w:r>
      <w:bookmarkEnd w:id="108"/>
    </w:p>
    <w:p>
      <w:pPr>
        <w:pStyle w:val="27"/>
        <w:snapToGrid w:val="0"/>
        <w:spacing w:line="440" w:lineRule="exact"/>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需要补充的其他内容：见投标人须知前附表。</w:t>
      </w:r>
    </w:p>
    <w:p>
      <w:pPr>
        <w:pStyle w:val="3"/>
        <w:tabs>
          <w:tab w:val="left" w:pos="1134"/>
          <w:tab w:val="left" w:pos="4820"/>
          <w:tab w:val="left" w:pos="4962"/>
        </w:tabs>
        <w:adjustRightInd w:val="0"/>
        <w:snapToGrid w:val="0"/>
        <w:spacing w:before="0" w:after="0" w:line="440" w:lineRule="exact"/>
        <w:rPr>
          <w:rFonts w:ascii="??" w:hAnsi="??" w:cs="??"/>
          <w:color w:val="auto"/>
          <w:sz w:val="32"/>
          <w:szCs w:val="32"/>
          <w:highlight w:val="none"/>
        </w:rPr>
      </w:pPr>
      <w:bookmarkStart w:id="109" w:name="_Toc22953441"/>
      <w:bookmarkStart w:id="110" w:name="_Toc22804119"/>
      <w:bookmarkStart w:id="111" w:name="_Toc22568833"/>
      <w:bookmarkStart w:id="112" w:name="_Toc22962922"/>
      <w:bookmarkStart w:id="113" w:name="_Toc22570540"/>
      <w:bookmarkStart w:id="114" w:name="_Toc22724000"/>
      <w:bookmarkStart w:id="115" w:name="_Toc99423336"/>
      <w:r>
        <w:rPr>
          <w:color w:val="auto"/>
          <w:highlight w:val="none"/>
        </w:rPr>
        <w:br w:type="page"/>
      </w:r>
      <w:bookmarkStart w:id="116" w:name="_Toc26520"/>
      <w:r>
        <w:rPr>
          <w:rFonts w:hint="eastAsia" w:ascii="宋体" w:hAnsi="宋体" w:cs="宋体"/>
          <w:color w:val="auto"/>
          <w:sz w:val="32"/>
          <w:szCs w:val="32"/>
          <w:highlight w:val="none"/>
        </w:rPr>
        <w:t>第三章 评标办法</w:t>
      </w:r>
      <w:bookmarkEnd w:id="116"/>
    </w:p>
    <w:p>
      <w:pPr>
        <w:bidi w:val="0"/>
        <w:jc w:val="center"/>
        <w:rPr>
          <w:rFonts w:hint="eastAsia"/>
          <w:b/>
          <w:bCs/>
          <w:sz w:val="32"/>
          <w:szCs w:val="32"/>
        </w:rPr>
      </w:pPr>
      <w:r>
        <w:rPr>
          <w:rFonts w:hint="eastAsia"/>
          <w:b/>
          <w:bCs/>
          <w:sz w:val="32"/>
          <w:szCs w:val="32"/>
        </w:rPr>
        <w:t>评标方法前附表</w:t>
      </w:r>
    </w:p>
    <w:tbl>
      <w:tblPr>
        <w:tblStyle w:val="48"/>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677"/>
        <w:gridCol w:w="387"/>
        <w:gridCol w:w="1366"/>
        <w:gridCol w:w="6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437" w:type="dxa"/>
            <w:gridSpan w:val="2"/>
            <w:vAlign w:val="center"/>
          </w:tcPr>
          <w:p>
            <w:pPr>
              <w:adjustRightInd w:val="0"/>
              <w:spacing w:line="320" w:lineRule="exact"/>
              <w:jc w:val="center"/>
              <w:textAlignment w:val="baseline"/>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条款号</w:t>
            </w:r>
          </w:p>
        </w:tc>
        <w:tc>
          <w:tcPr>
            <w:tcW w:w="1753" w:type="dxa"/>
            <w:gridSpan w:val="2"/>
            <w:vAlign w:val="center"/>
          </w:tcPr>
          <w:p>
            <w:pPr>
              <w:adjustRightInd w:val="0"/>
              <w:spacing w:line="320" w:lineRule="exact"/>
              <w:jc w:val="center"/>
              <w:textAlignment w:val="baseline"/>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评审因素</w:t>
            </w:r>
          </w:p>
        </w:tc>
        <w:tc>
          <w:tcPr>
            <w:tcW w:w="6368" w:type="dxa"/>
            <w:vAlign w:val="center"/>
          </w:tcPr>
          <w:p>
            <w:pPr>
              <w:adjustRightInd w:val="0"/>
              <w:spacing w:line="320" w:lineRule="exact"/>
              <w:jc w:val="center"/>
              <w:textAlignment w:val="baseline"/>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760" w:type="dxa"/>
            <w:vMerge w:val="restart"/>
            <w:vAlign w:val="center"/>
          </w:tcPr>
          <w:p>
            <w:pPr>
              <w:adjustRightInd w:val="0"/>
              <w:spacing w:line="320" w:lineRule="exact"/>
              <w:jc w:val="center"/>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2.1.1</w:t>
            </w:r>
          </w:p>
        </w:tc>
        <w:tc>
          <w:tcPr>
            <w:tcW w:w="677" w:type="dxa"/>
            <w:vMerge w:val="restart"/>
            <w:vAlign w:val="center"/>
          </w:tcPr>
          <w:p>
            <w:pPr>
              <w:adjustRightInd w:val="0"/>
              <w:spacing w:line="320" w:lineRule="exact"/>
              <w:jc w:val="center"/>
              <w:textAlignment w:val="baseline"/>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资格</w:t>
            </w:r>
          </w:p>
          <w:p>
            <w:pPr>
              <w:adjustRightInd w:val="0"/>
              <w:spacing w:line="320" w:lineRule="exact"/>
              <w:jc w:val="center"/>
              <w:textAlignment w:val="baseline"/>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审查</w:t>
            </w:r>
          </w:p>
          <w:p>
            <w:pPr>
              <w:adjustRightInd w:val="0"/>
              <w:spacing w:line="320" w:lineRule="exact"/>
              <w:jc w:val="center"/>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标准</w:t>
            </w:r>
          </w:p>
        </w:tc>
        <w:tc>
          <w:tcPr>
            <w:tcW w:w="1753" w:type="dxa"/>
            <w:gridSpan w:val="2"/>
            <w:vAlign w:val="center"/>
          </w:tcPr>
          <w:p>
            <w:pPr>
              <w:adjustRightInd w:val="0"/>
              <w:snapToGrid w:val="0"/>
              <w:spacing w:before="31" w:beforeLines="10" w:after="31" w:afterLines="10" w:line="320" w:lineRule="exact"/>
              <w:ind w:left="21" w:leftChars="10" w:right="21" w:rightChars="10"/>
              <w:jc w:val="center"/>
              <w:textAlignment w:val="baseline"/>
              <w:rPr>
                <w:rFonts w:hint="eastAsia" w:ascii="宋体" w:hAnsi="宋体" w:cs="宋体"/>
              </w:rPr>
            </w:pPr>
            <w:r>
              <w:rPr>
                <w:rFonts w:hint="eastAsia" w:ascii="宋体" w:hAnsi="宋体" w:cs="宋体"/>
              </w:rPr>
              <w:t>具有独立承担民事责任的能力</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宋体" w:hAnsi="宋体" w:cs="宋体"/>
              </w:rPr>
            </w:pPr>
            <w:r>
              <w:rPr>
                <w:rFonts w:hint="eastAsia" w:ascii="宋体" w:hAnsi="宋体" w:cs="宋体"/>
              </w:rPr>
              <w:t>提供有效的营业执照、税务登记证、组织机构代码证或三证合一营业执照或电子营业执照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760"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b/>
                <w:bCs/>
              </w:rPr>
            </w:pPr>
          </w:p>
        </w:tc>
        <w:tc>
          <w:tcPr>
            <w:tcW w:w="677"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b/>
                <w:bCs/>
              </w:rPr>
            </w:pPr>
          </w:p>
        </w:tc>
        <w:tc>
          <w:tcPr>
            <w:tcW w:w="1753" w:type="dxa"/>
            <w:gridSpan w:val="2"/>
            <w:vAlign w:val="center"/>
          </w:tcPr>
          <w:p>
            <w:pPr>
              <w:adjustRightInd w:val="0"/>
              <w:snapToGrid w:val="0"/>
              <w:spacing w:before="31" w:beforeLines="10" w:after="31" w:afterLines="10" w:line="320" w:lineRule="exact"/>
              <w:ind w:left="21" w:leftChars="10" w:right="21" w:rightChars="10"/>
              <w:jc w:val="center"/>
              <w:textAlignment w:val="baseline"/>
              <w:rPr>
                <w:rFonts w:hint="eastAsia" w:ascii="宋体" w:hAnsi="宋体" w:cs="宋体"/>
              </w:rPr>
            </w:pPr>
            <w:r>
              <w:rPr>
                <w:rFonts w:hint="eastAsia" w:ascii="宋体" w:hAnsi="宋体" w:cs="宋体"/>
                <w:color w:val="auto"/>
                <w:highlight w:val="none"/>
              </w:rPr>
              <w:t>具有良好的商业信誉和健全的财务会计制度</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宋体" w:hAnsi="宋体" w:cs="宋体"/>
              </w:rPr>
            </w:pPr>
            <w:r>
              <w:rPr>
                <w:rFonts w:hint="eastAsia" w:ascii="宋体" w:hAnsi="宋体" w:cs="宋体"/>
              </w:rPr>
              <w:t>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760"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b/>
                <w:bCs/>
              </w:rPr>
            </w:pPr>
          </w:p>
        </w:tc>
        <w:tc>
          <w:tcPr>
            <w:tcW w:w="677"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b/>
                <w:bCs/>
              </w:rPr>
            </w:pPr>
          </w:p>
        </w:tc>
        <w:tc>
          <w:tcPr>
            <w:tcW w:w="1753" w:type="dxa"/>
            <w:gridSpan w:val="2"/>
            <w:vAlign w:val="center"/>
          </w:tcPr>
          <w:p>
            <w:pPr>
              <w:adjustRightInd w:val="0"/>
              <w:snapToGrid w:val="0"/>
              <w:spacing w:before="31" w:beforeLines="10" w:after="31" w:afterLines="10" w:line="320" w:lineRule="exact"/>
              <w:ind w:left="21" w:leftChars="10" w:right="21" w:rightChars="10"/>
              <w:jc w:val="center"/>
              <w:textAlignment w:val="baseline"/>
              <w:rPr>
                <w:rFonts w:hint="eastAsia" w:ascii="宋体" w:hAnsi="宋体" w:cs="宋体"/>
              </w:rPr>
            </w:pPr>
            <w:r>
              <w:rPr>
                <w:rFonts w:hint="eastAsia" w:ascii="宋体" w:hAnsi="宋体" w:cs="宋体"/>
              </w:rPr>
              <w:t>具有履行合同所必需的设备和专业技术能力</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宋体" w:hAnsi="宋体" w:cs="宋体"/>
              </w:rPr>
            </w:pPr>
            <w:r>
              <w:rPr>
                <w:rFonts w:hint="eastAsia" w:ascii="宋体" w:hAnsi="宋体" w:cs="宋体"/>
              </w:rPr>
              <w:t>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760"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b/>
                <w:bCs/>
              </w:rPr>
            </w:pPr>
          </w:p>
        </w:tc>
        <w:tc>
          <w:tcPr>
            <w:tcW w:w="677"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b/>
                <w:bCs/>
              </w:rPr>
            </w:pPr>
          </w:p>
        </w:tc>
        <w:tc>
          <w:tcPr>
            <w:tcW w:w="1753" w:type="dxa"/>
            <w:gridSpan w:val="2"/>
            <w:vAlign w:val="center"/>
          </w:tcPr>
          <w:p>
            <w:pPr>
              <w:adjustRightInd w:val="0"/>
              <w:snapToGrid w:val="0"/>
              <w:spacing w:before="31" w:beforeLines="10" w:after="31" w:afterLines="10" w:line="320" w:lineRule="exact"/>
              <w:ind w:left="21" w:leftChars="10" w:right="21" w:rightChars="10"/>
              <w:jc w:val="center"/>
              <w:textAlignment w:val="baseline"/>
              <w:rPr>
                <w:rFonts w:hint="eastAsia" w:ascii="宋体" w:hAnsi="宋体" w:cs="宋体"/>
              </w:rPr>
            </w:pPr>
            <w:r>
              <w:rPr>
                <w:rFonts w:hint="eastAsia" w:ascii="宋体" w:hAnsi="宋体" w:cs="宋体"/>
              </w:rPr>
              <w:t>有依法缴纳税收和社会保障资金的良好记录</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宋体" w:hAnsi="宋体" w:cs="宋体"/>
              </w:rPr>
            </w:pPr>
            <w:r>
              <w:rPr>
                <w:rFonts w:hint="eastAsia" w:ascii="宋体" w:hAnsi="宋体" w:cs="宋体"/>
              </w:rPr>
              <w:t>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jc w:val="center"/>
        </w:trPr>
        <w:tc>
          <w:tcPr>
            <w:tcW w:w="760"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b/>
                <w:bCs/>
              </w:rPr>
            </w:pPr>
          </w:p>
        </w:tc>
        <w:tc>
          <w:tcPr>
            <w:tcW w:w="677"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b/>
                <w:bCs/>
              </w:rPr>
            </w:pPr>
          </w:p>
        </w:tc>
        <w:tc>
          <w:tcPr>
            <w:tcW w:w="1753" w:type="dxa"/>
            <w:gridSpan w:val="2"/>
            <w:vAlign w:val="center"/>
          </w:tcPr>
          <w:p>
            <w:pPr>
              <w:adjustRightInd w:val="0"/>
              <w:snapToGrid w:val="0"/>
              <w:spacing w:before="31" w:beforeLines="10" w:after="31" w:afterLines="10" w:line="320" w:lineRule="exact"/>
              <w:ind w:left="21" w:leftChars="10" w:right="21" w:rightChars="10"/>
              <w:jc w:val="center"/>
              <w:textAlignment w:val="baseline"/>
              <w:rPr>
                <w:rFonts w:hint="eastAsia" w:ascii="宋体" w:hAnsi="宋体" w:cs="宋体"/>
              </w:rPr>
            </w:pPr>
            <w:r>
              <w:rPr>
                <w:rFonts w:hint="eastAsia" w:ascii="宋体" w:hAnsi="宋体" w:cs="宋体"/>
                <w:color w:val="auto"/>
                <w:highlight w:val="none"/>
              </w:rPr>
              <w:t>参加政府采购活动前三年内，在经营活动中没有重大违法记录</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宋体" w:hAnsi="宋体" w:cs="宋体"/>
              </w:rPr>
            </w:pPr>
            <w:r>
              <w:rPr>
                <w:rFonts w:hint="eastAsia" w:ascii="宋体" w:hAnsi="宋体" w:cs="宋体"/>
              </w:rPr>
              <w:t>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760"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b/>
                <w:bCs/>
              </w:rPr>
            </w:pPr>
          </w:p>
        </w:tc>
        <w:tc>
          <w:tcPr>
            <w:tcW w:w="677"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b/>
                <w:bCs/>
              </w:rPr>
            </w:pPr>
          </w:p>
        </w:tc>
        <w:tc>
          <w:tcPr>
            <w:tcW w:w="1753" w:type="dxa"/>
            <w:gridSpan w:val="2"/>
            <w:vAlign w:val="center"/>
          </w:tcPr>
          <w:p>
            <w:pPr>
              <w:adjustRightInd w:val="0"/>
              <w:snapToGrid w:val="0"/>
              <w:spacing w:before="31" w:beforeLines="10" w:after="31" w:afterLines="10" w:line="320" w:lineRule="exact"/>
              <w:ind w:left="21" w:leftChars="10" w:right="21" w:rightChars="10"/>
              <w:jc w:val="center"/>
              <w:textAlignment w:val="baseline"/>
              <w:rPr>
                <w:rFonts w:hint="eastAsia" w:ascii="宋体" w:hAnsi="宋体" w:cs="宋体"/>
              </w:rPr>
            </w:pPr>
            <w:r>
              <w:rPr>
                <w:rFonts w:hint="eastAsia" w:ascii="宋体" w:hAnsi="宋体" w:cs="宋体"/>
              </w:rPr>
              <w:t>若所投设备为进口设备</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宋体" w:hAnsi="宋体" w:cs="宋体"/>
              </w:rPr>
            </w:pPr>
            <w:r>
              <w:rPr>
                <w:rFonts w:hint="eastAsia" w:ascii="宋体" w:hAnsi="宋体" w:cs="宋体"/>
              </w:rPr>
              <w:t>进口产品需提供所投产品制造商或国内总代理商出具的授权书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60"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b/>
                <w:bCs/>
              </w:rPr>
            </w:pPr>
          </w:p>
        </w:tc>
        <w:tc>
          <w:tcPr>
            <w:tcW w:w="677"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b/>
                <w:bCs/>
              </w:rPr>
            </w:pPr>
          </w:p>
        </w:tc>
        <w:tc>
          <w:tcPr>
            <w:tcW w:w="1753" w:type="dxa"/>
            <w:gridSpan w:val="2"/>
            <w:vAlign w:val="center"/>
          </w:tcPr>
          <w:p>
            <w:pPr>
              <w:adjustRightInd w:val="0"/>
              <w:snapToGrid w:val="0"/>
              <w:spacing w:before="31" w:beforeLines="10" w:after="31" w:afterLines="10" w:line="320" w:lineRule="exact"/>
              <w:ind w:left="21" w:leftChars="10" w:right="21" w:rightChars="10"/>
              <w:jc w:val="center"/>
              <w:textAlignment w:val="baseline"/>
              <w:rPr>
                <w:rFonts w:hint="eastAsia" w:ascii="宋体" w:hAnsi="宋体" w:cs="宋体"/>
              </w:rPr>
            </w:pPr>
            <w:r>
              <w:rPr>
                <w:rFonts w:hint="eastAsia" w:ascii="宋体" w:hAnsi="宋体" w:cs="宋体"/>
              </w:rPr>
              <w:t>信用查询</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宋体" w:hAnsi="宋体" w:cs="宋体"/>
              </w:rPr>
            </w:pPr>
            <w:r>
              <w:rPr>
                <w:rFonts w:hint="eastAsia" w:ascii="宋体" w:hAnsi="宋体" w:cs="宋体"/>
                <w:color w:val="auto"/>
                <w:highlight w:val="none"/>
              </w:rPr>
              <w:t>提供中国执行公开网 “失信被执行人”和信用中国网“重大税收违法失信主体”，中国政府采购网“政府采购严重违法失信行为名单” 查询结果页面截图；若有不良记录，执行财库[2016]125号文；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760"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b/>
                <w:bCs/>
              </w:rPr>
            </w:pPr>
          </w:p>
        </w:tc>
        <w:tc>
          <w:tcPr>
            <w:tcW w:w="677"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b/>
                <w:bCs/>
              </w:rPr>
            </w:pPr>
          </w:p>
        </w:tc>
        <w:tc>
          <w:tcPr>
            <w:tcW w:w="1753" w:type="dxa"/>
            <w:gridSpan w:val="2"/>
            <w:vAlign w:val="center"/>
          </w:tcPr>
          <w:p>
            <w:pPr>
              <w:adjustRightInd w:val="0"/>
              <w:snapToGrid w:val="0"/>
              <w:spacing w:before="31" w:beforeLines="10" w:after="31" w:afterLines="10" w:line="320" w:lineRule="exact"/>
              <w:ind w:left="21" w:leftChars="10" w:right="21" w:rightChars="10"/>
              <w:jc w:val="center"/>
              <w:textAlignment w:val="baseline"/>
              <w:rPr>
                <w:rFonts w:hint="eastAsia" w:ascii="宋体" w:hAnsi="宋体" w:cs="宋体"/>
              </w:rPr>
            </w:pPr>
            <w:r>
              <w:rPr>
                <w:rFonts w:hint="eastAsia" w:ascii="宋体" w:hAnsi="宋体" w:cs="宋体"/>
              </w:rPr>
              <w:t>单位负责人为同一人或存在控股、管理关系的不同单位，不得同时参加本项目的投标</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宋体" w:hAnsi="宋体" w:cs="宋体"/>
              </w:rPr>
            </w:pPr>
            <w:r>
              <w:rPr>
                <w:rFonts w:hint="eastAsia" w:ascii="宋体" w:hAnsi="宋体" w:cs="宋体"/>
              </w:rPr>
              <w:t>提供 “国家企业信用信息公示系统”中公示的公司信息、股东（或投资人）信息的截图。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9558" w:type="dxa"/>
            <w:gridSpan w:val="5"/>
            <w:vAlign w:val="center"/>
          </w:tcPr>
          <w:p>
            <w:pPr>
              <w:spacing w:line="43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依据《政府采购货物和服务招标投标管理办法》(财政部令87号)四十四条“公开招标采购项目开标结束后，采购人或者采购代理机构应当依法对投标人的资格进行审查。”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0" w:type="dxa"/>
            <w:vMerge w:val="restart"/>
            <w:vAlign w:val="center"/>
          </w:tcPr>
          <w:p>
            <w:pPr>
              <w:adjustRightInd w:val="0"/>
              <w:spacing w:line="320" w:lineRule="exact"/>
              <w:jc w:val="center"/>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2.1.2</w:t>
            </w:r>
          </w:p>
        </w:tc>
        <w:tc>
          <w:tcPr>
            <w:tcW w:w="677" w:type="dxa"/>
            <w:vMerge w:val="restart"/>
            <w:vAlign w:val="center"/>
          </w:tcPr>
          <w:p>
            <w:pPr>
              <w:adjustRightInd w:val="0"/>
              <w:spacing w:line="320" w:lineRule="exact"/>
              <w:jc w:val="center"/>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形式评审标准</w:t>
            </w:r>
          </w:p>
        </w:tc>
        <w:tc>
          <w:tcPr>
            <w:tcW w:w="1753" w:type="dxa"/>
            <w:gridSpan w:val="2"/>
            <w:vAlign w:val="center"/>
          </w:tcPr>
          <w:p>
            <w:pPr>
              <w:spacing w:line="320" w:lineRule="exact"/>
              <w:jc w:val="center"/>
              <w:rPr>
                <w:rFonts w:hint="eastAsia" w:asciiTheme="minorEastAsia" w:hAnsiTheme="minorEastAsia" w:eastAsiaTheme="minorEastAsia" w:cstheme="minorEastAsia"/>
                <w:kern w:val="0"/>
              </w:rPr>
            </w:pPr>
            <w:r>
              <w:rPr>
                <w:rFonts w:hint="eastAsia" w:asciiTheme="minorEastAsia" w:hAnsiTheme="minorEastAsia" w:eastAsiaTheme="minorEastAsia" w:cstheme="minorEastAsia"/>
                <w:kern w:val="0"/>
              </w:rPr>
              <w:t>投标人名称</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rPr>
              <w:t>与营业执照一致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0"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rPr>
            </w:pPr>
          </w:p>
        </w:tc>
        <w:tc>
          <w:tcPr>
            <w:tcW w:w="677"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rPr>
            </w:pPr>
          </w:p>
        </w:tc>
        <w:tc>
          <w:tcPr>
            <w:tcW w:w="1753" w:type="dxa"/>
            <w:gridSpan w:val="2"/>
            <w:vAlign w:val="center"/>
          </w:tcPr>
          <w:p>
            <w:pPr>
              <w:spacing w:line="320" w:lineRule="exact"/>
              <w:jc w:val="center"/>
              <w:rPr>
                <w:rFonts w:hint="eastAsia" w:asciiTheme="minorEastAsia" w:hAnsiTheme="minorEastAsia" w:eastAsiaTheme="minorEastAsia" w:cstheme="minorEastAsia"/>
                <w:kern w:val="0"/>
              </w:rPr>
            </w:pPr>
            <w:r>
              <w:rPr>
                <w:rFonts w:hint="eastAsia" w:asciiTheme="minorEastAsia" w:hAnsiTheme="minorEastAsia" w:eastAsiaTheme="minorEastAsia" w:cstheme="minorEastAsia"/>
                <w:spacing w:val="-4"/>
                <w:kern w:val="0"/>
              </w:rPr>
              <w:t>投标文件签字盖章</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rPr>
              <w:t>符合第二章“投标人须知前附表”第3.10.3项的规定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0"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rPr>
            </w:pPr>
          </w:p>
        </w:tc>
        <w:tc>
          <w:tcPr>
            <w:tcW w:w="677"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rPr>
            </w:pPr>
          </w:p>
        </w:tc>
        <w:tc>
          <w:tcPr>
            <w:tcW w:w="1753" w:type="dxa"/>
            <w:gridSpan w:val="2"/>
            <w:vAlign w:val="center"/>
          </w:tcPr>
          <w:p>
            <w:pPr>
              <w:spacing w:line="320" w:lineRule="exact"/>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投标报价</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rPr>
              <w:t>只有一个有效报价且未超过最高限价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0" w:type="dxa"/>
            <w:vMerge w:val="restart"/>
            <w:vAlign w:val="center"/>
          </w:tcPr>
          <w:p>
            <w:pPr>
              <w:adjustRightInd w:val="0"/>
              <w:spacing w:line="320" w:lineRule="exact"/>
              <w:jc w:val="center"/>
              <w:textAlignment w:val="baseline"/>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2.1.3</w:t>
            </w:r>
          </w:p>
        </w:tc>
        <w:tc>
          <w:tcPr>
            <w:tcW w:w="677" w:type="dxa"/>
            <w:vMerge w:val="restart"/>
            <w:vAlign w:val="center"/>
          </w:tcPr>
          <w:p>
            <w:pPr>
              <w:adjustRightInd w:val="0"/>
              <w:spacing w:line="320" w:lineRule="exact"/>
              <w:jc w:val="center"/>
              <w:textAlignment w:val="baseline"/>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符合性评审标准</w:t>
            </w:r>
          </w:p>
        </w:tc>
        <w:tc>
          <w:tcPr>
            <w:tcW w:w="1753" w:type="dxa"/>
            <w:gridSpan w:val="2"/>
            <w:vAlign w:val="center"/>
          </w:tcPr>
          <w:p>
            <w:pPr>
              <w:spacing w:line="320" w:lineRule="exact"/>
              <w:jc w:val="center"/>
              <w:rPr>
                <w:rFonts w:hint="eastAsia" w:asciiTheme="minorEastAsia" w:hAnsiTheme="minorEastAsia" w:eastAsiaTheme="minorEastAsia" w:cstheme="minorEastAsia"/>
                <w:kern w:val="0"/>
              </w:rPr>
            </w:pPr>
            <w:r>
              <w:rPr>
                <w:rFonts w:hint="eastAsia" w:asciiTheme="minorEastAsia" w:hAnsiTheme="minorEastAsia" w:eastAsiaTheme="minorEastAsia" w:cstheme="minorEastAsia"/>
                <w:kern w:val="0"/>
                <w:lang w:val="en-US" w:eastAsia="zh-CN"/>
              </w:rPr>
              <w:t>供</w:t>
            </w:r>
            <w:r>
              <w:rPr>
                <w:rFonts w:hint="eastAsia" w:asciiTheme="minorEastAsia" w:hAnsiTheme="minorEastAsia" w:eastAsiaTheme="minorEastAsia" w:cstheme="minorEastAsia"/>
                <w:kern w:val="0"/>
              </w:rPr>
              <w:t>货期</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rPr>
              <w:t>符合第二章“投标人须知前附表”第1.4.2项的规定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0"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rPr>
            </w:pPr>
          </w:p>
        </w:tc>
        <w:tc>
          <w:tcPr>
            <w:tcW w:w="677"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rPr>
            </w:pPr>
          </w:p>
        </w:tc>
        <w:tc>
          <w:tcPr>
            <w:tcW w:w="1753" w:type="dxa"/>
            <w:gridSpan w:val="2"/>
            <w:vAlign w:val="center"/>
          </w:tcPr>
          <w:p>
            <w:pPr>
              <w:spacing w:line="320" w:lineRule="exact"/>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rPr>
              <w:t>质量标准</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rPr>
              <w:t>符合第二章“投标人须知前附表”第1.4.3项的规定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0"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rPr>
            </w:pPr>
          </w:p>
        </w:tc>
        <w:tc>
          <w:tcPr>
            <w:tcW w:w="677"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rPr>
            </w:pPr>
          </w:p>
        </w:tc>
        <w:tc>
          <w:tcPr>
            <w:tcW w:w="1753" w:type="dxa"/>
            <w:gridSpan w:val="2"/>
            <w:vAlign w:val="center"/>
          </w:tcPr>
          <w:p>
            <w:pPr>
              <w:spacing w:line="320" w:lineRule="exact"/>
              <w:jc w:val="center"/>
              <w:rPr>
                <w:rFonts w:hint="eastAsia" w:asciiTheme="minorEastAsia" w:hAnsiTheme="minorEastAsia" w:eastAsiaTheme="minorEastAsia" w:cstheme="minorEastAsia"/>
                <w:kern w:val="0"/>
              </w:rPr>
            </w:pPr>
            <w:r>
              <w:rPr>
                <w:rFonts w:hint="eastAsia" w:asciiTheme="minorEastAsia" w:hAnsiTheme="minorEastAsia" w:eastAsiaTheme="minorEastAsia" w:cstheme="minorEastAsia"/>
                <w:kern w:val="0"/>
              </w:rPr>
              <w:t>质保期</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rPr>
              <w:t>符合第二章“投标人须知前附表”第1.4.4项的规定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0"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rPr>
            </w:pPr>
          </w:p>
        </w:tc>
        <w:tc>
          <w:tcPr>
            <w:tcW w:w="677"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rPr>
            </w:pPr>
          </w:p>
        </w:tc>
        <w:tc>
          <w:tcPr>
            <w:tcW w:w="1753" w:type="dxa"/>
            <w:gridSpan w:val="2"/>
            <w:vAlign w:val="center"/>
          </w:tcPr>
          <w:p>
            <w:pPr>
              <w:adjustRightInd w:val="0"/>
              <w:spacing w:line="320" w:lineRule="exact"/>
              <w:jc w:val="center"/>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rPr>
              <w:t>交货地点</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rPr>
              <w:t>符合第二章“投标人须知前附表”第1.4.5项的规定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0"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rPr>
            </w:pPr>
          </w:p>
        </w:tc>
        <w:tc>
          <w:tcPr>
            <w:tcW w:w="677"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rPr>
            </w:pPr>
          </w:p>
        </w:tc>
        <w:tc>
          <w:tcPr>
            <w:tcW w:w="1753" w:type="dxa"/>
            <w:gridSpan w:val="2"/>
            <w:vAlign w:val="center"/>
          </w:tcPr>
          <w:p>
            <w:pPr>
              <w:adjustRightInd w:val="0"/>
              <w:spacing w:line="320" w:lineRule="exact"/>
              <w:jc w:val="center"/>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rPr>
              <w:t>投标有效期</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rPr>
              <w:t>符合第二章“投标人须知前附表”第3.9.1款的规定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0"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rPr>
            </w:pPr>
          </w:p>
        </w:tc>
        <w:tc>
          <w:tcPr>
            <w:tcW w:w="677" w:type="dxa"/>
            <w:vMerge w:val="continue"/>
            <w:vAlign w:val="center"/>
          </w:tcPr>
          <w:p>
            <w:pPr>
              <w:adjustRightInd w:val="0"/>
              <w:spacing w:line="320" w:lineRule="exact"/>
              <w:jc w:val="center"/>
              <w:textAlignment w:val="baseline"/>
              <w:rPr>
                <w:rFonts w:hint="eastAsia" w:asciiTheme="minorEastAsia" w:hAnsiTheme="minorEastAsia" w:eastAsiaTheme="minorEastAsia" w:cstheme="minorEastAsia"/>
              </w:rPr>
            </w:pPr>
          </w:p>
        </w:tc>
        <w:tc>
          <w:tcPr>
            <w:tcW w:w="1753" w:type="dxa"/>
            <w:gridSpan w:val="2"/>
            <w:vAlign w:val="center"/>
          </w:tcPr>
          <w:p>
            <w:pPr>
              <w:adjustRightInd w:val="0"/>
              <w:spacing w:line="320" w:lineRule="exact"/>
              <w:jc w:val="center"/>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rPr>
              <w:t>其他要求</w:t>
            </w:r>
          </w:p>
        </w:tc>
        <w:tc>
          <w:tcPr>
            <w:tcW w:w="6368" w:type="dxa"/>
            <w:vAlign w:val="center"/>
          </w:tcPr>
          <w:p>
            <w:pPr>
              <w:adjustRightInd w:val="0"/>
              <w:snapToGrid w:val="0"/>
              <w:spacing w:before="31" w:beforeLines="10" w:after="31" w:afterLines="10" w:line="320" w:lineRule="exact"/>
              <w:ind w:left="21" w:leftChars="10" w:right="21" w:rightChars="10"/>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rPr>
              <w:t>符合招标文件实质性要求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760" w:type="dxa"/>
            <w:vAlign w:val="center"/>
          </w:tcPr>
          <w:p>
            <w:pPr>
              <w:spacing w:line="320" w:lineRule="exact"/>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条款号</w:t>
            </w:r>
          </w:p>
        </w:tc>
        <w:tc>
          <w:tcPr>
            <w:tcW w:w="2430" w:type="dxa"/>
            <w:gridSpan w:val="3"/>
            <w:vAlign w:val="center"/>
          </w:tcPr>
          <w:p>
            <w:pPr>
              <w:spacing w:line="320" w:lineRule="exact"/>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条款内容</w:t>
            </w:r>
          </w:p>
        </w:tc>
        <w:tc>
          <w:tcPr>
            <w:tcW w:w="6368" w:type="dxa"/>
            <w:vAlign w:val="center"/>
          </w:tcPr>
          <w:p>
            <w:pPr>
              <w:adjustRightInd w:val="0"/>
              <w:spacing w:before="31" w:beforeLines="10" w:after="31" w:afterLines="10" w:line="320" w:lineRule="exact"/>
              <w:ind w:left="21" w:leftChars="10" w:right="21" w:rightChars="10"/>
              <w:jc w:val="center"/>
              <w:textAlignment w:val="baseline"/>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760" w:type="dxa"/>
            <w:noWrap/>
            <w:vAlign w:val="center"/>
          </w:tcPr>
          <w:p>
            <w:pPr>
              <w:spacing w:line="360" w:lineRule="auto"/>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2.2</w:t>
            </w:r>
          </w:p>
        </w:tc>
        <w:tc>
          <w:tcPr>
            <w:tcW w:w="2430" w:type="dxa"/>
            <w:gridSpan w:val="3"/>
            <w:noWrap/>
            <w:vAlign w:val="center"/>
          </w:tcPr>
          <w:p>
            <w:pPr>
              <w:spacing w:line="360" w:lineRule="auto"/>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评审内容</w:t>
            </w:r>
          </w:p>
        </w:tc>
        <w:tc>
          <w:tcPr>
            <w:tcW w:w="6368" w:type="dxa"/>
            <w:noWrap/>
            <w:vAlign w:val="center"/>
          </w:tcPr>
          <w:p>
            <w:pPr>
              <w:spacing w:line="360" w:lineRule="auto"/>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0" w:type="dxa"/>
            <w:noWrap/>
            <w:vAlign w:val="center"/>
          </w:tcPr>
          <w:p>
            <w:pPr>
              <w:spacing w:line="360" w:lineRule="auto"/>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2.2.1</w:t>
            </w:r>
          </w:p>
        </w:tc>
        <w:tc>
          <w:tcPr>
            <w:tcW w:w="2430" w:type="dxa"/>
            <w:gridSpan w:val="3"/>
            <w:noWrap/>
            <w:vAlign w:val="center"/>
          </w:tcPr>
          <w:p>
            <w:pPr>
              <w:adjustRightInd w:val="0"/>
              <w:snapToGrid w:val="0"/>
              <w:spacing w:line="276" w:lineRule="auto"/>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投标报价</w:t>
            </w:r>
          </w:p>
          <w:p>
            <w:pPr>
              <w:adjustRightInd w:val="0"/>
              <w:snapToGrid w:val="0"/>
              <w:spacing w:line="276" w:lineRule="auto"/>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kern w:val="0"/>
              </w:rPr>
              <w:t>40分</w:t>
            </w:r>
          </w:p>
        </w:tc>
        <w:tc>
          <w:tcPr>
            <w:tcW w:w="6368" w:type="dxa"/>
            <w:noWrap/>
            <w:vAlign w:val="center"/>
          </w:tcPr>
          <w:p>
            <w:pPr>
              <w:spacing w:line="400" w:lineRule="exact"/>
              <w:rPr>
                <w:rFonts w:hint="eastAsia" w:ascii="宋体" w:hAnsi="宋体"/>
                <w:szCs w:val="24"/>
              </w:rPr>
            </w:pPr>
            <w:r>
              <w:rPr>
                <w:rFonts w:hint="eastAsia" w:ascii="宋体" w:hAnsi="宋体"/>
                <w:szCs w:val="24"/>
              </w:rPr>
              <w:t>报价采用低价优先法，即满足招标文件要求且投标价格最低的投标报价为评标基准价，其价格分为满分。其它投标人的价格得分统一按照以下公式计算：</w:t>
            </w:r>
          </w:p>
          <w:p>
            <w:pPr>
              <w:spacing w:line="400" w:lineRule="exact"/>
              <w:rPr>
                <w:rFonts w:hint="eastAsia" w:ascii="宋体" w:hAnsi="宋体"/>
                <w:szCs w:val="24"/>
              </w:rPr>
            </w:pPr>
            <w:r>
              <w:rPr>
                <w:rFonts w:hint="eastAsia" w:ascii="宋体" w:hAnsi="宋体"/>
                <w:szCs w:val="24"/>
              </w:rPr>
              <w:t>投标报价得分=（评标基准价/投标报价）×40。</w:t>
            </w:r>
          </w:p>
          <w:p>
            <w:pPr>
              <w:spacing w:line="400" w:lineRule="exact"/>
              <w:rPr>
                <w:rFonts w:hint="eastAsia" w:ascii="宋体" w:hAnsi="宋体"/>
                <w:szCs w:val="24"/>
              </w:rPr>
            </w:pPr>
            <w:r>
              <w:rPr>
                <w:rFonts w:hint="eastAsia" w:ascii="宋体" w:hAnsi="宋体"/>
                <w:szCs w:val="24"/>
              </w:rPr>
              <w:t>注：</w:t>
            </w:r>
            <w:r>
              <w:rPr>
                <w:rFonts w:hint="eastAsia" w:ascii="宋体" w:hAnsi="宋体" w:cs="宋体"/>
              </w:rPr>
              <w:t>根据《政府采购促进中小企业发展管理办法》（财库﹝2020﹞46号）、《关于进一步加大政府采购支持中小企业力度的通知》（财库﹝2022﹞19号）的规定，评审时给予小微企业产品价格10%的扣除，用扣除后的价格参与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2" w:hRule="atLeast"/>
          <w:jc w:val="center"/>
        </w:trPr>
        <w:tc>
          <w:tcPr>
            <w:tcW w:w="760" w:type="dxa"/>
            <w:vMerge w:val="restart"/>
            <w:noWrap/>
            <w:vAlign w:val="center"/>
          </w:tcPr>
          <w:p>
            <w:pPr>
              <w:spacing w:line="360" w:lineRule="auto"/>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2.2.2</w:t>
            </w:r>
          </w:p>
        </w:tc>
        <w:tc>
          <w:tcPr>
            <w:tcW w:w="1064" w:type="dxa"/>
            <w:gridSpan w:val="2"/>
            <w:vMerge w:val="restart"/>
            <w:noWrap/>
            <w:vAlign w:val="center"/>
          </w:tcPr>
          <w:p>
            <w:pPr>
              <w:spacing w:line="360" w:lineRule="auto"/>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技术部分40分</w:t>
            </w:r>
          </w:p>
        </w:tc>
        <w:tc>
          <w:tcPr>
            <w:tcW w:w="1366" w:type="dxa"/>
            <w:noWrap/>
            <w:vAlign w:val="center"/>
          </w:tcPr>
          <w:p>
            <w:pPr>
              <w:spacing w:line="360" w:lineRule="auto"/>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技术指标响应情况</w:t>
            </w:r>
          </w:p>
          <w:p>
            <w:pPr>
              <w:spacing w:line="360" w:lineRule="auto"/>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（30分）</w:t>
            </w:r>
          </w:p>
        </w:tc>
        <w:tc>
          <w:tcPr>
            <w:tcW w:w="6368" w:type="dxa"/>
            <w:noWrap/>
            <w:vAlign w:val="center"/>
          </w:tcPr>
          <w:p>
            <w:pPr>
              <w:spacing w:line="400" w:lineRule="exact"/>
              <w:rPr>
                <w:rFonts w:hint="eastAsia" w:ascii="宋体" w:hAnsi="宋体"/>
                <w:szCs w:val="24"/>
              </w:rPr>
            </w:pPr>
            <w:r>
              <w:rPr>
                <w:rFonts w:hint="eastAsia" w:ascii="宋体" w:hAnsi="宋体"/>
                <w:szCs w:val="24"/>
              </w:rPr>
              <w:t>技术参数完全满足招标文件要求的得满分</w:t>
            </w:r>
            <w:r>
              <w:rPr>
                <w:rFonts w:hint="eastAsia" w:ascii="宋体" w:hAnsi="宋体"/>
                <w:szCs w:val="24"/>
                <w:lang w:val="en-US" w:eastAsia="zh-CN"/>
              </w:rPr>
              <w:t>3</w:t>
            </w:r>
            <w:r>
              <w:rPr>
                <w:rFonts w:hint="eastAsia" w:ascii="宋体" w:hAnsi="宋体"/>
                <w:szCs w:val="24"/>
              </w:rPr>
              <w:t>0分。其中标注*的技术指标每一条不满足扣2分，非标注*的技术指标每一条不满足扣0.7分，扣完为止。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2" w:hRule="atLeast"/>
          <w:jc w:val="center"/>
        </w:trPr>
        <w:tc>
          <w:tcPr>
            <w:tcW w:w="760" w:type="dxa"/>
            <w:vMerge w:val="continue"/>
            <w:noWrap/>
            <w:vAlign w:val="center"/>
          </w:tcPr>
          <w:p>
            <w:pPr>
              <w:spacing w:line="360" w:lineRule="auto"/>
              <w:jc w:val="center"/>
              <w:rPr>
                <w:rFonts w:hint="eastAsia" w:asciiTheme="minorEastAsia" w:hAnsiTheme="minorEastAsia" w:eastAsiaTheme="minorEastAsia" w:cstheme="minorEastAsia"/>
                <w:b/>
                <w:bCs/>
              </w:rPr>
            </w:pPr>
          </w:p>
        </w:tc>
        <w:tc>
          <w:tcPr>
            <w:tcW w:w="1064" w:type="dxa"/>
            <w:gridSpan w:val="2"/>
            <w:vMerge w:val="continue"/>
            <w:noWrap/>
            <w:vAlign w:val="center"/>
          </w:tcPr>
          <w:p>
            <w:pPr>
              <w:spacing w:line="360" w:lineRule="auto"/>
              <w:jc w:val="center"/>
              <w:rPr>
                <w:rFonts w:hint="eastAsia" w:asciiTheme="minorEastAsia" w:hAnsiTheme="minorEastAsia" w:eastAsiaTheme="minorEastAsia" w:cstheme="minorEastAsia"/>
                <w:b/>
                <w:bCs/>
              </w:rPr>
            </w:pPr>
          </w:p>
        </w:tc>
        <w:tc>
          <w:tcPr>
            <w:tcW w:w="1366" w:type="dxa"/>
            <w:noWrap/>
          </w:tcPr>
          <w:p>
            <w:pPr>
              <w:pStyle w:val="235"/>
              <w:spacing w:before="211"/>
              <w:jc w:val="center"/>
              <w:rPr>
                <w:rFonts w:cs="仿宋" w:asciiTheme="majorEastAsia" w:hAnsiTheme="majorEastAsia" w:eastAsiaTheme="majorEastAsia"/>
              </w:rPr>
            </w:pPr>
            <w:r>
              <w:rPr>
                <w:rFonts w:cs="仿宋" w:asciiTheme="majorEastAsia" w:hAnsiTheme="majorEastAsia" w:eastAsiaTheme="majorEastAsia"/>
              </w:rPr>
              <w:t>设备的配</w:t>
            </w:r>
            <w:r>
              <w:rPr>
                <w:rFonts w:hint="eastAsia" w:cs="仿宋" w:asciiTheme="majorEastAsia" w:hAnsiTheme="majorEastAsia" w:eastAsiaTheme="majorEastAsia"/>
              </w:rPr>
              <w:t>置和性能</w:t>
            </w:r>
          </w:p>
          <w:p>
            <w:pPr>
              <w:pStyle w:val="235"/>
              <w:spacing w:before="211"/>
              <w:jc w:val="center"/>
              <w:rPr>
                <w:rFonts w:hint="eastAsia" w:ascii="仿宋" w:hAnsi="仿宋" w:eastAsia="仿宋" w:cs="仿宋"/>
                <w:sz w:val="24"/>
                <w:szCs w:val="24"/>
              </w:rPr>
            </w:pPr>
            <w:r>
              <w:rPr>
                <w:rFonts w:hint="eastAsia" w:cs="仿宋" w:asciiTheme="majorEastAsia" w:hAnsiTheme="majorEastAsia" w:eastAsiaTheme="majorEastAsia"/>
              </w:rPr>
              <w:t>（10 分）</w:t>
            </w:r>
          </w:p>
        </w:tc>
        <w:tc>
          <w:tcPr>
            <w:tcW w:w="6368" w:type="dxa"/>
            <w:noWrap/>
            <w:vAlign w:val="center"/>
          </w:tcPr>
          <w:p>
            <w:pPr>
              <w:spacing w:line="400" w:lineRule="exact"/>
              <w:rPr>
                <w:rFonts w:hint="eastAsia" w:ascii="宋体" w:hAnsi="宋体"/>
                <w:szCs w:val="24"/>
              </w:rPr>
            </w:pPr>
            <w:r>
              <w:rPr>
                <w:rFonts w:hint="eastAsia" w:ascii="宋体" w:hAnsi="宋体"/>
                <w:szCs w:val="24"/>
              </w:rPr>
              <w:t>根据供应商所投设备的设备性能进行评审，分为三个评价等级：产品主要技术性能，功能优于招标文件要求，整体配备完备优良，性能稳定，故障率低，易维护及后期使用成本低的得 7-10 分；产品主要技术性能，整体配备较完备良好，功能符合招标文件要求，性能稳定，故障率较低，后期使用成本较高得 4-6分；产品主要技术性能、功能基本符合招标文件要求，性能稳定性一般，后期使用成本高得 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760" w:type="dxa"/>
            <w:vMerge w:val="restart"/>
            <w:noWrap/>
            <w:vAlign w:val="center"/>
          </w:tcPr>
          <w:p>
            <w:pPr>
              <w:spacing w:line="360" w:lineRule="auto"/>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2.2.3</w:t>
            </w:r>
          </w:p>
        </w:tc>
        <w:tc>
          <w:tcPr>
            <w:tcW w:w="1064" w:type="dxa"/>
            <w:gridSpan w:val="2"/>
            <w:vMerge w:val="restart"/>
            <w:noWrap/>
            <w:vAlign w:val="center"/>
          </w:tcPr>
          <w:p>
            <w:pPr>
              <w:spacing w:line="360" w:lineRule="auto"/>
              <w:jc w:val="center"/>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商务部分20分</w:t>
            </w:r>
          </w:p>
        </w:tc>
        <w:tc>
          <w:tcPr>
            <w:tcW w:w="1366" w:type="dxa"/>
            <w:noWrap/>
          </w:tcPr>
          <w:p>
            <w:pPr>
              <w:jc w:val="center"/>
              <w:rPr>
                <w:rFonts w:hint="eastAsia"/>
              </w:rPr>
            </w:pPr>
            <w:r>
              <w:rPr>
                <w:rFonts w:hint="eastAsia"/>
              </w:rPr>
              <w:t>认证证书</w:t>
            </w:r>
          </w:p>
          <w:p>
            <w:pPr>
              <w:jc w:val="center"/>
            </w:pPr>
            <w:r>
              <w:rPr>
                <w:rFonts w:hint="eastAsia"/>
              </w:rPr>
              <w:t>（3分）</w:t>
            </w:r>
          </w:p>
        </w:tc>
        <w:tc>
          <w:tcPr>
            <w:tcW w:w="6368" w:type="dxa"/>
            <w:noWrap/>
            <w:vAlign w:val="center"/>
          </w:tcPr>
          <w:p>
            <w:pPr>
              <w:spacing w:line="400" w:lineRule="exact"/>
              <w:rPr>
                <w:rFonts w:hint="eastAsia" w:ascii="宋体" w:hAnsi="宋体"/>
                <w:szCs w:val="24"/>
              </w:rPr>
            </w:pPr>
            <w:r>
              <w:rPr>
                <w:rFonts w:hint="eastAsia" w:ascii="宋体" w:hAnsi="宋体"/>
                <w:szCs w:val="24"/>
              </w:rPr>
              <w:t>同时具有质量管理体系认证、环境管理体系认证、职业安全健康管理体系认证的得3分，缺一项扣1分。（提供认证证书复印件及证书网上查询截图，否则不得分。）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2" w:hRule="atLeast"/>
          <w:jc w:val="center"/>
        </w:trPr>
        <w:tc>
          <w:tcPr>
            <w:tcW w:w="760" w:type="dxa"/>
            <w:vMerge w:val="continue"/>
            <w:noWrap/>
            <w:vAlign w:val="center"/>
          </w:tcPr>
          <w:p>
            <w:pPr>
              <w:spacing w:line="360" w:lineRule="auto"/>
              <w:jc w:val="center"/>
              <w:rPr>
                <w:rFonts w:hint="eastAsia" w:asciiTheme="minorEastAsia" w:hAnsiTheme="minorEastAsia" w:eastAsiaTheme="minorEastAsia" w:cstheme="minorEastAsia"/>
                <w:b/>
                <w:bCs/>
              </w:rPr>
            </w:pPr>
          </w:p>
        </w:tc>
        <w:tc>
          <w:tcPr>
            <w:tcW w:w="1064" w:type="dxa"/>
            <w:gridSpan w:val="2"/>
            <w:vMerge w:val="continue"/>
            <w:noWrap/>
            <w:vAlign w:val="center"/>
          </w:tcPr>
          <w:p>
            <w:pPr>
              <w:spacing w:line="360" w:lineRule="auto"/>
              <w:jc w:val="center"/>
              <w:rPr>
                <w:rFonts w:hint="eastAsia" w:asciiTheme="minorEastAsia" w:hAnsiTheme="minorEastAsia" w:eastAsiaTheme="minorEastAsia" w:cstheme="minorEastAsia"/>
              </w:rPr>
            </w:pPr>
          </w:p>
        </w:tc>
        <w:tc>
          <w:tcPr>
            <w:tcW w:w="1366" w:type="dxa"/>
            <w:noWrap/>
          </w:tcPr>
          <w:p>
            <w:pPr>
              <w:jc w:val="center"/>
              <w:rPr>
                <w:rFonts w:hint="eastAsia"/>
              </w:rPr>
            </w:pPr>
            <w:r>
              <w:rPr>
                <w:rFonts w:hint="eastAsia"/>
              </w:rPr>
              <w:t>企业业绩</w:t>
            </w:r>
          </w:p>
          <w:p>
            <w:pPr>
              <w:jc w:val="center"/>
            </w:pPr>
            <w:r>
              <w:rPr>
                <w:rFonts w:hint="eastAsia"/>
              </w:rPr>
              <w:t>（2分）</w:t>
            </w:r>
          </w:p>
        </w:tc>
        <w:tc>
          <w:tcPr>
            <w:tcW w:w="6368" w:type="dxa"/>
            <w:noWrap/>
            <w:vAlign w:val="center"/>
          </w:tcPr>
          <w:p>
            <w:pPr>
              <w:spacing w:line="400" w:lineRule="exact"/>
              <w:rPr>
                <w:rFonts w:hint="eastAsia" w:ascii="宋体" w:hAnsi="宋体"/>
                <w:szCs w:val="24"/>
              </w:rPr>
            </w:pPr>
            <w:r>
              <w:rPr>
                <w:rFonts w:hint="eastAsia" w:ascii="宋体" w:hAnsi="宋体"/>
                <w:szCs w:val="24"/>
              </w:rPr>
              <w:t>2021年1月1日（以合同签订时间为准）以来，具有类似项目销售业绩的每份得1分，最多得2分。（提供合同、中标通知书、网站公布的中标结果公告截图，否则不得分。）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760" w:type="dxa"/>
            <w:vMerge w:val="continue"/>
            <w:noWrap/>
            <w:vAlign w:val="center"/>
          </w:tcPr>
          <w:p>
            <w:pPr>
              <w:widowControl/>
              <w:jc w:val="center"/>
              <w:rPr>
                <w:rFonts w:hint="eastAsia" w:asciiTheme="minorEastAsia" w:hAnsiTheme="minorEastAsia" w:eastAsiaTheme="minorEastAsia" w:cstheme="minorEastAsia"/>
              </w:rPr>
            </w:pPr>
          </w:p>
        </w:tc>
        <w:tc>
          <w:tcPr>
            <w:tcW w:w="1064" w:type="dxa"/>
            <w:gridSpan w:val="2"/>
            <w:vMerge w:val="continue"/>
            <w:noWrap/>
            <w:vAlign w:val="center"/>
          </w:tcPr>
          <w:p>
            <w:pPr>
              <w:spacing w:line="360" w:lineRule="auto"/>
              <w:jc w:val="center"/>
              <w:rPr>
                <w:rFonts w:hint="eastAsia" w:asciiTheme="minorEastAsia" w:hAnsiTheme="minorEastAsia" w:eastAsiaTheme="minorEastAsia" w:cstheme="minorEastAsia"/>
              </w:rPr>
            </w:pPr>
          </w:p>
        </w:tc>
        <w:tc>
          <w:tcPr>
            <w:tcW w:w="1366" w:type="dxa"/>
            <w:noWrap/>
          </w:tcPr>
          <w:p>
            <w:pPr>
              <w:jc w:val="center"/>
              <w:rPr>
                <w:rFonts w:hint="eastAsia"/>
              </w:rPr>
            </w:pPr>
            <w:r>
              <w:rPr>
                <w:rFonts w:hint="eastAsia"/>
              </w:rPr>
              <w:t>售后服务</w:t>
            </w:r>
          </w:p>
          <w:p>
            <w:pPr>
              <w:jc w:val="center"/>
            </w:pPr>
            <w:r>
              <w:rPr>
                <w:rFonts w:hint="eastAsia"/>
              </w:rPr>
              <w:t>（5分）</w:t>
            </w:r>
          </w:p>
        </w:tc>
        <w:tc>
          <w:tcPr>
            <w:tcW w:w="6368" w:type="dxa"/>
            <w:noWrap/>
            <w:vAlign w:val="center"/>
          </w:tcPr>
          <w:p>
            <w:pPr>
              <w:numPr>
                <w:ilvl w:val="0"/>
                <w:numId w:val="41"/>
              </w:numPr>
              <w:spacing w:line="400" w:lineRule="exact"/>
              <w:rPr>
                <w:rFonts w:hint="eastAsia" w:ascii="宋体" w:hAnsi="宋体"/>
                <w:szCs w:val="24"/>
                <w:lang w:val="zh-CN"/>
              </w:rPr>
            </w:pPr>
            <w:r>
              <w:rPr>
                <w:rFonts w:hint="eastAsia" w:ascii="宋体" w:hAnsi="宋体"/>
                <w:szCs w:val="24"/>
              </w:rPr>
              <w:t>根据投标人提供的质保期内服务承诺（内容包含但不限于免费维修时间、解决问题的实施程序和响应时间、售后服务组架构和质量控制、零备件供应等）进行综合评分：</w:t>
            </w:r>
          </w:p>
          <w:p>
            <w:pPr>
              <w:spacing w:line="400" w:lineRule="exact"/>
              <w:rPr>
                <w:rFonts w:hint="eastAsia" w:ascii="宋体" w:hAnsi="宋体"/>
                <w:szCs w:val="24"/>
              </w:rPr>
            </w:pPr>
            <w:r>
              <w:rPr>
                <w:rFonts w:hint="eastAsia" w:ascii="宋体" w:hAnsi="宋体"/>
                <w:szCs w:val="24"/>
              </w:rPr>
              <w:t>售后服务完整、详尽合理、切合项目实际得2分；</w:t>
            </w:r>
          </w:p>
          <w:p>
            <w:pPr>
              <w:spacing w:line="400" w:lineRule="exact"/>
              <w:rPr>
                <w:rFonts w:hint="eastAsia" w:ascii="宋体" w:hAnsi="宋体"/>
                <w:szCs w:val="24"/>
              </w:rPr>
            </w:pPr>
            <w:r>
              <w:rPr>
                <w:rFonts w:hint="eastAsia" w:ascii="宋体" w:hAnsi="宋体"/>
                <w:szCs w:val="24"/>
              </w:rPr>
              <w:t>售后服务不够详尽，基本可行得1分；</w:t>
            </w:r>
          </w:p>
          <w:p>
            <w:pPr>
              <w:spacing w:line="400" w:lineRule="exact"/>
              <w:rPr>
                <w:rFonts w:hint="eastAsia" w:ascii="宋体" w:hAnsi="宋体"/>
                <w:szCs w:val="24"/>
              </w:rPr>
            </w:pPr>
            <w:r>
              <w:rPr>
                <w:rFonts w:hint="eastAsia" w:ascii="宋体" w:hAnsi="宋体"/>
                <w:szCs w:val="24"/>
              </w:rPr>
              <w:t>售后服务欠缺，不尽合理得0.5分；</w:t>
            </w:r>
          </w:p>
          <w:p>
            <w:pPr>
              <w:spacing w:line="400" w:lineRule="exact"/>
              <w:rPr>
                <w:rFonts w:hint="eastAsia" w:ascii="宋体" w:hAnsi="宋体"/>
                <w:szCs w:val="24"/>
                <w:lang w:val="zh-CN"/>
              </w:rPr>
            </w:pPr>
            <w:r>
              <w:rPr>
                <w:rFonts w:hint="eastAsia" w:ascii="宋体" w:hAnsi="宋体"/>
                <w:szCs w:val="24"/>
              </w:rPr>
              <w:t>未提供的不得分。</w:t>
            </w:r>
          </w:p>
          <w:p>
            <w:pPr>
              <w:spacing w:line="400" w:lineRule="exact"/>
              <w:rPr>
                <w:rFonts w:hint="eastAsia" w:ascii="宋体" w:hAnsi="宋体"/>
                <w:szCs w:val="24"/>
              </w:rPr>
            </w:pPr>
            <w:r>
              <w:rPr>
                <w:rFonts w:hint="eastAsia" w:ascii="宋体" w:hAnsi="宋体"/>
                <w:szCs w:val="24"/>
              </w:rPr>
              <w:t>2、质保期外服务承诺：在满足质保期的要求上每增加1年加0.5分,最多加1分。</w:t>
            </w:r>
          </w:p>
          <w:p>
            <w:pPr>
              <w:spacing w:line="400" w:lineRule="exact"/>
              <w:rPr>
                <w:rFonts w:hint="eastAsia" w:ascii="宋体" w:hAnsi="宋体"/>
                <w:szCs w:val="24"/>
              </w:rPr>
            </w:pPr>
            <w:r>
              <w:rPr>
                <w:rFonts w:hint="eastAsia" w:ascii="宋体" w:hAnsi="宋体"/>
                <w:szCs w:val="24"/>
              </w:rPr>
              <w:t>3、根据投标人提供的人员技术培训（内容包含但不限于培训内容、形式、计划和效果、师资力量等）进行综合评分：</w:t>
            </w:r>
          </w:p>
          <w:p>
            <w:pPr>
              <w:spacing w:line="400" w:lineRule="exact"/>
              <w:rPr>
                <w:rFonts w:hint="eastAsia" w:ascii="宋体" w:hAnsi="宋体"/>
                <w:szCs w:val="24"/>
              </w:rPr>
            </w:pPr>
            <w:r>
              <w:rPr>
                <w:rFonts w:hint="eastAsia" w:ascii="宋体" w:hAnsi="宋体"/>
                <w:szCs w:val="24"/>
              </w:rPr>
              <w:t>培训计划全面、针对性强，符合项目特点得2分；</w:t>
            </w:r>
          </w:p>
          <w:p>
            <w:pPr>
              <w:spacing w:line="400" w:lineRule="exact"/>
              <w:rPr>
                <w:rFonts w:hint="eastAsia" w:ascii="宋体" w:hAnsi="宋体"/>
                <w:szCs w:val="24"/>
              </w:rPr>
            </w:pPr>
            <w:r>
              <w:rPr>
                <w:rFonts w:hint="eastAsia" w:ascii="宋体" w:hAnsi="宋体"/>
                <w:szCs w:val="24"/>
              </w:rPr>
              <w:t>培训计划基本能够达到项目需求得1分；</w:t>
            </w:r>
          </w:p>
          <w:p>
            <w:pPr>
              <w:spacing w:line="400" w:lineRule="exact"/>
              <w:rPr>
                <w:rFonts w:hint="eastAsia" w:ascii="宋体" w:hAnsi="宋体"/>
                <w:szCs w:val="24"/>
              </w:rPr>
            </w:pPr>
            <w:r>
              <w:rPr>
                <w:rFonts w:hint="eastAsia" w:ascii="宋体" w:hAnsi="宋体"/>
                <w:szCs w:val="24"/>
              </w:rPr>
              <w:t>培训计划针对性不强得0.5分；</w:t>
            </w:r>
          </w:p>
          <w:p>
            <w:pPr>
              <w:spacing w:line="400" w:lineRule="exact"/>
              <w:rPr>
                <w:rFonts w:hint="eastAsia" w:asciiTheme="minorEastAsia" w:hAnsiTheme="minorEastAsia" w:eastAsiaTheme="minorEastAsia" w:cstheme="minorEastAsia"/>
              </w:rPr>
            </w:pPr>
            <w:r>
              <w:rPr>
                <w:rFonts w:hint="eastAsia" w:ascii="宋体" w:hAnsi="宋体"/>
                <w:szCs w:val="24"/>
              </w:rPr>
              <w:t>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760" w:type="dxa"/>
            <w:noWrap/>
            <w:vAlign w:val="center"/>
          </w:tcPr>
          <w:p>
            <w:pPr>
              <w:widowControl/>
              <w:jc w:val="center"/>
              <w:rPr>
                <w:rFonts w:hint="eastAsia" w:asciiTheme="minorEastAsia" w:hAnsiTheme="minorEastAsia" w:eastAsiaTheme="minorEastAsia" w:cstheme="minorEastAsia"/>
              </w:rPr>
            </w:pPr>
          </w:p>
        </w:tc>
        <w:tc>
          <w:tcPr>
            <w:tcW w:w="1064" w:type="dxa"/>
            <w:gridSpan w:val="2"/>
            <w:noWrap/>
            <w:vAlign w:val="center"/>
          </w:tcPr>
          <w:p>
            <w:pPr>
              <w:spacing w:line="360" w:lineRule="auto"/>
              <w:jc w:val="center"/>
              <w:rPr>
                <w:rFonts w:hint="eastAsia" w:asciiTheme="minorEastAsia" w:hAnsiTheme="minorEastAsia" w:eastAsiaTheme="minorEastAsia" w:cstheme="minorEastAsia"/>
              </w:rPr>
            </w:pPr>
          </w:p>
        </w:tc>
        <w:tc>
          <w:tcPr>
            <w:tcW w:w="1366" w:type="dxa"/>
            <w:noWrap/>
          </w:tcPr>
          <w:p>
            <w:pPr>
              <w:jc w:val="center"/>
            </w:pPr>
            <w:r>
              <w:rPr>
                <w:rFonts w:hint="eastAsia"/>
              </w:rPr>
              <w:t>供货及安 装调试、验 收方案</w:t>
            </w:r>
          </w:p>
          <w:p>
            <w:pPr>
              <w:jc w:val="center"/>
              <w:rPr>
                <w:rFonts w:hint="eastAsia"/>
              </w:rPr>
            </w:pPr>
            <w:r>
              <w:rPr>
                <w:rFonts w:hint="eastAsia"/>
              </w:rPr>
              <w:t>(5分)</w:t>
            </w:r>
          </w:p>
        </w:tc>
        <w:tc>
          <w:tcPr>
            <w:tcW w:w="6368" w:type="dxa"/>
            <w:noWrap/>
            <w:vAlign w:val="center"/>
          </w:tcPr>
          <w:p>
            <w:pPr>
              <w:spacing w:line="400" w:lineRule="exact"/>
              <w:rPr>
                <w:rFonts w:hint="eastAsia" w:ascii="宋体" w:hAnsi="宋体"/>
                <w:szCs w:val="24"/>
              </w:rPr>
            </w:pPr>
            <w:r>
              <w:rPr>
                <w:rFonts w:hint="eastAsia" w:ascii="宋体" w:hAnsi="宋体"/>
                <w:szCs w:val="24"/>
              </w:rPr>
              <w:t>根据供应商所提供的供货及安装调试、验收方案（包括但不限于设备的包装、运输及装卸，现场安装调试计划安排、应急措施，验收标准及计划安排等）进行综合评审，方案完整全面、流程清晰、计划安排合理，保障措施得当的得 5 分；方案内容每存在一处不详尽、不合理、不具有针对性、缺项的扣减 1 分，扣完为止未提供方案的不得分。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760" w:type="dxa"/>
            <w:noWrap/>
            <w:vAlign w:val="center"/>
          </w:tcPr>
          <w:p>
            <w:pPr>
              <w:widowControl/>
              <w:jc w:val="center"/>
              <w:rPr>
                <w:rFonts w:hint="eastAsia" w:asciiTheme="minorEastAsia" w:hAnsiTheme="minorEastAsia" w:eastAsiaTheme="minorEastAsia" w:cstheme="minorEastAsia"/>
              </w:rPr>
            </w:pPr>
          </w:p>
        </w:tc>
        <w:tc>
          <w:tcPr>
            <w:tcW w:w="1064" w:type="dxa"/>
            <w:gridSpan w:val="2"/>
            <w:noWrap/>
            <w:vAlign w:val="center"/>
          </w:tcPr>
          <w:p>
            <w:pPr>
              <w:spacing w:line="360" w:lineRule="auto"/>
              <w:jc w:val="center"/>
              <w:rPr>
                <w:rFonts w:hint="eastAsia" w:asciiTheme="minorEastAsia" w:hAnsiTheme="minorEastAsia" w:eastAsiaTheme="minorEastAsia" w:cstheme="minorEastAsia"/>
              </w:rPr>
            </w:pPr>
          </w:p>
        </w:tc>
        <w:tc>
          <w:tcPr>
            <w:tcW w:w="1366" w:type="dxa"/>
            <w:noWrap/>
          </w:tcPr>
          <w:p>
            <w:pPr>
              <w:jc w:val="center"/>
            </w:pPr>
            <w:r>
              <w:rPr>
                <w:rFonts w:hint="eastAsia"/>
              </w:rPr>
              <w:t>培训方案</w:t>
            </w:r>
          </w:p>
          <w:p>
            <w:pPr>
              <w:jc w:val="center"/>
              <w:rPr>
                <w:rFonts w:hint="eastAsia"/>
              </w:rPr>
            </w:pPr>
            <w:r>
              <w:rPr>
                <w:rFonts w:hint="eastAsia"/>
              </w:rPr>
              <w:t>（5分）</w:t>
            </w:r>
          </w:p>
        </w:tc>
        <w:tc>
          <w:tcPr>
            <w:tcW w:w="6368" w:type="dxa"/>
            <w:noWrap/>
            <w:vAlign w:val="center"/>
          </w:tcPr>
          <w:p>
            <w:pPr>
              <w:spacing w:line="400" w:lineRule="exact"/>
              <w:rPr>
                <w:rFonts w:hint="eastAsia" w:ascii="宋体" w:hAnsi="宋体"/>
                <w:szCs w:val="24"/>
              </w:rPr>
            </w:pPr>
            <w:r>
              <w:rPr>
                <w:rFonts w:hint="eastAsia" w:ascii="宋体" w:hAnsi="宋体"/>
                <w:szCs w:val="24"/>
              </w:rPr>
              <w:t>根据供应商所提供的培训方案内容（包括但不限于时间安排、培训内容、培训资料、培训方式、培训人员资历等）进行评审：方案内容系统完善详尽，具有针对性，拟派人员经验丰富的得 5 分；方案内容较为简单，不够有针对性，拟派人员资历较低的得 3 分；方案内容不够具体完整，拟派人员资历一般的得 1 分，未提供培训方案的不得分。</w:t>
            </w:r>
          </w:p>
        </w:tc>
      </w:tr>
    </w:tbl>
    <w:p>
      <w:pPr>
        <w:pStyle w:val="4"/>
        <w:numPr>
          <w:ilvl w:val="1"/>
          <w:numId w:val="42"/>
        </w:numPr>
        <w:tabs>
          <w:tab w:val="left" w:pos="284"/>
          <w:tab w:val="clear" w:pos="840"/>
        </w:tabs>
        <w:spacing w:before="0" w:after="0" w:line="430" w:lineRule="exact"/>
        <w:ind w:left="-4" w:leftChars="-2" w:firstLine="2" w:firstLineChars="1"/>
        <w:jc w:val="both"/>
        <w:rPr>
          <w:rFonts w:hint="eastAsia" w:ascii="宋体" w:hAnsi="宋体" w:eastAsia="宋体" w:cs="宋体"/>
          <w:sz w:val="21"/>
          <w:szCs w:val="21"/>
        </w:rPr>
      </w:pPr>
      <w:bookmarkStart w:id="117" w:name="_Toc12804"/>
      <w:bookmarkStart w:id="118" w:name="_Toc11380"/>
      <w:bookmarkStart w:id="119" w:name="_Toc454971892"/>
      <w:bookmarkStart w:id="120" w:name="_Toc501552504"/>
      <w:bookmarkStart w:id="121" w:name="_Toc28655"/>
      <w:bookmarkStart w:id="122" w:name="_Toc14429"/>
      <w:r>
        <w:rPr>
          <w:rFonts w:hint="eastAsia" w:ascii="宋体" w:hAnsi="宋体" w:eastAsia="宋体" w:cs="宋体"/>
          <w:sz w:val="21"/>
          <w:szCs w:val="21"/>
        </w:rPr>
        <w:t>评审方法</w:t>
      </w:r>
      <w:bookmarkEnd w:id="117"/>
      <w:bookmarkEnd w:id="118"/>
      <w:bookmarkEnd w:id="119"/>
      <w:bookmarkEnd w:id="120"/>
      <w:bookmarkEnd w:id="121"/>
      <w:bookmarkEnd w:id="122"/>
    </w:p>
    <w:p>
      <w:pPr>
        <w:spacing w:line="430" w:lineRule="exact"/>
        <w:ind w:firstLine="420" w:firstLineChars="200"/>
        <w:rPr>
          <w:rFonts w:hint="eastAsia" w:ascii="宋体" w:hAnsi="宋体" w:cs="宋体"/>
        </w:rPr>
      </w:pPr>
      <w:r>
        <w:rPr>
          <w:rFonts w:hint="eastAsia" w:ascii="宋体" w:hAnsi="宋体" w:cs="宋体"/>
        </w:rPr>
        <w:t>本项目评标办法采用综合评分法，评标结果按评审后得分由高到低顺序排列。得分相同的，按投标报价由低到高顺序排列。得分与投标报价均相同的，按技术指标优劣排列。</w:t>
      </w:r>
    </w:p>
    <w:p>
      <w:pPr>
        <w:pStyle w:val="4"/>
        <w:numPr>
          <w:ilvl w:val="1"/>
          <w:numId w:val="42"/>
        </w:numPr>
        <w:tabs>
          <w:tab w:val="left" w:pos="284"/>
          <w:tab w:val="clear" w:pos="840"/>
        </w:tabs>
        <w:spacing w:before="0" w:after="0" w:line="430" w:lineRule="exact"/>
        <w:ind w:left="-4" w:leftChars="-2" w:firstLine="2" w:firstLineChars="1"/>
        <w:jc w:val="both"/>
        <w:rPr>
          <w:rFonts w:hint="eastAsia" w:ascii="宋体" w:hAnsi="宋体" w:eastAsia="宋体" w:cs="宋体"/>
          <w:sz w:val="21"/>
          <w:szCs w:val="21"/>
        </w:rPr>
      </w:pPr>
      <w:bookmarkStart w:id="123" w:name="_Toc152045604"/>
      <w:bookmarkEnd w:id="123"/>
      <w:bookmarkStart w:id="124" w:name="_Toc414112655"/>
      <w:bookmarkEnd w:id="124"/>
      <w:bookmarkStart w:id="125" w:name="_Toc414277167"/>
      <w:bookmarkEnd w:id="125"/>
      <w:bookmarkStart w:id="126" w:name="_Toc152042381"/>
      <w:bookmarkEnd w:id="126"/>
      <w:bookmarkStart w:id="127" w:name="_Toc144974571"/>
      <w:bookmarkEnd w:id="127"/>
      <w:bookmarkStart w:id="128" w:name="_Toc501552505"/>
      <w:bookmarkStart w:id="129" w:name="_Toc19671"/>
      <w:bookmarkStart w:id="130" w:name="_Toc23579"/>
      <w:bookmarkStart w:id="131" w:name="_Toc26376"/>
      <w:bookmarkStart w:id="132" w:name="_Toc14663"/>
      <w:r>
        <w:rPr>
          <w:rFonts w:hint="eastAsia" w:ascii="宋体" w:hAnsi="宋体" w:eastAsia="宋体" w:cs="宋体"/>
          <w:sz w:val="21"/>
          <w:szCs w:val="21"/>
        </w:rPr>
        <w:t>评审程序</w:t>
      </w:r>
      <w:bookmarkEnd w:id="128"/>
      <w:bookmarkEnd w:id="129"/>
      <w:bookmarkEnd w:id="130"/>
      <w:bookmarkEnd w:id="131"/>
      <w:bookmarkEnd w:id="132"/>
    </w:p>
    <w:p>
      <w:pPr>
        <w:spacing w:line="430" w:lineRule="exact"/>
        <w:ind w:firstLine="283" w:firstLineChars="135"/>
        <w:rPr>
          <w:rFonts w:hint="eastAsia" w:ascii="宋体" w:hAnsi="宋体" w:cs="宋体"/>
        </w:rPr>
      </w:pPr>
      <w:r>
        <w:rPr>
          <w:rFonts w:hint="eastAsia" w:ascii="宋体" w:hAnsi="宋体" w:cs="宋体"/>
        </w:rPr>
        <w:t>2.1评审工作按以下程序进行：</w:t>
      </w:r>
    </w:p>
    <w:p>
      <w:pPr>
        <w:spacing w:line="430" w:lineRule="exact"/>
        <w:ind w:firstLine="420" w:firstLineChars="200"/>
        <w:rPr>
          <w:rFonts w:hint="eastAsia" w:ascii="宋体" w:hAnsi="宋体" w:cs="宋体"/>
        </w:rPr>
      </w:pPr>
      <w:r>
        <w:rPr>
          <w:rFonts w:hint="eastAsia" w:ascii="宋体" w:hAnsi="宋体" w:cs="宋体"/>
        </w:rPr>
        <w:t>（1）投标文件初审；</w:t>
      </w:r>
    </w:p>
    <w:p>
      <w:pPr>
        <w:spacing w:line="430" w:lineRule="exact"/>
        <w:ind w:firstLine="420" w:firstLineChars="200"/>
        <w:rPr>
          <w:rFonts w:hint="eastAsia" w:ascii="宋体" w:hAnsi="宋体" w:cs="宋体"/>
        </w:rPr>
      </w:pPr>
      <w:r>
        <w:rPr>
          <w:rFonts w:hint="eastAsia" w:ascii="宋体" w:hAnsi="宋体" w:cs="宋体"/>
        </w:rPr>
        <w:t>（2）澄清有关问题；</w:t>
      </w:r>
    </w:p>
    <w:p>
      <w:pPr>
        <w:spacing w:line="430" w:lineRule="exact"/>
        <w:ind w:firstLine="420" w:firstLineChars="200"/>
        <w:rPr>
          <w:rFonts w:hint="eastAsia" w:ascii="宋体" w:hAnsi="宋体" w:cs="宋体"/>
        </w:rPr>
      </w:pPr>
      <w:r>
        <w:rPr>
          <w:rFonts w:hint="eastAsia" w:ascii="宋体" w:hAnsi="宋体" w:cs="宋体"/>
        </w:rPr>
        <w:t>（3）比较与评价；</w:t>
      </w:r>
    </w:p>
    <w:p>
      <w:pPr>
        <w:spacing w:line="430" w:lineRule="exact"/>
        <w:ind w:firstLine="420" w:firstLineChars="200"/>
        <w:rPr>
          <w:rFonts w:hint="eastAsia" w:ascii="宋体" w:hAnsi="宋体" w:cs="宋体"/>
        </w:rPr>
      </w:pPr>
      <w:r>
        <w:rPr>
          <w:rFonts w:hint="eastAsia" w:ascii="宋体" w:hAnsi="宋体" w:cs="宋体"/>
        </w:rPr>
        <w:t>（4）推荐中标候选人名单。</w:t>
      </w:r>
    </w:p>
    <w:p>
      <w:pPr>
        <w:spacing w:line="430" w:lineRule="exact"/>
        <w:ind w:firstLine="283" w:firstLineChars="135"/>
        <w:rPr>
          <w:rFonts w:hint="eastAsia" w:ascii="宋体" w:hAnsi="宋体" w:cs="宋体"/>
        </w:rPr>
      </w:pPr>
      <w:r>
        <w:rPr>
          <w:rFonts w:hint="eastAsia" w:ascii="宋体" w:hAnsi="宋体" w:cs="宋体"/>
        </w:rPr>
        <w:t>2.2 评审小组按照上述程序审查投标人的投标文件，评审程序中的前一项程序未通过的投标文件不再进入下一程序的评审。</w:t>
      </w:r>
    </w:p>
    <w:p>
      <w:pPr>
        <w:pStyle w:val="4"/>
        <w:numPr>
          <w:ilvl w:val="1"/>
          <w:numId w:val="42"/>
        </w:numPr>
        <w:tabs>
          <w:tab w:val="left" w:pos="284"/>
          <w:tab w:val="clear" w:pos="840"/>
        </w:tabs>
        <w:spacing w:before="0" w:after="0" w:line="430" w:lineRule="exact"/>
        <w:ind w:left="-4" w:leftChars="-2" w:firstLine="2" w:firstLineChars="1"/>
        <w:jc w:val="both"/>
        <w:rPr>
          <w:rFonts w:hint="eastAsia" w:ascii="宋体" w:hAnsi="宋体" w:eastAsia="宋体" w:cs="宋体"/>
          <w:sz w:val="21"/>
          <w:szCs w:val="21"/>
        </w:rPr>
      </w:pPr>
      <w:bookmarkStart w:id="133" w:name="_Toc144974568"/>
      <w:bookmarkEnd w:id="133"/>
      <w:bookmarkStart w:id="134" w:name="_Toc414277164"/>
      <w:bookmarkEnd w:id="134"/>
      <w:bookmarkStart w:id="135" w:name="_Toc152042378"/>
      <w:bookmarkEnd w:id="135"/>
      <w:bookmarkStart w:id="136" w:name="_Toc414112652"/>
      <w:bookmarkEnd w:id="136"/>
      <w:bookmarkStart w:id="137" w:name="_Toc152045601"/>
      <w:bookmarkEnd w:id="137"/>
      <w:bookmarkStart w:id="138" w:name="_Toc11334"/>
      <w:bookmarkStart w:id="139" w:name="_Toc501552506"/>
      <w:bookmarkStart w:id="140" w:name="_Toc19902"/>
      <w:bookmarkStart w:id="141" w:name="_Toc28341"/>
      <w:bookmarkStart w:id="142" w:name="_Toc30594"/>
      <w:r>
        <w:rPr>
          <w:rFonts w:hint="eastAsia" w:ascii="宋体" w:hAnsi="宋体" w:eastAsia="宋体" w:cs="宋体"/>
          <w:sz w:val="21"/>
          <w:szCs w:val="21"/>
        </w:rPr>
        <w:t>投标文件初审</w:t>
      </w:r>
      <w:bookmarkEnd w:id="138"/>
      <w:bookmarkEnd w:id="139"/>
      <w:bookmarkEnd w:id="140"/>
      <w:bookmarkEnd w:id="141"/>
      <w:bookmarkEnd w:id="142"/>
    </w:p>
    <w:p>
      <w:pPr>
        <w:spacing w:line="430" w:lineRule="exact"/>
        <w:ind w:firstLine="420" w:firstLineChars="200"/>
        <w:rPr>
          <w:rFonts w:hint="eastAsia" w:ascii="宋体" w:hAnsi="宋体" w:cs="宋体"/>
        </w:rPr>
      </w:pPr>
      <w:r>
        <w:rPr>
          <w:rFonts w:hint="eastAsia" w:ascii="宋体" w:hAnsi="宋体" w:cs="宋体"/>
        </w:rPr>
        <w:t>投标文件的初审分为资格性检查和符合性检查。</w:t>
      </w:r>
    </w:p>
    <w:p>
      <w:pPr>
        <w:spacing w:line="430" w:lineRule="exact"/>
        <w:ind w:firstLine="422" w:firstLineChars="200"/>
        <w:rPr>
          <w:rFonts w:hint="eastAsia" w:ascii="宋体" w:hAnsi="宋体" w:cs="宋体"/>
          <w:b/>
          <w:bCs/>
        </w:rPr>
      </w:pPr>
      <w:r>
        <w:rPr>
          <w:rFonts w:hint="eastAsia" w:ascii="宋体" w:hAnsi="宋体" w:cs="宋体"/>
          <w:b/>
          <w:bCs/>
        </w:rPr>
        <w:t>依据《政府采购货物和服务招标投标管理办法》(财政部令87号)四十四条“公开招标采购项目开标结束后，采购人或者采购代理机构应当依法对投标人的资格进行审查。”</w:t>
      </w:r>
    </w:p>
    <w:p>
      <w:pPr>
        <w:spacing w:line="430" w:lineRule="exact"/>
        <w:ind w:firstLine="283" w:firstLineChars="135"/>
        <w:rPr>
          <w:rFonts w:hint="eastAsia" w:ascii="宋体" w:hAnsi="宋体" w:cs="宋体"/>
        </w:rPr>
      </w:pPr>
      <w:r>
        <w:rPr>
          <w:rFonts w:hint="eastAsia" w:ascii="宋体" w:hAnsi="宋体" w:cs="宋体"/>
        </w:rPr>
        <w:t>3.1资格性检查</w:t>
      </w:r>
    </w:p>
    <w:p>
      <w:pPr>
        <w:spacing w:line="430" w:lineRule="exact"/>
        <w:ind w:firstLine="424" w:firstLineChars="202"/>
        <w:rPr>
          <w:rFonts w:hint="eastAsia" w:ascii="宋体" w:hAnsi="宋体" w:cs="宋体"/>
        </w:rPr>
      </w:pPr>
      <w:r>
        <w:rPr>
          <w:rFonts w:hint="eastAsia" w:ascii="宋体" w:hAnsi="宋体" w:cs="宋体"/>
        </w:rPr>
        <w:t>3.1.1依据法律法规和招标文件的规定，对投标文件中的资格证明等进行审查，以确定投标人是否具备投标资格。资格性检查评审标准：见评标方法前附表。</w:t>
      </w:r>
    </w:p>
    <w:p>
      <w:pPr>
        <w:spacing w:line="430" w:lineRule="exact"/>
        <w:ind w:firstLine="424" w:firstLineChars="202"/>
        <w:rPr>
          <w:rFonts w:hint="eastAsia" w:ascii="宋体" w:hAnsi="宋体" w:cs="宋体"/>
        </w:rPr>
      </w:pPr>
      <w:r>
        <w:rPr>
          <w:rFonts w:hint="eastAsia" w:ascii="宋体" w:hAnsi="宋体" w:cs="宋体"/>
        </w:rPr>
        <w:t>3.1.2经资格性审查后合格投标人不足3家的，不得评标。</w:t>
      </w:r>
    </w:p>
    <w:p>
      <w:pPr>
        <w:spacing w:line="430" w:lineRule="exact"/>
        <w:ind w:firstLine="283" w:firstLineChars="135"/>
        <w:rPr>
          <w:rFonts w:hint="eastAsia" w:ascii="宋体" w:hAnsi="宋体" w:cs="宋体"/>
        </w:rPr>
      </w:pPr>
      <w:r>
        <w:rPr>
          <w:rFonts w:hint="eastAsia" w:ascii="宋体" w:hAnsi="宋体" w:cs="宋体"/>
        </w:rPr>
        <w:t>3.2形式性及符合性检查</w:t>
      </w:r>
    </w:p>
    <w:p>
      <w:pPr>
        <w:spacing w:line="430" w:lineRule="exact"/>
        <w:ind w:firstLine="424" w:firstLineChars="202"/>
        <w:rPr>
          <w:rFonts w:hint="eastAsia" w:ascii="宋体" w:hAnsi="宋体" w:cs="宋体"/>
        </w:rPr>
      </w:pPr>
      <w:r>
        <w:rPr>
          <w:rFonts w:hint="eastAsia" w:ascii="宋体" w:hAnsi="宋体" w:cs="宋体"/>
        </w:rPr>
        <w:t>依据招标文件的规定，从投标文件的有效性、完整性和对招标文件的响应程度进行审查，以确定是否对招标文件的实质性要求作出响应。形式性评审及符合性评审标准：见评标方法前附表。</w:t>
      </w:r>
    </w:p>
    <w:p>
      <w:pPr>
        <w:pStyle w:val="4"/>
        <w:numPr>
          <w:ilvl w:val="1"/>
          <w:numId w:val="42"/>
        </w:numPr>
        <w:tabs>
          <w:tab w:val="left" w:pos="284"/>
          <w:tab w:val="clear" w:pos="840"/>
        </w:tabs>
        <w:spacing w:before="0" w:after="0" w:line="430" w:lineRule="exact"/>
        <w:ind w:left="-4" w:leftChars="-2" w:firstLine="2" w:firstLineChars="1"/>
        <w:jc w:val="both"/>
        <w:rPr>
          <w:rFonts w:hint="eastAsia" w:ascii="宋体" w:hAnsi="宋体" w:eastAsia="宋体" w:cs="宋体"/>
          <w:sz w:val="21"/>
          <w:szCs w:val="21"/>
        </w:rPr>
      </w:pPr>
      <w:bookmarkStart w:id="143" w:name="_Toc144974573"/>
      <w:bookmarkEnd w:id="143"/>
      <w:bookmarkStart w:id="144" w:name="_Toc152045606"/>
      <w:bookmarkEnd w:id="144"/>
      <w:bookmarkStart w:id="145" w:name="_Toc152042384"/>
      <w:bookmarkEnd w:id="145"/>
      <w:bookmarkStart w:id="146" w:name="_Toc414112658"/>
      <w:bookmarkEnd w:id="146"/>
      <w:bookmarkStart w:id="147" w:name="_Toc152045607"/>
      <w:bookmarkEnd w:id="147"/>
      <w:bookmarkStart w:id="148" w:name="_Toc454971895"/>
      <w:bookmarkEnd w:id="148"/>
      <w:bookmarkStart w:id="149" w:name="_Toc152042385"/>
      <w:bookmarkEnd w:id="149"/>
      <w:bookmarkStart w:id="150" w:name="_Toc414277170"/>
      <w:bookmarkEnd w:id="150"/>
      <w:bookmarkStart w:id="151" w:name="_Toc144974575"/>
      <w:bookmarkEnd w:id="151"/>
      <w:bookmarkStart w:id="152" w:name="_Toc414112657"/>
      <w:bookmarkEnd w:id="152"/>
      <w:bookmarkStart w:id="153" w:name="_Toc893"/>
      <w:bookmarkStart w:id="154" w:name="_Toc7047"/>
      <w:bookmarkStart w:id="155" w:name="_Toc414277169"/>
      <w:bookmarkStart w:id="156" w:name="_Toc2504"/>
      <w:bookmarkStart w:id="157" w:name="_Toc23987"/>
      <w:bookmarkStart w:id="158" w:name="_Toc501552507"/>
      <w:r>
        <w:rPr>
          <w:rFonts w:hint="eastAsia" w:ascii="宋体" w:hAnsi="宋体" w:eastAsia="宋体" w:cs="宋体"/>
          <w:sz w:val="21"/>
          <w:szCs w:val="21"/>
        </w:rPr>
        <w:t>澄清有关问题</w:t>
      </w:r>
      <w:bookmarkEnd w:id="153"/>
      <w:bookmarkEnd w:id="154"/>
      <w:bookmarkEnd w:id="155"/>
      <w:bookmarkEnd w:id="156"/>
      <w:bookmarkEnd w:id="157"/>
      <w:bookmarkEnd w:id="158"/>
    </w:p>
    <w:p>
      <w:pPr>
        <w:spacing w:line="430" w:lineRule="exact"/>
        <w:ind w:firstLine="283" w:firstLineChars="135"/>
        <w:rPr>
          <w:rFonts w:hint="eastAsia" w:ascii="宋体" w:hAnsi="宋体" w:cs="宋体"/>
        </w:rPr>
      </w:pPr>
      <w:r>
        <w:rPr>
          <w:rFonts w:hint="eastAsia" w:ascii="宋体" w:hAnsi="宋体" w:cs="宋体"/>
        </w:rPr>
        <w:t>4.1对于投标文件中含义不明确、同类问题表述不一致或者有明显文字和计算错误的内容，评标委员会应当以书面形式要求投标人作出必要的澄清、说明或者补正。</w:t>
      </w:r>
    </w:p>
    <w:p>
      <w:pPr>
        <w:spacing w:line="420" w:lineRule="exact"/>
        <w:ind w:firstLine="283" w:firstLineChars="135"/>
        <w:rPr>
          <w:rFonts w:hint="eastAsia" w:ascii="宋体" w:hAnsi="宋体" w:cs="宋体"/>
        </w:rPr>
      </w:pPr>
      <w:r>
        <w:rPr>
          <w:rFonts w:hint="eastAsia" w:ascii="宋体" w:hAnsi="宋体" w:cs="宋体"/>
        </w:rPr>
        <w:t>4.2投标人的澄清、说明或者补正应当采用书面形式，并加盖公章，或者由法定代表人或其授权的代表签字。投标人的澄清、说明或者补正不得超出投标文件的范围或者改变投标文件的实质性内容。</w:t>
      </w:r>
    </w:p>
    <w:p>
      <w:pPr>
        <w:pStyle w:val="4"/>
        <w:numPr>
          <w:ilvl w:val="1"/>
          <w:numId w:val="42"/>
        </w:numPr>
        <w:tabs>
          <w:tab w:val="left" w:pos="284"/>
          <w:tab w:val="clear" w:pos="840"/>
        </w:tabs>
        <w:spacing w:before="0" w:after="0" w:line="420" w:lineRule="exact"/>
        <w:ind w:left="-4" w:leftChars="-2" w:firstLine="2" w:firstLineChars="1"/>
        <w:jc w:val="both"/>
        <w:rPr>
          <w:rFonts w:hint="eastAsia" w:ascii="宋体" w:hAnsi="宋体" w:eastAsia="宋体" w:cs="宋体"/>
          <w:sz w:val="21"/>
          <w:szCs w:val="21"/>
        </w:rPr>
      </w:pPr>
      <w:bookmarkStart w:id="159" w:name="_Toc454971896"/>
      <w:bookmarkEnd w:id="159"/>
      <w:bookmarkStart w:id="160" w:name="_Toc14524"/>
      <w:bookmarkStart w:id="161" w:name="_Toc23804"/>
      <w:bookmarkStart w:id="162" w:name="_Toc22736"/>
      <w:bookmarkStart w:id="163" w:name="_Toc501552508"/>
      <w:bookmarkStart w:id="164" w:name="_Toc20504"/>
      <w:r>
        <w:rPr>
          <w:rFonts w:hint="eastAsia" w:ascii="宋体" w:hAnsi="宋体" w:eastAsia="宋体" w:cs="宋体"/>
          <w:sz w:val="21"/>
          <w:szCs w:val="21"/>
        </w:rPr>
        <w:t>比较与评价</w:t>
      </w:r>
      <w:bookmarkEnd w:id="160"/>
      <w:bookmarkEnd w:id="161"/>
      <w:bookmarkEnd w:id="162"/>
      <w:bookmarkEnd w:id="163"/>
      <w:bookmarkEnd w:id="164"/>
    </w:p>
    <w:p>
      <w:pPr>
        <w:spacing w:line="420" w:lineRule="exact"/>
        <w:ind w:firstLine="283" w:firstLineChars="135"/>
        <w:rPr>
          <w:rFonts w:hint="eastAsia" w:ascii="宋体" w:hAnsi="宋体" w:cs="宋体"/>
        </w:rPr>
      </w:pPr>
      <w:r>
        <w:rPr>
          <w:rFonts w:hint="eastAsia" w:ascii="宋体" w:hAnsi="宋体" w:cs="宋体"/>
        </w:rPr>
        <w:t>5.1投标文件报价出现前后不一致的，除招标文件另有规定外，按照下列规定修正：</w:t>
      </w:r>
    </w:p>
    <w:p>
      <w:pPr>
        <w:spacing w:line="420" w:lineRule="exact"/>
        <w:ind w:firstLine="140" w:firstLineChars="67"/>
        <w:rPr>
          <w:rFonts w:hint="eastAsia" w:ascii="宋体" w:hAnsi="宋体" w:cs="宋体"/>
        </w:rPr>
      </w:pPr>
      <w:r>
        <w:rPr>
          <w:rFonts w:hint="eastAsia" w:ascii="宋体" w:hAnsi="宋体" w:cs="宋体"/>
        </w:rPr>
        <w:t>（一）投标文件中开标一览表（报价表）内容与投标文件中相应内容不一致的，以开标一览表（报价表）为准；</w:t>
      </w:r>
    </w:p>
    <w:p>
      <w:pPr>
        <w:spacing w:line="420" w:lineRule="exact"/>
        <w:ind w:firstLine="140" w:firstLineChars="67"/>
        <w:rPr>
          <w:rFonts w:hint="eastAsia" w:ascii="宋体" w:hAnsi="宋体" w:cs="宋体"/>
        </w:rPr>
      </w:pPr>
      <w:r>
        <w:rPr>
          <w:rFonts w:hint="eastAsia" w:ascii="宋体" w:hAnsi="宋体" w:cs="宋体"/>
        </w:rPr>
        <w:t>（二）大写金额和小写金额不一致的，以大写金额为准；</w:t>
      </w:r>
    </w:p>
    <w:p>
      <w:pPr>
        <w:spacing w:line="420" w:lineRule="exact"/>
        <w:ind w:firstLine="283" w:firstLineChars="135"/>
        <w:rPr>
          <w:rFonts w:hint="eastAsia" w:ascii="宋体" w:hAnsi="宋体" w:cs="宋体"/>
        </w:rPr>
      </w:pPr>
      <w:r>
        <w:rPr>
          <w:rFonts w:hint="eastAsia" w:ascii="宋体" w:hAnsi="宋体" w:cs="宋体"/>
        </w:rPr>
        <w:t>5.2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spacing w:line="420" w:lineRule="exact"/>
        <w:ind w:firstLine="283" w:firstLineChars="135"/>
        <w:rPr>
          <w:rFonts w:hint="eastAsia" w:ascii="宋体" w:hAnsi="宋体" w:cs="宋体"/>
        </w:rPr>
      </w:pPr>
      <w:r>
        <w:rPr>
          <w:rFonts w:hint="eastAsia" w:ascii="宋体" w:hAnsi="宋体" w:cs="宋体"/>
        </w:rPr>
        <w:t>5.3按招标文件中规定的评标方法和标准，对资格性检查和符合性检查合格的投标文件进行详细评审，详细评审评审标准：见评审方法前附表。</w:t>
      </w:r>
    </w:p>
    <w:p>
      <w:pPr>
        <w:spacing w:line="420" w:lineRule="exact"/>
        <w:ind w:firstLine="283" w:firstLineChars="135"/>
        <w:rPr>
          <w:rFonts w:hint="eastAsia" w:ascii="宋体" w:hAnsi="宋体" w:cs="宋体"/>
        </w:rPr>
      </w:pPr>
      <w:r>
        <w:rPr>
          <w:rFonts w:hint="eastAsia" w:ascii="宋体" w:hAnsi="宋体" w:cs="宋体"/>
        </w:rPr>
        <w:t>5.4 评标委员会按规定的量化指标和分值进行打分，并计算出综合评审得分。</w:t>
      </w:r>
    </w:p>
    <w:p>
      <w:pPr>
        <w:spacing w:line="420" w:lineRule="exact"/>
        <w:ind w:firstLine="283" w:firstLineChars="135"/>
        <w:rPr>
          <w:rFonts w:hint="eastAsia" w:ascii="宋体" w:hAnsi="宋体" w:cs="宋体"/>
        </w:rPr>
      </w:pPr>
      <w:r>
        <w:rPr>
          <w:rFonts w:hint="eastAsia" w:ascii="宋体" w:hAnsi="宋体" w:cs="宋体"/>
        </w:rPr>
        <w:t>5.5 汇总全体评审小组对各投标人的打分并计算算术平均值，即投标人的最终评审得分；</w:t>
      </w:r>
    </w:p>
    <w:p>
      <w:pPr>
        <w:spacing w:line="420" w:lineRule="exact"/>
        <w:ind w:firstLine="283" w:firstLineChars="135"/>
        <w:rPr>
          <w:rFonts w:hint="eastAsia" w:ascii="宋体" w:hAnsi="宋体" w:cs="宋体"/>
        </w:rPr>
      </w:pPr>
      <w:r>
        <w:rPr>
          <w:rFonts w:hint="eastAsia" w:ascii="宋体" w:hAnsi="宋体" w:cs="宋体"/>
        </w:rPr>
        <w:t>5.6 评分分值计算保留小数点后两位，小数点后第三位“四舍五入”。</w:t>
      </w:r>
    </w:p>
    <w:p>
      <w:pPr>
        <w:pStyle w:val="4"/>
        <w:numPr>
          <w:ilvl w:val="1"/>
          <w:numId w:val="42"/>
        </w:numPr>
        <w:tabs>
          <w:tab w:val="left" w:pos="284"/>
          <w:tab w:val="clear" w:pos="840"/>
        </w:tabs>
        <w:spacing w:before="0" w:after="0" w:line="420" w:lineRule="exact"/>
        <w:ind w:left="-4" w:leftChars="-2" w:firstLine="2" w:firstLineChars="1"/>
        <w:jc w:val="both"/>
        <w:rPr>
          <w:rFonts w:hint="eastAsia" w:ascii="宋体" w:hAnsi="宋体" w:eastAsia="宋体" w:cs="宋体"/>
          <w:sz w:val="21"/>
          <w:szCs w:val="21"/>
        </w:rPr>
      </w:pPr>
      <w:bookmarkStart w:id="165" w:name="_Toc414277171"/>
      <w:bookmarkEnd w:id="165"/>
      <w:bookmarkStart w:id="166" w:name="_Toc152045608"/>
      <w:bookmarkEnd w:id="166"/>
      <w:bookmarkStart w:id="167" w:name="_Toc152042386"/>
      <w:bookmarkEnd w:id="167"/>
      <w:bookmarkStart w:id="168" w:name="_Toc414112659"/>
      <w:bookmarkEnd w:id="168"/>
      <w:bookmarkStart w:id="169" w:name="_Toc144974576"/>
      <w:bookmarkEnd w:id="169"/>
      <w:bookmarkStart w:id="170" w:name="_Toc20540"/>
      <w:bookmarkStart w:id="171" w:name="_Toc1660"/>
      <w:bookmarkStart w:id="172" w:name="_Toc5411"/>
      <w:bookmarkStart w:id="173" w:name="_Toc25626"/>
      <w:bookmarkStart w:id="174" w:name="_Toc501552509"/>
      <w:r>
        <w:rPr>
          <w:rFonts w:hint="eastAsia" w:ascii="宋体" w:hAnsi="宋体" w:eastAsia="宋体" w:cs="宋体"/>
          <w:sz w:val="21"/>
          <w:szCs w:val="21"/>
        </w:rPr>
        <w:t>评审结果</w:t>
      </w:r>
      <w:bookmarkEnd w:id="170"/>
      <w:bookmarkEnd w:id="171"/>
      <w:bookmarkEnd w:id="172"/>
      <w:bookmarkEnd w:id="173"/>
      <w:bookmarkEnd w:id="174"/>
    </w:p>
    <w:p>
      <w:pPr>
        <w:spacing w:line="420" w:lineRule="exact"/>
        <w:ind w:firstLine="283" w:firstLineChars="135"/>
        <w:rPr>
          <w:rFonts w:hint="eastAsia" w:ascii="宋体" w:hAnsi="宋体" w:cs="宋体"/>
        </w:rPr>
      </w:pPr>
      <w:r>
        <w:rPr>
          <w:rFonts w:hint="eastAsia" w:ascii="宋体" w:hAnsi="宋体" w:cs="宋体"/>
        </w:rPr>
        <w:t>6.1评标委员会按照综合评审得分由高到低的顺序推荐候选投标人。</w:t>
      </w:r>
    </w:p>
    <w:p>
      <w:pPr>
        <w:spacing w:line="420" w:lineRule="exact"/>
        <w:ind w:firstLine="283" w:firstLineChars="135"/>
        <w:rPr>
          <w:rFonts w:hint="eastAsia" w:ascii="宋体" w:hAnsi="宋体" w:cs="宋体"/>
        </w:rPr>
      </w:pPr>
      <w:r>
        <w:rPr>
          <w:rFonts w:hint="eastAsia" w:ascii="宋体" w:hAnsi="宋体" w:cs="宋体"/>
        </w:rPr>
        <w:t>6.2 评标委员会完成评审后，应当向采购人提交书面评标报告。</w:t>
      </w:r>
    </w:p>
    <w:p>
      <w:pPr>
        <w:spacing w:line="420" w:lineRule="exact"/>
        <w:ind w:firstLine="386" w:firstLineChars="184"/>
        <w:rPr>
          <w:rFonts w:hint="eastAsia" w:ascii="宋体" w:hAnsi="宋体" w:cs="宋体"/>
        </w:rPr>
      </w:pPr>
      <w:r>
        <w:rPr>
          <w:rFonts w:hint="eastAsia" w:ascii="宋体" w:hAnsi="宋体" w:cs="宋体"/>
        </w:rPr>
        <w:t>6.2.1评标委员会根据全体评标成员签字的原始评标记录和评标结果编写评标报告。评标报告应当包括以下内容：</w:t>
      </w:r>
    </w:p>
    <w:p>
      <w:pPr>
        <w:tabs>
          <w:tab w:val="left" w:pos="567"/>
        </w:tabs>
        <w:spacing w:line="420" w:lineRule="exact"/>
        <w:ind w:firstLine="424" w:firstLineChars="202"/>
        <w:rPr>
          <w:rFonts w:hint="eastAsia" w:ascii="宋体" w:hAnsi="宋体" w:cs="宋体"/>
        </w:rPr>
      </w:pPr>
      <w:r>
        <w:rPr>
          <w:rFonts w:hint="eastAsia" w:ascii="宋体" w:hAnsi="宋体" w:cs="宋体"/>
        </w:rPr>
        <w:t>（一）招标公告刊登的媒体名称、开标日期和地点；</w:t>
      </w:r>
    </w:p>
    <w:p>
      <w:pPr>
        <w:tabs>
          <w:tab w:val="left" w:pos="567"/>
        </w:tabs>
        <w:spacing w:line="420" w:lineRule="exact"/>
        <w:ind w:firstLine="424" w:firstLineChars="202"/>
        <w:rPr>
          <w:rFonts w:hint="eastAsia" w:ascii="宋体" w:hAnsi="宋体" w:cs="宋体"/>
        </w:rPr>
      </w:pPr>
      <w:r>
        <w:rPr>
          <w:rFonts w:hint="eastAsia" w:ascii="宋体" w:hAnsi="宋体" w:cs="宋体"/>
        </w:rPr>
        <w:t>（二）投标人名单和评标委员会成员名单；</w:t>
      </w:r>
    </w:p>
    <w:p>
      <w:pPr>
        <w:tabs>
          <w:tab w:val="left" w:pos="567"/>
        </w:tabs>
        <w:spacing w:line="420" w:lineRule="exact"/>
        <w:ind w:firstLine="424" w:firstLineChars="202"/>
        <w:rPr>
          <w:rFonts w:hint="eastAsia" w:ascii="宋体" w:hAnsi="宋体" w:cs="宋体"/>
        </w:rPr>
      </w:pPr>
      <w:r>
        <w:rPr>
          <w:rFonts w:hint="eastAsia" w:ascii="宋体" w:hAnsi="宋体" w:cs="宋体"/>
        </w:rPr>
        <w:t>（三）评标方法和标准；</w:t>
      </w:r>
    </w:p>
    <w:p>
      <w:pPr>
        <w:tabs>
          <w:tab w:val="left" w:pos="567"/>
        </w:tabs>
        <w:spacing w:line="420" w:lineRule="exact"/>
        <w:ind w:left="420"/>
        <w:rPr>
          <w:rFonts w:hint="eastAsia" w:ascii="宋体" w:hAnsi="宋体" w:cs="宋体"/>
        </w:rPr>
      </w:pPr>
      <w:r>
        <w:rPr>
          <w:rFonts w:hint="eastAsia" w:ascii="宋体" w:hAnsi="宋体" w:cs="宋体"/>
        </w:rPr>
        <w:t>（四）开标记录和评标情况及说明，包括无效投标人名单及原因；</w:t>
      </w:r>
    </w:p>
    <w:p>
      <w:pPr>
        <w:tabs>
          <w:tab w:val="left" w:pos="567"/>
        </w:tabs>
        <w:spacing w:line="420" w:lineRule="exact"/>
        <w:ind w:firstLine="424" w:firstLineChars="202"/>
        <w:rPr>
          <w:rFonts w:hint="eastAsia" w:ascii="宋体" w:hAnsi="宋体" w:cs="宋体"/>
        </w:rPr>
      </w:pPr>
      <w:r>
        <w:rPr>
          <w:rFonts w:hint="eastAsia" w:ascii="宋体" w:hAnsi="宋体" w:cs="宋体"/>
        </w:rPr>
        <w:t>（五）评标结果，确定的中标候选人名单或者经采购人委托直接确定的中标人；</w:t>
      </w:r>
    </w:p>
    <w:p>
      <w:pPr>
        <w:tabs>
          <w:tab w:val="left" w:pos="567"/>
        </w:tabs>
        <w:spacing w:line="420" w:lineRule="exact"/>
        <w:ind w:firstLine="424" w:firstLineChars="202"/>
        <w:rPr>
          <w:rFonts w:hint="eastAsia" w:ascii="宋体" w:hAnsi="宋体" w:cs="宋体"/>
        </w:rPr>
      </w:pPr>
      <w:r>
        <w:rPr>
          <w:rFonts w:hint="eastAsia" w:ascii="宋体" w:hAnsi="宋体" w:cs="宋体"/>
        </w:rPr>
        <w:t>（六）其他需要说明的情况，包括评标过程中投标人根据评标委员会要求进行的澄清、说明或者补正，评标委员会成员的更换等。</w:t>
      </w:r>
    </w:p>
    <w:p>
      <w:pPr>
        <w:pStyle w:val="46"/>
        <w:spacing w:line="100" w:lineRule="exact"/>
        <w:rPr>
          <w:rFonts w:cs="Times New Roman"/>
          <w:color w:val="auto"/>
          <w:highlight w:val="none"/>
        </w:rPr>
      </w:pPr>
      <w:r>
        <w:rPr>
          <w:rFonts w:cs="Times New Roman"/>
          <w:color w:val="auto"/>
          <w:highlight w:val="none"/>
        </w:rPr>
        <w:br w:type="page"/>
      </w:r>
      <w:bookmarkEnd w:id="109"/>
      <w:bookmarkEnd w:id="110"/>
      <w:bookmarkEnd w:id="111"/>
      <w:bookmarkEnd w:id="112"/>
      <w:bookmarkEnd w:id="113"/>
      <w:bookmarkEnd w:id="114"/>
      <w:bookmarkEnd w:id="115"/>
    </w:p>
    <w:p>
      <w:pPr>
        <w:pStyle w:val="3"/>
        <w:tabs>
          <w:tab w:val="left" w:pos="1134"/>
          <w:tab w:val="left" w:pos="4820"/>
          <w:tab w:val="left" w:pos="4962"/>
        </w:tabs>
        <w:adjustRightInd w:val="0"/>
        <w:snapToGrid w:val="0"/>
        <w:spacing w:before="0" w:after="0" w:line="360" w:lineRule="auto"/>
        <w:rPr>
          <w:rFonts w:hint="eastAsia" w:ascii="宋体" w:hAnsi="宋体" w:eastAsia="宋体" w:cs="宋体"/>
          <w:color w:val="auto"/>
          <w:sz w:val="32"/>
          <w:szCs w:val="32"/>
          <w:highlight w:val="none"/>
          <w:lang w:eastAsia="zh-CN"/>
        </w:rPr>
      </w:pPr>
      <w:bookmarkStart w:id="175" w:name="_Toc20183"/>
      <w:bookmarkStart w:id="176" w:name="_Toc31556"/>
      <w:r>
        <w:rPr>
          <w:rFonts w:hint="eastAsia" w:ascii="宋体" w:hAnsi="宋体" w:cs="宋体"/>
          <w:color w:val="auto"/>
          <w:sz w:val="32"/>
          <w:szCs w:val="32"/>
          <w:highlight w:val="none"/>
        </w:rPr>
        <w:t>第四章 合同条款与格式</w:t>
      </w:r>
      <w:r>
        <w:rPr>
          <w:rFonts w:hint="eastAsia" w:ascii="宋体" w:hAnsi="宋体" w:cs="宋体"/>
          <w:color w:val="auto"/>
          <w:sz w:val="32"/>
          <w:szCs w:val="32"/>
          <w:highlight w:val="none"/>
          <w:lang w:eastAsia="zh-CN"/>
        </w:rPr>
        <w:t>（</w:t>
      </w:r>
      <w:r>
        <w:rPr>
          <w:rFonts w:hint="eastAsia" w:ascii="宋体" w:hAnsi="宋体" w:cs="宋体"/>
          <w:color w:val="auto"/>
          <w:sz w:val="32"/>
          <w:szCs w:val="32"/>
          <w:highlight w:val="none"/>
          <w:lang w:val="en-US" w:eastAsia="zh-CN"/>
        </w:rPr>
        <w:t>参考</w:t>
      </w:r>
      <w:r>
        <w:rPr>
          <w:rFonts w:hint="eastAsia" w:ascii="宋体" w:hAnsi="宋体" w:cs="宋体"/>
          <w:color w:val="auto"/>
          <w:sz w:val="32"/>
          <w:szCs w:val="32"/>
          <w:highlight w:val="none"/>
          <w:lang w:eastAsia="zh-CN"/>
        </w:rPr>
        <w:t>）</w:t>
      </w:r>
      <w:bookmarkEnd w:id="175"/>
      <w:bookmarkEnd w:id="176"/>
    </w:p>
    <w:p>
      <w:pPr>
        <w:bidi w:val="0"/>
        <w:jc w:val="right"/>
        <w:rPr>
          <w:rFonts w:ascii="宋体" w:hAnsi="宋体" w:cs="宋体"/>
          <w:b/>
          <w:bCs/>
          <w:color w:val="auto"/>
          <w:szCs w:val="28"/>
          <w:highlight w:val="none"/>
        </w:rPr>
      </w:pPr>
      <w:bookmarkStart w:id="177" w:name="_top"/>
      <w:bookmarkEnd w:id="177"/>
      <w:bookmarkStart w:id="178" w:name="_Toc22634"/>
      <w:bookmarkStart w:id="179" w:name="_Toc15237"/>
      <w:bookmarkStart w:id="180" w:name="_Toc12128"/>
      <w:bookmarkStart w:id="181" w:name="_Toc506"/>
      <w:bookmarkStart w:id="182" w:name="_Toc31057"/>
      <w:bookmarkStart w:id="183" w:name="_Toc14355"/>
      <w:bookmarkStart w:id="184" w:name="_Toc21189"/>
      <w:bookmarkStart w:id="185" w:name="_Toc11994"/>
      <w:bookmarkStart w:id="186" w:name="_Toc1557"/>
      <w:bookmarkStart w:id="187" w:name="_Toc22987"/>
      <w:bookmarkStart w:id="188" w:name="_Toc24936"/>
      <w:bookmarkStart w:id="189" w:name="_Toc24235"/>
      <w:r>
        <w:rPr>
          <w:rFonts w:hint="eastAsia"/>
          <w:sz w:val="28"/>
          <w:szCs w:val="28"/>
        </w:rPr>
        <w:t>合同编号：（中标项目编号）</w:t>
      </w:r>
      <w:bookmarkEnd w:id="178"/>
      <w:bookmarkEnd w:id="179"/>
      <w:bookmarkEnd w:id="180"/>
      <w:bookmarkEnd w:id="181"/>
      <w:bookmarkEnd w:id="182"/>
      <w:bookmarkEnd w:id="183"/>
      <w:bookmarkEnd w:id="184"/>
      <w:bookmarkEnd w:id="185"/>
      <w:bookmarkEnd w:id="186"/>
      <w:bookmarkEnd w:id="187"/>
      <w:bookmarkEnd w:id="188"/>
      <w:bookmarkEnd w:id="189"/>
    </w:p>
    <w:p>
      <w:pPr>
        <w:bidi w:val="0"/>
        <w:jc w:val="center"/>
        <w:rPr>
          <w:sz w:val="28"/>
          <w:szCs w:val="28"/>
        </w:rPr>
      </w:pPr>
      <w:bookmarkStart w:id="190" w:name="_Toc31603"/>
      <w:bookmarkStart w:id="191" w:name="_Toc31184"/>
      <w:bookmarkStart w:id="192" w:name="_Toc14723"/>
      <w:bookmarkStart w:id="193" w:name="_Toc7231"/>
      <w:bookmarkStart w:id="194" w:name="_Toc2022"/>
      <w:bookmarkStart w:id="195" w:name="_Toc30428"/>
      <w:bookmarkStart w:id="196" w:name="_Toc27754"/>
      <w:bookmarkStart w:id="197" w:name="_Toc14140"/>
      <w:bookmarkStart w:id="198" w:name="_Toc6991"/>
      <w:bookmarkStart w:id="199" w:name="_Toc6416"/>
      <w:bookmarkStart w:id="200" w:name="_Toc5197"/>
      <w:bookmarkStart w:id="201" w:name="_Toc31300"/>
      <w:r>
        <w:rPr>
          <w:rFonts w:hint="eastAsia"/>
          <w:sz w:val="28"/>
          <w:szCs w:val="28"/>
        </w:rPr>
        <w:t>政府采购货物合同</w:t>
      </w:r>
      <w:bookmarkEnd w:id="190"/>
      <w:bookmarkEnd w:id="191"/>
      <w:bookmarkEnd w:id="192"/>
      <w:bookmarkEnd w:id="193"/>
      <w:bookmarkEnd w:id="194"/>
      <w:bookmarkEnd w:id="195"/>
      <w:bookmarkEnd w:id="196"/>
      <w:bookmarkEnd w:id="197"/>
      <w:bookmarkEnd w:id="198"/>
      <w:bookmarkEnd w:id="199"/>
      <w:bookmarkEnd w:id="200"/>
      <w:bookmarkEnd w:id="201"/>
    </w:p>
    <w:p>
      <w:pPr>
        <w:adjustRightInd w:val="0"/>
        <w:snapToGrid w:val="0"/>
        <w:spacing w:line="480" w:lineRule="auto"/>
        <w:rPr>
          <w:rFonts w:hint="eastAsia" w:ascii="宋体" w:hAnsi="宋体" w:cs="宋体"/>
          <w:b/>
          <w:bCs/>
          <w:color w:val="auto"/>
          <w:sz w:val="24"/>
          <w:highlight w:val="none"/>
        </w:rPr>
      </w:pPr>
    </w:p>
    <w:p>
      <w:pPr>
        <w:adjustRightInd w:val="0"/>
        <w:snapToGrid w:val="0"/>
        <w:spacing w:line="480" w:lineRule="auto"/>
        <w:rPr>
          <w:rFonts w:ascii="宋体"/>
          <w:b/>
          <w:bCs/>
          <w:color w:val="auto"/>
          <w:sz w:val="24"/>
          <w:highlight w:val="none"/>
        </w:rPr>
      </w:pPr>
      <w:r>
        <w:rPr>
          <w:rFonts w:hint="eastAsia" w:ascii="宋体" w:hAnsi="宋体" w:cs="宋体"/>
          <w:b/>
          <w:bCs/>
          <w:color w:val="auto"/>
          <w:sz w:val="24"/>
          <w:highlight w:val="none"/>
        </w:rPr>
        <w:t>甲方（全称）：</w:t>
      </w:r>
      <w:r>
        <w:rPr>
          <w:rFonts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        </w:t>
      </w:r>
      <w:r>
        <w:rPr>
          <w:rFonts w:ascii="宋体" w:hAnsi="宋体" w:cs="宋体"/>
          <w:b/>
          <w:bCs/>
          <w:color w:val="auto"/>
          <w:sz w:val="24"/>
          <w:highlight w:val="none"/>
          <w:u w:val="single"/>
        </w:rPr>
        <w:t xml:space="preserve">           </w:t>
      </w:r>
    </w:p>
    <w:p>
      <w:pPr>
        <w:adjustRightInd w:val="0"/>
        <w:snapToGrid w:val="0"/>
        <w:spacing w:line="480" w:lineRule="auto"/>
        <w:rPr>
          <w:rFonts w:ascii="宋体"/>
          <w:b/>
          <w:bCs/>
          <w:color w:val="auto"/>
          <w:sz w:val="24"/>
          <w:highlight w:val="none"/>
        </w:rPr>
      </w:pPr>
      <w:r>
        <w:rPr>
          <w:rFonts w:hint="eastAsia" w:ascii="宋体" w:hAnsi="宋体" w:cs="宋体"/>
          <w:b/>
          <w:bCs/>
          <w:color w:val="auto"/>
          <w:sz w:val="24"/>
          <w:highlight w:val="none"/>
        </w:rPr>
        <w:t>乙方（全称）：</w:t>
      </w:r>
      <w:r>
        <w:rPr>
          <w:rFonts w:ascii="宋体" w:hAnsi="宋体" w:cs="宋体"/>
          <w:b/>
          <w:bCs/>
          <w:color w:val="auto"/>
          <w:sz w:val="24"/>
          <w:highlight w:val="none"/>
          <w:u w:val="single"/>
        </w:rPr>
        <w:t xml:space="preserve">    </w:t>
      </w:r>
      <w:r>
        <w:rPr>
          <w:rFonts w:ascii="宋体" w:cs="宋体"/>
          <w:b/>
          <w:bCs/>
          <w:color w:val="auto"/>
          <w:spacing w:val="10"/>
          <w:kern w:val="0"/>
          <w:sz w:val="24"/>
          <w:highlight w:val="none"/>
          <w:u w:val="single"/>
        </w:rPr>
        <w:t xml:space="preserve">             </w:t>
      </w:r>
      <w:r>
        <w:rPr>
          <w:rFonts w:ascii="宋体" w:hAnsi="宋体" w:cs="宋体"/>
          <w:b/>
          <w:bCs/>
          <w:color w:val="auto"/>
          <w:sz w:val="24"/>
          <w:highlight w:val="none"/>
          <w:u w:val="single"/>
        </w:rPr>
        <w:t xml:space="preserve"> </w:t>
      </w:r>
      <w:r>
        <w:rPr>
          <w:rFonts w:hint="eastAsia" w:ascii="宋体" w:hAnsi="宋体" w:cs="宋体"/>
          <w:b/>
          <w:bCs/>
          <w:color w:val="auto"/>
          <w:sz w:val="24"/>
          <w:highlight w:val="none"/>
          <w:u w:val="single"/>
        </w:rPr>
        <w:t xml:space="preserve">        </w:t>
      </w:r>
      <w:r>
        <w:rPr>
          <w:rFonts w:ascii="宋体" w:hAnsi="宋体" w:cs="宋体"/>
          <w:b/>
          <w:bCs/>
          <w:color w:val="auto"/>
          <w:sz w:val="24"/>
          <w:highlight w:val="none"/>
          <w:u w:val="single"/>
        </w:rPr>
        <w:t xml:space="preserve">    </w:t>
      </w:r>
    </w:p>
    <w:p>
      <w:pPr>
        <w:adjustRightInd w:val="0"/>
        <w:snapToGrid w:val="0"/>
        <w:spacing w:line="480" w:lineRule="auto"/>
        <w:ind w:firstLine="480"/>
        <w:rPr>
          <w:rFonts w:ascii="宋体"/>
          <w:color w:val="auto"/>
          <w:sz w:val="24"/>
          <w:highlight w:val="none"/>
        </w:rPr>
      </w:pPr>
      <w:r>
        <w:rPr>
          <w:rFonts w:hint="eastAsia" w:ascii="宋体" w:hAnsi="宋体" w:cs="宋体"/>
          <w:color w:val="auto"/>
          <w:highlight w:val="none"/>
        </w:rPr>
        <w:t>根据《中华人民共和国民法典》《中华人民共和国政府采购法》及有关法律规定，遵循平等、自愿、公平和诚实信用的原则，双方同意按照下述条款订立本合同，共同信守。</w:t>
      </w:r>
    </w:p>
    <w:p>
      <w:pPr>
        <w:bidi w:val="0"/>
        <w:rPr>
          <w:sz w:val="28"/>
          <w:szCs w:val="28"/>
        </w:rPr>
      </w:pPr>
      <w:bookmarkStart w:id="202" w:name="_Toc3653"/>
      <w:bookmarkStart w:id="203" w:name="_Toc5004"/>
      <w:bookmarkStart w:id="204" w:name="_Toc19796"/>
      <w:bookmarkStart w:id="205" w:name="_Toc1312"/>
      <w:bookmarkStart w:id="206" w:name="_Toc21194"/>
      <w:bookmarkStart w:id="207" w:name="_Toc2793"/>
      <w:bookmarkStart w:id="208" w:name="_Toc13547"/>
      <w:bookmarkStart w:id="209" w:name="_Toc24139"/>
      <w:bookmarkStart w:id="210" w:name="_Toc16690"/>
      <w:bookmarkStart w:id="211" w:name="_Toc32370"/>
      <w:bookmarkStart w:id="212" w:name="_Toc31138"/>
      <w:bookmarkStart w:id="213" w:name="_Toc22430"/>
      <w:r>
        <w:rPr>
          <w:rFonts w:hint="eastAsia"/>
          <w:sz w:val="28"/>
          <w:szCs w:val="28"/>
        </w:rPr>
        <w:t>一、供货范围及分项价格表（详见附件</w:t>
      </w:r>
      <w:r>
        <w:rPr>
          <w:sz w:val="28"/>
          <w:szCs w:val="28"/>
        </w:rPr>
        <w:t>1</w:t>
      </w:r>
      <w:r>
        <w:rPr>
          <w:rFonts w:hint="eastAsia"/>
          <w:sz w:val="28"/>
          <w:szCs w:val="28"/>
        </w:rPr>
        <w:t>、附件</w:t>
      </w:r>
      <w:r>
        <w:rPr>
          <w:sz w:val="28"/>
          <w:szCs w:val="28"/>
        </w:rPr>
        <w:t>2</w:t>
      </w:r>
      <w:r>
        <w:rPr>
          <w:rFonts w:hint="eastAsia"/>
          <w:sz w:val="28"/>
          <w:szCs w:val="28"/>
        </w:rPr>
        <w:t>）</w:t>
      </w:r>
      <w:bookmarkEnd w:id="202"/>
      <w:bookmarkEnd w:id="203"/>
      <w:bookmarkEnd w:id="204"/>
      <w:bookmarkEnd w:id="205"/>
      <w:bookmarkEnd w:id="206"/>
      <w:bookmarkEnd w:id="207"/>
      <w:bookmarkEnd w:id="208"/>
      <w:bookmarkEnd w:id="209"/>
      <w:bookmarkEnd w:id="210"/>
      <w:bookmarkEnd w:id="211"/>
      <w:bookmarkEnd w:id="212"/>
      <w:bookmarkEnd w:id="213"/>
    </w:p>
    <w:p>
      <w:pPr>
        <w:adjustRightInd w:val="0"/>
        <w:snapToGrid w:val="0"/>
        <w:spacing w:line="480" w:lineRule="auto"/>
        <w:ind w:firstLine="570"/>
        <w:rPr>
          <w:rFonts w:ascii="宋体" w:hAnsi="宋体" w:cs="宋体"/>
          <w:color w:val="auto"/>
          <w:highlight w:val="none"/>
        </w:rPr>
      </w:pPr>
      <w:r>
        <w:rPr>
          <w:rFonts w:ascii="宋体" w:hAnsi="宋体" w:cs="宋体"/>
          <w:color w:val="auto"/>
          <w:highlight w:val="none"/>
        </w:rPr>
        <w:t>1</w:t>
      </w:r>
      <w:r>
        <w:rPr>
          <w:rFonts w:hint="eastAsia" w:ascii="宋体" w:hAnsi="宋体" w:cs="宋体"/>
          <w:color w:val="auto"/>
          <w:highlight w:val="none"/>
        </w:rPr>
        <w:t>.本合同所指货物包括原材料、燃料、设备、产品、硬件、软件、安装材料、备件及专用器具、文件资料等，详见附件</w:t>
      </w:r>
      <w:r>
        <w:rPr>
          <w:rFonts w:ascii="宋体" w:hAnsi="宋体" w:cs="宋体"/>
          <w:color w:val="auto"/>
          <w:highlight w:val="none"/>
        </w:rPr>
        <w:t>1</w:t>
      </w:r>
      <w:r>
        <w:rPr>
          <w:rFonts w:hint="eastAsia" w:ascii="宋体" w:hAnsi="宋体" w:cs="宋体"/>
          <w:color w:val="auto"/>
          <w:highlight w:val="none"/>
        </w:rPr>
        <w:t>、附件</w:t>
      </w:r>
      <w:r>
        <w:rPr>
          <w:rFonts w:ascii="宋体" w:hAnsi="宋体" w:cs="宋体"/>
          <w:color w:val="auto"/>
          <w:highlight w:val="none"/>
        </w:rPr>
        <w:t>2</w:t>
      </w:r>
      <w:r>
        <w:rPr>
          <w:rFonts w:hint="eastAsia" w:ascii="宋体" w:hAnsi="宋体" w:cs="宋体"/>
          <w:color w:val="auto"/>
          <w:highlight w:val="none"/>
        </w:rPr>
        <w:t>，此附件是合同中不可分割的部分。</w:t>
      </w:r>
    </w:p>
    <w:p>
      <w:pPr>
        <w:adjustRightInd w:val="0"/>
        <w:snapToGrid w:val="0"/>
        <w:spacing w:line="480" w:lineRule="auto"/>
        <w:ind w:firstLine="570"/>
        <w:rPr>
          <w:color w:val="auto"/>
          <w:sz w:val="24"/>
          <w:highlight w:val="none"/>
        </w:rPr>
      </w:pPr>
      <w:r>
        <w:rPr>
          <w:rFonts w:ascii="宋体" w:hAnsi="宋体" w:cs="宋体"/>
          <w:color w:val="auto"/>
          <w:highlight w:val="none"/>
        </w:rPr>
        <w:t>2</w:t>
      </w:r>
      <w:r>
        <w:rPr>
          <w:rFonts w:hint="eastAsia" w:ascii="宋体" w:hAnsi="宋体" w:cs="宋体"/>
          <w:color w:val="auto"/>
          <w:highlight w:val="none"/>
        </w:rPr>
        <w:t>.本合同总价包括但不限于货物价款、包装、运输、装卸、保险费、安装及相关材料费、调试费、软件费、检验费、培训费等各种伴随服务的费用以及税金等。合同总价之外，甲方不再另行支付任何费用。</w:t>
      </w:r>
    </w:p>
    <w:p>
      <w:pPr>
        <w:bidi w:val="0"/>
        <w:rPr>
          <w:rFonts w:hint="eastAsia"/>
          <w:sz w:val="28"/>
          <w:szCs w:val="28"/>
        </w:rPr>
      </w:pPr>
      <w:bookmarkStart w:id="214" w:name="_Toc31123"/>
      <w:bookmarkStart w:id="215" w:name="_Toc32476"/>
      <w:bookmarkStart w:id="216" w:name="_Toc13291"/>
      <w:bookmarkStart w:id="217" w:name="_Toc17507"/>
      <w:bookmarkStart w:id="218" w:name="_Toc15560"/>
      <w:bookmarkStart w:id="219" w:name="_Toc1289"/>
      <w:bookmarkStart w:id="220" w:name="_Toc28966"/>
      <w:bookmarkStart w:id="221" w:name="_Toc4973"/>
      <w:bookmarkStart w:id="222" w:name="_Toc19382"/>
      <w:bookmarkStart w:id="223" w:name="_Toc18226"/>
      <w:bookmarkStart w:id="224" w:name="_Toc24183"/>
      <w:bookmarkStart w:id="225" w:name="_Toc16627"/>
      <w:r>
        <w:rPr>
          <w:rFonts w:hint="eastAsia"/>
          <w:sz w:val="28"/>
          <w:szCs w:val="28"/>
        </w:rPr>
        <w:t>二、质量及技术规格要求</w:t>
      </w:r>
      <w:bookmarkEnd w:id="214"/>
      <w:bookmarkEnd w:id="215"/>
      <w:bookmarkEnd w:id="216"/>
      <w:bookmarkEnd w:id="217"/>
      <w:bookmarkEnd w:id="218"/>
      <w:bookmarkEnd w:id="219"/>
      <w:bookmarkEnd w:id="220"/>
      <w:bookmarkEnd w:id="221"/>
      <w:bookmarkEnd w:id="222"/>
      <w:bookmarkEnd w:id="223"/>
      <w:bookmarkEnd w:id="224"/>
      <w:bookmarkEnd w:id="225"/>
    </w:p>
    <w:p>
      <w:pPr>
        <w:adjustRightInd w:val="0"/>
        <w:snapToGrid w:val="0"/>
        <w:spacing w:line="480" w:lineRule="auto"/>
        <w:ind w:firstLine="570"/>
        <w:rPr>
          <w:rFonts w:ascii="宋体"/>
          <w:color w:val="auto"/>
          <w:highlight w:val="none"/>
        </w:rPr>
      </w:pPr>
      <w:r>
        <w:rPr>
          <w:rFonts w:hint="eastAsia" w:ascii="宋体" w:hAnsi="宋体" w:cs="宋体"/>
          <w:color w:val="auto"/>
          <w:highlight w:val="none"/>
        </w:rPr>
        <w:t>乙方须按合同要求提供全新货物（包括零部件、附件、备品备件等）货物的质量标准、规格型号、具体配置、数量等应符合招标文件要求，其产品为原厂生产，且应达到乙方投标文件及澄清文件中承诺的技术标准。</w:t>
      </w:r>
    </w:p>
    <w:p>
      <w:pPr>
        <w:adjustRightInd w:val="0"/>
        <w:snapToGrid w:val="0"/>
        <w:spacing w:line="480" w:lineRule="auto"/>
        <w:ind w:firstLine="570"/>
        <w:rPr>
          <w:rFonts w:ascii="宋体"/>
          <w:color w:val="auto"/>
          <w:sz w:val="24"/>
          <w:highlight w:val="none"/>
        </w:rPr>
      </w:pPr>
      <w:r>
        <w:rPr>
          <w:rFonts w:hint="eastAsia" w:ascii="宋体" w:hAnsi="宋体" w:cs="宋体"/>
          <w:color w:val="auto"/>
          <w:highlight w:val="none"/>
        </w:rPr>
        <w:t>乙方应在本合同生效后</w:t>
      </w:r>
      <w:r>
        <w:rPr>
          <w:rFonts w:ascii="宋体" w:hAnsi="宋体" w:cs="宋体"/>
          <w:color w:val="auto"/>
          <w:highlight w:val="none"/>
        </w:rPr>
        <w:t>7</w:t>
      </w:r>
      <w:r>
        <w:rPr>
          <w:rFonts w:hint="eastAsia" w:ascii="宋体" w:hAnsi="宋体" w:cs="宋体"/>
          <w:color w:val="auto"/>
          <w:highlight w:val="none"/>
        </w:rPr>
        <w:t>个工作日内向甲方提供安装计划及质量控制规范；并于</w:t>
      </w:r>
      <w:r>
        <w:rPr>
          <w:rFonts w:ascii="宋体" w:hAnsi="宋体" w:cs="宋体"/>
          <w:color w:val="auto"/>
          <w:highlight w:val="none"/>
          <w:u w:val="single"/>
        </w:rPr>
        <w:t xml:space="preserve">     </w:t>
      </w:r>
      <w:r>
        <w:rPr>
          <w:rFonts w:hint="eastAsia" w:ascii="宋体" w:hAnsi="宋体" w:cs="宋体"/>
          <w:color w:val="auto"/>
          <w:highlight w:val="none"/>
        </w:rPr>
        <w:t>月</w:t>
      </w:r>
      <w:r>
        <w:rPr>
          <w:rFonts w:ascii="宋体" w:hAnsi="宋体" w:cs="宋体"/>
          <w:color w:val="auto"/>
          <w:highlight w:val="none"/>
          <w:u w:val="single"/>
        </w:rPr>
        <w:t xml:space="preserve">     </w:t>
      </w:r>
      <w:r>
        <w:rPr>
          <w:rFonts w:hint="eastAsia" w:ascii="宋体" w:hAnsi="宋体" w:cs="宋体"/>
          <w:color w:val="auto"/>
          <w:highlight w:val="none"/>
        </w:rPr>
        <w:t>日前进驻安装现场；所有货物运送到甲方指定地点后，双方在</w:t>
      </w:r>
      <w:r>
        <w:rPr>
          <w:rFonts w:ascii="宋体" w:hAnsi="宋体" w:cs="宋体"/>
          <w:color w:val="auto"/>
          <w:highlight w:val="none"/>
          <w:u w:val="single"/>
        </w:rPr>
        <w:t xml:space="preserve">     </w:t>
      </w:r>
      <w:r>
        <w:rPr>
          <w:rFonts w:hint="eastAsia" w:ascii="宋体" w:hAnsi="宋体" w:cs="宋体"/>
          <w:color w:val="auto"/>
          <w:highlight w:val="none"/>
        </w:rPr>
        <w:t>日内共同验收并签署验收意见。如甲方无正当理由，不得拒绝接收；在安装调试过程中，甲方有权采取适当的方式对乙方货物质量标准、规格型号、具体配置、数量以及安装质量和进度等进行检查。甲方如果发现乙方所供货物不符合合同约定，甲方有权单方解除合同，由此产生的一切费用由乙方承担。</w:t>
      </w:r>
    </w:p>
    <w:p>
      <w:pPr>
        <w:bidi w:val="0"/>
        <w:rPr>
          <w:rFonts w:hint="eastAsia"/>
          <w:sz w:val="28"/>
          <w:szCs w:val="28"/>
        </w:rPr>
      </w:pPr>
      <w:bookmarkStart w:id="226" w:name="_Toc24867"/>
      <w:bookmarkStart w:id="227" w:name="_Toc2847"/>
      <w:bookmarkStart w:id="228" w:name="_Toc6364"/>
      <w:bookmarkStart w:id="229" w:name="_Toc18824"/>
      <w:bookmarkStart w:id="230" w:name="_Toc16240"/>
      <w:bookmarkStart w:id="231" w:name="_Toc17959"/>
      <w:bookmarkStart w:id="232" w:name="_Toc27823"/>
      <w:bookmarkStart w:id="233" w:name="_Toc30355"/>
      <w:bookmarkStart w:id="234" w:name="_Toc9784"/>
      <w:bookmarkStart w:id="235" w:name="_Toc28381"/>
      <w:bookmarkStart w:id="236" w:name="_Toc14286"/>
      <w:r>
        <w:rPr>
          <w:rFonts w:hint="eastAsia"/>
          <w:sz w:val="28"/>
          <w:szCs w:val="28"/>
          <w:lang w:val="en-US" w:eastAsia="zh-CN"/>
        </w:rPr>
        <w:t>三、</w:t>
      </w:r>
      <w:r>
        <w:rPr>
          <w:rFonts w:hint="eastAsia"/>
          <w:sz w:val="28"/>
          <w:szCs w:val="28"/>
        </w:rPr>
        <w:t>包装与运输</w:t>
      </w:r>
      <w:bookmarkEnd w:id="226"/>
      <w:bookmarkEnd w:id="227"/>
      <w:bookmarkEnd w:id="228"/>
      <w:bookmarkEnd w:id="229"/>
      <w:bookmarkEnd w:id="230"/>
      <w:bookmarkEnd w:id="231"/>
      <w:bookmarkEnd w:id="232"/>
      <w:bookmarkEnd w:id="233"/>
      <w:bookmarkEnd w:id="234"/>
      <w:bookmarkEnd w:id="235"/>
      <w:bookmarkEnd w:id="236"/>
    </w:p>
    <w:p>
      <w:pPr>
        <w:adjustRightInd w:val="0"/>
        <w:snapToGrid w:val="0"/>
        <w:spacing w:line="480" w:lineRule="auto"/>
        <w:ind w:firstLine="570"/>
        <w:rPr>
          <w:rFonts w:ascii="宋体"/>
          <w:color w:val="auto"/>
          <w:sz w:val="24"/>
          <w:highlight w:val="none"/>
        </w:rPr>
      </w:pPr>
      <w:r>
        <w:rPr>
          <w:rFonts w:hint="eastAsia" w:ascii="宋体" w:hAnsi="宋体" w:cs="宋体"/>
          <w:color w:val="auto"/>
          <w:highlight w:val="none"/>
        </w:rPr>
        <w:t>货物交付使用前发生的所有与货物相关的运输、安装及安全保障事项等均由乙方负责；货物包装应符合抗震、防潮、防冻、防锈以及长途运输等要求，对由于包装不当或防护措施不力而导致的货物损坏、损失、腐蚀等损失均由乙方承担；在货物备交付使用前所发生的所有与货物相关的经济纠纷及法律责任均与甲方无关。</w:t>
      </w:r>
    </w:p>
    <w:p>
      <w:pPr>
        <w:bidi w:val="0"/>
        <w:rPr>
          <w:rFonts w:hint="eastAsia"/>
          <w:sz w:val="28"/>
          <w:szCs w:val="28"/>
        </w:rPr>
      </w:pPr>
      <w:bookmarkStart w:id="237" w:name="_Toc1783"/>
      <w:bookmarkStart w:id="238" w:name="_Toc3790"/>
      <w:bookmarkStart w:id="239" w:name="_Toc3877"/>
      <w:bookmarkStart w:id="240" w:name="_Toc28985"/>
      <w:bookmarkStart w:id="241" w:name="_Toc16052"/>
      <w:bookmarkStart w:id="242" w:name="_Toc6963"/>
      <w:bookmarkStart w:id="243" w:name="_Toc15053"/>
      <w:bookmarkStart w:id="244" w:name="_Toc19546"/>
      <w:bookmarkStart w:id="245" w:name="_Toc25367"/>
      <w:bookmarkStart w:id="246" w:name="_Toc26766"/>
      <w:bookmarkStart w:id="247" w:name="_Toc21148"/>
      <w:bookmarkStart w:id="248" w:name="_Toc19557"/>
      <w:r>
        <w:rPr>
          <w:rFonts w:hint="eastAsia"/>
          <w:sz w:val="28"/>
          <w:szCs w:val="28"/>
        </w:rPr>
        <w:t>四、质保期与售后服务（详见附件3）</w:t>
      </w:r>
      <w:bookmarkEnd w:id="237"/>
      <w:bookmarkEnd w:id="238"/>
      <w:bookmarkEnd w:id="239"/>
      <w:bookmarkEnd w:id="240"/>
      <w:bookmarkEnd w:id="241"/>
      <w:bookmarkEnd w:id="242"/>
      <w:bookmarkEnd w:id="243"/>
      <w:bookmarkEnd w:id="244"/>
      <w:bookmarkEnd w:id="245"/>
      <w:bookmarkEnd w:id="246"/>
      <w:bookmarkEnd w:id="247"/>
      <w:bookmarkEnd w:id="248"/>
    </w:p>
    <w:p>
      <w:pPr>
        <w:adjustRightInd w:val="0"/>
        <w:snapToGrid w:val="0"/>
        <w:spacing w:line="480" w:lineRule="auto"/>
        <w:ind w:firstLine="480"/>
        <w:rPr>
          <w:rFonts w:ascii="宋体"/>
          <w:color w:val="auto"/>
          <w:highlight w:val="none"/>
        </w:rPr>
      </w:pPr>
      <w:r>
        <w:rPr>
          <w:rFonts w:ascii="宋体" w:hAnsi="宋体" w:cs="宋体"/>
          <w:color w:val="auto"/>
          <w:highlight w:val="none"/>
        </w:rPr>
        <w:t>1</w:t>
      </w:r>
      <w:r>
        <w:rPr>
          <w:rFonts w:hint="eastAsia" w:ascii="宋体" w:hAnsi="宋体" w:cs="宋体"/>
          <w:color w:val="auto"/>
          <w:highlight w:val="none"/>
        </w:rPr>
        <w:t>.所有设备免费质保期为</w:t>
      </w:r>
      <w:r>
        <w:rPr>
          <w:rFonts w:ascii="黑体" w:hAnsi="宋体" w:eastAsia="黑体" w:cs="黑体"/>
          <w:b/>
          <w:bCs/>
          <w:color w:val="auto"/>
          <w:highlight w:val="none"/>
          <w:u w:val="single"/>
        </w:rPr>
        <w:t xml:space="preserve">      </w:t>
      </w:r>
      <w:r>
        <w:rPr>
          <w:rFonts w:hint="eastAsia" w:ascii="宋体" w:hAnsi="宋体" w:cs="宋体"/>
          <w:color w:val="auto"/>
          <w:highlight w:val="none"/>
        </w:rPr>
        <w:t>年（自验收合格并交付给甲方之日起计算），终身维护、维修。</w:t>
      </w:r>
    </w:p>
    <w:p>
      <w:pPr>
        <w:adjustRightInd w:val="0"/>
        <w:snapToGrid w:val="0"/>
        <w:spacing w:line="480" w:lineRule="auto"/>
        <w:ind w:firstLine="480"/>
        <w:rPr>
          <w:rFonts w:ascii="宋体"/>
          <w:color w:val="auto"/>
          <w:highlight w:val="none"/>
        </w:rPr>
      </w:pPr>
      <w:r>
        <w:rPr>
          <w:rFonts w:ascii="宋体" w:hAnsi="宋体" w:cs="宋体"/>
          <w:color w:val="auto"/>
          <w:highlight w:val="none"/>
        </w:rPr>
        <w:t>2</w:t>
      </w:r>
      <w:r>
        <w:rPr>
          <w:rFonts w:hint="eastAsia" w:ascii="宋体" w:hAnsi="宋体" w:cs="宋体"/>
          <w:color w:val="auto"/>
          <w:highlight w:val="none"/>
        </w:rPr>
        <w:t>.在质保期内，因产品质量造成的问题，乙方免费提供配件并现场维修，且所提供的任何零配件必须是其原设备厂家生产的或经其认可的。产品存在质量问题，甲方有权要求乙方换货。</w:t>
      </w:r>
    </w:p>
    <w:p>
      <w:pPr>
        <w:adjustRightInd w:val="0"/>
        <w:snapToGrid w:val="0"/>
        <w:spacing w:line="480" w:lineRule="auto"/>
        <w:ind w:firstLine="480"/>
        <w:rPr>
          <w:rFonts w:ascii="宋体"/>
          <w:color w:val="auto"/>
          <w:highlight w:val="none"/>
        </w:rPr>
      </w:pPr>
      <w:r>
        <w:rPr>
          <w:rFonts w:ascii="宋体" w:hAnsi="宋体" w:cs="宋体"/>
          <w:color w:val="auto"/>
          <w:highlight w:val="none"/>
        </w:rPr>
        <w:t>3</w:t>
      </w:r>
      <w:r>
        <w:rPr>
          <w:rFonts w:hint="eastAsia" w:ascii="宋体" w:hAnsi="宋体" w:cs="宋体"/>
          <w:color w:val="auto"/>
          <w:highlight w:val="none"/>
        </w:rPr>
        <w:t>.乙方须提供一年</w:t>
      </w:r>
      <w:r>
        <w:rPr>
          <w:rFonts w:ascii="宋体" w:hAnsi="宋体" w:cs="宋体"/>
          <w:color w:val="auto"/>
          <w:highlight w:val="none"/>
          <w:u w:val="single"/>
        </w:rPr>
        <w:t xml:space="preserve">    </w:t>
      </w:r>
      <w:r>
        <w:rPr>
          <w:rFonts w:hint="eastAsia" w:ascii="宋体" w:hAnsi="宋体" w:cs="宋体"/>
          <w:color w:val="auto"/>
          <w:highlight w:val="none"/>
        </w:rPr>
        <w:t>次全免费（配件</w:t>
      </w:r>
      <w:r>
        <w:rPr>
          <w:rFonts w:ascii="宋体" w:hAnsi="宋体" w:cs="宋体"/>
          <w:color w:val="auto"/>
          <w:highlight w:val="none"/>
        </w:rPr>
        <w:t>+</w:t>
      </w:r>
      <w:r>
        <w:rPr>
          <w:rFonts w:hint="eastAsia" w:ascii="宋体" w:hAnsi="宋体" w:cs="宋体"/>
          <w:color w:val="auto"/>
          <w:highlight w:val="none"/>
        </w:rPr>
        <w:t>人力）对产品设备的维护保养。</w:t>
      </w:r>
    </w:p>
    <w:p>
      <w:pPr>
        <w:adjustRightInd w:val="0"/>
        <w:snapToGrid w:val="0"/>
        <w:spacing w:line="480" w:lineRule="auto"/>
        <w:ind w:firstLine="480"/>
        <w:rPr>
          <w:rFonts w:ascii="宋体"/>
          <w:color w:val="auto"/>
          <w:highlight w:val="none"/>
        </w:rPr>
      </w:pPr>
      <w:r>
        <w:rPr>
          <w:rFonts w:ascii="宋体" w:hAnsi="宋体" w:cs="宋体"/>
          <w:color w:val="auto"/>
          <w:highlight w:val="none"/>
        </w:rPr>
        <w:t>4</w:t>
      </w:r>
      <w:r>
        <w:rPr>
          <w:rFonts w:hint="eastAsia" w:ascii="宋体" w:hAnsi="宋体" w:cs="宋体"/>
          <w:color w:val="auto"/>
          <w:highlight w:val="none"/>
        </w:rPr>
        <w:t>.乙方承诺凡设备出现故障，自接到甲方报修电话</w:t>
      </w:r>
      <w:r>
        <w:rPr>
          <w:rFonts w:ascii="宋体" w:hAnsi="宋体" w:cs="宋体"/>
          <w:color w:val="auto"/>
          <w:highlight w:val="none"/>
        </w:rPr>
        <w:t>1</w:t>
      </w:r>
      <w:r>
        <w:rPr>
          <w:rFonts w:hint="eastAsia" w:ascii="宋体" w:hAnsi="宋体" w:cs="宋体"/>
          <w:color w:val="auto"/>
          <w:highlight w:val="none"/>
        </w:rPr>
        <w:t>小时内响应，</w:t>
      </w:r>
      <w:r>
        <w:rPr>
          <w:rFonts w:ascii="宋体" w:hAnsi="宋体" w:cs="宋体"/>
          <w:color w:val="auto"/>
          <w:highlight w:val="none"/>
        </w:rPr>
        <w:t>3</w:t>
      </w:r>
      <w:r>
        <w:rPr>
          <w:rFonts w:hint="eastAsia" w:ascii="宋体" w:hAnsi="宋体" w:cs="宋体"/>
          <w:color w:val="auto"/>
          <w:highlight w:val="none"/>
        </w:rPr>
        <w:t>小时内到达现场，</w:t>
      </w:r>
      <w:r>
        <w:rPr>
          <w:rFonts w:ascii="宋体" w:hAnsi="宋体" w:cs="宋体"/>
          <w:color w:val="auto"/>
          <w:highlight w:val="none"/>
        </w:rPr>
        <w:t>24</w:t>
      </w:r>
      <w:r>
        <w:rPr>
          <w:rFonts w:hint="eastAsia" w:ascii="宋体" w:hAnsi="宋体" w:cs="宋体"/>
          <w:color w:val="auto"/>
          <w:highlight w:val="none"/>
        </w:rPr>
        <w:t>小时内解决故障问题。保修期外只收取甲方零配件成本费，其他免费。</w:t>
      </w:r>
    </w:p>
    <w:p>
      <w:pPr>
        <w:adjustRightInd w:val="0"/>
        <w:snapToGrid w:val="0"/>
        <w:spacing w:line="480" w:lineRule="auto"/>
        <w:ind w:firstLine="480"/>
        <w:jc w:val="left"/>
        <w:rPr>
          <w:rFonts w:ascii="宋体"/>
          <w:color w:val="auto"/>
          <w:highlight w:val="none"/>
        </w:rPr>
      </w:pPr>
      <w:r>
        <w:rPr>
          <w:rFonts w:hint="eastAsia" w:ascii="宋体" w:hAnsi="宋体" w:cs="宋体"/>
          <w:color w:val="auto"/>
          <w:highlight w:val="none"/>
        </w:rPr>
        <w:t>5.乙方未在规定时间内提供原配件或认可的替代配件，甲方有权自行购买，费用由乙方承担。</w:t>
      </w:r>
    </w:p>
    <w:p>
      <w:pPr>
        <w:adjustRightInd w:val="0"/>
        <w:snapToGrid w:val="0"/>
        <w:spacing w:line="480" w:lineRule="auto"/>
        <w:ind w:firstLine="480"/>
        <w:rPr>
          <w:rFonts w:hint="eastAsia" w:ascii="宋体" w:hAnsi="宋体" w:cs="宋体"/>
          <w:color w:val="auto"/>
          <w:highlight w:val="none"/>
        </w:rPr>
      </w:pPr>
      <w:r>
        <w:rPr>
          <w:rFonts w:ascii="宋体" w:hAnsi="宋体" w:cs="宋体"/>
          <w:color w:val="auto"/>
          <w:highlight w:val="none"/>
        </w:rPr>
        <w:t>6</w:t>
      </w:r>
      <w:r>
        <w:rPr>
          <w:rFonts w:hint="eastAsia" w:ascii="宋体" w:hAnsi="宋体" w:cs="宋体"/>
          <w:color w:val="auto"/>
          <w:highlight w:val="none"/>
        </w:rPr>
        <w:t>.其它：</w:t>
      </w:r>
      <w:bookmarkStart w:id="249" w:name="_Toc986"/>
      <w:bookmarkStart w:id="250" w:name="_Toc18890"/>
      <w:bookmarkStart w:id="251" w:name="_Toc20157"/>
      <w:bookmarkStart w:id="252" w:name="_Toc725"/>
      <w:bookmarkStart w:id="253" w:name="_Toc15266"/>
      <w:bookmarkStart w:id="254" w:name="_Toc11940"/>
      <w:bookmarkStart w:id="255" w:name="_Toc24763"/>
      <w:bookmarkStart w:id="256" w:name="_Toc20799"/>
      <w:bookmarkStart w:id="257" w:name="_Toc28562"/>
      <w:bookmarkStart w:id="258" w:name="_Toc16650"/>
      <w:bookmarkStart w:id="259" w:name="_Toc14670"/>
      <w:bookmarkStart w:id="260" w:name="_Toc4653"/>
    </w:p>
    <w:p>
      <w:pPr>
        <w:adjustRightInd w:val="0"/>
        <w:snapToGrid w:val="0"/>
        <w:spacing w:line="480" w:lineRule="auto"/>
        <w:ind w:firstLine="480"/>
        <w:rPr>
          <w:rFonts w:hint="eastAsia"/>
          <w:sz w:val="28"/>
          <w:szCs w:val="28"/>
        </w:rPr>
      </w:pPr>
      <w:r>
        <w:rPr>
          <w:rFonts w:hint="eastAsia"/>
          <w:sz w:val="28"/>
          <w:szCs w:val="28"/>
        </w:rPr>
        <w:t>五、技术服务</w:t>
      </w:r>
      <w:bookmarkEnd w:id="249"/>
      <w:bookmarkEnd w:id="250"/>
      <w:bookmarkEnd w:id="251"/>
      <w:bookmarkEnd w:id="252"/>
      <w:bookmarkEnd w:id="253"/>
      <w:bookmarkEnd w:id="254"/>
      <w:bookmarkEnd w:id="255"/>
      <w:bookmarkEnd w:id="256"/>
      <w:bookmarkEnd w:id="257"/>
      <w:bookmarkEnd w:id="258"/>
      <w:bookmarkEnd w:id="259"/>
      <w:bookmarkEnd w:id="260"/>
    </w:p>
    <w:p>
      <w:pPr>
        <w:adjustRightInd w:val="0"/>
        <w:snapToGrid w:val="0"/>
        <w:spacing w:line="480" w:lineRule="auto"/>
        <w:ind w:firstLine="480"/>
        <w:rPr>
          <w:rFonts w:ascii="宋体"/>
          <w:color w:val="auto"/>
          <w:highlight w:val="none"/>
        </w:rPr>
      </w:pPr>
      <w:r>
        <w:rPr>
          <w:rFonts w:ascii="宋体" w:hAnsi="宋体" w:cs="宋体"/>
          <w:color w:val="auto"/>
          <w:highlight w:val="none"/>
        </w:rPr>
        <w:t>1</w:t>
      </w:r>
      <w:r>
        <w:rPr>
          <w:rFonts w:hint="eastAsia" w:ascii="宋体" w:hAnsi="宋体" w:cs="宋体"/>
          <w:color w:val="auto"/>
          <w:highlight w:val="none"/>
        </w:rPr>
        <w:t>.乙方向甲方免费提供标准安装调试及</w:t>
      </w:r>
      <w:r>
        <w:rPr>
          <w:rFonts w:ascii="宋体" w:hAnsi="宋体" w:cs="宋体"/>
          <w:color w:val="auto"/>
          <w:highlight w:val="none"/>
          <w:u w:val="single"/>
        </w:rPr>
        <w:t xml:space="preserve">   </w:t>
      </w:r>
      <w:r>
        <w:rPr>
          <w:rFonts w:hint="eastAsia" w:ascii="宋体" w:hAnsi="宋体" w:cs="宋体"/>
          <w:color w:val="auto"/>
          <w:highlight w:val="none"/>
        </w:rPr>
        <w:t>人次国内操作培训。</w:t>
      </w:r>
    </w:p>
    <w:p>
      <w:pPr>
        <w:adjustRightInd w:val="0"/>
        <w:snapToGrid w:val="0"/>
        <w:spacing w:line="480" w:lineRule="auto"/>
        <w:ind w:firstLine="480"/>
        <w:rPr>
          <w:rFonts w:ascii="宋体"/>
          <w:color w:val="auto"/>
          <w:highlight w:val="none"/>
        </w:rPr>
      </w:pPr>
      <w:r>
        <w:rPr>
          <w:rFonts w:ascii="宋体" w:hAnsi="宋体" w:cs="宋体"/>
          <w:color w:val="auto"/>
          <w:highlight w:val="none"/>
        </w:rPr>
        <w:t>2</w:t>
      </w:r>
      <w:r>
        <w:rPr>
          <w:rFonts w:hint="eastAsia" w:ascii="宋体" w:hAnsi="宋体" w:cs="宋体"/>
          <w:color w:val="auto"/>
          <w:highlight w:val="none"/>
        </w:rPr>
        <w:t>.乙方向甲方提供设备详细技术、维修及使用资料。</w:t>
      </w:r>
    </w:p>
    <w:p>
      <w:pPr>
        <w:adjustRightInd w:val="0"/>
        <w:snapToGrid w:val="0"/>
        <w:spacing w:line="480" w:lineRule="auto"/>
        <w:ind w:firstLine="480"/>
        <w:rPr>
          <w:rFonts w:ascii="宋体" w:hAnsi="宋体" w:cs="宋体"/>
          <w:color w:val="auto"/>
          <w:highlight w:val="none"/>
        </w:rPr>
      </w:pPr>
      <w:r>
        <w:rPr>
          <w:rFonts w:ascii="宋体" w:hAnsi="宋体" w:cs="宋体"/>
          <w:color w:val="auto"/>
          <w:highlight w:val="none"/>
        </w:rPr>
        <w:t>3</w:t>
      </w:r>
      <w:r>
        <w:rPr>
          <w:rFonts w:hint="eastAsia" w:ascii="宋体" w:hAnsi="宋体" w:cs="宋体"/>
          <w:color w:val="auto"/>
          <w:highlight w:val="none"/>
        </w:rPr>
        <w:t>.软件免费升级和使用。</w:t>
      </w:r>
    </w:p>
    <w:p>
      <w:pPr>
        <w:adjustRightInd w:val="0"/>
        <w:snapToGrid w:val="0"/>
        <w:spacing w:line="480" w:lineRule="auto"/>
        <w:ind w:firstLine="480"/>
        <w:rPr>
          <w:rFonts w:ascii="宋体" w:hAnsi="宋体" w:cs="宋体"/>
          <w:color w:val="auto"/>
          <w:sz w:val="24"/>
          <w:highlight w:val="none"/>
        </w:rPr>
      </w:pPr>
      <w:r>
        <w:rPr>
          <w:rFonts w:hint="eastAsia" w:ascii="宋体" w:hAnsi="宋体" w:cs="宋体"/>
          <w:color w:val="auto"/>
          <w:highlight w:val="none"/>
        </w:rPr>
        <w:t>4.乙方有责任对甲方相关人员实施免费的现场培训或集中培训</w:t>
      </w:r>
      <w:r>
        <w:rPr>
          <w:rFonts w:hint="eastAsia" w:ascii="宋体"/>
          <w:color w:val="auto"/>
          <w:highlight w:val="none"/>
        </w:rPr>
        <w:t>措施，保证甲</w:t>
      </w:r>
      <w:r>
        <w:rPr>
          <w:rFonts w:hint="eastAsia" w:ascii="宋体" w:hAnsi="宋体" w:cs="宋体"/>
          <w:color w:val="auto"/>
          <w:highlight w:val="none"/>
        </w:rPr>
        <w:t>方相关人员能够独立操作、熟练使用、维护和管理</w:t>
      </w:r>
      <w:r>
        <w:rPr>
          <w:rFonts w:hint="eastAsia" w:ascii="宋体"/>
          <w:color w:val="auto"/>
          <w:highlight w:val="none"/>
        </w:rPr>
        <w:t>有关设备。</w:t>
      </w:r>
    </w:p>
    <w:p>
      <w:pPr>
        <w:adjustRightInd w:val="0"/>
        <w:snapToGrid w:val="0"/>
        <w:spacing w:line="480" w:lineRule="auto"/>
        <w:ind w:firstLine="480"/>
        <w:rPr>
          <w:rFonts w:hint="eastAsia"/>
          <w:sz w:val="28"/>
          <w:szCs w:val="28"/>
        </w:rPr>
      </w:pPr>
      <w:bookmarkStart w:id="261" w:name="_Toc15517"/>
      <w:bookmarkStart w:id="262" w:name="_Toc28179"/>
      <w:bookmarkStart w:id="263" w:name="_Toc29898"/>
      <w:bookmarkStart w:id="264" w:name="_Toc9873"/>
      <w:bookmarkStart w:id="265" w:name="_Toc12149"/>
      <w:bookmarkStart w:id="266" w:name="_Toc19611"/>
      <w:bookmarkStart w:id="267" w:name="_Toc8584"/>
      <w:bookmarkStart w:id="268" w:name="_Toc32158"/>
      <w:bookmarkStart w:id="269" w:name="_Toc21907"/>
      <w:bookmarkStart w:id="270" w:name="_Toc23710"/>
      <w:bookmarkStart w:id="271" w:name="_Toc14362"/>
      <w:bookmarkStart w:id="272" w:name="_Toc13834"/>
      <w:r>
        <w:rPr>
          <w:rFonts w:hint="eastAsia"/>
          <w:sz w:val="28"/>
          <w:szCs w:val="28"/>
        </w:rPr>
        <w:t>六、知识产权</w:t>
      </w:r>
      <w:bookmarkEnd w:id="261"/>
      <w:bookmarkEnd w:id="262"/>
      <w:bookmarkEnd w:id="263"/>
      <w:bookmarkEnd w:id="264"/>
      <w:bookmarkEnd w:id="265"/>
      <w:bookmarkEnd w:id="266"/>
      <w:bookmarkEnd w:id="267"/>
      <w:bookmarkEnd w:id="268"/>
      <w:bookmarkEnd w:id="269"/>
      <w:bookmarkEnd w:id="270"/>
      <w:bookmarkEnd w:id="271"/>
      <w:bookmarkEnd w:id="272"/>
    </w:p>
    <w:p>
      <w:pPr>
        <w:adjustRightInd w:val="0"/>
        <w:snapToGrid w:val="0"/>
        <w:spacing w:line="480" w:lineRule="auto"/>
        <w:ind w:firstLine="480"/>
        <w:rPr>
          <w:rFonts w:ascii="宋体"/>
          <w:color w:val="auto"/>
          <w:highlight w:val="none"/>
        </w:rPr>
      </w:pPr>
      <w:r>
        <w:rPr>
          <w:rFonts w:hint="eastAsia" w:ascii="宋体" w:hAnsi="宋体" w:cs="宋体"/>
          <w:color w:val="auto"/>
          <w:highlight w:val="none"/>
        </w:rPr>
        <w:t>乙方应保证甲方在使用该货物或货物的任何一部分时免受第三方提出的侵犯其知识产权、商业秘密权或其他任何权利的起诉。如因此给甲方造成损失，已方承诺赔付甲方遭受的一切损失。</w:t>
      </w:r>
    </w:p>
    <w:p>
      <w:pPr>
        <w:adjustRightInd w:val="0"/>
        <w:snapToGrid w:val="0"/>
        <w:spacing w:line="480" w:lineRule="auto"/>
        <w:ind w:firstLine="480"/>
        <w:rPr>
          <w:rFonts w:hint="eastAsia"/>
          <w:sz w:val="28"/>
          <w:szCs w:val="28"/>
        </w:rPr>
      </w:pPr>
      <w:bookmarkStart w:id="273" w:name="_Toc29791"/>
      <w:bookmarkStart w:id="274" w:name="_Toc13069"/>
      <w:bookmarkStart w:id="275" w:name="_Toc29532"/>
      <w:bookmarkStart w:id="276" w:name="_Toc11329"/>
      <w:bookmarkStart w:id="277" w:name="_Toc1239"/>
      <w:bookmarkStart w:id="278" w:name="_Toc31002"/>
      <w:bookmarkStart w:id="279" w:name="_Toc1117"/>
      <w:bookmarkStart w:id="280" w:name="_Toc17909"/>
      <w:bookmarkStart w:id="281" w:name="_Toc16999"/>
      <w:bookmarkStart w:id="282" w:name="_Toc15786"/>
      <w:bookmarkStart w:id="283" w:name="_Toc23961"/>
      <w:bookmarkStart w:id="284" w:name="_Toc25342"/>
      <w:r>
        <w:rPr>
          <w:rFonts w:hint="eastAsia"/>
          <w:sz w:val="28"/>
          <w:szCs w:val="28"/>
          <w:lang w:val="en-US" w:eastAsia="zh-CN"/>
        </w:rPr>
        <w:t>七、</w:t>
      </w:r>
      <w:r>
        <w:rPr>
          <w:rFonts w:hint="eastAsia"/>
          <w:sz w:val="28"/>
          <w:szCs w:val="28"/>
        </w:rPr>
        <w:t>免税</w:t>
      </w:r>
      <w:bookmarkEnd w:id="273"/>
      <w:bookmarkEnd w:id="274"/>
      <w:bookmarkEnd w:id="275"/>
      <w:bookmarkEnd w:id="276"/>
      <w:bookmarkEnd w:id="277"/>
      <w:bookmarkEnd w:id="278"/>
      <w:bookmarkEnd w:id="279"/>
      <w:bookmarkEnd w:id="280"/>
      <w:bookmarkEnd w:id="281"/>
      <w:bookmarkEnd w:id="282"/>
      <w:bookmarkEnd w:id="283"/>
      <w:bookmarkEnd w:id="284"/>
    </w:p>
    <w:p>
      <w:pPr>
        <w:adjustRightInd w:val="0"/>
        <w:snapToGrid w:val="0"/>
        <w:spacing w:line="480" w:lineRule="auto"/>
        <w:ind w:firstLine="420" w:firstLineChars="200"/>
        <w:rPr>
          <w:rFonts w:hint="eastAsia" w:ascii="宋体" w:hAnsi="宋体" w:cs="宋体"/>
          <w:color w:val="auto"/>
          <w:highlight w:val="none"/>
        </w:rPr>
      </w:pPr>
      <w:bookmarkStart w:id="285" w:name="_Toc11113"/>
      <w:bookmarkStart w:id="286" w:name="_Toc3519"/>
      <w:bookmarkStart w:id="287" w:name="_Toc24977"/>
      <w:bookmarkStart w:id="288" w:name="_Toc24311"/>
      <w:bookmarkStart w:id="289" w:name="_Toc11801"/>
      <w:bookmarkStart w:id="290" w:name="_Toc29014"/>
      <w:bookmarkStart w:id="291" w:name="_Toc1875"/>
      <w:bookmarkStart w:id="292" w:name="_Toc5671"/>
      <w:bookmarkStart w:id="293" w:name="_Toc18462"/>
      <w:bookmarkStart w:id="294" w:name="_Toc16756"/>
      <w:bookmarkStart w:id="295" w:name="_Toc28026"/>
      <w:bookmarkStart w:id="296" w:name="_Toc1979"/>
      <w:r>
        <w:rPr>
          <w:rFonts w:hint="eastAsia" w:ascii="宋体" w:hAnsi="宋体" w:cs="宋体"/>
          <w:color w:val="auto"/>
          <w:highlight w:val="none"/>
        </w:rPr>
        <w:t>1.属于进口产品，用于教学和科研目的的，中标价为免税价格。</w:t>
      </w:r>
      <w:bookmarkEnd w:id="285"/>
      <w:bookmarkEnd w:id="286"/>
      <w:bookmarkEnd w:id="287"/>
      <w:bookmarkEnd w:id="288"/>
      <w:bookmarkEnd w:id="289"/>
      <w:bookmarkEnd w:id="290"/>
      <w:bookmarkEnd w:id="291"/>
      <w:bookmarkEnd w:id="292"/>
      <w:bookmarkEnd w:id="293"/>
      <w:bookmarkEnd w:id="294"/>
      <w:bookmarkEnd w:id="295"/>
      <w:bookmarkEnd w:id="296"/>
    </w:p>
    <w:p>
      <w:pPr>
        <w:adjustRightInd w:val="0"/>
        <w:snapToGrid w:val="0"/>
        <w:spacing w:line="480" w:lineRule="auto"/>
        <w:ind w:firstLine="420" w:firstLineChars="200"/>
        <w:rPr>
          <w:rFonts w:hint="eastAsia" w:ascii="宋体" w:hAnsi="宋体" w:cs="宋体"/>
          <w:color w:val="auto"/>
          <w:highlight w:val="none"/>
        </w:rPr>
      </w:pPr>
      <w:bookmarkStart w:id="297" w:name="_Toc1177"/>
      <w:bookmarkStart w:id="298" w:name="_Toc18087"/>
      <w:bookmarkStart w:id="299" w:name="_Toc14475"/>
      <w:bookmarkStart w:id="300" w:name="_Toc30830"/>
      <w:bookmarkStart w:id="301" w:name="_Toc19590"/>
      <w:bookmarkStart w:id="302" w:name="_Toc31699"/>
      <w:bookmarkStart w:id="303" w:name="_Toc155"/>
      <w:bookmarkStart w:id="304" w:name="_Toc1970"/>
      <w:bookmarkStart w:id="305" w:name="_Toc17728"/>
      <w:bookmarkStart w:id="306" w:name="_Toc11373"/>
      <w:bookmarkStart w:id="307" w:name="_Toc2128"/>
      <w:bookmarkStart w:id="308" w:name="_Toc19121"/>
      <w:r>
        <w:rPr>
          <w:rFonts w:hint="eastAsia" w:ascii="宋体" w:hAnsi="宋体" w:cs="宋体"/>
          <w:color w:val="auto"/>
          <w:highlight w:val="none"/>
        </w:rPr>
        <w:t>2.免税产品应由甲乙双方依据海关的要求签订委托进口代理协议，确认甲乙双方的责任与义务。委托进口代理协议作为本合同的不可分割部分。</w:t>
      </w:r>
      <w:bookmarkEnd w:id="297"/>
      <w:bookmarkEnd w:id="298"/>
      <w:bookmarkEnd w:id="299"/>
      <w:bookmarkEnd w:id="300"/>
      <w:bookmarkEnd w:id="301"/>
      <w:bookmarkEnd w:id="302"/>
      <w:bookmarkEnd w:id="303"/>
      <w:bookmarkEnd w:id="304"/>
      <w:bookmarkEnd w:id="305"/>
      <w:bookmarkEnd w:id="306"/>
      <w:bookmarkEnd w:id="307"/>
      <w:bookmarkEnd w:id="308"/>
    </w:p>
    <w:p>
      <w:pPr>
        <w:adjustRightInd w:val="0"/>
        <w:snapToGrid w:val="0"/>
        <w:spacing w:line="480" w:lineRule="auto"/>
        <w:ind w:firstLine="420" w:firstLineChars="200"/>
        <w:rPr>
          <w:rFonts w:hint="eastAsia" w:ascii="宋体" w:hAnsi="宋体" w:cs="宋体"/>
          <w:color w:val="auto"/>
          <w:highlight w:val="none"/>
        </w:rPr>
      </w:pPr>
      <w:bookmarkStart w:id="309" w:name="_Toc26368"/>
      <w:bookmarkStart w:id="310" w:name="_Toc3364"/>
      <w:bookmarkStart w:id="311" w:name="_Toc13647"/>
      <w:bookmarkStart w:id="312" w:name="_Toc14668"/>
      <w:bookmarkStart w:id="313" w:name="_Toc22164"/>
      <w:bookmarkStart w:id="314" w:name="_Toc13041"/>
      <w:bookmarkStart w:id="315" w:name="_Toc5839"/>
      <w:bookmarkStart w:id="316" w:name="_Toc22128"/>
      <w:bookmarkStart w:id="317" w:name="_Toc6499"/>
      <w:bookmarkStart w:id="318" w:name="_Toc28934"/>
      <w:bookmarkStart w:id="319" w:name="_Toc26102"/>
      <w:bookmarkStart w:id="320" w:name="_Toc5092"/>
      <w:r>
        <w:rPr>
          <w:rFonts w:hint="eastAsia" w:ascii="宋体" w:hAnsi="宋体" w:cs="宋体"/>
          <w:color w:val="auto"/>
          <w:highlight w:val="none"/>
        </w:rPr>
        <w:t>3.免税产品通关时乙方必须进行商检，未商检的，造成的损失由乙方承担。</w:t>
      </w:r>
      <w:bookmarkEnd w:id="309"/>
      <w:bookmarkEnd w:id="310"/>
      <w:bookmarkEnd w:id="311"/>
      <w:bookmarkEnd w:id="312"/>
      <w:bookmarkEnd w:id="313"/>
      <w:bookmarkEnd w:id="314"/>
      <w:bookmarkEnd w:id="315"/>
      <w:bookmarkEnd w:id="316"/>
      <w:bookmarkEnd w:id="317"/>
      <w:bookmarkEnd w:id="318"/>
      <w:bookmarkEnd w:id="319"/>
      <w:bookmarkEnd w:id="320"/>
    </w:p>
    <w:p>
      <w:pPr>
        <w:adjustRightInd w:val="0"/>
        <w:snapToGrid w:val="0"/>
        <w:spacing w:line="480" w:lineRule="auto"/>
        <w:ind w:firstLine="480"/>
        <w:rPr>
          <w:rFonts w:hint="eastAsia"/>
          <w:sz w:val="28"/>
          <w:szCs w:val="28"/>
        </w:rPr>
      </w:pPr>
      <w:bookmarkStart w:id="321" w:name="_Toc30368"/>
      <w:bookmarkStart w:id="322" w:name="_Toc30126"/>
      <w:bookmarkStart w:id="323" w:name="_Toc23270"/>
      <w:bookmarkStart w:id="324" w:name="_Toc15334"/>
      <w:bookmarkStart w:id="325" w:name="_Toc13866"/>
      <w:bookmarkStart w:id="326" w:name="_Toc21210"/>
      <w:bookmarkStart w:id="327" w:name="_Toc31503"/>
      <w:bookmarkStart w:id="328" w:name="_Toc30349"/>
      <w:bookmarkStart w:id="329" w:name="_Toc12897"/>
      <w:bookmarkStart w:id="330" w:name="_Toc4361"/>
      <w:bookmarkStart w:id="331" w:name="_Toc28380"/>
      <w:bookmarkStart w:id="332" w:name="_Toc11555"/>
      <w:r>
        <w:rPr>
          <w:rFonts w:hint="eastAsia"/>
          <w:sz w:val="28"/>
          <w:szCs w:val="28"/>
        </w:rPr>
        <w:t>八、交货时间、地点与方式</w:t>
      </w:r>
      <w:bookmarkEnd w:id="321"/>
      <w:bookmarkEnd w:id="322"/>
      <w:bookmarkEnd w:id="323"/>
      <w:bookmarkEnd w:id="324"/>
      <w:bookmarkEnd w:id="325"/>
      <w:bookmarkEnd w:id="326"/>
      <w:bookmarkEnd w:id="327"/>
      <w:bookmarkEnd w:id="328"/>
      <w:bookmarkEnd w:id="329"/>
      <w:bookmarkEnd w:id="330"/>
      <w:bookmarkEnd w:id="331"/>
      <w:bookmarkEnd w:id="332"/>
    </w:p>
    <w:p>
      <w:pPr>
        <w:adjustRightInd w:val="0"/>
        <w:snapToGrid w:val="0"/>
        <w:spacing w:line="480" w:lineRule="auto"/>
        <w:ind w:firstLine="420" w:firstLineChars="200"/>
        <w:rPr>
          <w:rFonts w:ascii="宋体"/>
          <w:color w:val="auto"/>
          <w:highlight w:val="none"/>
        </w:rPr>
      </w:pPr>
      <w:r>
        <w:rPr>
          <w:rFonts w:ascii="宋体" w:hAnsi="宋体" w:cs="宋体"/>
          <w:color w:val="auto"/>
          <w:highlight w:val="none"/>
        </w:rPr>
        <w:t>1</w:t>
      </w:r>
      <w:r>
        <w:rPr>
          <w:rFonts w:hint="eastAsia" w:ascii="宋体" w:hAnsi="宋体" w:cs="宋体"/>
          <w:color w:val="auto"/>
          <w:highlight w:val="none"/>
        </w:rPr>
        <w:t>.乙方于</w:t>
      </w:r>
      <w:r>
        <w:rPr>
          <w:rFonts w:ascii="宋体" w:hAnsi="宋体" w:cs="宋体"/>
          <w:color w:val="auto"/>
          <w:highlight w:val="none"/>
          <w:u w:val="single"/>
        </w:rPr>
        <w:t xml:space="preserve">    </w:t>
      </w:r>
      <w:r>
        <w:rPr>
          <w:rFonts w:hint="eastAsia" w:ascii="宋体" w:hAnsi="宋体" w:cs="宋体"/>
          <w:b/>
          <w:bCs/>
          <w:color w:val="auto"/>
          <w:highlight w:val="none"/>
        </w:rPr>
        <w:t>年</w:t>
      </w:r>
      <w:r>
        <w:rPr>
          <w:rFonts w:ascii="宋体" w:hAnsi="宋体" w:cs="宋体"/>
          <w:b/>
          <w:bCs/>
          <w:color w:val="auto"/>
          <w:highlight w:val="none"/>
          <w:u w:val="single"/>
        </w:rPr>
        <w:t xml:space="preserve">  </w:t>
      </w:r>
      <w:r>
        <w:rPr>
          <w:rFonts w:hint="eastAsia" w:ascii="宋体" w:hAnsi="宋体" w:cs="宋体"/>
          <w:b/>
          <w:bCs/>
          <w:color w:val="auto"/>
          <w:highlight w:val="none"/>
        </w:rPr>
        <w:t>月</w:t>
      </w:r>
      <w:r>
        <w:rPr>
          <w:rFonts w:ascii="宋体" w:hAnsi="宋体" w:cs="宋体"/>
          <w:b/>
          <w:bCs/>
          <w:color w:val="auto"/>
          <w:highlight w:val="none"/>
          <w:u w:val="single"/>
        </w:rPr>
        <w:t xml:space="preserve">  </w:t>
      </w:r>
      <w:r>
        <w:rPr>
          <w:rFonts w:hint="eastAsia" w:ascii="宋体" w:hAnsi="宋体" w:cs="宋体"/>
          <w:b/>
          <w:bCs/>
          <w:color w:val="auto"/>
          <w:highlight w:val="none"/>
        </w:rPr>
        <w:t>日</w:t>
      </w:r>
      <w:r>
        <w:rPr>
          <w:rFonts w:hint="eastAsia" w:ascii="宋体" w:hAnsi="宋体" w:cs="宋体"/>
          <w:color w:val="auto"/>
          <w:highlight w:val="none"/>
        </w:rPr>
        <w:t>之前将货物按甲方要求在甲方指定地点交货、安装、调试完毕，并具备使用条件，未经甲方允许每推迟一天，按合同总额的千分之五支付违约金。</w:t>
      </w:r>
    </w:p>
    <w:p>
      <w:pPr>
        <w:adjustRightInd w:val="0"/>
        <w:snapToGrid w:val="0"/>
        <w:spacing w:line="480" w:lineRule="auto"/>
        <w:ind w:firstLine="420" w:firstLineChars="200"/>
        <w:rPr>
          <w:rFonts w:ascii="宋体"/>
          <w:color w:val="auto"/>
          <w:highlight w:val="none"/>
        </w:rPr>
      </w:pPr>
      <w:r>
        <w:rPr>
          <w:rFonts w:ascii="宋体" w:hAnsi="宋体" w:cs="宋体"/>
          <w:color w:val="auto"/>
          <w:highlight w:val="none"/>
        </w:rPr>
        <w:t>2</w:t>
      </w:r>
      <w:r>
        <w:rPr>
          <w:rFonts w:hint="eastAsia" w:ascii="宋体" w:hAnsi="宋体" w:cs="宋体"/>
          <w:color w:val="auto"/>
          <w:highlight w:val="none"/>
        </w:rPr>
        <w:t>.乙方负责所供货物包装、运输、安装和调试，并承担所发生的费用；甲方为乙方现场安装提供水、电等便利条件。</w:t>
      </w:r>
    </w:p>
    <w:p>
      <w:pPr>
        <w:adjustRightInd w:val="0"/>
        <w:snapToGrid w:val="0"/>
        <w:spacing w:line="480" w:lineRule="auto"/>
        <w:ind w:firstLine="420" w:firstLineChars="200"/>
        <w:rPr>
          <w:rFonts w:ascii="宋体"/>
          <w:color w:val="auto"/>
          <w:highlight w:val="none"/>
        </w:rPr>
      </w:pPr>
      <w:r>
        <w:rPr>
          <w:rFonts w:ascii="宋体" w:hAnsi="宋体" w:cs="宋体"/>
          <w:color w:val="auto"/>
          <w:highlight w:val="none"/>
        </w:rPr>
        <w:t>3</w:t>
      </w:r>
      <w:r>
        <w:rPr>
          <w:rFonts w:hint="eastAsia" w:ascii="宋体" w:hAnsi="宋体" w:cs="宋体"/>
          <w:color w:val="auto"/>
          <w:highlight w:val="none"/>
        </w:rPr>
        <w:t>.安装过程中若发生安全事故由乙方承担。</w:t>
      </w:r>
    </w:p>
    <w:p>
      <w:pPr>
        <w:adjustRightInd w:val="0"/>
        <w:snapToGrid w:val="0"/>
        <w:spacing w:line="480" w:lineRule="auto"/>
        <w:ind w:firstLine="420" w:firstLineChars="200"/>
        <w:rPr>
          <w:rFonts w:ascii="宋体"/>
          <w:color w:val="auto"/>
          <w:highlight w:val="none"/>
        </w:rPr>
      </w:pPr>
      <w:r>
        <w:rPr>
          <w:rFonts w:ascii="宋体" w:hAnsi="宋体" w:cs="宋体"/>
          <w:color w:val="auto"/>
          <w:highlight w:val="none"/>
        </w:rPr>
        <w:t>4</w:t>
      </w:r>
      <w:r>
        <w:rPr>
          <w:rFonts w:hint="eastAsia" w:ascii="宋体" w:hAnsi="宋体" w:cs="宋体"/>
          <w:color w:val="auto"/>
          <w:highlight w:val="none"/>
        </w:rPr>
        <w:t>.乙方安装人员应服从甲方的管理，遵守国家法律法规和学校相关制度，否则一切后果均由乙方承担。</w:t>
      </w:r>
    </w:p>
    <w:p>
      <w:pPr>
        <w:adjustRightInd w:val="0"/>
        <w:snapToGrid w:val="0"/>
        <w:spacing w:line="480" w:lineRule="auto"/>
        <w:ind w:firstLine="420" w:firstLineChars="200"/>
        <w:rPr>
          <w:rFonts w:ascii="宋体"/>
          <w:color w:val="auto"/>
          <w:highlight w:val="none"/>
        </w:rPr>
      </w:pPr>
      <w:r>
        <w:rPr>
          <w:rFonts w:ascii="宋体" w:hAnsi="宋体" w:cs="宋体"/>
          <w:color w:val="auto"/>
          <w:highlight w:val="none"/>
        </w:rPr>
        <w:t>5</w:t>
      </w:r>
      <w:r>
        <w:rPr>
          <w:rFonts w:hint="eastAsia" w:ascii="宋体" w:hAnsi="宋体" w:cs="宋体"/>
          <w:color w:val="auto"/>
          <w:highlight w:val="none"/>
        </w:rPr>
        <w:t>.货物交付使用前，乙方负责对提供货物进行看管，并承担货物的丢失、损毁等风险。</w:t>
      </w:r>
    </w:p>
    <w:p>
      <w:pPr>
        <w:adjustRightInd w:val="0"/>
        <w:snapToGrid w:val="0"/>
        <w:spacing w:line="480" w:lineRule="auto"/>
        <w:ind w:firstLine="480"/>
        <w:rPr>
          <w:rFonts w:hint="eastAsia"/>
          <w:sz w:val="28"/>
          <w:szCs w:val="28"/>
        </w:rPr>
      </w:pPr>
      <w:bookmarkStart w:id="333" w:name="_Toc25151"/>
      <w:bookmarkStart w:id="334" w:name="_Toc10736"/>
      <w:bookmarkStart w:id="335" w:name="_Toc4913"/>
      <w:bookmarkStart w:id="336" w:name="_Toc696"/>
      <w:bookmarkStart w:id="337" w:name="_Toc13490"/>
      <w:bookmarkStart w:id="338" w:name="_Toc15451"/>
      <w:bookmarkStart w:id="339" w:name="_Toc29138"/>
      <w:bookmarkStart w:id="340" w:name="_Toc31045"/>
      <w:bookmarkStart w:id="341" w:name="_Toc19582"/>
      <w:bookmarkStart w:id="342" w:name="_Toc28806"/>
      <w:bookmarkStart w:id="343" w:name="_Toc14039"/>
      <w:bookmarkStart w:id="344" w:name="_Toc13273"/>
      <w:r>
        <w:rPr>
          <w:rFonts w:hint="eastAsia"/>
          <w:sz w:val="28"/>
          <w:szCs w:val="28"/>
        </w:rPr>
        <w:t>九、验收方式</w:t>
      </w:r>
      <w:bookmarkEnd w:id="333"/>
      <w:bookmarkEnd w:id="334"/>
      <w:bookmarkEnd w:id="335"/>
      <w:bookmarkEnd w:id="336"/>
      <w:bookmarkEnd w:id="337"/>
      <w:bookmarkEnd w:id="338"/>
      <w:bookmarkEnd w:id="339"/>
      <w:bookmarkEnd w:id="340"/>
      <w:bookmarkEnd w:id="341"/>
      <w:bookmarkEnd w:id="342"/>
      <w:bookmarkEnd w:id="343"/>
      <w:bookmarkEnd w:id="344"/>
    </w:p>
    <w:p>
      <w:pPr>
        <w:adjustRightInd w:val="0"/>
        <w:snapToGrid w:val="0"/>
        <w:spacing w:line="480" w:lineRule="auto"/>
        <w:ind w:firstLine="420" w:firstLineChars="200"/>
        <w:rPr>
          <w:rFonts w:hint="eastAsia" w:ascii="宋体" w:hAnsi="宋体" w:cs="宋体"/>
          <w:color w:val="auto"/>
          <w:highlight w:val="none"/>
        </w:rPr>
      </w:pPr>
      <w:bookmarkStart w:id="345" w:name="_Toc29690"/>
      <w:bookmarkStart w:id="346" w:name="_Toc14378"/>
      <w:bookmarkStart w:id="347" w:name="_Toc22145"/>
      <w:bookmarkStart w:id="348" w:name="_Toc7867"/>
      <w:bookmarkStart w:id="349" w:name="_Toc7890"/>
      <w:bookmarkStart w:id="350" w:name="_Toc26894"/>
      <w:bookmarkStart w:id="351" w:name="_Toc97"/>
      <w:bookmarkStart w:id="352" w:name="_Toc26886"/>
      <w:bookmarkStart w:id="353" w:name="_Toc21704"/>
      <w:bookmarkStart w:id="354" w:name="_Toc18791"/>
      <w:bookmarkStart w:id="355" w:name="_Toc19808"/>
      <w:bookmarkStart w:id="356" w:name="_Toc15556"/>
      <w:r>
        <w:rPr>
          <w:rFonts w:hint="eastAsia" w:ascii="宋体" w:hAnsi="宋体" w:cs="宋体"/>
          <w:color w:val="auto"/>
          <w:highlight w:val="none"/>
        </w:rPr>
        <w:t>1.初步验收。甲方按合同所列质量标准、规格型号、技术参数以及数量等在现场验收，并填写初步验收单（详见附件4）。验收时，甲方有权提出采用技术和破坏相结合的方法。</w:t>
      </w:r>
      <w:bookmarkEnd w:id="345"/>
      <w:bookmarkEnd w:id="346"/>
      <w:bookmarkEnd w:id="347"/>
      <w:bookmarkEnd w:id="348"/>
      <w:bookmarkEnd w:id="349"/>
      <w:bookmarkEnd w:id="350"/>
      <w:bookmarkEnd w:id="351"/>
      <w:bookmarkEnd w:id="352"/>
      <w:bookmarkEnd w:id="353"/>
      <w:bookmarkEnd w:id="354"/>
      <w:bookmarkEnd w:id="355"/>
      <w:bookmarkEnd w:id="356"/>
    </w:p>
    <w:p>
      <w:pPr>
        <w:adjustRightInd w:val="0"/>
        <w:snapToGrid w:val="0"/>
        <w:spacing w:line="480" w:lineRule="auto"/>
        <w:ind w:firstLine="420" w:firstLineChars="200"/>
        <w:rPr>
          <w:rFonts w:hint="eastAsia" w:ascii="宋体" w:hAnsi="宋体" w:cs="宋体"/>
          <w:color w:val="auto"/>
          <w:highlight w:val="none"/>
        </w:rPr>
      </w:pPr>
      <w:bookmarkStart w:id="357" w:name="_Toc22449"/>
      <w:bookmarkStart w:id="358" w:name="_Toc8836"/>
      <w:bookmarkStart w:id="359" w:name="_Toc5134"/>
      <w:bookmarkStart w:id="360" w:name="_Toc10990"/>
      <w:bookmarkStart w:id="361" w:name="_Toc11882"/>
      <w:bookmarkStart w:id="362" w:name="_Toc12359"/>
      <w:bookmarkStart w:id="363" w:name="_Toc17887"/>
      <w:bookmarkStart w:id="364" w:name="_Toc26422"/>
      <w:bookmarkStart w:id="365" w:name="_Toc26782"/>
      <w:bookmarkStart w:id="366" w:name="_Toc27881"/>
      <w:bookmarkStart w:id="367" w:name="_Toc29165"/>
      <w:bookmarkStart w:id="368" w:name="_Toc22874"/>
      <w:r>
        <w:rPr>
          <w:rFonts w:hint="eastAsia" w:ascii="宋体" w:hAnsi="宋体" w:cs="宋体"/>
          <w:color w:val="auto"/>
          <w:highlight w:val="none"/>
        </w:rPr>
        <w:t>乙方应向甲方移交所供设备完整的使用说明书、合格证及相关资料。乙方在所有设备（工程）安装调试、软件安装完毕后，开展现场培训，使用户能够独立熟练操作使用仪器或设备，</w:t>
      </w:r>
      <w:r>
        <w:rPr>
          <w:rFonts w:hint="eastAsia" w:ascii="宋体" w:hAnsi="宋体" w:cs="宋体"/>
          <w:color w:val="auto"/>
          <w:highlight w:val="none"/>
          <w:lang w:val="en-US" w:eastAsia="zh-CN"/>
        </w:rPr>
        <w:t>而</w:t>
      </w:r>
      <w:r>
        <w:rPr>
          <w:rFonts w:hint="eastAsia" w:ascii="宋体" w:hAnsi="宋体" w:cs="宋体"/>
          <w:color w:val="auto"/>
          <w:highlight w:val="none"/>
        </w:rPr>
        <w:t>后由供需双方共同初步验收；甲乙双方如产生异议，由第三方重新进行验收。如果乙方提供的货物与合同不符，甲方有权拒绝验收，由此所产生的一切费用由乙方承担。</w:t>
      </w:r>
      <w:bookmarkEnd w:id="357"/>
      <w:bookmarkEnd w:id="358"/>
      <w:bookmarkEnd w:id="359"/>
      <w:bookmarkEnd w:id="360"/>
      <w:bookmarkEnd w:id="361"/>
      <w:bookmarkEnd w:id="362"/>
      <w:bookmarkEnd w:id="363"/>
      <w:bookmarkEnd w:id="364"/>
      <w:bookmarkEnd w:id="365"/>
      <w:bookmarkEnd w:id="366"/>
      <w:bookmarkEnd w:id="367"/>
      <w:bookmarkEnd w:id="368"/>
    </w:p>
    <w:p>
      <w:pPr>
        <w:adjustRightInd w:val="0"/>
        <w:snapToGrid w:val="0"/>
        <w:spacing w:line="480" w:lineRule="auto"/>
        <w:ind w:firstLine="420" w:firstLineChars="200"/>
        <w:rPr>
          <w:rFonts w:hint="eastAsia" w:ascii="宋体" w:hAnsi="宋体" w:cs="宋体"/>
          <w:color w:val="auto"/>
          <w:highlight w:val="none"/>
        </w:rPr>
      </w:pPr>
      <w:bookmarkStart w:id="369" w:name="_Toc22345"/>
      <w:bookmarkStart w:id="370" w:name="_Toc10443"/>
      <w:bookmarkStart w:id="371" w:name="_Toc31876"/>
      <w:bookmarkStart w:id="372" w:name="_Toc22041"/>
      <w:bookmarkStart w:id="373" w:name="_Toc9222"/>
      <w:bookmarkStart w:id="374" w:name="_Toc18064"/>
      <w:bookmarkStart w:id="375" w:name="_Toc324"/>
      <w:bookmarkStart w:id="376" w:name="_Toc770"/>
      <w:bookmarkStart w:id="377" w:name="_Toc12665"/>
      <w:bookmarkStart w:id="378" w:name="_Toc5330"/>
      <w:bookmarkStart w:id="379" w:name="_Toc20569"/>
      <w:bookmarkStart w:id="380" w:name="_Toc9901"/>
      <w:r>
        <w:rPr>
          <w:rFonts w:hint="eastAsia" w:ascii="宋体" w:hAnsi="宋体" w:cs="宋体"/>
          <w:color w:val="auto"/>
          <w:highlight w:val="none"/>
        </w:rPr>
        <w:t>2.正式验收：依据河南省财政厅“《关于加强政府采购合同监督管理工作的通知》【豫财购（2010）24号】”文件要求，政府采购合同金额50万元以上的货物采购项目，由使用单位初验合格后，向</w:t>
      </w:r>
      <w:r>
        <w:rPr>
          <w:rFonts w:hint="eastAsia" w:ascii="宋体" w:hAnsi="宋体" w:cs="宋体"/>
          <w:color w:val="auto"/>
          <w:highlight w:val="none"/>
          <w:lang w:val="en-US" w:eastAsia="zh-CN"/>
        </w:rPr>
        <w:t>资产与财务部</w:t>
      </w:r>
      <w:r>
        <w:rPr>
          <w:rFonts w:hint="eastAsia" w:ascii="宋体" w:hAnsi="宋体" w:cs="宋体"/>
          <w:color w:val="auto"/>
          <w:highlight w:val="none"/>
        </w:rPr>
        <w:t>提出验收申请，由采购单位领导牵头，会同财务、审计、资产管理及专家成立验收专家组进行正式验收。学校验收通过后，才能支付合同款项。</w:t>
      </w:r>
      <w:bookmarkEnd w:id="369"/>
      <w:bookmarkEnd w:id="370"/>
      <w:bookmarkEnd w:id="371"/>
      <w:bookmarkEnd w:id="372"/>
      <w:bookmarkEnd w:id="373"/>
      <w:bookmarkEnd w:id="374"/>
      <w:bookmarkEnd w:id="375"/>
      <w:bookmarkEnd w:id="376"/>
      <w:bookmarkEnd w:id="377"/>
      <w:bookmarkEnd w:id="378"/>
      <w:bookmarkEnd w:id="379"/>
      <w:bookmarkEnd w:id="380"/>
    </w:p>
    <w:p>
      <w:pPr>
        <w:adjustRightInd w:val="0"/>
        <w:snapToGrid w:val="0"/>
        <w:spacing w:line="480" w:lineRule="auto"/>
        <w:ind w:firstLine="480"/>
        <w:rPr>
          <w:rFonts w:hint="eastAsia"/>
          <w:sz w:val="28"/>
          <w:szCs w:val="28"/>
        </w:rPr>
      </w:pPr>
      <w:bookmarkStart w:id="381" w:name="_Toc4669"/>
      <w:bookmarkStart w:id="382" w:name="_Toc6989"/>
      <w:bookmarkStart w:id="383" w:name="_Toc14062"/>
      <w:bookmarkStart w:id="384" w:name="_Toc4238"/>
      <w:bookmarkStart w:id="385" w:name="_Toc27285"/>
      <w:bookmarkStart w:id="386" w:name="_Toc22270"/>
      <w:bookmarkStart w:id="387" w:name="_Toc4976"/>
      <w:bookmarkStart w:id="388" w:name="_Toc15751"/>
      <w:bookmarkStart w:id="389" w:name="_Toc31667"/>
      <w:bookmarkStart w:id="390" w:name="_Toc17577"/>
      <w:bookmarkStart w:id="391" w:name="_Toc20137"/>
      <w:bookmarkStart w:id="392" w:name="_Toc19151"/>
      <w:r>
        <w:rPr>
          <w:rFonts w:hint="eastAsia"/>
          <w:sz w:val="28"/>
          <w:szCs w:val="28"/>
        </w:rPr>
        <w:t>十、付款方式及条件</w:t>
      </w:r>
      <w:bookmarkEnd w:id="381"/>
      <w:bookmarkEnd w:id="382"/>
      <w:bookmarkEnd w:id="383"/>
      <w:bookmarkEnd w:id="384"/>
      <w:bookmarkEnd w:id="385"/>
      <w:bookmarkEnd w:id="386"/>
      <w:bookmarkEnd w:id="387"/>
      <w:bookmarkEnd w:id="388"/>
      <w:bookmarkEnd w:id="389"/>
      <w:bookmarkEnd w:id="390"/>
      <w:bookmarkEnd w:id="391"/>
      <w:bookmarkEnd w:id="392"/>
    </w:p>
    <w:p>
      <w:pPr>
        <w:adjustRightInd w:val="0"/>
        <w:snapToGrid w:val="0"/>
        <w:spacing w:line="480" w:lineRule="auto"/>
        <w:ind w:left="480"/>
        <w:rPr>
          <w:rFonts w:ascii="宋体" w:hAnsi="宋体" w:cs="宋体"/>
          <w:color w:val="auto"/>
          <w:highlight w:val="none"/>
        </w:rPr>
      </w:pPr>
      <w:r>
        <w:rPr>
          <w:rFonts w:hint="eastAsia" w:ascii="宋体" w:hAnsi="宋体" w:cs="宋体"/>
          <w:color w:val="auto"/>
          <w:highlight w:val="none"/>
        </w:rPr>
        <w:t>1.本合同总价款（大写）为：</w:t>
      </w:r>
      <w:r>
        <w:rPr>
          <w:rFonts w:ascii="宋体" w:hAnsi="宋体" w:cs="宋体"/>
          <w:b/>
          <w:bCs/>
          <w:color w:val="auto"/>
          <w:kern w:val="0"/>
          <w:highlight w:val="none"/>
          <w:u w:val="single"/>
        </w:rPr>
        <w:t xml:space="preserve">                 </w:t>
      </w:r>
      <w:r>
        <w:rPr>
          <w:rFonts w:hint="eastAsia" w:ascii="宋体" w:hAnsi="宋体" w:cs="宋体"/>
          <w:b/>
          <w:bCs/>
          <w:color w:val="auto"/>
          <w:kern w:val="0"/>
          <w:highlight w:val="none"/>
          <w:u w:val="single"/>
        </w:rPr>
        <w:t>（小写：</w:t>
      </w:r>
      <w:r>
        <w:rPr>
          <w:rFonts w:ascii="Arial" w:hAnsi="Arial" w:cs="Arial"/>
          <w:b/>
          <w:bCs/>
          <w:color w:val="auto"/>
          <w:kern w:val="0"/>
          <w:highlight w:val="none"/>
          <w:u w:val="single"/>
        </w:rPr>
        <w:t>¥</w:t>
      </w:r>
      <w:r>
        <w:rPr>
          <w:rFonts w:ascii="宋体" w:hAnsi="宋体" w:cs="宋体"/>
          <w:b/>
          <w:bCs/>
          <w:color w:val="auto"/>
          <w:kern w:val="0"/>
          <w:highlight w:val="none"/>
          <w:u w:val="single"/>
        </w:rPr>
        <w:t xml:space="preserve">     </w:t>
      </w:r>
      <w:r>
        <w:rPr>
          <w:rFonts w:hint="eastAsia" w:ascii="宋体" w:hAnsi="宋体" w:cs="宋体"/>
          <w:b/>
          <w:bCs/>
          <w:color w:val="auto"/>
          <w:kern w:val="0"/>
          <w:highlight w:val="none"/>
          <w:u w:val="single"/>
        </w:rPr>
        <w:t>元）</w:t>
      </w:r>
      <w:r>
        <w:rPr>
          <w:rFonts w:hint="eastAsia" w:ascii="宋体" w:hAnsi="宋体" w:cs="宋体"/>
          <w:color w:val="auto"/>
          <w:highlight w:val="none"/>
        </w:rPr>
        <w:t>。</w:t>
      </w:r>
    </w:p>
    <w:p>
      <w:pPr>
        <w:adjustRightInd w:val="0"/>
        <w:snapToGrid w:val="0"/>
        <w:spacing w:line="480" w:lineRule="auto"/>
        <w:ind w:left="480"/>
        <w:rPr>
          <w:rFonts w:cs="宋体"/>
          <w:color w:val="auto"/>
          <w:sz w:val="24"/>
          <w:highlight w:val="none"/>
        </w:rPr>
      </w:pPr>
      <w:r>
        <w:rPr>
          <w:rFonts w:ascii="宋体" w:hAnsi="宋体" w:cs="宋体"/>
          <w:color w:val="auto"/>
          <w:highlight w:val="none"/>
        </w:rPr>
        <w:t>2</w:t>
      </w:r>
      <w:r>
        <w:rPr>
          <w:rFonts w:hint="eastAsia" w:ascii="宋体" w:hAnsi="宋体" w:cs="宋体"/>
          <w:color w:val="auto"/>
          <w:highlight w:val="none"/>
        </w:rPr>
        <w:t>.付款方式：货物验收合格后，经审计后，甲方向乙方支付审定金额的95％；质保期满后，甲方向乙方支付剩余的全部货款。</w:t>
      </w:r>
    </w:p>
    <w:p>
      <w:pPr>
        <w:adjustRightInd w:val="0"/>
        <w:snapToGrid w:val="0"/>
        <w:spacing w:line="480" w:lineRule="auto"/>
        <w:ind w:firstLine="480"/>
        <w:rPr>
          <w:rFonts w:hint="eastAsia"/>
          <w:sz w:val="28"/>
          <w:szCs w:val="28"/>
        </w:rPr>
      </w:pPr>
      <w:bookmarkStart w:id="393" w:name="_Toc22187"/>
      <w:bookmarkStart w:id="394" w:name="_Toc3377"/>
      <w:bookmarkStart w:id="395" w:name="_Toc11102"/>
      <w:bookmarkStart w:id="396" w:name="_Toc6132"/>
      <w:bookmarkStart w:id="397" w:name="_Toc8810"/>
      <w:bookmarkStart w:id="398" w:name="_Toc23985"/>
      <w:bookmarkStart w:id="399" w:name="_Toc17988"/>
      <w:bookmarkStart w:id="400" w:name="_Toc29602"/>
      <w:bookmarkStart w:id="401" w:name="_Toc12570"/>
      <w:bookmarkStart w:id="402" w:name="_Toc30148"/>
      <w:bookmarkStart w:id="403" w:name="_Toc6109"/>
      <w:bookmarkStart w:id="404" w:name="_Toc8626"/>
      <w:r>
        <w:rPr>
          <w:rFonts w:hint="eastAsia"/>
          <w:sz w:val="28"/>
          <w:szCs w:val="28"/>
        </w:rPr>
        <w:t>十一、履约担保</w:t>
      </w:r>
      <w:bookmarkEnd w:id="393"/>
      <w:bookmarkEnd w:id="394"/>
      <w:bookmarkEnd w:id="395"/>
      <w:bookmarkEnd w:id="396"/>
      <w:bookmarkEnd w:id="397"/>
      <w:bookmarkEnd w:id="398"/>
      <w:bookmarkEnd w:id="399"/>
      <w:bookmarkEnd w:id="400"/>
      <w:bookmarkEnd w:id="401"/>
      <w:bookmarkEnd w:id="402"/>
      <w:bookmarkEnd w:id="403"/>
      <w:bookmarkEnd w:id="404"/>
    </w:p>
    <w:p>
      <w:pPr>
        <w:adjustRightInd w:val="0"/>
        <w:snapToGrid w:val="0"/>
        <w:spacing w:line="480" w:lineRule="auto"/>
        <w:ind w:firstLine="420" w:firstLineChars="200"/>
        <w:rPr>
          <w:rFonts w:hint="eastAsia" w:ascii="宋体" w:hAnsi="宋体" w:cs="宋体"/>
          <w:color w:val="auto"/>
          <w:highlight w:val="none"/>
        </w:rPr>
      </w:pPr>
      <w:bookmarkStart w:id="405" w:name="_Toc22357"/>
      <w:bookmarkStart w:id="406" w:name="_Toc19640"/>
      <w:bookmarkStart w:id="407" w:name="_Toc29221"/>
      <w:bookmarkStart w:id="408" w:name="_Toc5667"/>
      <w:bookmarkStart w:id="409" w:name="_Toc19494"/>
      <w:bookmarkStart w:id="410" w:name="_Toc9130"/>
      <w:bookmarkStart w:id="411" w:name="_Toc13355"/>
      <w:bookmarkStart w:id="412" w:name="_Toc24953"/>
      <w:bookmarkStart w:id="413" w:name="_Toc14142"/>
      <w:bookmarkStart w:id="414" w:name="_Toc6055"/>
      <w:bookmarkStart w:id="415" w:name="_Toc6373"/>
      <w:bookmarkStart w:id="416" w:name="_Toc15438"/>
      <w:r>
        <w:rPr>
          <w:rFonts w:hint="eastAsia" w:ascii="宋体" w:hAnsi="宋体" w:cs="宋体"/>
          <w:color w:val="auto"/>
          <w:highlight w:val="none"/>
        </w:rPr>
        <w:t>合同履约担保条款 (100万元以下不强制提供保函或现金履约担保)</w:t>
      </w:r>
      <w:bookmarkEnd w:id="405"/>
      <w:bookmarkEnd w:id="406"/>
      <w:bookmarkEnd w:id="407"/>
      <w:bookmarkEnd w:id="408"/>
      <w:bookmarkEnd w:id="409"/>
      <w:bookmarkEnd w:id="410"/>
      <w:bookmarkEnd w:id="411"/>
    </w:p>
    <w:p>
      <w:pPr>
        <w:adjustRightInd w:val="0"/>
        <w:snapToGrid w:val="0"/>
        <w:spacing w:line="480" w:lineRule="auto"/>
        <w:ind w:firstLine="420" w:firstLineChars="200"/>
        <w:rPr>
          <w:rFonts w:hint="eastAsia" w:ascii="宋体" w:hAnsi="宋体" w:cs="宋体"/>
          <w:color w:val="auto"/>
          <w:highlight w:val="none"/>
        </w:rPr>
      </w:pPr>
      <w:bookmarkStart w:id="417" w:name="_Toc28185"/>
      <w:bookmarkStart w:id="418" w:name="_Toc17454"/>
      <w:bookmarkStart w:id="419" w:name="_Toc7732"/>
      <w:bookmarkStart w:id="420" w:name="_Toc1048"/>
      <w:bookmarkStart w:id="421" w:name="_Toc706"/>
      <w:bookmarkStart w:id="422" w:name="_Toc30686"/>
      <w:bookmarkStart w:id="423" w:name="_Toc27277"/>
      <w:r>
        <w:rPr>
          <w:rFonts w:hint="eastAsia" w:ascii="宋体" w:hAnsi="宋体" w:cs="宋体"/>
          <w:color w:val="auto"/>
          <w:highlight w:val="none"/>
        </w:rPr>
        <w:t>履约担保金额：合同总额的5%</w:t>
      </w:r>
      <w:bookmarkEnd w:id="417"/>
      <w:bookmarkEnd w:id="418"/>
      <w:bookmarkEnd w:id="419"/>
      <w:bookmarkEnd w:id="420"/>
      <w:bookmarkEnd w:id="421"/>
      <w:bookmarkEnd w:id="422"/>
      <w:bookmarkEnd w:id="423"/>
    </w:p>
    <w:p>
      <w:pPr>
        <w:adjustRightInd w:val="0"/>
        <w:snapToGrid w:val="0"/>
        <w:spacing w:line="480" w:lineRule="auto"/>
        <w:ind w:firstLine="420" w:firstLineChars="200"/>
        <w:rPr>
          <w:rFonts w:hint="eastAsia" w:ascii="宋体" w:hAnsi="宋体" w:cs="宋体"/>
          <w:color w:val="auto"/>
          <w:highlight w:val="none"/>
        </w:rPr>
      </w:pPr>
      <w:bookmarkStart w:id="424" w:name="_Toc6782"/>
      <w:bookmarkStart w:id="425" w:name="_Toc19843"/>
      <w:bookmarkStart w:id="426" w:name="_Toc9193"/>
      <w:bookmarkStart w:id="427" w:name="_Toc21994"/>
      <w:bookmarkStart w:id="428" w:name="_Toc8477"/>
      <w:bookmarkStart w:id="429" w:name="_Toc27091"/>
      <w:bookmarkStart w:id="430" w:name="_Toc15796"/>
      <w:r>
        <w:rPr>
          <w:rFonts w:hint="eastAsia" w:ascii="宋体" w:hAnsi="宋体" w:cs="宋体"/>
          <w:color w:val="auto"/>
          <w:highlight w:val="none"/>
        </w:rPr>
        <w:t>履约担保方式：乙方以银行保函方式在合同签订前向甲方采购单位提供履约担保，验收合格，正式交付使用后退还。</w:t>
      </w:r>
      <w:bookmarkEnd w:id="424"/>
      <w:bookmarkEnd w:id="425"/>
      <w:bookmarkEnd w:id="426"/>
      <w:bookmarkEnd w:id="427"/>
      <w:bookmarkEnd w:id="428"/>
      <w:bookmarkEnd w:id="429"/>
      <w:bookmarkEnd w:id="430"/>
    </w:p>
    <w:p>
      <w:pPr>
        <w:adjustRightInd w:val="0"/>
        <w:snapToGrid w:val="0"/>
        <w:spacing w:line="480" w:lineRule="auto"/>
        <w:ind w:firstLine="480"/>
        <w:rPr>
          <w:rFonts w:hint="eastAsia"/>
          <w:sz w:val="28"/>
          <w:szCs w:val="28"/>
        </w:rPr>
      </w:pPr>
      <w:bookmarkStart w:id="431" w:name="_Toc28038"/>
      <w:bookmarkStart w:id="432" w:name="_Toc13855"/>
      <w:bookmarkStart w:id="433" w:name="_Toc31316"/>
      <w:bookmarkStart w:id="434" w:name="_Toc23093"/>
      <w:bookmarkStart w:id="435" w:name="_Toc26722"/>
      <w:bookmarkStart w:id="436" w:name="_Toc22348"/>
      <w:bookmarkStart w:id="437" w:name="_Toc18027"/>
      <w:r>
        <w:rPr>
          <w:rFonts w:hint="eastAsia"/>
          <w:sz w:val="28"/>
          <w:szCs w:val="28"/>
        </w:rPr>
        <w:t>十二、违约责任</w:t>
      </w:r>
      <w:bookmarkEnd w:id="412"/>
      <w:bookmarkEnd w:id="413"/>
      <w:bookmarkEnd w:id="414"/>
      <w:bookmarkEnd w:id="415"/>
      <w:bookmarkEnd w:id="416"/>
      <w:bookmarkEnd w:id="431"/>
      <w:bookmarkEnd w:id="432"/>
      <w:bookmarkEnd w:id="433"/>
      <w:bookmarkEnd w:id="434"/>
      <w:bookmarkEnd w:id="435"/>
      <w:bookmarkEnd w:id="436"/>
      <w:bookmarkEnd w:id="437"/>
    </w:p>
    <w:p>
      <w:pPr>
        <w:adjustRightInd w:val="0"/>
        <w:snapToGrid w:val="0"/>
        <w:spacing w:line="480" w:lineRule="auto"/>
        <w:ind w:firstLine="420" w:firstLineChars="200"/>
        <w:rPr>
          <w:rFonts w:hint="eastAsia" w:ascii="宋体" w:hAnsi="宋体" w:cs="宋体"/>
          <w:color w:val="auto"/>
          <w:highlight w:val="none"/>
        </w:rPr>
      </w:pPr>
      <w:r>
        <w:rPr>
          <w:rFonts w:hint="eastAsia" w:ascii="宋体" w:hAnsi="宋体" w:cs="宋体"/>
          <w:color w:val="auto"/>
          <w:highlight w:val="none"/>
        </w:rPr>
        <w:t>乙方所交的货物产地、品牌、型号、规格、质量以及技术标准、数量等不符合合同要求，甲方有权拒收，由此产生的一切费用由乙方负责；因货物更换而造成逾期交货，则按逾期交货处理，乙方应向甲方每天支付合同标总额日千分之五的违约金。</w:t>
      </w:r>
    </w:p>
    <w:p>
      <w:pPr>
        <w:adjustRightInd w:val="0"/>
        <w:snapToGrid w:val="0"/>
        <w:spacing w:line="480" w:lineRule="auto"/>
        <w:ind w:firstLine="420" w:firstLineChars="200"/>
        <w:rPr>
          <w:rFonts w:hint="eastAsia" w:ascii="宋体" w:hAnsi="宋体" w:cs="宋体"/>
          <w:color w:val="auto"/>
          <w:highlight w:val="none"/>
        </w:rPr>
      </w:pPr>
      <w:r>
        <w:rPr>
          <w:rFonts w:hint="eastAsia" w:ascii="宋体" w:hAnsi="宋体" w:cs="宋体"/>
          <w:color w:val="auto"/>
          <w:highlight w:val="none"/>
        </w:rPr>
        <w:t>甲方无正当理由拒收设备，应向乙方偿付拒收设备款额百分之五的违约金。甲方逾期付款，应向乙方支付本合同标的总额的日万分之四的违约金。</w:t>
      </w:r>
    </w:p>
    <w:p>
      <w:pPr>
        <w:adjustRightInd w:val="0"/>
        <w:snapToGrid w:val="0"/>
        <w:spacing w:line="480" w:lineRule="auto"/>
        <w:ind w:firstLine="480"/>
        <w:rPr>
          <w:rFonts w:hint="eastAsia"/>
          <w:sz w:val="28"/>
          <w:szCs w:val="28"/>
        </w:rPr>
      </w:pPr>
      <w:bookmarkStart w:id="438" w:name="_Toc24143"/>
      <w:bookmarkStart w:id="439" w:name="_Toc29364"/>
      <w:bookmarkStart w:id="440" w:name="_Toc6667"/>
      <w:bookmarkStart w:id="441" w:name="_Toc2985"/>
      <w:bookmarkStart w:id="442" w:name="_Toc4984"/>
      <w:bookmarkStart w:id="443" w:name="_Toc12845"/>
      <w:bookmarkStart w:id="444" w:name="_Toc20456"/>
      <w:bookmarkStart w:id="445" w:name="_Toc17486"/>
      <w:bookmarkStart w:id="446" w:name="_Toc107"/>
      <w:bookmarkStart w:id="447" w:name="_Toc31546"/>
      <w:bookmarkStart w:id="448" w:name="_Toc6376"/>
      <w:bookmarkStart w:id="449" w:name="_Toc16491"/>
      <w:r>
        <w:rPr>
          <w:rFonts w:hint="eastAsia"/>
          <w:sz w:val="28"/>
          <w:szCs w:val="28"/>
        </w:rPr>
        <w:t>十三、其它</w:t>
      </w:r>
      <w:bookmarkEnd w:id="438"/>
      <w:bookmarkEnd w:id="439"/>
      <w:bookmarkEnd w:id="440"/>
      <w:bookmarkEnd w:id="441"/>
      <w:bookmarkEnd w:id="442"/>
      <w:bookmarkEnd w:id="443"/>
      <w:bookmarkEnd w:id="444"/>
      <w:bookmarkEnd w:id="445"/>
      <w:bookmarkEnd w:id="446"/>
      <w:bookmarkEnd w:id="447"/>
      <w:bookmarkEnd w:id="448"/>
      <w:bookmarkEnd w:id="449"/>
    </w:p>
    <w:p>
      <w:pPr>
        <w:adjustRightInd w:val="0"/>
        <w:snapToGrid w:val="0"/>
        <w:spacing w:line="480" w:lineRule="auto"/>
        <w:ind w:firstLine="420" w:firstLineChars="200"/>
        <w:rPr>
          <w:rFonts w:hint="eastAsia" w:ascii="宋体" w:hAnsi="宋体" w:cs="宋体"/>
          <w:color w:val="auto"/>
          <w:highlight w:val="none"/>
        </w:rPr>
      </w:pPr>
      <w:r>
        <w:rPr>
          <w:rFonts w:hint="eastAsia" w:ascii="宋体" w:hAnsi="宋体" w:cs="宋体"/>
          <w:color w:val="auto"/>
          <w:highlight w:val="none"/>
        </w:rPr>
        <w:t>1.组成本合同的文件及解释顺序为：本合同及其附件、双方签字并盖章的补充协议和文件；投标书及其附件；招标文件及补充通知；中标通知书；国家、行业或企业（以最高的为准）标准、规范及有关技术文件；投标书及其附件。</w:t>
      </w:r>
    </w:p>
    <w:p>
      <w:pPr>
        <w:adjustRightInd w:val="0"/>
        <w:snapToGrid w:val="0"/>
        <w:spacing w:line="480" w:lineRule="auto"/>
        <w:ind w:firstLine="420" w:firstLineChars="200"/>
        <w:rPr>
          <w:rFonts w:hint="eastAsia" w:ascii="宋体" w:hAnsi="宋体" w:cs="宋体"/>
          <w:color w:val="auto"/>
          <w:highlight w:val="none"/>
        </w:rPr>
      </w:pPr>
      <w:r>
        <w:rPr>
          <w:rFonts w:hint="eastAsia" w:ascii="宋体" w:hAnsi="宋体" w:cs="宋体"/>
          <w:color w:val="auto"/>
          <w:highlight w:val="none"/>
        </w:rPr>
        <w:t>2.双方在执行合同时产生纠纷，协商解决；协商不成，向甲方所在地人民法院提起诉讼。</w:t>
      </w:r>
    </w:p>
    <w:p>
      <w:pPr>
        <w:adjustRightInd w:val="0"/>
        <w:snapToGrid w:val="0"/>
        <w:spacing w:line="480" w:lineRule="auto"/>
        <w:ind w:firstLine="420" w:firstLineChars="200"/>
        <w:rPr>
          <w:rFonts w:hint="eastAsia" w:ascii="宋体" w:hAnsi="宋体" w:cs="宋体"/>
          <w:color w:val="auto"/>
          <w:highlight w:val="none"/>
        </w:rPr>
      </w:pPr>
      <w:r>
        <w:rPr>
          <w:rFonts w:hint="eastAsia" w:ascii="宋体" w:hAnsi="宋体" w:cs="宋体"/>
          <w:color w:val="auto"/>
          <w:highlight w:val="none"/>
        </w:rPr>
        <w:t>3.本合同共    页，一式    份，甲方执    份（用于合同备案、进口产品免税、验收、报账等事项），乙方执    份，招标公司执    份。</w:t>
      </w:r>
    </w:p>
    <w:p>
      <w:pPr>
        <w:adjustRightInd w:val="0"/>
        <w:snapToGrid w:val="0"/>
        <w:spacing w:line="480" w:lineRule="auto"/>
        <w:ind w:firstLine="420" w:firstLineChars="200"/>
        <w:rPr>
          <w:rFonts w:hint="eastAsia" w:ascii="宋体" w:hAnsi="宋体" w:cs="宋体"/>
          <w:color w:val="auto"/>
          <w:highlight w:val="none"/>
        </w:rPr>
      </w:pPr>
      <w:r>
        <w:rPr>
          <w:rFonts w:hint="eastAsia" w:ascii="宋体" w:hAnsi="宋体" w:cs="宋体"/>
          <w:color w:val="auto"/>
          <w:highlight w:val="none"/>
        </w:rPr>
        <w:t>4.本合同未尽事宜，甲方双方可签订补充协议，与本合同具有同等法律效力。</w:t>
      </w:r>
    </w:p>
    <w:p>
      <w:pPr>
        <w:adjustRightInd w:val="0"/>
        <w:snapToGrid w:val="0"/>
        <w:spacing w:line="480" w:lineRule="auto"/>
        <w:ind w:firstLine="420" w:firstLineChars="200"/>
        <w:rPr>
          <w:rFonts w:hint="eastAsia" w:ascii="宋体" w:hAnsi="宋体" w:cs="宋体"/>
          <w:color w:val="auto"/>
          <w:highlight w:val="none"/>
        </w:rPr>
      </w:pPr>
      <w:r>
        <w:rPr>
          <w:rFonts w:hint="eastAsia" w:ascii="宋体" w:hAnsi="宋体" w:cs="宋体"/>
          <w:color w:val="auto"/>
          <w:highlight w:val="none"/>
        </w:rPr>
        <w:t>5.本合同经双方法定代表人或其授权代理人签字并加盖单位公章后生效。</w:t>
      </w:r>
    </w:p>
    <w:p>
      <w:pPr>
        <w:adjustRightInd w:val="0"/>
        <w:snapToGrid w:val="0"/>
        <w:spacing w:line="480" w:lineRule="auto"/>
        <w:ind w:firstLine="420" w:firstLineChars="200"/>
        <w:rPr>
          <w:rFonts w:hint="eastAsia" w:ascii="宋体" w:hAnsi="宋体" w:cs="宋体"/>
          <w:color w:val="auto"/>
          <w:highlight w:val="none"/>
        </w:rPr>
      </w:pPr>
      <w:r>
        <w:rPr>
          <w:rFonts w:hint="eastAsia" w:ascii="宋体" w:hAnsi="宋体" w:cs="宋体"/>
          <w:color w:val="auto"/>
          <w:highlight w:val="none"/>
        </w:rPr>
        <w:t>6.法律文书接收地址（乙方）：</w:t>
      </w:r>
    </w:p>
    <w:p>
      <w:pPr>
        <w:tabs>
          <w:tab w:val="left" w:pos="5020"/>
        </w:tabs>
        <w:spacing w:line="360" w:lineRule="auto"/>
        <w:rPr>
          <w:color w:val="auto"/>
          <w:sz w:val="24"/>
          <w:highlight w:val="none"/>
        </w:rPr>
      </w:pPr>
    </w:p>
    <w:p>
      <w:pPr>
        <w:snapToGrid w:val="0"/>
        <w:spacing w:line="480" w:lineRule="auto"/>
        <w:rPr>
          <w:b/>
          <w:bCs/>
          <w:color w:val="auto"/>
          <w:sz w:val="28"/>
          <w:szCs w:val="28"/>
          <w:highlight w:val="none"/>
        </w:rPr>
      </w:pPr>
      <w:r>
        <w:rPr>
          <w:rFonts w:hint="eastAsia" w:cs="宋体"/>
          <w:b/>
          <w:bCs/>
          <w:color w:val="auto"/>
          <w:sz w:val="24"/>
          <w:highlight w:val="none"/>
        </w:rPr>
        <w:t>甲方：</w:t>
      </w:r>
      <w:r>
        <w:rPr>
          <w:b/>
          <w:bCs/>
          <w:color w:val="auto"/>
          <w:sz w:val="24"/>
          <w:highlight w:val="none"/>
        </w:rPr>
        <w:t xml:space="preserve">                               </w:t>
      </w:r>
      <w:r>
        <w:rPr>
          <w:rFonts w:hint="eastAsia" w:cs="宋体"/>
          <w:b/>
          <w:bCs/>
          <w:color w:val="auto"/>
          <w:sz w:val="24"/>
          <w:highlight w:val="none"/>
        </w:rPr>
        <w:t>乙方：</w:t>
      </w:r>
      <w:r>
        <w:rPr>
          <w:b/>
          <w:bCs/>
          <w:color w:val="auto"/>
          <w:sz w:val="24"/>
          <w:highlight w:val="none"/>
        </w:rPr>
        <w:t xml:space="preserve"> </w:t>
      </w:r>
    </w:p>
    <w:p>
      <w:pPr>
        <w:snapToGrid w:val="0"/>
        <w:spacing w:line="480" w:lineRule="auto"/>
        <w:rPr>
          <w:b/>
          <w:bCs/>
          <w:color w:val="auto"/>
          <w:sz w:val="24"/>
          <w:highlight w:val="none"/>
        </w:rPr>
      </w:pPr>
      <w:r>
        <w:rPr>
          <w:rFonts w:hint="eastAsia" w:cs="宋体"/>
          <w:b/>
          <w:bCs/>
          <w:color w:val="auto"/>
          <w:sz w:val="24"/>
          <w:highlight w:val="none"/>
        </w:rPr>
        <w:t>地址：</w:t>
      </w:r>
      <w:r>
        <w:rPr>
          <w:b/>
          <w:bCs/>
          <w:color w:val="auto"/>
          <w:sz w:val="24"/>
          <w:highlight w:val="none"/>
        </w:rPr>
        <w:t xml:space="preserve">                               </w:t>
      </w:r>
      <w:r>
        <w:rPr>
          <w:rFonts w:hint="eastAsia" w:cs="宋体"/>
          <w:b/>
          <w:bCs/>
          <w:color w:val="auto"/>
          <w:sz w:val="24"/>
          <w:highlight w:val="none"/>
        </w:rPr>
        <w:t>地址</w:t>
      </w:r>
      <w:r>
        <w:rPr>
          <w:b/>
          <w:bCs/>
          <w:color w:val="auto"/>
          <w:sz w:val="24"/>
          <w:highlight w:val="none"/>
        </w:rPr>
        <w:t xml:space="preserve">: </w:t>
      </w:r>
    </w:p>
    <w:p>
      <w:pPr>
        <w:snapToGrid w:val="0"/>
        <w:spacing w:line="480" w:lineRule="auto"/>
        <w:rPr>
          <w:b/>
          <w:bCs/>
          <w:color w:val="auto"/>
          <w:sz w:val="24"/>
          <w:highlight w:val="none"/>
        </w:rPr>
      </w:pPr>
      <w:r>
        <w:rPr>
          <w:rFonts w:hint="eastAsia" w:cs="宋体"/>
          <w:b/>
          <w:bCs/>
          <w:color w:val="auto"/>
          <w:sz w:val="24"/>
          <w:highlight w:val="none"/>
        </w:rPr>
        <w:t>签字代表（或委托代理人）：</w:t>
      </w:r>
      <w:r>
        <w:rPr>
          <w:b/>
          <w:bCs/>
          <w:color w:val="auto"/>
          <w:sz w:val="24"/>
          <w:highlight w:val="none"/>
        </w:rPr>
        <w:t xml:space="preserve">            </w:t>
      </w:r>
      <w:r>
        <w:rPr>
          <w:rFonts w:hint="eastAsia" w:cs="宋体"/>
          <w:b/>
          <w:bCs/>
          <w:color w:val="auto"/>
          <w:sz w:val="24"/>
          <w:highlight w:val="none"/>
        </w:rPr>
        <w:t>签字代表：</w:t>
      </w:r>
    </w:p>
    <w:p>
      <w:pPr>
        <w:tabs>
          <w:tab w:val="left" w:pos="4860"/>
        </w:tabs>
        <w:autoSpaceDE w:val="0"/>
        <w:autoSpaceDN w:val="0"/>
        <w:adjustRightInd w:val="0"/>
        <w:snapToGrid w:val="0"/>
        <w:spacing w:line="480" w:lineRule="auto"/>
        <w:jc w:val="left"/>
        <w:rPr>
          <w:rFonts w:ascii="宋体"/>
          <w:b/>
          <w:bCs/>
          <w:color w:val="auto"/>
          <w:kern w:val="0"/>
          <w:sz w:val="24"/>
          <w:highlight w:val="none"/>
        </w:rPr>
      </w:pPr>
      <w:r>
        <w:rPr>
          <w:rFonts w:hint="eastAsia" w:cs="宋体"/>
          <w:b/>
          <w:bCs/>
          <w:color w:val="auto"/>
          <w:sz w:val="24"/>
          <w:highlight w:val="none"/>
        </w:rPr>
        <w:t>电话：</w:t>
      </w:r>
      <w:r>
        <w:rPr>
          <w:b/>
          <w:bCs/>
          <w:color w:val="auto"/>
          <w:sz w:val="24"/>
          <w:highlight w:val="none"/>
        </w:rPr>
        <w:t xml:space="preserve">                              </w:t>
      </w:r>
      <w:r>
        <w:rPr>
          <w:rFonts w:hint="eastAsia" w:cs="宋体"/>
          <w:b/>
          <w:bCs/>
          <w:color w:val="auto"/>
          <w:sz w:val="24"/>
          <w:highlight w:val="none"/>
        </w:rPr>
        <w:t>电话：</w:t>
      </w:r>
    </w:p>
    <w:p>
      <w:pPr>
        <w:snapToGrid w:val="0"/>
        <w:spacing w:line="480" w:lineRule="auto"/>
        <w:ind w:firstLine="1205" w:firstLineChars="500"/>
        <w:rPr>
          <w:rFonts w:ascii="宋体"/>
          <w:b/>
          <w:bCs/>
          <w:color w:val="auto"/>
          <w:kern w:val="0"/>
          <w:sz w:val="24"/>
          <w:highlight w:val="none"/>
        </w:rPr>
      </w:pPr>
      <w:r>
        <w:rPr>
          <w:rFonts w:ascii="宋体" w:cs="宋体"/>
          <w:b/>
          <w:bCs/>
          <w:color w:val="auto"/>
          <w:kern w:val="0"/>
          <w:sz w:val="24"/>
          <w:highlight w:val="none"/>
        </w:rPr>
        <w:t xml:space="preserve">                          </w:t>
      </w:r>
      <w:r>
        <w:rPr>
          <w:rFonts w:hint="eastAsia" w:ascii="宋体" w:cs="宋体"/>
          <w:b/>
          <w:bCs/>
          <w:color w:val="auto"/>
          <w:kern w:val="0"/>
          <w:sz w:val="24"/>
          <w:highlight w:val="none"/>
        </w:rPr>
        <w:t>开户银行：</w:t>
      </w:r>
    </w:p>
    <w:p>
      <w:pPr>
        <w:autoSpaceDE w:val="0"/>
        <w:autoSpaceDN w:val="0"/>
        <w:adjustRightInd w:val="0"/>
        <w:snapToGrid w:val="0"/>
        <w:spacing w:line="480" w:lineRule="auto"/>
        <w:ind w:firstLine="723" w:firstLineChars="300"/>
        <w:jc w:val="left"/>
        <w:rPr>
          <w:rFonts w:ascii="宋体"/>
          <w:b/>
          <w:bCs/>
          <w:color w:val="auto"/>
          <w:kern w:val="0"/>
          <w:sz w:val="24"/>
          <w:highlight w:val="none"/>
        </w:rPr>
      </w:pPr>
      <w:r>
        <w:rPr>
          <w:rFonts w:ascii="宋体" w:cs="宋体"/>
          <w:b/>
          <w:bCs/>
          <w:color w:val="auto"/>
          <w:kern w:val="0"/>
          <w:sz w:val="24"/>
          <w:highlight w:val="none"/>
        </w:rPr>
        <w:t xml:space="preserve">                              </w:t>
      </w:r>
      <w:r>
        <w:rPr>
          <w:rFonts w:hint="eastAsia" w:ascii="宋体" w:cs="宋体"/>
          <w:b/>
          <w:bCs/>
          <w:color w:val="auto"/>
          <w:kern w:val="0"/>
          <w:sz w:val="24"/>
          <w:highlight w:val="none"/>
        </w:rPr>
        <w:t>账号：</w:t>
      </w:r>
    </w:p>
    <w:p>
      <w:pPr>
        <w:snapToGrid w:val="0"/>
        <w:spacing w:line="480" w:lineRule="auto"/>
        <w:rPr>
          <w:rFonts w:ascii="宋体"/>
          <w:color w:val="auto"/>
          <w:sz w:val="28"/>
          <w:szCs w:val="28"/>
          <w:highlight w:val="none"/>
        </w:rPr>
      </w:pPr>
      <w:r>
        <w:rPr>
          <w:rFonts w:hint="eastAsia" w:cs="宋体"/>
          <w:b/>
          <w:bCs/>
          <w:color w:val="auto"/>
          <w:sz w:val="24"/>
          <w:highlight w:val="none"/>
        </w:rPr>
        <w:t>合同签署日期：</w:t>
      </w:r>
      <w:r>
        <w:rPr>
          <w:b/>
          <w:bCs/>
          <w:color w:val="auto"/>
          <w:sz w:val="24"/>
          <w:highlight w:val="none"/>
        </w:rPr>
        <w:t xml:space="preserve">       </w:t>
      </w:r>
      <w:r>
        <w:rPr>
          <w:rFonts w:hint="eastAsia" w:cs="宋体"/>
          <w:b/>
          <w:bCs/>
          <w:color w:val="auto"/>
          <w:sz w:val="24"/>
          <w:highlight w:val="none"/>
        </w:rPr>
        <w:t>年</w:t>
      </w:r>
      <w:r>
        <w:rPr>
          <w:b/>
          <w:bCs/>
          <w:color w:val="auto"/>
          <w:sz w:val="24"/>
          <w:highlight w:val="none"/>
        </w:rPr>
        <w:t xml:space="preserve">    </w:t>
      </w:r>
      <w:r>
        <w:rPr>
          <w:rFonts w:hint="eastAsia" w:cs="宋体"/>
          <w:b/>
          <w:bCs/>
          <w:color w:val="auto"/>
          <w:sz w:val="24"/>
          <w:highlight w:val="none"/>
        </w:rPr>
        <w:t>月</w:t>
      </w:r>
      <w:r>
        <w:rPr>
          <w:b/>
          <w:bCs/>
          <w:color w:val="auto"/>
          <w:sz w:val="24"/>
          <w:highlight w:val="none"/>
        </w:rPr>
        <w:t xml:space="preserve">    </w:t>
      </w:r>
      <w:r>
        <w:rPr>
          <w:rFonts w:hint="eastAsia" w:cs="宋体"/>
          <w:b/>
          <w:bCs/>
          <w:color w:val="auto"/>
          <w:sz w:val="24"/>
          <w:highlight w:val="none"/>
        </w:rPr>
        <w:t>日</w:t>
      </w:r>
      <w:r>
        <w:rPr>
          <w:b/>
          <w:bCs/>
          <w:color w:val="auto"/>
          <w:sz w:val="24"/>
          <w:highlight w:val="none"/>
        </w:rPr>
        <w:t xml:space="preserve">         </w:t>
      </w:r>
      <w:r>
        <w:rPr>
          <w:rFonts w:ascii="宋体" w:hAnsi="宋体" w:cs="宋体"/>
          <w:b/>
          <w:bCs/>
          <w:color w:val="auto"/>
          <w:sz w:val="28"/>
          <w:szCs w:val="28"/>
          <w:highlight w:val="none"/>
        </w:rPr>
        <w:t xml:space="preserve">       </w:t>
      </w:r>
    </w:p>
    <w:p>
      <w:pPr>
        <w:spacing w:line="360" w:lineRule="auto"/>
        <w:rPr>
          <w:rFonts w:ascii="宋体"/>
          <w:b/>
          <w:bCs/>
          <w:color w:val="auto"/>
          <w:sz w:val="28"/>
          <w:szCs w:val="28"/>
          <w:highlight w:val="none"/>
        </w:rPr>
        <w:sectPr>
          <w:footerReference r:id="rId8" w:type="default"/>
          <w:pgSz w:w="11906" w:h="16838"/>
          <w:pgMar w:top="1418" w:right="1418" w:bottom="1418" w:left="1417" w:header="998" w:footer="998" w:gutter="0"/>
          <w:pgNumType w:start="1"/>
          <w:cols w:space="720" w:num="1"/>
          <w:docGrid w:type="lines" w:linePitch="312" w:charSpace="0"/>
        </w:sectPr>
      </w:pPr>
    </w:p>
    <w:p>
      <w:pPr>
        <w:spacing w:line="360" w:lineRule="auto"/>
        <w:jc w:val="left"/>
        <w:rPr>
          <w:rFonts w:ascii="宋体" w:hAnsi="宋体" w:cs="宋体"/>
          <w:color w:val="auto"/>
          <w:kern w:val="0"/>
          <w:sz w:val="24"/>
          <w:highlight w:val="none"/>
        </w:rPr>
      </w:pPr>
      <w:r>
        <w:rPr>
          <w:rFonts w:hint="eastAsia" w:ascii="宋体" w:hAnsi="宋体" w:cs="宋体"/>
          <w:color w:val="auto"/>
          <w:sz w:val="28"/>
          <w:szCs w:val="28"/>
          <w:highlight w:val="none"/>
        </w:rPr>
        <w:t>附件</w:t>
      </w:r>
      <w:r>
        <w:rPr>
          <w:rFonts w:ascii="宋体" w:hAnsi="宋体" w:cs="宋体"/>
          <w:color w:val="auto"/>
          <w:sz w:val="28"/>
          <w:szCs w:val="28"/>
          <w:highlight w:val="none"/>
        </w:rPr>
        <w:t>1</w:t>
      </w:r>
      <w:r>
        <w:rPr>
          <w:rFonts w:hint="eastAsia" w:ascii="宋体" w:hAnsi="宋体" w:cs="宋体"/>
          <w:color w:val="auto"/>
          <w:kern w:val="0"/>
          <w:sz w:val="24"/>
          <w:highlight w:val="none"/>
        </w:rPr>
        <w:t>：</w:t>
      </w:r>
    </w:p>
    <w:p>
      <w:pPr>
        <w:spacing w:line="360" w:lineRule="auto"/>
        <w:jc w:val="left"/>
        <w:rPr>
          <w:rFonts w:ascii="宋体"/>
          <w:color w:val="auto"/>
          <w:kern w:val="0"/>
          <w:sz w:val="24"/>
          <w:highlight w:val="none"/>
        </w:rPr>
      </w:pPr>
      <w:r>
        <w:rPr>
          <w:rFonts w:ascii="宋体" w:hAnsi="宋体" w:cs="宋体"/>
          <w:color w:val="auto"/>
          <w:kern w:val="0"/>
          <w:sz w:val="24"/>
          <w:highlight w:val="none"/>
        </w:rPr>
        <w:t xml:space="preserve">                            </w:t>
      </w:r>
      <w:r>
        <w:rPr>
          <w:rFonts w:ascii="宋体" w:hAnsi="宋体" w:cs="宋体"/>
          <w:b/>
          <w:bCs/>
          <w:color w:val="auto"/>
          <w:kern w:val="0"/>
          <w:sz w:val="28"/>
          <w:szCs w:val="28"/>
          <w:highlight w:val="none"/>
        </w:rPr>
        <w:t xml:space="preserve">               </w:t>
      </w:r>
      <w:r>
        <w:rPr>
          <w:rFonts w:hint="eastAsia" w:ascii="宋体" w:hAnsi="宋体" w:cs="宋体"/>
          <w:b/>
          <w:bCs/>
          <w:color w:val="auto"/>
          <w:kern w:val="0"/>
          <w:sz w:val="28"/>
          <w:szCs w:val="28"/>
          <w:highlight w:val="none"/>
        </w:rPr>
        <w:t>供货范围及分项价格表</w:t>
      </w:r>
      <w:r>
        <w:rPr>
          <w:rFonts w:ascii="宋体" w:hAnsi="宋体" w:cs="宋体"/>
          <w:color w:val="auto"/>
          <w:sz w:val="24"/>
          <w:highlight w:val="none"/>
        </w:rPr>
        <w:t xml:space="preserve">                          </w:t>
      </w:r>
      <w:r>
        <w:rPr>
          <w:rFonts w:hint="eastAsia" w:ascii="宋体" w:hAnsi="宋体" w:cs="宋体"/>
          <w:color w:val="auto"/>
          <w:sz w:val="24"/>
          <w:highlight w:val="none"/>
        </w:rPr>
        <w:t>单位：元</w:t>
      </w:r>
    </w:p>
    <w:tbl>
      <w:tblPr>
        <w:tblStyle w:val="48"/>
        <w:tblW w:w="136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462"/>
        <w:gridCol w:w="1209"/>
        <w:gridCol w:w="1260"/>
        <w:gridCol w:w="1620"/>
        <w:gridCol w:w="2160"/>
        <w:gridCol w:w="1182"/>
        <w:gridCol w:w="970"/>
        <w:gridCol w:w="1050"/>
        <w:gridCol w:w="1260"/>
        <w:gridCol w:w="1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blHeader/>
        </w:trPr>
        <w:tc>
          <w:tcPr>
            <w:tcW w:w="777" w:type="dxa"/>
            <w:vAlign w:val="center"/>
          </w:tcPr>
          <w:p>
            <w:pPr>
              <w:spacing w:line="300" w:lineRule="exact"/>
              <w:rPr>
                <w:rFonts w:ascii="宋体" w:cs="宋体"/>
                <w:b/>
                <w:bCs/>
                <w:color w:val="auto"/>
                <w:highlight w:val="none"/>
              </w:rPr>
            </w:pPr>
            <w:r>
              <w:rPr>
                <w:rFonts w:hint="eastAsia" w:ascii="宋体" w:hAnsi="宋体" w:cs="宋体"/>
                <w:b/>
                <w:bCs/>
                <w:color w:val="auto"/>
                <w:highlight w:val="none"/>
              </w:rPr>
              <w:t>序号</w:t>
            </w:r>
          </w:p>
        </w:tc>
        <w:tc>
          <w:tcPr>
            <w:tcW w:w="1671" w:type="dxa"/>
            <w:gridSpan w:val="2"/>
            <w:vAlign w:val="center"/>
          </w:tcPr>
          <w:p>
            <w:pPr>
              <w:spacing w:line="300" w:lineRule="exact"/>
              <w:jc w:val="center"/>
              <w:rPr>
                <w:rFonts w:ascii="宋体" w:cs="宋体"/>
                <w:b/>
                <w:bCs/>
                <w:color w:val="auto"/>
                <w:highlight w:val="none"/>
              </w:rPr>
            </w:pPr>
            <w:r>
              <w:rPr>
                <w:rFonts w:hint="eastAsia" w:ascii="宋体" w:hAnsi="宋体" w:cs="宋体"/>
                <w:b/>
                <w:bCs/>
                <w:color w:val="auto"/>
                <w:highlight w:val="none"/>
              </w:rPr>
              <w:t>设备名称</w:t>
            </w:r>
          </w:p>
        </w:tc>
        <w:tc>
          <w:tcPr>
            <w:tcW w:w="1260" w:type="dxa"/>
            <w:vAlign w:val="center"/>
          </w:tcPr>
          <w:p>
            <w:pPr>
              <w:spacing w:line="300" w:lineRule="exact"/>
              <w:jc w:val="center"/>
              <w:rPr>
                <w:rFonts w:ascii="宋体" w:cs="宋体"/>
                <w:b/>
                <w:bCs/>
                <w:color w:val="auto"/>
                <w:highlight w:val="none"/>
              </w:rPr>
            </w:pPr>
            <w:r>
              <w:rPr>
                <w:rFonts w:hint="eastAsia" w:ascii="宋体" w:hAnsi="宋体" w:cs="宋体"/>
                <w:b/>
                <w:bCs/>
                <w:color w:val="auto"/>
                <w:highlight w:val="none"/>
              </w:rPr>
              <w:t>品牌型号</w:t>
            </w:r>
          </w:p>
        </w:tc>
        <w:tc>
          <w:tcPr>
            <w:tcW w:w="1620" w:type="dxa"/>
            <w:vAlign w:val="center"/>
          </w:tcPr>
          <w:p>
            <w:pPr>
              <w:spacing w:line="300" w:lineRule="exact"/>
              <w:jc w:val="center"/>
              <w:rPr>
                <w:rFonts w:ascii="宋体" w:cs="宋体"/>
                <w:b/>
                <w:bCs/>
                <w:color w:val="auto"/>
                <w:highlight w:val="none"/>
              </w:rPr>
            </w:pPr>
            <w:r>
              <w:rPr>
                <w:rFonts w:hint="eastAsia" w:ascii="宋体" w:hAnsi="宋体" w:cs="宋体"/>
                <w:b/>
                <w:bCs/>
                <w:color w:val="auto"/>
                <w:highlight w:val="none"/>
              </w:rPr>
              <w:t>制造厂（商）</w:t>
            </w:r>
          </w:p>
        </w:tc>
        <w:tc>
          <w:tcPr>
            <w:tcW w:w="2160" w:type="dxa"/>
            <w:vAlign w:val="center"/>
          </w:tcPr>
          <w:p>
            <w:pPr>
              <w:spacing w:line="300" w:lineRule="exact"/>
              <w:jc w:val="center"/>
              <w:rPr>
                <w:rFonts w:ascii="宋体" w:cs="宋体"/>
                <w:b/>
                <w:bCs/>
                <w:color w:val="auto"/>
                <w:highlight w:val="none"/>
              </w:rPr>
            </w:pPr>
            <w:r>
              <w:rPr>
                <w:rFonts w:hint="eastAsia" w:ascii="宋体" w:hAnsi="宋体" w:cs="宋体"/>
                <w:b/>
                <w:bCs/>
                <w:color w:val="auto"/>
                <w:highlight w:val="none"/>
              </w:rPr>
              <w:t>原产地（国）</w:t>
            </w:r>
          </w:p>
        </w:tc>
        <w:tc>
          <w:tcPr>
            <w:tcW w:w="1182" w:type="dxa"/>
            <w:vAlign w:val="center"/>
          </w:tcPr>
          <w:p>
            <w:pPr>
              <w:spacing w:line="300" w:lineRule="exact"/>
              <w:jc w:val="center"/>
              <w:rPr>
                <w:rFonts w:ascii="宋体" w:cs="宋体"/>
                <w:b/>
                <w:bCs/>
                <w:color w:val="auto"/>
                <w:highlight w:val="none"/>
              </w:rPr>
            </w:pPr>
            <w:r>
              <w:rPr>
                <w:rFonts w:hint="eastAsia" w:ascii="宋体" w:hAnsi="宋体" w:cs="宋体"/>
                <w:b/>
                <w:bCs/>
                <w:color w:val="auto"/>
                <w:highlight w:val="none"/>
              </w:rPr>
              <w:t>数量</w:t>
            </w:r>
          </w:p>
        </w:tc>
        <w:tc>
          <w:tcPr>
            <w:tcW w:w="970" w:type="dxa"/>
            <w:vAlign w:val="center"/>
          </w:tcPr>
          <w:p>
            <w:pPr>
              <w:spacing w:line="300" w:lineRule="exact"/>
              <w:jc w:val="center"/>
              <w:rPr>
                <w:rFonts w:ascii="宋体" w:hAnsi="宋体" w:cs="宋体"/>
                <w:b/>
                <w:bCs/>
                <w:color w:val="auto"/>
                <w:highlight w:val="none"/>
              </w:rPr>
            </w:pPr>
            <w:r>
              <w:rPr>
                <w:rFonts w:hint="eastAsia" w:ascii="宋体" w:hAnsi="宋体" w:cs="宋体"/>
                <w:b/>
                <w:bCs/>
                <w:color w:val="auto"/>
                <w:highlight w:val="none"/>
              </w:rPr>
              <w:t>单位</w:t>
            </w:r>
          </w:p>
        </w:tc>
        <w:tc>
          <w:tcPr>
            <w:tcW w:w="1050" w:type="dxa"/>
            <w:vAlign w:val="center"/>
          </w:tcPr>
          <w:p>
            <w:pPr>
              <w:spacing w:line="300" w:lineRule="exact"/>
              <w:jc w:val="center"/>
              <w:rPr>
                <w:rFonts w:ascii="宋体" w:cs="宋体"/>
                <w:b/>
                <w:bCs/>
                <w:color w:val="auto"/>
                <w:highlight w:val="none"/>
              </w:rPr>
            </w:pPr>
            <w:r>
              <w:rPr>
                <w:rFonts w:hint="eastAsia" w:ascii="宋体" w:hAnsi="宋体" w:cs="宋体"/>
                <w:b/>
                <w:bCs/>
                <w:color w:val="auto"/>
                <w:highlight w:val="none"/>
              </w:rPr>
              <w:t>单价</w:t>
            </w:r>
          </w:p>
        </w:tc>
        <w:tc>
          <w:tcPr>
            <w:tcW w:w="1260" w:type="dxa"/>
            <w:vAlign w:val="center"/>
          </w:tcPr>
          <w:p>
            <w:pPr>
              <w:spacing w:line="300" w:lineRule="exact"/>
              <w:jc w:val="center"/>
              <w:rPr>
                <w:rFonts w:ascii="宋体" w:cs="宋体"/>
                <w:b/>
                <w:bCs/>
                <w:color w:val="auto"/>
                <w:highlight w:val="none"/>
              </w:rPr>
            </w:pPr>
            <w:r>
              <w:rPr>
                <w:rFonts w:hint="eastAsia" w:ascii="宋体" w:hAnsi="宋体" w:cs="宋体"/>
                <w:b/>
                <w:bCs/>
                <w:color w:val="auto"/>
                <w:highlight w:val="none"/>
              </w:rPr>
              <w:t>合价</w:t>
            </w:r>
          </w:p>
        </w:tc>
        <w:tc>
          <w:tcPr>
            <w:tcW w:w="1710" w:type="dxa"/>
            <w:vAlign w:val="center"/>
          </w:tcPr>
          <w:p>
            <w:pPr>
              <w:spacing w:line="300" w:lineRule="exact"/>
              <w:jc w:val="center"/>
              <w:rPr>
                <w:rFonts w:ascii="宋体" w:cs="宋体"/>
                <w:b/>
                <w:bCs/>
                <w:color w:val="auto"/>
                <w:highlight w:val="none"/>
              </w:rPr>
            </w:pPr>
            <w:r>
              <w:rPr>
                <w:rFonts w:hint="eastAsia" w:ascii="宋体" w:hAnsi="宋体" w:cs="宋体"/>
                <w:b/>
                <w:bCs/>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77" w:type="dxa"/>
            <w:vAlign w:val="center"/>
          </w:tcPr>
          <w:p>
            <w:pPr>
              <w:spacing w:line="300" w:lineRule="exact"/>
              <w:ind w:firstLine="210" w:firstLineChars="100"/>
              <w:rPr>
                <w:rFonts w:ascii="宋体" w:hAnsi="宋体" w:cs="宋体"/>
                <w:color w:val="auto"/>
                <w:highlight w:val="none"/>
              </w:rPr>
            </w:pPr>
            <w:r>
              <w:rPr>
                <w:rFonts w:ascii="宋体" w:hAnsi="宋体" w:cs="宋体"/>
                <w:color w:val="auto"/>
                <w:highlight w:val="none"/>
              </w:rPr>
              <w:t>1</w:t>
            </w:r>
          </w:p>
        </w:tc>
        <w:tc>
          <w:tcPr>
            <w:tcW w:w="1671" w:type="dxa"/>
            <w:gridSpan w:val="2"/>
            <w:vAlign w:val="center"/>
          </w:tcPr>
          <w:p>
            <w:pPr>
              <w:spacing w:line="300" w:lineRule="exact"/>
              <w:jc w:val="center"/>
              <w:rPr>
                <w:rFonts w:ascii="宋体" w:cs="宋体"/>
                <w:color w:val="auto"/>
                <w:highlight w:val="none"/>
              </w:rPr>
            </w:pPr>
          </w:p>
        </w:tc>
        <w:tc>
          <w:tcPr>
            <w:tcW w:w="1260" w:type="dxa"/>
            <w:vAlign w:val="center"/>
          </w:tcPr>
          <w:p>
            <w:pPr>
              <w:spacing w:line="300" w:lineRule="exact"/>
              <w:ind w:firstLine="210"/>
              <w:rPr>
                <w:rFonts w:ascii="宋体" w:cs="宋体"/>
                <w:color w:val="auto"/>
                <w:highlight w:val="none"/>
              </w:rPr>
            </w:pPr>
          </w:p>
        </w:tc>
        <w:tc>
          <w:tcPr>
            <w:tcW w:w="1620" w:type="dxa"/>
            <w:vAlign w:val="center"/>
          </w:tcPr>
          <w:p>
            <w:pPr>
              <w:spacing w:line="300" w:lineRule="exact"/>
              <w:ind w:firstLine="210"/>
              <w:rPr>
                <w:rFonts w:ascii="宋体" w:cs="宋体"/>
                <w:color w:val="auto"/>
                <w:highlight w:val="none"/>
              </w:rPr>
            </w:pPr>
          </w:p>
        </w:tc>
        <w:tc>
          <w:tcPr>
            <w:tcW w:w="2160" w:type="dxa"/>
            <w:vAlign w:val="center"/>
          </w:tcPr>
          <w:p>
            <w:pPr>
              <w:spacing w:line="300" w:lineRule="exact"/>
              <w:ind w:firstLine="210"/>
              <w:rPr>
                <w:rFonts w:ascii="宋体" w:cs="宋体"/>
                <w:color w:val="auto"/>
                <w:highlight w:val="none"/>
              </w:rPr>
            </w:pPr>
          </w:p>
        </w:tc>
        <w:tc>
          <w:tcPr>
            <w:tcW w:w="1182" w:type="dxa"/>
            <w:vAlign w:val="center"/>
          </w:tcPr>
          <w:p>
            <w:pPr>
              <w:spacing w:line="300" w:lineRule="exact"/>
              <w:rPr>
                <w:rFonts w:ascii="宋体" w:cs="宋体"/>
                <w:color w:val="auto"/>
                <w:highlight w:val="none"/>
              </w:rPr>
            </w:pPr>
          </w:p>
        </w:tc>
        <w:tc>
          <w:tcPr>
            <w:tcW w:w="970" w:type="dxa"/>
            <w:vAlign w:val="center"/>
          </w:tcPr>
          <w:p>
            <w:pPr>
              <w:jc w:val="center"/>
              <w:rPr>
                <w:rFonts w:ascii="宋体" w:cs="宋体"/>
                <w:color w:val="auto"/>
                <w:highlight w:val="none"/>
              </w:rPr>
            </w:pPr>
          </w:p>
        </w:tc>
        <w:tc>
          <w:tcPr>
            <w:tcW w:w="1050" w:type="dxa"/>
            <w:vAlign w:val="center"/>
          </w:tcPr>
          <w:p>
            <w:pPr>
              <w:jc w:val="center"/>
              <w:rPr>
                <w:rFonts w:ascii="宋体" w:cs="宋体"/>
                <w:color w:val="auto"/>
                <w:highlight w:val="none"/>
              </w:rPr>
            </w:pPr>
          </w:p>
        </w:tc>
        <w:tc>
          <w:tcPr>
            <w:tcW w:w="1260" w:type="dxa"/>
            <w:vAlign w:val="center"/>
          </w:tcPr>
          <w:p>
            <w:pPr>
              <w:jc w:val="center"/>
              <w:rPr>
                <w:rFonts w:ascii="宋体" w:cs="宋体"/>
                <w:color w:val="auto"/>
                <w:highlight w:val="none"/>
              </w:rPr>
            </w:pPr>
          </w:p>
        </w:tc>
        <w:tc>
          <w:tcPr>
            <w:tcW w:w="1710" w:type="dxa"/>
            <w:vAlign w:val="center"/>
          </w:tcPr>
          <w:p>
            <w:pPr>
              <w:jc w:val="center"/>
              <w:rPr>
                <w:rFonts w:ascii="宋体" w:cs="宋体"/>
                <w:color w:val="auto"/>
                <w:highlight w:val="none"/>
              </w:rPr>
            </w:pPr>
            <w:r>
              <w:rPr>
                <w:rFonts w:hint="eastAsia" w:ascii="宋体" w:hAnsi="宋体" w:cs="宋体"/>
                <w:color w:val="auto"/>
                <w:highlight w:val="none"/>
              </w:rPr>
              <w:t>是否免税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77" w:type="dxa"/>
            <w:vAlign w:val="center"/>
          </w:tcPr>
          <w:p>
            <w:pPr>
              <w:spacing w:line="300" w:lineRule="exact"/>
              <w:ind w:firstLine="210" w:firstLineChars="100"/>
              <w:rPr>
                <w:rFonts w:ascii="宋体" w:hAnsi="宋体" w:cs="宋体"/>
                <w:color w:val="auto"/>
                <w:highlight w:val="none"/>
              </w:rPr>
            </w:pPr>
            <w:r>
              <w:rPr>
                <w:rFonts w:ascii="宋体" w:hAnsi="宋体" w:cs="宋体"/>
                <w:color w:val="auto"/>
                <w:highlight w:val="none"/>
              </w:rPr>
              <w:t>2</w:t>
            </w:r>
          </w:p>
        </w:tc>
        <w:tc>
          <w:tcPr>
            <w:tcW w:w="1671" w:type="dxa"/>
            <w:gridSpan w:val="2"/>
            <w:vAlign w:val="center"/>
          </w:tcPr>
          <w:p>
            <w:pPr>
              <w:spacing w:line="300" w:lineRule="exact"/>
              <w:jc w:val="center"/>
              <w:rPr>
                <w:rFonts w:ascii="宋体" w:cs="宋体"/>
                <w:color w:val="auto"/>
                <w:highlight w:val="none"/>
              </w:rPr>
            </w:pPr>
          </w:p>
        </w:tc>
        <w:tc>
          <w:tcPr>
            <w:tcW w:w="1260" w:type="dxa"/>
            <w:vAlign w:val="center"/>
          </w:tcPr>
          <w:p>
            <w:pPr>
              <w:spacing w:line="300" w:lineRule="exact"/>
              <w:ind w:firstLine="210"/>
              <w:rPr>
                <w:rFonts w:ascii="宋体" w:cs="宋体"/>
                <w:color w:val="auto"/>
                <w:highlight w:val="none"/>
              </w:rPr>
            </w:pPr>
          </w:p>
        </w:tc>
        <w:tc>
          <w:tcPr>
            <w:tcW w:w="1620" w:type="dxa"/>
            <w:vAlign w:val="center"/>
          </w:tcPr>
          <w:p>
            <w:pPr>
              <w:spacing w:line="300" w:lineRule="exact"/>
              <w:ind w:firstLine="210"/>
              <w:rPr>
                <w:rFonts w:ascii="宋体" w:cs="宋体"/>
                <w:color w:val="auto"/>
                <w:highlight w:val="none"/>
              </w:rPr>
            </w:pPr>
          </w:p>
        </w:tc>
        <w:tc>
          <w:tcPr>
            <w:tcW w:w="2160" w:type="dxa"/>
            <w:vAlign w:val="center"/>
          </w:tcPr>
          <w:p>
            <w:pPr>
              <w:spacing w:line="300" w:lineRule="exact"/>
              <w:ind w:firstLine="210"/>
              <w:rPr>
                <w:rFonts w:ascii="宋体" w:cs="宋体"/>
                <w:color w:val="auto"/>
                <w:highlight w:val="none"/>
              </w:rPr>
            </w:pPr>
          </w:p>
        </w:tc>
        <w:tc>
          <w:tcPr>
            <w:tcW w:w="1182" w:type="dxa"/>
            <w:vAlign w:val="center"/>
          </w:tcPr>
          <w:p>
            <w:pPr>
              <w:spacing w:line="300" w:lineRule="exact"/>
              <w:rPr>
                <w:rFonts w:ascii="宋体" w:cs="宋体"/>
                <w:color w:val="auto"/>
                <w:highlight w:val="none"/>
              </w:rPr>
            </w:pPr>
          </w:p>
        </w:tc>
        <w:tc>
          <w:tcPr>
            <w:tcW w:w="970" w:type="dxa"/>
            <w:vAlign w:val="center"/>
          </w:tcPr>
          <w:p>
            <w:pPr>
              <w:jc w:val="center"/>
              <w:rPr>
                <w:rFonts w:ascii="宋体" w:cs="宋体"/>
                <w:color w:val="auto"/>
                <w:highlight w:val="none"/>
              </w:rPr>
            </w:pPr>
          </w:p>
        </w:tc>
        <w:tc>
          <w:tcPr>
            <w:tcW w:w="1050" w:type="dxa"/>
            <w:vAlign w:val="center"/>
          </w:tcPr>
          <w:p>
            <w:pPr>
              <w:jc w:val="center"/>
              <w:rPr>
                <w:rFonts w:ascii="宋体" w:cs="宋体"/>
                <w:color w:val="auto"/>
                <w:highlight w:val="none"/>
              </w:rPr>
            </w:pPr>
          </w:p>
        </w:tc>
        <w:tc>
          <w:tcPr>
            <w:tcW w:w="1260" w:type="dxa"/>
            <w:vAlign w:val="center"/>
          </w:tcPr>
          <w:p>
            <w:pPr>
              <w:jc w:val="center"/>
              <w:rPr>
                <w:rFonts w:ascii="宋体" w:cs="宋体"/>
                <w:color w:val="auto"/>
                <w:highlight w:val="none"/>
              </w:rPr>
            </w:pPr>
          </w:p>
        </w:tc>
        <w:tc>
          <w:tcPr>
            <w:tcW w:w="1710" w:type="dxa"/>
            <w:vAlign w:val="center"/>
          </w:tcPr>
          <w:p>
            <w:pPr>
              <w:jc w:val="center"/>
              <w:rPr>
                <w:rFonts w:asci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77" w:type="dxa"/>
            <w:vAlign w:val="center"/>
          </w:tcPr>
          <w:p>
            <w:pPr>
              <w:spacing w:line="300" w:lineRule="exact"/>
              <w:ind w:firstLine="210" w:firstLineChars="100"/>
              <w:rPr>
                <w:rFonts w:ascii="宋体" w:hAnsi="宋体" w:cs="宋体"/>
                <w:color w:val="auto"/>
                <w:highlight w:val="none"/>
              </w:rPr>
            </w:pPr>
            <w:r>
              <w:rPr>
                <w:rFonts w:ascii="宋体" w:hAnsi="宋体" w:cs="宋体"/>
                <w:color w:val="auto"/>
                <w:highlight w:val="none"/>
              </w:rPr>
              <w:t>3</w:t>
            </w:r>
          </w:p>
        </w:tc>
        <w:tc>
          <w:tcPr>
            <w:tcW w:w="1671" w:type="dxa"/>
            <w:gridSpan w:val="2"/>
            <w:vAlign w:val="center"/>
          </w:tcPr>
          <w:p>
            <w:pPr>
              <w:spacing w:line="300" w:lineRule="exact"/>
              <w:jc w:val="center"/>
              <w:rPr>
                <w:rFonts w:ascii="宋体" w:cs="宋体"/>
                <w:color w:val="auto"/>
                <w:highlight w:val="none"/>
              </w:rPr>
            </w:pPr>
          </w:p>
        </w:tc>
        <w:tc>
          <w:tcPr>
            <w:tcW w:w="1260" w:type="dxa"/>
            <w:vAlign w:val="center"/>
          </w:tcPr>
          <w:p>
            <w:pPr>
              <w:spacing w:line="300" w:lineRule="exact"/>
              <w:ind w:firstLine="210"/>
              <w:rPr>
                <w:rFonts w:ascii="宋体" w:cs="宋体"/>
                <w:color w:val="auto"/>
                <w:highlight w:val="none"/>
              </w:rPr>
            </w:pPr>
          </w:p>
        </w:tc>
        <w:tc>
          <w:tcPr>
            <w:tcW w:w="1620" w:type="dxa"/>
            <w:vAlign w:val="center"/>
          </w:tcPr>
          <w:p>
            <w:pPr>
              <w:spacing w:line="300" w:lineRule="exact"/>
              <w:ind w:firstLine="210"/>
              <w:rPr>
                <w:rFonts w:ascii="宋体" w:cs="宋体"/>
                <w:color w:val="auto"/>
                <w:highlight w:val="none"/>
              </w:rPr>
            </w:pPr>
          </w:p>
        </w:tc>
        <w:tc>
          <w:tcPr>
            <w:tcW w:w="2160" w:type="dxa"/>
            <w:vAlign w:val="center"/>
          </w:tcPr>
          <w:p>
            <w:pPr>
              <w:spacing w:line="300" w:lineRule="exact"/>
              <w:ind w:firstLine="210"/>
              <w:rPr>
                <w:rFonts w:ascii="宋体" w:cs="宋体"/>
                <w:color w:val="auto"/>
                <w:highlight w:val="none"/>
              </w:rPr>
            </w:pPr>
          </w:p>
        </w:tc>
        <w:tc>
          <w:tcPr>
            <w:tcW w:w="1182" w:type="dxa"/>
            <w:vAlign w:val="center"/>
          </w:tcPr>
          <w:p>
            <w:pPr>
              <w:spacing w:line="300" w:lineRule="exact"/>
              <w:rPr>
                <w:rFonts w:ascii="宋体" w:cs="宋体"/>
                <w:color w:val="auto"/>
                <w:highlight w:val="none"/>
              </w:rPr>
            </w:pPr>
          </w:p>
        </w:tc>
        <w:tc>
          <w:tcPr>
            <w:tcW w:w="970" w:type="dxa"/>
            <w:vAlign w:val="center"/>
          </w:tcPr>
          <w:p>
            <w:pPr>
              <w:jc w:val="center"/>
              <w:rPr>
                <w:rFonts w:ascii="宋体" w:cs="宋体"/>
                <w:color w:val="auto"/>
                <w:highlight w:val="none"/>
              </w:rPr>
            </w:pPr>
          </w:p>
        </w:tc>
        <w:tc>
          <w:tcPr>
            <w:tcW w:w="1050" w:type="dxa"/>
            <w:vAlign w:val="center"/>
          </w:tcPr>
          <w:p>
            <w:pPr>
              <w:jc w:val="center"/>
              <w:rPr>
                <w:rFonts w:ascii="宋体" w:cs="宋体"/>
                <w:color w:val="auto"/>
                <w:highlight w:val="none"/>
              </w:rPr>
            </w:pPr>
          </w:p>
        </w:tc>
        <w:tc>
          <w:tcPr>
            <w:tcW w:w="1260" w:type="dxa"/>
            <w:vAlign w:val="center"/>
          </w:tcPr>
          <w:p>
            <w:pPr>
              <w:jc w:val="center"/>
              <w:rPr>
                <w:rFonts w:ascii="宋体" w:cs="宋体"/>
                <w:color w:val="auto"/>
                <w:highlight w:val="none"/>
              </w:rPr>
            </w:pPr>
          </w:p>
        </w:tc>
        <w:tc>
          <w:tcPr>
            <w:tcW w:w="1710" w:type="dxa"/>
            <w:vAlign w:val="center"/>
          </w:tcPr>
          <w:p>
            <w:pPr>
              <w:jc w:val="center"/>
              <w:rPr>
                <w:rFonts w:asci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77" w:type="dxa"/>
            <w:vAlign w:val="center"/>
          </w:tcPr>
          <w:p>
            <w:pPr>
              <w:spacing w:line="300" w:lineRule="exact"/>
              <w:ind w:firstLine="210" w:firstLineChars="100"/>
              <w:rPr>
                <w:rFonts w:ascii="宋体" w:hAnsi="宋体" w:cs="宋体"/>
                <w:color w:val="auto"/>
                <w:highlight w:val="none"/>
              </w:rPr>
            </w:pPr>
            <w:r>
              <w:rPr>
                <w:rFonts w:ascii="宋体" w:hAnsi="宋体" w:cs="宋体"/>
                <w:color w:val="auto"/>
                <w:highlight w:val="none"/>
              </w:rPr>
              <w:t>4</w:t>
            </w:r>
          </w:p>
        </w:tc>
        <w:tc>
          <w:tcPr>
            <w:tcW w:w="1671" w:type="dxa"/>
            <w:gridSpan w:val="2"/>
            <w:vAlign w:val="center"/>
          </w:tcPr>
          <w:p>
            <w:pPr>
              <w:spacing w:line="300" w:lineRule="exact"/>
              <w:jc w:val="center"/>
              <w:rPr>
                <w:rFonts w:ascii="宋体" w:cs="宋体"/>
                <w:color w:val="auto"/>
                <w:highlight w:val="none"/>
              </w:rPr>
            </w:pPr>
          </w:p>
        </w:tc>
        <w:tc>
          <w:tcPr>
            <w:tcW w:w="1260" w:type="dxa"/>
            <w:vAlign w:val="center"/>
          </w:tcPr>
          <w:p>
            <w:pPr>
              <w:spacing w:line="300" w:lineRule="exact"/>
              <w:ind w:firstLine="210"/>
              <w:rPr>
                <w:rFonts w:ascii="宋体" w:cs="宋体"/>
                <w:color w:val="auto"/>
                <w:highlight w:val="none"/>
              </w:rPr>
            </w:pPr>
          </w:p>
        </w:tc>
        <w:tc>
          <w:tcPr>
            <w:tcW w:w="1620" w:type="dxa"/>
            <w:vAlign w:val="center"/>
          </w:tcPr>
          <w:p>
            <w:pPr>
              <w:spacing w:line="300" w:lineRule="exact"/>
              <w:ind w:firstLine="210"/>
              <w:rPr>
                <w:rFonts w:ascii="宋体" w:cs="宋体"/>
                <w:color w:val="auto"/>
                <w:highlight w:val="none"/>
              </w:rPr>
            </w:pPr>
          </w:p>
        </w:tc>
        <w:tc>
          <w:tcPr>
            <w:tcW w:w="2160" w:type="dxa"/>
            <w:vAlign w:val="center"/>
          </w:tcPr>
          <w:p>
            <w:pPr>
              <w:spacing w:line="300" w:lineRule="exact"/>
              <w:ind w:firstLine="210"/>
              <w:rPr>
                <w:rFonts w:ascii="宋体" w:cs="宋体"/>
                <w:color w:val="auto"/>
                <w:highlight w:val="none"/>
              </w:rPr>
            </w:pPr>
          </w:p>
        </w:tc>
        <w:tc>
          <w:tcPr>
            <w:tcW w:w="1182" w:type="dxa"/>
            <w:vAlign w:val="center"/>
          </w:tcPr>
          <w:p>
            <w:pPr>
              <w:spacing w:line="300" w:lineRule="exact"/>
              <w:rPr>
                <w:rFonts w:ascii="宋体" w:cs="宋体"/>
                <w:color w:val="auto"/>
                <w:highlight w:val="none"/>
              </w:rPr>
            </w:pPr>
          </w:p>
        </w:tc>
        <w:tc>
          <w:tcPr>
            <w:tcW w:w="970" w:type="dxa"/>
            <w:vAlign w:val="center"/>
          </w:tcPr>
          <w:p>
            <w:pPr>
              <w:jc w:val="center"/>
              <w:rPr>
                <w:rFonts w:ascii="宋体" w:cs="宋体"/>
                <w:color w:val="auto"/>
                <w:highlight w:val="none"/>
              </w:rPr>
            </w:pPr>
          </w:p>
        </w:tc>
        <w:tc>
          <w:tcPr>
            <w:tcW w:w="1050" w:type="dxa"/>
            <w:vAlign w:val="center"/>
          </w:tcPr>
          <w:p>
            <w:pPr>
              <w:jc w:val="center"/>
              <w:rPr>
                <w:rFonts w:ascii="宋体" w:cs="宋体"/>
                <w:color w:val="auto"/>
                <w:highlight w:val="none"/>
              </w:rPr>
            </w:pPr>
          </w:p>
        </w:tc>
        <w:tc>
          <w:tcPr>
            <w:tcW w:w="1260" w:type="dxa"/>
            <w:vAlign w:val="center"/>
          </w:tcPr>
          <w:p>
            <w:pPr>
              <w:jc w:val="center"/>
              <w:rPr>
                <w:rFonts w:ascii="宋体" w:cs="宋体"/>
                <w:color w:val="auto"/>
                <w:highlight w:val="none"/>
              </w:rPr>
            </w:pPr>
          </w:p>
        </w:tc>
        <w:tc>
          <w:tcPr>
            <w:tcW w:w="1710" w:type="dxa"/>
            <w:vAlign w:val="center"/>
          </w:tcPr>
          <w:p>
            <w:pPr>
              <w:jc w:val="center"/>
              <w:rPr>
                <w:rFonts w:asci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77" w:type="dxa"/>
            <w:vAlign w:val="center"/>
          </w:tcPr>
          <w:p>
            <w:pPr>
              <w:spacing w:line="300" w:lineRule="exact"/>
              <w:rPr>
                <w:rFonts w:ascii="宋体" w:hAnsi="宋体" w:cs="宋体"/>
                <w:color w:val="auto"/>
                <w:highlight w:val="none"/>
              </w:rPr>
            </w:pPr>
            <w:r>
              <w:rPr>
                <w:rFonts w:ascii="宋体" w:hAnsi="宋体" w:cs="宋体"/>
                <w:color w:val="auto"/>
                <w:highlight w:val="none"/>
              </w:rPr>
              <w:t xml:space="preserve"> ...</w:t>
            </w:r>
          </w:p>
        </w:tc>
        <w:tc>
          <w:tcPr>
            <w:tcW w:w="1671" w:type="dxa"/>
            <w:gridSpan w:val="2"/>
            <w:vAlign w:val="center"/>
          </w:tcPr>
          <w:p>
            <w:pPr>
              <w:spacing w:line="300" w:lineRule="exact"/>
              <w:jc w:val="center"/>
              <w:rPr>
                <w:rFonts w:ascii="宋体" w:cs="宋体"/>
                <w:color w:val="auto"/>
                <w:highlight w:val="none"/>
              </w:rPr>
            </w:pPr>
          </w:p>
        </w:tc>
        <w:tc>
          <w:tcPr>
            <w:tcW w:w="1260" w:type="dxa"/>
            <w:vAlign w:val="center"/>
          </w:tcPr>
          <w:p>
            <w:pPr>
              <w:spacing w:line="300" w:lineRule="exact"/>
              <w:ind w:firstLine="210"/>
              <w:rPr>
                <w:rFonts w:ascii="宋体" w:cs="宋体"/>
                <w:color w:val="auto"/>
                <w:highlight w:val="none"/>
              </w:rPr>
            </w:pPr>
          </w:p>
        </w:tc>
        <w:tc>
          <w:tcPr>
            <w:tcW w:w="1620" w:type="dxa"/>
            <w:vAlign w:val="center"/>
          </w:tcPr>
          <w:p>
            <w:pPr>
              <w:spacing w:line="300" w:lineRule="exact"/>
              <w:ind w:firstLine="210"/>
              <w:rPr>
                <w:rFonts w:ascii="宋体" w:cs="宋体"/>
                <w:color w:val="auto"/>
                <w:highlight w:val="none"/>
              </w:rPr>
            </w:pPr>
          </w:p>
        </w:tc>
        <w:tc>
          <w:tcPr>
            <w:tcW w:w="2160" w:type="dxa"/>
            <w:vAlign w:val="center"/>
          </w:tcPr>
          <w:p>
            <w:pPr>
              <w:spacing w:line="300" w:lineRule="exact"/>
              <w:ind w:firstLine="210"/>
              <w:rPr>
                <w:rFonts w:ascii="宋体" w:cs="宋体"/>
                <w:color w:val="auto"/>
                <w:highlight w:val="none"/>
              </w:rPr>
            </w:pPr>
          </w:p>
        </w:tc>
        <w:tc>
          <w:tcPr>
            <w:tcW w:w="1182" w:type="dxa"/>
            <w:vAlign w:val="center"/>
          </w:tcPr>
          <w:p>
            <w:pPr>
              <w:spacing w:line="300" w:lineRule="exact"/>
              <w:rPr>
                <w:rFonts w:ascii="宋体" w:cs="宋体"/>
                <w:color w:val="auto"/>
                <w:highlight w:val="none"/>
              </w:rPr>
            </w:pPr>
          </w:p>
        </w:tc>
        <w:tc>
          <w:tcPr>
            <w:tcW w:w="970" w:type="dxa"/>
            <w:vAlign w:val="center"/>
          </w:tcPr>
          <w:p>
            <w:pPr>
              <w:jc w:val="center"/>
              <w:rPr>
                <w:rFonts w:ascii="宋体" w:cs="宋体"/>
                <w:color w:val="auto"/>
                <w:highlight w:val="none"/>
              </w:rPr>
            </w:pPr>
          </w:p>
        </w:tc>
        <w:tc>
          <w:tcPr>
            <w:tcW w:w="1050" w:type="dxa"/>
            <w:vAlign w:val="center"/>
          </w:tcPr>
          <w:p>
            <w:pPr>
              <w:jc w:val="center"/>
              <w:rPr>
                <w:rFonts w:ascii="宋体" w:cs="宋体"/>
                <w:color w:val="auto"/>
                <w:highlight w:val="none"/>
              </w:rPr>
            </w:pPr>
          </w:p>
        </w:tc>
        <w:tc>
          <w:tcPr>
            <w:tcW w:w="1260" w:type="dxa"/>
            <w:vAlign w:val="center"/>
          </w:tcPr>
          <w:p>
            <w:pPr>
              <w:jc w:val="center"/>
              <w:rPr>
                <w:rFonts w:ascii="宋体" w:cs="宋体"/>
                <w:color w:val="auto"/>
                <w:highlight w:val="none"/>
              </w:rPr>
            </w:pPr>
          </w:p>
        </w:tc>
        <w:tc>
          <w:tcPr>
            <w:tcW w:w="1710" w:type="dxa"/>
            <w:vAlign w:val="center"/>
          </w:tcPr>
          <w:p>
            <w:pPr>
              <w:jc w:val="center"/>
              <w:rPr>
                <w:rFonts w:asci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1239" w:type="dxa"/>
            <w:gridSpan w:val="2"/>
            <w:vAlign w:val="center"/>
          </w:tcPr>
          <w:p>
            <w:pPr>
              <w:spacing w:line="480" w:lineRule="auto"/>
              <w:rPr>
                <w:rFonts w:ascii="宋体" w:hAnsi="宋体" w:cs="宋体"/>
                <w:color w:val="auto"/>
                <w:highlight w:val="none"/>
              </w:rPr>
            </w:pPr>
          </w:p>
        </w:tc>
        <w:tc>
          <w:tcPr>
            <w:tcW w:w="12421" w:type="dxa"/>
            <w:gridSpan w:val="9"/>
            <w:vAlign w:val="center"/>
          </w:tcPr>
          <w:p>
            <w:pPr>
              <w:spacing w:line="480" w:lineRule="auto"/>
              <w:rPr>
                <w:rFonts w:ascii="宋体" w:cs="宋体"/>
                <w:color w:val="auto"/>
                <w:highlight w:val="none"/>
              </w:rPr>
            </w:pPr>
            <w:r>
              <w:rPr>
                <w:rFonts w:hint="eastAsia" w:ascii="宋体" w:hAnsi="宋体" w:cs="宋体"/>
                <w:color w:val="auto"/>
                <w:highlight w:val="none"/>
              </w:rPr>
              <w:t>合计：</w:t>
            </w:r>
            <w:r>
              <w:rPr>
                <w:rFonts w:ascii="宋体" w:hAnsi="宋体" w:cs="宋体"/>
                <w:color w:val="auto"/>
                <w:highlight w:val="none"/>
              </w:rPr>
              <w:t xml:space="preserve">  </w:t>
            </w:r>
            <w:r>
              <w:rPr>
                <w:rFonts w:hint="eastAsia" w:ascii="宋体" w:hAnsi="宋体" w:cs="宋体"/>
                <w:color w:val="auto"/>
                <w:highlight w:val="none"/>
              </w:rPr>
              <w:t>小写：￥</w:t>
            </w:r>
            <w:r>
              <w:rPr>
                <w:rFonts w:ascii="宋体" w:hAnsi="宋体" w:cs="宋体"/>
                <w:color w:val="auto"/>
                <w:highlight w:val="none"/>
              </w:rPr>
              <w:t xml:space="preserve">         </w:t>
            </w:r>
            <w:r>
              <w:rPr>
                <w:rFonts w:hint="eastAsia" w:ascii="宋体" w:hAnsi="宋体" w:cs="宋体"/>
                <w:color w:val="auto"/>
                <w:highlight w:val="none"/>
              </w:rPr>
              <w:t>元</w:t>
            </w:r>
            <w:r>
              <w:rPr>
                <w:rFonts w:ascii="宋体" w:hAnsi="宋体" w:cs="宋体"/>
                <w:color w:val="auto"/>
                <w:highlight w:val="none"/>
              </w:rPr>
              <w:t xml:space="preserve">     </w:t>
            </w:r>
            <w:r>
              <w:rPr>
                <w:rFonts w:hint="eastAsia" w:ascii="宋体" w:hAnsi="宋体" w:cs="宋体"/>
                <w:color w:val="auto"/>
                <w:highlight w:val="none"/>
              </w:rPr>
              <w:t>大写：人民币</w:t>
            </w:r>
            <w:r>
              <w:rPr>
                <w:rFonts w:ascii="宋体" w:hAnsi="宋体" w:cs="宋体"/>
                <w:b/>
                <w:bCs/>
                <w:color w:val="auto"/>
                <w:kern w:val="0"/>
                <w:sz w:val="28"/>
                <w:szCs w:val="28"/>
                <w:highlight w:val="none"/>
              </w:rPr>
              <w:t xml:space="preserve">         </w:t>
            </w:r>
            <w:r>
              <w:rPr>
                <w:rFonts w:hint="eastAsia" w:ascii="宋体" w:hAnsi="宋体" w:cs="宋体"/>
                <w:color w:val="auto"/>
                <w:highlight w:val="none"/>
              </w:rPr>
              <w:t>元整</w:t>
            </w:r>
          </w:p>
        </w:tc>
      </w:tr>
    </w:tbl>
    <w:p>
      <w:pPr>
        <w:rPr>
          <w:color w:val="auto"/>
          <w:highlight w:val="none"/>
        </w:rPr>
      </w:pPr>
    </w:p>
    <w:p>
      <w:pPr>
        <w:rPr>
          <w:rFonts w:ascii="宋体"/>
          <w:color w:val="auto"/>
          <w:kern w:val="0"/>
          <w:sz w:val="24"/>
          <w:highlight w:val="none"/>
        </w:rPr>
        <w:sectPr>
          <w:footerReference r:id="rId9" w:type="default"/>
          <w:pgSz w:w="16838" w:h="11906" w:orient="landscape"/>
          <w:pgMar w:top="1797" w:right="1440" w:bottom="1797" w:left="1440" w:header="998" w:footer="998" w:gutter="0"/>
          <w:cols w:space="720" w:num="1"/>
          <w:docGrid w:type="linesAndChars" w:linePitch="312" w:charSpace="0"/>
        </w:sectPr>
      </w:pPr>
    </w:p>
    <w:p>
      <w:pPr>
        <w:spacing w:line="360" w:lineRule="auto"/>
        <w:jc w:val="left"/>
        <w:rPr>
          <w:rFonts w:ascii="宋体"/>
          <w:color w:val="auto"/>
          <w:sz w:val="28"/>
          <w:szCs w:val="28"/>
          <w:highlight w:val="none"/>
        </w:rPr>
      </w:pPr>
      <w:r>
        <w:rPr>
          <w:rFonts w:hint="eastAsia" w:ascii="宋体" w:hAnsi="宋体" w:cs="宋体"/>
          <w:color w:val="auto"/>
          <w:sz w:val="28"/>
          <w:szCs w:val="28"/>
          <w:highlight w:val="none"/>
        </w:rPr>
        <w:t>附件</w:t>
      </w:r>
      <w:r>
        <w:rPr>
          <w:rFonts w:ascii="宋体" w:hAnsi="宋体" w:cs="宋体"/>
          <w:color w:val="auto"/>
          <w:sz w:val="28"/>
          <w:szCs w:val="28"/>
          <w:highlight w:val="none"/>
        </w:rPr>
        <w:t>2</w:t>
      </w:r>
      <w:r>
        <w:rPr>
          <w:rFonts w:hint="eastAsia" w:ascii="宋体" w:hAnsi="宋体" w:cs="宋体"/>
          <w:color w:val="auto"/>
          <w:sz w:val="28"/>
          <w:szCs w:val="28"/>
          <w:highlight w:val="none"/>
        </w:rPr>
        <w:t>：</w:t>
      </w:r>
    </w:p>
    <w:p>
      <w:pPr>
        <w:spacing w:line="360" w:lineRule="auto"/>
        <w:jc w:val="center"/>
        <w:rPr>
          <w:rFonts w:ascii="宋体"/>
          <w:b/>
          <w:bCs/>
          <w:color w:val="auto"/>
          <w:kern w:val="0"/>
          <w:sz w:val="28"/>
          <w:szCs w:val="28"/>
          <w:highlight w:val="none"/>
        </w:rPr>
      </w:pPr>
      <w:r>
        <w:rPr>
          <w:rFonts w:hint="eastAsia" w:ascii="宋体" w:hAnsi="宋体" w:cs="宋体"/>
          <w:b/>
          <w:bCs/>
          <w:color w:val="auto"/>
          <w:kern w:val="0"/>
          <w:sz w:val="28"/>
          <w:szCs w:val="28"/>
          <w:highlight w:val="none"/>
        </w:rPr>
        <w:t>设备</w:t>
      </w:r>
      <w:r>
        <w:rPr>
          <w:rFonts w:hint="eastAsia" w:ascii="宋体" w:hAnsi="宋体" w:cs="宋体"/>
          <w:b/>
          <w:bCs/>
          <w:color w:val="auto"/>
          <w:sz w:val="28"/>
          <w:szCs w:val="28"/>
          <w:highlight w:val="none"/>
        </w:rPr>
        <w:t>技术规格参数、功能描述及</w:t>
      </w:r>
      <w:r>
        <w:rPr>
          <w:rFonts w:hint="eastAsia" w:ascii="宋体" w:hAnsi="宋体" w:cs="宋体"/>
          <w:b/>
          <w:bCs/>
          <w:color w:val="auto"/>
          <w:kern w:val="0"/>
          <w:sz w:val="28"/>
          <w:szCs w:val="28"/>
          <w:highlight w:val="none"/>
        </w:rPr>
        <w:t>配置清单表</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4"/>
        <w:gridCol w:w="1346"/>
        <w:gridCol w:w="8374"/>
        <w:gridCol w:w="1260"/>
        <w:gridCol w:w="1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4" w:type="dxa"/>
            <w:vAlign w:val="center"/>
          </w:tcPr>
          <w:p>
            <w:pPr>
              <w:spacing w:line="360" w:lineRule="auto"/>
              <w:jc w:val="center"/>
              <w:rPr>
                <w:rFonts w:ascii="宋体" w:cs="宋体"/>
                <w:b/>
                <w:bCs/>
                <w:color w:val="auto"/>
                <w:kern w:val="0"/>
                <w:sz w:val="28"/>
                <w:szCs w:val="28"/>
                <w:highlight w:val="none"/>
              </w:rPr>
            </w:pPr>
            <w:r>
              <w:rPr>
                <w:rFonts w:hint="eastAsia" w:ascii="宋体" w:hAnsi="宋体" w:cs="宋体"/>
                <w:b/>
                <w:bCs/>
                <w:color w:val="auto"/>
                <w:kern w:val="0"/>
                <w:sz w:val="28"/>
                <w:szCs w:val="28"/>
                <w:highlight w:val="none"/>
              </w:rPr>
              <w:t>序</w:t>
            </w:r>
            <w:r>
              <w:rPr>
                <w:rFonts w:ascii="宋体" w:hAnsi="宋体" w:cs="宋体"/>
                <w:b/>
                <w:bCs/>
                <w:color w:val="auto"/>
                <w:kern w:val="0"/>
                <w:sz w:val="28"/>
                <w:szCs w:val="28"/>
                <w:highlight w:val="none"/>
              </w:rPr>
              <w:t xml:space="preserve"> </w:t>
            </w:r>
            <w:r>
              <w:rPr>
                <w:rFonts w:hint="eastAsia" w:ascii="宋体" w:hAnsi="宋体" w:cs="宋体"/>
                <w:b/>
                <w:bCs/>
                <w:color w:val="auto"/>
                <w:kern w:val="0"/>
                <w:sz w:val="28"/>
                <w:szCs w:val="28"/>
                <w:highlight w:val="none"/>
              </w:rPr>
              <w:t>号</w:t>
            </w:r>
          </w:p>
        </w:tc>
        <w:tc>
          <w:tcPr>
            <w:tcW w:w="1346" w:type="dxa"/>
          </w:tcPr>
          <w:p>
            <w:pPr>
              <w:spacing w:line="360" w:lineRule="auto"/>
              <w:jc w:val="center"/>
              <w:rPr>
                <w:rFonts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设备名称</w:t>
            </w:r>
          </w:p>
        </w:tc>
        <w:tc>
          <w:tcPr>
            <w:tcW w:w="8374" w:type="dxa"/>
          </w:tcPr>
          <w:p>
            <w:pPr>
              <w:spacing w:line="360" w:lineRule="auto"/>
              <w:jc w:val="left"/>
              <w:rPr>
                <w:rFonts w:ascii="宋体" w:cs="宋体"/>
                <w:b/>
                <w:bCs/>
                <w:color w:val="auto"/>
                <w:kern w:val="0"/>
                <w:sz w:val="28"/>
                <w:szCs w:val="28"/>
                <w:highlight w:val="none"/>
              </w:rPr>
            </w:pPr>
            <w:r>
              <w:rPr>
                <w:rFonts w:hint="eastAsia" w:ascii="宋体" w:hAnsi="宋体" w:cs="宋体"/>
                <w:b/>
                <w:bCs/>
                <w:color w:val="auto"/>
                <w:kern w:val="0"/>
                <w:sz w:val="28"/>
                <w:szCs w:val="28"/>
                <w:highlight w:val="none"/>
              </w:rPr>
              <w:t>具体</w:t>
            </w:r>
            <w:r>
              <w:rPr>
                <w:rFonts w:hint="eastAsia" w:ascii="宋体" w:hAnsi="宋体" w:cs="宋体"/>
                <w:b/>
                <w:bCs/>
                <w:color w:val="auto"/>
                <w:sz w:val="28"/>
                <w:szCs w:val="28"/>
                <w:highlight w:val="none"/>
              </w:rPr>
              <w:t>技术规格参数、功能描述及</w:t>
            </w:r>
            <w:r>
              <w:rPr>
                <w:rFonts w:hint="eastAsia" w:ascii="宋体" w:hAnsi="宋体" w:cs="宋体"/>
                <w:b/>
                <w:bCs/>
                <w:color w:val="auto"/>
                <w:kern w:val="0"/>
                <w:sz w:val="28"/>
                <w:szCs w:val="28"/>
                <w:highlight w:val="none"/>
              </w:rPr>
              <w:t>配置清单描述</w:t>
            </w:r>
          </w:p>
        </w:tc>
        <w:tc>
          <w:tcPr>
            <w:tcW w:w="1260" w:type="dxa"/>
          </w:tcPr>
          <w:p>
            <w:pPr>
              <w:spacing w:line="360" w:lineRule="auto"/>
              <w:jc w:val="left"/>
              <w:rPr>
                <w:rFonts w:ascii="宋体" w:cs="宋体"/>
                <w:b/>
                <w:bCs/>
                <w:color w:val="auto"/>
                <w:kern w:val="0"/>
                <w:sz w:val="28"/>
                <w:szCs w:val="28"/>
                <w:highlight w:val="none"/>
              </w:rPr>
            </w:pPr>
            <w:r>
              <w:rPr>
                <w:rFonts w:ascii="宋体" w:hAnsi="宋体" w:cs="宋体"/>
                <w:b/>
                <w:bCs/>
                <w:color w:val="auto"/>
                <w:kern w:val="0"/>
                <w:sz w:val="28"/>
                <w:szCs w:val="28"/>
                <w:highlight w:val="none"/>
              </w:rPr>
              <w:t xml:space="preserve"> </w:t>
            </w:r>
            <w:r>
              <w:rPr>
                <w:rFonts w:hint="eastAsia" w:ascii="宋体" w:hAnsi="宋体" w:cs="宋体"/>
                <w:b/>
                <w:bCs/>
                <w:color w:val="auto"/>
                <w:kern w:val="0"/>
                <w:sz w:val="28"/>
                <w:szCs w:val="28"/>
                <w:highlight w:val="none"/>
              </w:rPr>
              <w:t>单</w:t>
            </w:r>
            <w:r>
              <w:rPr>
                <w:rFonts w:ascii="宋体" w:hAnsi="宋体" w:cs="宋体"/>
                <w:b/>
                <w:bCs/>
                <w:color w:val="auto"/>
                <w:kern w:val="0"/>
                <w:sz w:val="28"/>
                <w:szCs w:val="28"/>
                <w:highlight w:val="none"/>
              </w:rPr>
              <w:t xml:space="preserve"> </w:t>
            </w:r>
            <w:r>
              <w:rPr>
                <w:rFonts w:hint="eastAsia" w:ascii="宋体" w:hAnsi="宋体" w:cs="宋体"/>
                <w:b/>
                <w:bCs/>
                <w:color w:val="auto"/>
                <w:kern w:val="0"/>
                <w:sz w:val="28"/>
                <w:szCs w:val="28"/>
                <w:highlight w:val="none"/>
              </w:rPr>
              <w:t>位</w:t>
            </w:r>
          </w:p>
        </w:tc>
        <w:tc>
          <w:tcPr>
            <w:tcW w:w="1980" w:type="dxa"/>
          </w:tcPr>
          <w:p>
            <w:pPr>
              <w:spacing w:line="360" w:lineRule="auto"/>
              <w:jc w:val="left"/>
              <w:rPr>
                <w:rFonts w:ascii="宋体" w:cs="宋体"/>
                <w:b/>
                <w:bCs/>
                <w:color w:val="auto"/>
                <w:kern w:val="0"/>
                <w:sz w:val="28"/>
                <w:szCs w:val="28"/>
                <w:highlight w:val="none"/>
              </w:rPr>
            </w:pPr>
            <w:r>
              <w:rPr>
                <w:rFonts w:ascii="宋体" w:hAnsi="宋体" w:cs="宋体"/>
                <w:b/>
                <w:bCs/>
                <w:color w:val="auto"/>
                <w:kern w:val="0"/>
                <w:sz w:val="28"/>
                <w:szCs w:val="28"/>
                <w:highlight w:val="none"/>
              </w:rPr>
              <w:t xml:space="preserve">  </w:t>
            </w:r>
            <w:r>
              <w:rPr>
                <w:rFonts w:hint="eastAsia" w:ascii="宋体" w:hAnsi="宋体" w:cs="宋体"/>
                <w:b/>
                <w:bCs/>
                <w:color w:val="auto"/>
                <w:kern w:val="0"/>
                <w:sz w:val="28"/>
                <w:szCs w:val="28"/>
                <w:highlight w:val="none"/>
              </w:rPr>
              <w:t>数</w:t>
            </w:r>
            <w:r>
              <w:rPr>
                <w:rFonts w:ascii="宋体" w:hAnsi="宋体" w:cs="宋体"/>
                <w:b/>
                <w:bCs/>
                <w:color w:val="auto"/>
                <w:kern w:val="0"/>
                <w:sz w:val="28"/>
                <w:szCs w:val="28"/>
                <w:highlight w:val="none"/>
              </w:rPr>
              <w:t xml:space="preserve">  </w:t>
            </w:r>
            <w:r>
              <w:rPr>
                <w:rFonts w:hint="eastAsia" w:ascii="宋体" w:hAnsi="宋体" w:cs="宋体"/>
                <w:b/>
                <w:bCs/>
                <w:color w:val="auto"/>
                <w:kern w:val="0"/>
                <w:sz w:val="28"/>
                <w:szCs w:val="28"/>
                <w:highlight w:val="none"/>
              </w:rPr>
              <w:t>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4" w:type="dxa"/>
            <w:vAlign w:val="center"/>
          </w:tcPr>
          <w:p>
            <w:pPr>
              <w:spacing w:line="360" w:lineRule="auto"/>
              <w:jc w:val="center"/>
              <w:rPr>
                <w:rFonts w:ascii="宋体" w:hAnsi="宋体" w:cs="宋体"/>
                <w:b/>
                <w:bCs/>
                <w:color w:val="auto"/>
                <w:kern w:val="0"/>
                <w:sz w:val="28"/>
                <w:szCs w:val="28"/>
                <w:highlight w:val="none"/>
              </w:rPr>
            </w:pPr>
            <w:r>
              <w:rPr>
                <w:rFonts w:ascii="宋体" w:hAnsi="宋体" w:cs="宋体"/>
                <w:b/>
                <w:bCs/>
                <w:color w:val="auto"/>
                <w:kern w:val="0"/>
                <w:sz w:val="28"/>
                <w:szCs w:val="28"/>
                <w:highlight w:val="none"/>
              </w:rPr>
              <w:t>1</w:t>
            </w:r>
          </w:p>
        </w:tc>
        <w:tc>
          <w:tcPr>
            <w:tcW w:w="1346" w:type="dxa"/>
          </w:tcPr>
          <w:p>
            <w:pPr>
              <w:spacing w:line="360" w:lineRule="auto"/>
              <w:jc w:val="center"/>
              <w:rPr>
                <w:rFonts w:ascii="宋体" w:hAnsi="宋体" w:cs="宋体"/>
                <w:b/>
                <w:bCs/>
                <w:color w:val="auto"/>
                <w:kern w:val="0"/>
                <w:sz w:val="28"/>
                <w:szCs w:val="28"/>
                <w:highlight w:val="none"/>
              </w:rPr>
            </w:pPr>
          </w:p>
        </w:tc>
        <w:tc>
          <w:tcPr>
            <w:tcW w:w="8374" w:type="dxa"/>
          </w:tcPr>
          <w:p>
            <w:pPr>
              <w:spacing w:line="360" w:lineRule="auto"/>
              <w:jc w:val="left"/>
              <w:rPr>
                <w:rFonts w:ascii="宋体" w:cs="宋体"/>
                <w:b/>
                <w:bCs/>
                <w:color w:val="auto"/>
                <w:kern w:val="0"/>
                <w:sz w:val="28"/>
                <w:szCs w:val="28"/>
                <w:highlight w:val="none"/>
              </w:rPr>
            </w:pPr>
          </w:p>
        </w:tc>
        <w:tc>
          <w:tcPr>
            <w:tcW w:w="1260" w:type="dxa"/>
          </w:tcPr>
          <w:p>
            <w:pPr>
              <w:spacing w:line="360" w:lineRule="auto"/>
              <w:jc w:val="left"/>
              <w:rPr>
                <w:rFonts w:ascii="宋体" w:cs="宋体"/>
                <w:b/>
                <w:bCs/>
                <w:color w:val="auto"/>
                <w:kern w:val="0"/>
                <w:sz w:val="28"/>
                <w:szCs w:val="28"/>
                <w:highlight w:val="none"/>
              </w:rPr>
            </w:pPr>
          </w:p>
        </w:tc>
        <w:tc>
          <w:tcPr>
            <w:tcW w:w="1980" w:type="dxa"/>
          </w:tcPr>
          <w:p>
            <w:pPr>
              <w:spacing w:line="360" w:lineRule="auto"/>
              <w:jc w:val="left"/>
              <w:rPr>
                <w:rFonts w:ascii="宋体" w:cs="宋体"/>
                <w:b/>
                <w:bCs/>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4" w:type="dxa"/>
            <w:vAlign w:val="center"/>
          </w:tcPr>
          <w:p>
            <w:pPr>
              <w:spacing w:line="360" w:lineRule="auto"/>
              <w:jc w:val="center"/>
              <w:rPr>
                <w:rFonts w:ascii="宋体" w:hAnsi="宋体" w:cs="宋体"/>
                <w:b/>
                <w:bCs/>
                <w:color w:val="auto"/>
                <w:kern w:val="0"/>
                <w:sz w:val="28"/>
                <w:szCs w:val="28"/>
                <w:highlight w:val="none"/>
              </w:rPr>
            </w:pPr>
            <w:r>
              <w:rPr>
                <w:rFonts w:ascii="宋体" w:hAnsi="宋体" w:cs="宋体"/>
                <w:b/>
                <w:bCs/>
                <w:color w:val="auto"/>
                <w:kern w:val="0"/>
                <w:sz w:val="28"/>
                <w:szCs w:val="28"/>
                <w:highlight w:val="none"/>
              </w:rPr>
              <w:t>2</w:t>
            </w:r>
          </w:p>
        </w:tc>
        <w:tc>
          <w:tcPr>
            <w:tcW w:w="1346" w:type="dxa"/>
          </w:tcPr>
          <w:p>
            <w:pPr>
              <w:spacing w:line="360" w:lineRule="auto"/>
              <w:jc w:val="center"/>
              <w:rPr>
                <w:rFonts w:ascii="宋体" w:hAnsi="宋体" w:cs="宋体"/>
                <w:b/>
                <w:bCs/>
                <w:color w:val="auto"/>
                <w:kern w:val="0"/>
                <w:sz w:val="28"/>
                <w:szCs w:val="28"/>
                <w:highlight w:val="none"/>
              </w:rPr>
            </w:pPr>
          </w:p>
        </w:tc>
        <w:tc>
          <w:tcPr>
            <w:tcW w:w="8374" w:type="dxa"/>
          </w:tcPr>
          <w:p>
            <w:pPr>
              <w:spacing w:line="360" w:lineRule="auto"/>
              <w:jc w:val="left"/>
              <w:rPr>
                <w:rFonts w:ascii="宋体" w:cs="宋体"/>
                <w:b/>
                <w:bCs/>
                <w:color w:val="auto"/>
                <w:kern w:val="0"/>
                <w:sz w:val="28"/>
                <w:szCs w:val="28"/>
                <w:highlight w:val="none"/>
              </w:rPr>
            </w:pPr>
          </w:p>
        </w:tc>
        <w:tc>
          <w:tcPr>
            <w:tcW w:w="1260" w:type="dxa"/>
          </w:tcPr>
          <w:p>
            <w:pPr>
              <w:spacing w:line="360" w:lineRule="auto"/>
              <w:jc w:val="left"/>
              <w:rPr>
                <w:rFonts w:ascii="宋体" w:cs="宋体"/>
                <w:b/>
                <w:bCs/>
                <w:color w:val="auto"/>
                <w:kern w:val="0"/>
                <w:sz w:val="28"/>
                <w:szCs w:val="28"/>
                <w:highlight w:val="none"/>
              </w:rPr>
            </w:pPr>
          </w:p>
        </w:tc>
        <w:tc>
          <w:tcPr>
            <w:tcW w:w="1980" w:type="dxa"/>
          </w:tcPr>
          <w:p>
            <w:pPr>
              <w:spacing w:line="360" w:lineRule="auto"/>
              <w:jc w:val="left"/>
              <w:rPr>
                <w:rFonts w:ascii="宋体" w:cs="宋体"/>
                <w:b/>
                <w:bCs/>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4" w:type="dxa"/>
            <w:vAlign w:val="center"/>
          </w:tcPr>
          <w:p>
            <w:pPr>
              <w:spacing w:line="360" w:lineRule="auto"/>
              <w:jc w:val="center"/>
              <w:rPr>
                <w:rFonts w:ascii="宋体" w:hAnsi="宋体" w:cs="宋体"/>
                <w:b/>
                <w:bCs/>
                <w:color w:val="auto"/>
                <w:kern w:val="0"/>
                <w:sz w:val="28"/>
                <w:szCs w:val="28"/>
                <w:highlight w:val="none"/>
              </w:rPr>
            </w:pPr>
            <w:r>
              <w:rPr>
                <w:rFonts w:ascii="宋体" w:hAnsi="宋体" w:cs="宋体"/>
                <w:b/>
                <w:bCs/>
                <w:color w:val="auto"/>
                <w:kern w:val="0"/>
                <w:sz w:val="28"/>
                <w:szCs w:val="28"/>
                <w:highlight w:val="none"/>
              </w:rPr>
              <w:t>3</w:t>
            </w:r>
          </w:p>
        </w:tc>
        <w:tc>
          <w:tcPr>
            <w:tcW w:w="1346" w:type="dxa"/>
          </w:tcPr>
          <w:p>
            <w:pPr>
              <w:spacing w:line="360" w:lineRule="auto"/>
              <w:jc w:val="center"/>
              <w:rPr>
                <w:rFonts w:ascii="宋体" w:hAnsi="宋体" w:cs="宋体"/>
                <w:b/>
                <w:bCs/>
                <w:color w:val="auto"/>
                <w:kern w:val="0"/>
                <w:sz w:val="28"/>
                <w:szCs w:val="28"/>
                <w:highlight w:val="none"/>
              </w:rPr>
            </w:pPr>
          </w:p>
        </w:tc>
        <w:tc>
          <w:tcPr>
            <w:tcW w:w="8374" w:type="dxa"/>
          </w:tcPr>
          <w:p>
            <w:pPr>
              <w:spacing w:line="360" w:lineRule="auto"/>
              <w:jc w:val="left"/>
              <w:rPr>
                <w:rFonts w:ascii="宋体" w:cs="宋体"/>
                <w:b/>
                <w:bCs/>
                <w:color w:val="auto"/>
                <w:kern w:val="0"/>
                <w:sz w:val="28"/>
                <w:szCs w:val="28"/>
                <w:highlight w:val="none"/>
              </w:rPr>
            </w:pPr>
          </w:p>
        </w:tc>
        <w:tc>
          <w:tcPr>
            <w:tcW w:w="1260" w:type="dxa"/>
          </w:tcPr>
          <w:p>
            <w:pPr>
              <w:spacing w:line="360" w:lineRule="auto"/>
              <w:jc w:val="left"/>
              <w:rPr>
                <w:rFonts w:ascii="宋体" w:cs="宋体"/>
                <w:b/>
                <w:bCs/>
                <w:color w:val="auto"/>
                <w:kern w:val="0"/>
                <w:sz w:val="28"/>
                <w:szCs w:val="28"/>
                <w:highlight w:val="none"/>
              </w:rPr>
            </w:pPr>
          </w:p>
        </w:tc>
        <w:tc>
          <w:tcPr>
            <w:tcW w:w="1980" w:type="dxa"/>
          </w:tcPr>
          <w:p>
            <w:pPr>
              <w:spacing w:line="360" w:lineRule="auto"/>
              <w:jc w:val="left"/>
              <w:rPr>
                <w:rFonts w:ascii="宋体" w:cs="宋体"/>
                <w:b/>
                <w:bCs/>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4" w:type="dxa"/>
            <w:vAlign w:val="center"/>
          </w:tcPr>
          <w:p>
            <w:pPr>
              <w:spacing w:line="360" w:lineRule="auto"/>
              <w:jc w:val="center"/>
              <w:rPr>
                <w:rFonts w:ascii="宋体" w:hAnsi="宋体" w:cs="宋体"/>
                <w:b/>
                <w:bCs/>
                <w:color w:val="auto"/>
                <w:kern w:val="0"/>
                <w:sz w:val="28"/>
                <w:szCs w:val="28"/>
                <w:highlight w:val="none"/>
              </w:rPr>
            </w:pPr>
            <w:r>
              <w:rPr>
                <w:rFonts w:ascii="宋体" w:hAnsi="宋体" w:cs="宋体"/>
                <w:b/>
                <w:bCs/>
                <w:color w:val="auto"/>
                <w:kern w:val="0"/>
                <w:sz w:val="28"/>
                <w:szCs w:val="28"/>
                <w:highlight w:val="none"/>
              </w:rPr>
              <w:t>4</w:t>
            </w:r>
          </w:p>
        </w:tc>
        <w:tc>
          <w:tcPr>
            <w:tcW w:w="1346" w:type="dxa"/>
          </w:tcPr>
          <w:p>
            <w:pPr>
              <w:spacing w:line="360" w:lineRule="auto"/>
              <w:jc w:val="center"/>
              <w:rPr>
                <w:rFonts w:ascii="宋体" w:hAnsi="宋体" w:cs="宋体"/>
                <w:b/>
                <w:bCs/>
                <w:color w:val="auto"/>
                <w:kern w:val="0"/>
                <w:sz w:val="28"/>
                <w:szCs w:val="28"/>
                <w:highlight w:val="none"/>
              </w:rPr>
            </w:pPr>
          </w:p>
        </w:tc>
        <w:tc>
          <w:tcPr>
            <w:tcW w:w="8374" w:type="dxa"/>
          </w:tcPr>
          <w:p>
            <w:pPr>
              <w:spacing w:line="360" w:lineRule="auto"/>
              <w:jc w:val="left"/>
              <w:rPr>
                <w:rFonts w:ascii="宋体" w:cs="宋体"/>
                <w:b/>
                <w:bCs/>
                <w:color w:val="auto"/>
                <w:kern w:val="0"/>
                <w:sz w:val="28"/>
                <w:szCs w:val="28"/>
                <w:highlight w:val="none"/>
              </w:rPr>
            </w:pPr>
          </w:p>
        </w:tc>
        <w:tc>
          <w:tcPr>
            <w:tcW w:w="1260" w:type="dxa"/>
          </w:tcPr>
          <w:p>
            <w:pPr>
              <w:spacing w:line="360" w:lineRule="auto"/>
              <w:jc w:val="left"/>
              <w:rPr>
                <w:rFonts w:ascii="宋体" w:cs="宋体"/>
                <w:b/>
                <w:bCs/>
                <w:color w:val="auto"/>
                <w:kern w:val="0"/>
                <w:sz w:val="28"/>
                <w:szCs w:val="28"/>
                <w:highlight w:val="none"/>
              </w:rPr>
            </w:pPr>
          </w:p>
        </w:tc>
        <w:tc>
          <w:tcPr>
            <w:tcW w:w="1980" w:type="dxa"/>
          </w:tcPr>
          <w:p>
            <w:pPr>
              <w:spacing w:line="360" w:lineRule="auto"/>
              <w:jc w:val="left"/>
              <w:rPr>
                <w:rFonts w:ascii="宋体" w:cs="宋体"/>
                <w:b/>
                <w:bCs/>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4" w:type="dxa"/>
            <w:vAlign w:val="center"/>
          </w:tcPr>
          <w:p>
            <w:pPr>
              <w:spacing w:line="360" w:lineRule="auto"/>
              <w:jc w:val="center"/>
              <w:rPr>
                <w:rFonts w:ascii="宋体" w:hAnsi="宋体" w:cs="宋体"/>
                <w:b/>
                <w:bCs/>
                <w:color w:val="auto"/>
                <w:kern w:val="0"/>
                <w:sz w:val="28"/>
                <w:szCs w:val="28"/>
                <w:highlight w:val="none"/>
              </w:rPr>
            </w:pPr>
            <w:r>
              <w:rPr>
                <w:rFonts w:ascii="宋体" w:hAnsi="宋体" w:cs="宋体"/>
                <w:b/>
                <w:bCs/>
                <w:color w:val="auto"/>
                <w:kern w:val="0"/>
                <w:sz w:val="28"/>
                <w:szCs w:val="28"/>
                <w:highlight w:val="none"/>
              </w:rPr>
              <w:t>5</w:t>
            </w:r>
          </w:p>
        </w:tc>
        <w:tc>
          <w:tcPr>
            <w:tcW w:w="1346" w:type="dxa"/>
          </w:tcPr>
          <w:p>
            <w:pPr>
              <w:spacing w:line="360" w:lineRule="auto"/>
              <w:jc w:val="center"/>
              <w:rPr>
                <w:rFonts w:ascii="宋体" w:hAnsi="宋体" w:cs="宋体"/>
                <w:b/>
                <w:bCs/>
                <w:color w:val="auto"/>
                <w:kern w:val="0"/>
                <w:sz w:val="28"/>
                <w:szCs w:val="28"/>
                <w:highlight w:val="none"/>
              </w:rPr>
            </w:pPr>
          </w:p>
        </w:tc>
        <w:tc>
          <w:tcPr>
            <w:tcW w:w="8374" w:type="dxa"/>
          </w:tcPr>
          <w:p>
            <w:pPr>
              <w:spacing w:line="360" w:lineRule="auto"/>
              <w:jc w:val="left"/>
              <w:rPr>
                <w:rFonts w:ascii="宋体" w:cs="宋体"/>
                <w:b/>
                <w:bCs/>
                <w:color w:val="auto"/>
                <w:kern w:val="0"/>
                <w:sz w:val="28"/>
                <w:szCs w:val="28"/>
                <w:highlight w:val="none"/>
              </w:rPr>
            </w:pPr>
          </w:p>
        </w:tc>
        <w:tc>
          <w:tcPr>
            <w:tcW w:w="1260" w:type="dxa"/>
          </w:tcPr>
          <w:p>
            <w:pPr>
              <w:spacing w:line="360" w:lineRule="auto"/>
              <w:jc w:val="left"/>
              <w:rPr>
                <w:rFonts w:ascii="宋体" w:cs="宋体"/>
                <w:b/>
                <w:bCs/>
                <w:color w:val="auto"/>
                <w:kern w:val="0"/>
                <w:sz w:val="28"/>
                <w:szCs w:val="28"/>
                <w:highlight w:val="none"/>
              </w:rPr>
            </w:pPr>
          </w:p>
        </w:tc>
        <w:tc>
          <w:tcPr>
            <w:tcW w:w="1980" w:type="dxa"/>
          </w:tcPr>
          <w:p>
            <w:pPr>
              <w:spacing w:line="360" w:lineRule="auto"/>
              <w:jc w:val="left"/>
              <w:rPr>
                <w:rFonts w:ascii="宋体" w:cs="宋体"/>
                <w:b/>
                <w:bCs/>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4" w:type="dxa"/>
            <w:vAlign w:val="center"/>
          </w:tcPr>
          <w:p>
            <w:pPr>
              <w:spacing w:line="360" w:lineRule="auto"/>
              <w:jc w:val="center"/>
              <w:rPr>
                <w:rFonts w:ascii="宋体" w:hAnsi="宋体" w:cs="宋体"/>
                <w:b/>
                <w:bCs/>
                <w:color w:val="auto"/>
                <w:kern w:val="0"/>
                <w:sz w:val="28"/>
                <w:szCs w:val="28"/>
                <w:highlight w:val="none"/>
              </w:rPr>
            </w:pPr>
            <w:r>
              <w:rPr>
                <w:rFonts w:ascii="宋体" w:hAnsi="宋体" w:cs="宋体"/>
                <w:b/>
                <w:bCs/>
                <w:color w:val="auto"/>
                <w:kern w:val="0"/>
                <w:sz w:val="28"/>
                <w:szCs w:val="28"/>
                <w:highlight w:val="none"/>
              </w:rPr>
              <w:t>6</w:t>
            </w:r>
          </w:p>
        </w:tc>
        <w:tc>
          <w:tcPr>
            <w:tcW w:w="1346" w:type="dxa"/>
          </w:tcPr>
          <w:p>
            <w:pPr>
              <w:spacing w:line="360" w:lineRule="auto"/>
              <w:jc w:val="center"/>
              <w:rPr>
                <w:rFonts w:ascii="宋体" w:hAnsi="宋体" w:cs="宋体"/>
                <w:b/>
                <w:bCs/>
                <w:color w:val="auto"/>
                <w:kern w:val="0"/>
                <w:sz w:val="28"/>
                <w:szCs w:val="28"/>
                <w:highlight w:val="none"/>
              </w:rPr>
            </w:pPr>
          </w:p>
        </w:tc>
        <w:tc>
          <w:tcPr>
            <w:tcW w:w="8374" w:type="dxa"/>
          </w:tcPr>
          <w:p>
            <w:pPr>
              <w:spacing w:line="360" w:lineRule="auto"/>
              <w:jc w:val="left"/>
              <w:rPr>
                <w:rFonts w:ascii="宋体" w:cs="宋体"/>
                <w:b/>
                <w:bCs/>
                <w:color w:val="auto"/>
                <w:kern w:val="0"/>
                <w:sz w:val="28"/>
                <w:szCs w:val="28"/>
                <w:highlight w:val="none"/>
              </w:rPr>
            </w:pPr>
          </w:p>
        </w:tc>
        <w:tc>
          <w:tcPr>
            <w:tcW w:w="1260" w:type="dxa"/>
          </w:tcPr>
          <w:p>
            <w:pPr>
              <w:spacing w:line="360" w:lineRule="auto"/>
              <w:jc w:val="left"/>
              <w:rPr>
                <w:rFonts w:ascii="宋体" w:cs="宋体"/>
                <w:b/>
                <w:bCs/>
                <w:color w:val="auto"/>
                <w:kern w:val="0"/>
                <w:sz w:val="28"/>
                <w:szCs w:val="28"/>
                <w:highlight w:val="none"/>
              </w:rPr>
            </w:pPr>
          </w:p>
        </w:tc>
        <w:tc>
          <w:tcPr>
            <w:tcW w:w="1980" w:type="dxa"/>
          </w:tcPr>
          <w:p>
            <w:pPr>
              <w:spacing w:line="360" w:lineRule="auto"/>
              <w:jc w:val="left"/>
              <w:rPr>
                <w:rFonts w:ascii="宋体" w:cs="宋体"/>
                <w:b/>
                <w:bCs/>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4" w:type="dxa"/>
            <w:vAlign w:val="center"/>
          </w:tcPr>
          <w:p>
            <w:pPr>
              <w:spacing w:line="360" w:lineRule="auto"/>
              <w:jc w:val="center"/>
              <w:rPr>
                <w:rFonts w:ascii="宋体" w:hAnsi="宋体" w:cs="宋体"/>
                <w:b/>
                <w:bCs/>
                <w:color w:val="auto"/>
                <w:kern w:val="0"/>
                <w:sz w:val="28"/>
                <w:szCs w:val="28"/>
                <w:highlight w:val="none"/>
              </w:rPr>
            </w:pPr>
            <w:r>
              <w:rPr>
                <w:rFonts w:ascii="宋体" w:hAnsi="宋体" w:cs="宋体"/>
                <w:b/>
                <w:bCs/>
                <w:color w:val="auto"/>
                <w:kern w:val="0"/>
                <w:sz w:val="28"/>
                <w:szCs w:val="28"/>
                <w:highlight w:val="none"/>
              </w:rPr>
              <w:t>7</w:t>
            </w:r>
          </w:p>
        </w:tc>
        <w:tc>
          <w:tcPr>
            <w:tcW w:w="1346" w:type="dxa"/>
          </w:tcPr>
          <w:p>
            <w:pPr>
              <w:spacing w:line="360" w:lineRule="auto"/>
              <w:jc w:val="center"/>
              <w:rPr>
                <w:rFonts w:ascii="宋体" w:hAnsi="宋体" w:cs="宋体"/>
                <w:b/>
                <w:bCs/>
                <w:color w:val="auto"/>
                <w:kern w:val="0"/>
                <w:sz w:val="28"/>
                <w:szCs w:val="28"/>
                <w:highlight w:val="none"/>
              </w:rPr>
            </w:pPr>
          </w:p>
        </w:tc>
        <w:tc>
          <w:tcPr>
            <w:tcW w:w="8374" w:type="dxa"/>
          </w:tcPr>
          <w:p>
            <w:pPr>
              <w:spacing w:line="360" w:lineRule="auto"/>
              <w:jc w:val="left"/>
              <w:rPr>
                <w:rFonts w:ascii="宋体" w:cs="宋体"/>
                <w:b/>
                <w:bCs/>
                <w:color w:val="auto"/>
                <w:kern w:val="0"/>
                <w:sz w:val="28"/>
                <w:szCs w:val="28"/>
                <w:highlight w:val="none"/>
              </w:rPr>
            </w:pPr>
          </w:p>
        </w:tc>
        <w:tc>
          <w:tcPr>
            <w:tcW w:w="1260" w:type="dxa"/>
          </w:tcPr>
          <w:p>
            <w:pPr>
              <w:spacing w:line="360" w:lineRule="auto"/>
              <w:jc w:val="left"/>
              <w:rPr>
                <w:rFonts w:ascii="宋体" w:cs="宋体"/>
                <w:b/>
                <w:bCs/>
                <w:color w:val="auto"/>
                <w:kern w:val="0"/>
                <w:sz w:val="28"/>
                <w:szCs w:val="28"/>
                <w:highlight w:val="none"/>
              </w:rPr>
            </w:pPr>
          </w:p>
        </w:tc>
        <w:tc>
          <w:tcPr>
            <w:tcW w:w="1980" w:type="dxa"/>
          </w:tcPr>
          <w:p>
            <w:pPr>
              <w:spacing w:line="360" w:lineRule="auto"/>
              <w:jc w:val="left"/>
              <w:rPr>
                <w:rFonts w:ascii="宋体" w:cs="宋体"/>
                <w:b/>
                <w:bCs/>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4" w:type="dxa"/>
            <w:vAlign w:val="center"/>
          </w:tcPr>
          <w:p>
            <w:pPr>
              <w:spacing w:line="360" w:lineRule="auto"/>
              <w:jc w:val="center"/>
              <w:rPr>
                <w:rFonts w:ascii="宋体" w:hAnsi="宋体" w:cs="宋体"/>
                <w:b/>
                <w:bCs/>
                <w:color w:val="auto"/>
                <w:kern w:val="0"/>
                <w:sz w:val="28"/>
                <w:szCs w:val="28"/>
                <w:highlight w:val="none"/>
              </w:rPr>
            </w:pPr>
            <w:r>
              <w:rPr>
                <w:rFonts w:ascii="宋体" w:hAnsi="宋体" w:cs="宋体"/>
                <w:b/>
                <w:bCs/>
                <w:color w:val="auto"/>
                <w:kern w:val="0"/>
                <w:sz w:val="28"/>
                <w:szCs w:val="28"/>
                <w:highlight w:val="none"/>
              </w:rPr>
              <w:t>8</w:t>
            </w:r>
          </w:p>
        </w:tc>
        <w:tc>
          <w:tcPr>
            <w:tcW w:w="1346" w:type="dxa"/>
          </w:tcPr>
          <w:p>
            <w:pPr>
              <w:spacing w:line="360" w:lineRule="auto"/>
              <w:jc w:val="center"/>
              <w:rPr>
                <w:rFonts w:ascii="宋体" w:hAnsi="宋体" w:cs="宋体"/>
                <w:b/>
                <w:bCs/>
                <w:color w:val="auto"/>
                <w:kern w:val="0"/>
                <w:sz w:val="28"/>
                <w:szCs w:val="28"/>
                <w:highlight w:val="none"/>
              </w:rPr>
            </w:pPr>
          </w:p>
        </w:tc>
        <w:tc>
          <w:tcPr>
            <w:tcW w:w="8374" w:type="dxa"/>
          </w:tcPr>
          <w:p>
            <w:pPr>
              <w:spacing w:line="360" w:lineRule="auto"/>
              <w:jc w:val="left"/>
              <w:rPr>
                <w:rFonts w:ascii="宋体" w:cs="宋体"/>
                <w:b/>
                <w:bCs/>
                <w:color w:val="auto"/>
                <w:kern w:val="0"/>
                <w:sz w:val="28"/>
                <w:szCs w:val="28"/>
                <w:highlight w:val="none"/>
              </w:rPr>
            </w:pPr>
          </w:p>
        </w:tc>
        <w:tc>
          <w:tcPr>
            <w:tcW w:w="1260" w:type="dxa"/>
          </w:tcPr>
          <w:p>
            <w:pPr>
              <w:spacing w:line="360" w:lineRule="auto"/>
              <w:jc w:val="left"/>
              <w:rPr>
                <w:rFonts w:ascii="宋体" w:cs="宋体"/>
                <w:b/>
                <w:bCs/>
                <w:color w:val="auto"/>
                <w:kern w:val="0"/>
                <w:sz w:val="28"/>
                <w:szCs w:val="28"/>
                <w:highlight w:val="none"/>
              </w:rPr>
            </w:pPr>
          </w:p>
        </w:tc>
        <w:tc>
          <w:tcPr>
            <w:tcW w:w="1980" w:type="dxa"/>
          </w:tcPr>
          <w:p>
            <w:pPr>
              <w:spacing w:line="360" w:lineRule="auto"/>
              <w:jc w:val="left"/>
              <w:rPr>
                <w:rFonts w:ascii="宋体" w:cs="宋体"/>
                <w:b/>
                <w:bCs/>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4" w:type="dxa"/>
            <w:vAlign w:val="center"/>
          </w:tcPr>
          <w:p>
            <w:pPr>
              <w:spacing w:line="360" w:lineRule="auto"/>
              <w:jc w:val="center"/>
              <w:rPr>
                <w:rFonts w:ascii="宋体" w:hAnsi="宋体" w:cs="宋体"/>
                <w:b/>
                <w:bCs/>
                <w:color w:val="auto"/>
                <w:kern w:val="0"/>
                <w:sz w:val="28"/>
                <w:szCs w:val="28"/>
                <w:highlight w:val="none"/>
              </w:rPr>
            </w:pPr>
            <w:r>
              <w:rPr>
                <w:rFonts w:ascii="宋体" w:hAnsi="宋体" w:cs="宋体"/>
                <w:b/>
                <w:bCs/>
                <w:color w:val="auto"/>
                <w:kern w:val="0"/>
                <w:sz w:val="28"/>
                <w:szCs w:val="28"/>
                <w:highlight w:val="none"/>
              </w:rPr>
              <w:t>...</w:t>
            </w:r>
          </w:p>
        </w:tc>
        <w:tc>
          <w:tcPr>
            <w:tcW w:w="1346" w:type="dxa"/>
          </w:tcPr>
          <w:p>
            <w:pPr>
              <w:spacing w:line="360" w:lineRule="auto"/>
              <w:jc w:val="center"/>
              <w:rPr>
                <w:rFonts w:ascii="宋体" w:hAnsi="宋体" w:cs="宋体"/>
                <w:b/>
                <w:bCs/>
                <w:color w:val="auto"/>
                <w:kern w:val="0"/>
                <w:sz w:val="28"/>
                <w:szCs w:val="28"/>
                <w:highlight w:val="none"/>
              </w:rPr>
            </w:pPr>
          </w:p>
        </w:tc>
        <w:tc>
          <w:tcPr>
            <w:tcW w:w="8374" w:type="dxa"/>
          </w:tcPr>
          <w:p>
            <w:pPr>
              <w:spacing w:line="360" w:lineRule="auto"/>
              <w:jc w:val="left"/>
              <w:rPr>
                <w:rFonts w:ascii="宋体" w:cs="宋体"/>
                <w:b/>
                <w:bCs/>
                <w:color w:val="auto"/>
                <w:kern w:val="0"/>
                <w:sz w:val="28"/>
                <w:szCs w:val="28"/>
                <w:highlight w:val="none"/>
              </w:rPr>
            </w:pPr>
          </w:p>
        </w:tc>
        <w:tc>
          <w:tcPr>
            <w:tcW w:w="1260" w:type="dxa"/>
          </w:tcPr>
          <w:p>
            <w:pPr>
              <w:spacing w:line="360" w:lineRule="auto"/>
              <w:jc w:val="left"/>
              <w:rPr>
                <w:rFonts w:ascii="宋体" w:cs="宋体"/>
                <w:b/>
                <w:bCs/>
                <w:color w:val="auto"/>
                <w:kern w:val="0"/>
                <w:sz w:val="28"/>
                <w:szCs w:val="28"/>
                <w:highlight w:val="none"/>
              </w:rPr>
            </w:pPr>
          </w:p>
        </w:tc>
        <w:tc>
          <w:tcPr>
            <w:tcW w:w="1980" w:type="dxa"/>
          </w:tcPr>
          <w:p>
            <w:pPr>
              <w:spacing w:line="360" w:lineRule="auto"/>
              <w:jc w:val="left"/>
              <w:rPr>
                <w:rFonts w:ascii="宋体" w:cs="宋体"/>
                <w:b/>
                <w:bCs/>
                <w:color w:val="auto"/>
                <w:kern w:val="0"/>
                <w:sz w:val="28"/>
                <w:szCs w:val="28"/>
                <w:highlight w:val="none"/>
              </w:rPr>
            </w:pPr>
          </w:p>
        </w:tc>
      </w:tr>
    </w:tbl>
    <w:p>
      <w:pPr>
        <w:spacing w:line="360" w:lineRule="auto"/>
        <w:jc w:val="left"/>
        <w:rPr>
          <w:rFonts w:ascii="宋体"/>
          <w:b/>
          <w:bCs/>
          <w:color w:val="auto"/>
          <w:sz w:val="28"/>
          <w:szCs w:val="28"/>
          <w:highlight w:val="none"/>
        </w:rPr>
        <w:sectPr>
          <w:pgSz w:w="16838" w:h="11906" w:orient="landscape"/>
          <w:pgMar w:top="1797" w:right="1440" w:bottom="1797" w:left="1440" w:header="998" w:footer="998" w:gutter="0"/>
          <w:cols w:space="720" w:num="1"/>
          <w:docGrid w:type="linesAndChars" w:linePitch="312" w:charSpace="0"/>
        </w:sectPr>
      </w:pPr>
      <w:r>
        <w:rPr>
          <w:rFonts w:ascii="宋体" w:hAnsi="宋体" w:cs="宋体"/>
          <w:b/>
          <w:bCs/>
          <w:color w:val="auto"/>
          <w:sz w:val="28"/>
          <w:szCs w:val="28"/>
          <w:highlight w:val="none"/>
        </w:rPr>
        <w:t xml:space="preserve">           </w:t>
      </w:r>
    </w:p>
    <w:p>
      <w:pPr>
        <w:snapToGrid w:val="0"/>
        <w:spacing w:line="360" w:lineRule="auto"/>
        <w:rPr>
          <w:rFonts w:ascii="宋体"/>
          <w:color w:val="auto"/>
          <w:sz w:val="28"/>
          <w:szCs w:val="28"/>
          <w:highlight w:val="none"/>
        </w:rPr>
      </w:pPr>
      <w:r>
        <w:rPr>
          <w:rFonts w:hint="eastAsia" w:ascii="宋体" w:hAnsi="宋体" w:cs="宋体"/>
          <w:color w:val="auto"/>
          <w:kern w:val="0"/>
          <w:sz w:val="28"/>
          <w:szCs w:val="28"/>
          <w:highlight w:val="none"/>
        </w:rPr>
        <w:t>附件</w:t>
      </w:r>
      <w:r>
        <w:rPr>
          <w:rFonts w:ascii="宋体" w:hAnsi="宋体" w:cs="宋体"/>
          <w:color w:val="auto"/>
          <w:kern w:val="0"/>
          <w:sz w:val="28"/>
          <w:szCs w:val="28"/>
          <w:highlight w:val="none"/>
        </w:rPr>
        <w:t>3</w:t>
      </w:r>
      <w:r>
        <w:rPr>
          <w:rFonts w:hint="eastAsia" w:ascii="宋体" w:hAnsi="宋体" w:cs="宋体"/>
          <w:color w:val="auto"/>
          <w:kern w:val="0"/>
          <w:sz w:val="28"/>
          <w:szCs w:val="28"/>
          <w:highlight w:val="none"/>
        </w:rPr>
        <w:t>：</w:t>
      </w:r>
    </w:p>
    <w:p>
      <w:pPr>
        <w:snapToGrid w:val="0"/>
        <w:spacing w:line="360" w:lineRule="auto"/>
        <w:jc w:val="center"/>
        <w:rPr>
          <w:rFonts w:ascii="宋体"/>
          <w:b/>
          <w:bCs/>
          <w:color w:val="auto"/>
          <w:sz w:val="36"/>
          <w:szCs w:val="36"/>
          <w:highlight w:val="none"/>
        </w:rPr>
      </w:pPr>
      <w:r>
        <w:rPr>
          <w:rFonts w:hint="eastAsia" w:ascii="宋体" w:hAnsi="宋体" w:cs="宋体"/>
          <w:b/>
          <w:bCs/>
          <w:color w:val="auto"/>
          <w:sz w:val="36"/>
          <w:szCs w:val="36"/>
          <w:highlight w:val="none"/>
        </w:rPr>
        <w:t>售后服务计划及保障措施</w:t>
      </w: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p>
    <w:p>
      <w:pPr>
        <w:snapToGrid w:val="0"/>
        <w:spacing w:line="360" w:lineRule="auto"/>
        <w:rPr>
          <w:rFonts w:ascii="宋体"/>
          <w:b/>
          <w:bCs/>
          <w:color w:val="auto"/>
          <w:sz w:val="28"/>
          <w:szCs w:val="28"/>
          <w:highlight w:val="none"/>
        </w:rPr>
      </w:pPr>
      <w:r>
        <w:rPr>
          <w:rFonts w:ascii="宋体" w:hAnsi="宋体" w:cs="宋体"/>
          <w:b/>
          <w:bCs/>
          <w:color w:val="auto"/>
          <w:sz w:val="28"/>
          <w:szCs w:val="28"/>
          <w:highlight w:val="none"/>
        </w:rPr>
        <w:t xml:space="preserve">                           </w:t>
      </w:r>
      <w:r>
        <w:rPr>
          <w:rFonts w:hint="eastAsia" w:ascii="宋体" w:hAnsi="宋体" w:cs="宋体"/>
          <w:b/>
          <w:bCs/>
          <w:color w:val="auto"/>
          <w:sz w:val="28"/>
          <w:szCs w:val="28"/>
          <w:highlight w:val="none"/>
        </w:rPr>
        <w:t>（由制造商及中标商签字盖章确认）</w:t>
      </w:r>
      <w:r>
        <w:rPr>
          <w:rFonts w:ascii="宋体"/>
          <w:b/>
          <w:bCs/>
          <w:color w:val="auto"/>
          <w:sz w:val="28"/>
          <w:szCs w:val="28"/>
          <w:highlight w:val="none"/>
        </w:rPr>
        <w:br w:type="page"/>
      </w:r>
      <w:r>
        <w:rPr>
          <w:rFonts w:hint="eastAsia" w:ascii="宋体" w:hAnsi="宋体" w:cs="宋体"/>
          <w:color w:val="auto"/>
          <w:sz w:val="28"/>
          <w:szCs w:val="28"/>
          <w:highlight w:val="none"/>
        </w:rPr>
        <w:t>附件</w:t>
      </w:r>
      <w:r>
        <w:rPr>
          <w:rFonts w:ascii="宋体" w:hAnsi="宋体" w:cs="宋体"/>
          <w:color w:val="auto"/>
          <w:sz w:val="28"/>
          <w:szCs w:val="28"/>
          <w:highlight w:val="none"/>
        </w:rPr>
        <w:t>4</w:t>
      </w:r>
      <w:r>
        <w:rPr>
          <w:rFonts w:hint="eastAsia" w:ascii="宋体" w:hAnsi="宋体" w:cs="宋体"/>
          <w:color w:val="auto"/>
          <w:sz w:val="28"/>
          <w:szCs w:val="28"/>
          <w:highlight w:val="none"/>
        </w:rPr>
        <w:t>：</w:t>
      </w:r>
    </w:p>
    <w:p>
      <w:pPr>
        <w:snapToGrid w:val="0"/>
        <w:spacing w:line="360" w:lineRule="auto"/>
        <w:jc w:val="center"/>
        <w:rPr>
          <w:rFonts w:ascii="宋体"/>
          <w:b/>
          <w:bCs/>
          <w:color w:val="auto"/>
          <w:sz w:val="36"/>
          <w:szCs w:val="36"/>
          <w:highlight w:val="none"/>
        </w:rPr>
      </w:pPr>
      <w:r>
        <w:rPr>
          <w:rFonts w:hint="eastAsia" w:ascii="宋体" w:hAnsi="宋体" w:cs="宋体"/>
          <w:b/>
          <w:bCs/>
          <w:color w:val="auto"/>
          <w:sz w:val="36"/>
          <w:szCs w:val="36"/>
          <w:highlight w:val="none"/>
        </w:rPr>
        <w:t>仪器设备初步验收单</w:t>
      </w:r>
    </w:p>
    <w:p>
      <w:pPr>
        <w:ind w:firstLine="354" w:firstLineChars="147"/>
        <w:rPr>
          <w:rFonts w:ascii="宋体"/>
          <w:b/>
          <w:bCs/>
          <w:color w:val="auto"/>
          <w:sz w:val="24"/>
          <w:highlight w:val="none"/>
        </w:rPr>
      </w:pPr>
      <w:r>
        <w:rPr>
          <w:rFonts w:ascii="宋体" w:hAnsi="宋体" w:cs="宋体"/>
          <w:b/>
          <w:bCs/>
          <w:color w:val="auto"/>
          <w:sz w:val="24"/>
          <w:highlight w:val="none"/>
        </w:rPr>
        <w:t xml:space="preserve">No.                                         </w:t>
      </w:r>
      <w:r>
        <w:rPr>
          <w:rFonts w:hint="eastAsia" w:ascii="宋体" w:hAnsi="宋体" w:cs="宋体"/>
          <w:b/>
          <w:bCs/>
          <w:color w:val="auto"/>
          <w:sz w:val="24"/>
          <w:highlight w:val="none"/>
        </w:rPr>
        <w:t>年</w:t>
      </w:r>
      <w:r>
        <w:rPr>
          <w:rFonts w:ascii="宋体" w:hAnsi="宋体" w:cs="宋体"/>
          <w:b/>
          <w:bCs/>
          <w:color w:val="auto"/>
          <w:sz w:val="24"/>
          <w:highlight w:val="none"/>
        </w:rPr>
        <w:t xml:space="preserve">   </w:t>
      </w:r>
      <w:r>
        <w:rPr>
          <w:rFonts w:hint="eastAsia" w:ascii="宋体" w:hAnsi="宋体" w:cs="宋体"/>
          <w:b/>
          <w:bCs/>
          <w:color w:val="auto"/>
          <w:sz w:val="24"/>
          <w:highlight w:val="none"/>
        </w:rPr>
        <w:t>月</w:t>
      </w:r>
      <w:r>
        <w:rPr>
          <w:rFonts w:ascii="宋体" w:hAnsi="宋体" w:cs="宋体"/>
          <w:b/>
          <w:bCs/>
          <w:color w:val="auto"/>
          <w:sz w:val="24"/>
          <w:highlight w:val="none"/>
        </w:rPr>
        <w:t xml:space="preserve">   </w:t>
      </w:r>
      <w:r>
        <w:rPr>
          <w:rFonts w:hint="eastAsia" w:ascii="宋体" w:hAnsi="宋体" w:cs="宋体"/>
          <w:b/>
          <w:bCs/>
          <w:color w:val="auto"/>
          <w:sz w:val="24"/>
          <w:highlight w:val="none"/>
        </w:rPr>
        <w:t>日</w:t>
      </w:r>
    </w:p>
    <w:tbl>
      <w:tblPr>
        <w:tblStyle w:val="48"/>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538"/>
        <w:gridCol w:w="91"/>
        <w:gridCol w:w="1038"/>
        <w:gridCol w:w="452"/>
        <w:gridCol w:w="1249"/>
        <w:gridCol w:w="696"/>
        <w:gridCol w:w="795"/>
        <w:gridCol w:w="564"/>
        <w:gridCol w:w="371"/>
        <w:gridCol w:w="325"/>
        <w:gridCol w:w="388"/>
        <w:gridCol w:w="492"/>
        <w:gridCol w:w="11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1206" w:type="dxa"/>
            <w:gridSpan w:val="2"/>
            <w:tcBorders>
              <w:top w:val="single" w:color="auto" w:sz="12" w:space="0"/>
              <w:left w:val="single" w:color="auto" w:sz="12" w:space="0"/>
              <w:bottom w:val="single" w:color="auto" w:sz="2" w:space="0"/>
              <w:right w:val="single" w:color="auto" w:sz="2" w:space="0"/>
            </w:tcBorders>
            <w:vAlign w:val="center"/>
          </w:tcPr>
          <w:p>
            <w:pPr>
              <w:jc w:val="center"/>
              <w:rPr>
                <w:color w:val="auto"/>
                <w:highlight w:val="none"/>
              </w:rPr>
            </w:pPr>
            <w:r>
              <w:rPr>
                <w:rFonts w:hint="eastAsia" w:cs="宋体"/>
                <w:color w:val="auto"/>
                <w:highlight w:val="none"/>
              </w:rPr>
              <w:t>使用单位</w:t>
            </w:r>
          </w:p>
        </w:tc>
        <w:tc>
          <w:tcPr>
            <w:tcW w:w="1581" w:type="dxa"/>
            <w:gridSpan w:val="3"/>
            <w:tcBorders>
              <w:top w:val="single" w:color="auto" w:sz="12" w:space="0"/>
              <w:left w:val="single" w:color="auto" w:sz="2" w:space="0"/>
              <w:bottom w:val="single" w:color="auto" w:sz="2" w:space="0"/>
              <w:right w:val="single" w:color="auto" w:sz="2" w:space="0"/>
            </w:tcBorders>
            <w:vAlign w:val="center"/>
          </w:tcPr>
          <w:p>
            <w:pPr>
              <w:jc w:val="center"/>
              <w:rPr>
                <w:color w:val="auto"/>
                <w:highlight w:val="none"/>
              </w:rPr>
            </w:pPr>
          </w:p>
        </w:tc>
        <w:tc>
          <w:tcPr>
            <w:tcW w:w="1249" w:type="dxa"/>
            <w:tcBorders>
              <w:top w:val="single" w:color="auto" w:sz="12" w:space="0"/>
              <w:left w:val="single" w:color="auto" w:sz="2" w:space="0"/>
              <w:bottom w:val="single" w:color="auto" w:sz="2" w:space="0"/>
              <w:right w:val="single" w:color="auto" w:sz="2" w:space="0"/>
            </w:tcBorders>
            <w:vAlign w:val="center"/>
          </w:tcPr>
          <w:p>
            <w:pPr>
              <w:jc w:val="center"/>
              <w:rPr>
                <w:color w:val="auto"/>
                <w:highlight w:val="none"/>
              </w:rPr>
            </w:pPr>
            <w:r>
              <w:rPr>
                <w:rFonts w:hint="eastAsia" w:cs="宋体"/>
                <w:color w:val="auto"/>
                <w:highlight w:val="none"/>
              </w:rPr>
              <w:t>使用人</w:t>
            </w:r>
          </w:p>
        </w:tc>
        <w:tc>
          <w:tcPr>
            <w:tcW w:w="1485" w:type="dxa"/>
            <w:gridSpan w:val="2"/>
            <w:tcBorders>
              <w:top w:val="single" w:color="auto" w:sz="12" w:space="0"/>
              <w:left w:val="single" w:color="auto" w:sz="2" w:space="0"/>
              <w:bottom w:val="single" w:color="auto" w:sz="2" w:space="0"/>
              <w:right w:val="single" w:color="auto" w:sz="2" w:space="0"/>
            </w:tcBorders>
            <w:vAlign w:val="center"/>
          </w:tcPr>
          <w:p>
            <w:pPr>
              <w:jc w:val="center"/>
              <w:rPr>
                <w:color w:val="auto"/>
                <w:highlight w:val="none"/>
              </w:rPr>
            </w:pPr>
          </w:p>
        </w:tc>
        <w:tc>
          <w:tcPr>
            <w:tcW w:w="1648" w:type="dxa"/>
            <w:gridSpan w:val="4"/>
            <w:tcBorders>
              <w:top w:val="single" w:color="auto" w:sz="12" w:space="0"/>
              <w:left w:val="single" w:color="auto" w:sz="2" w:space="0"/>
              <w:bottom w:val="single" w:color="auto" w:sz="2" w:space="0"/>
              <w:right w:val="single" w:color="auto" w:sz="2" w:space="0"/>
            </w:tcBorders>
            <w:vAlign w:val="center"/>
          </w:tcPr>
          <w:p>
            <w:pPr>
              <w:jc w:val="center"/>
              <w:rPr>
                <w:color w:val="auto"/>
                <w:highlight w:val="none"/>
              </w:rPr>
            </w:pPr>
            <w:r>
              <w:rPr>
                <w:rFonts w:hint="eastAsia" w:cs="宋体"/>
                <w:color w:val="auto"/>
                <w:highlight w:val="none"/>
              </w:rPr>
              <w:t>合同编号</w:t>
            </w:r>
          </w:p>
        </w:tc>
        <w:tc>
          <w:tcPr>
            <w:tcW w:w="1684" w:type="dxa"/>
            <w:gridSpan w:val="2"/>
            <w:tcBorders>
              <w:top w:val="single" w:color="auto" w:sz="12" w:space="0"/>
              <w:left w:val="single" w:color="auto" w:sz="2" w:space="0"/>
              <w:bottom w:val="single" w:color="auto" w:sz="2" w:space="0"/>
              <w:right w:val="single" w:color="auto" w:sz="12" w:space="0"/>
            </w:tcBorders>
            <w:vAlign w:val="center"/>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06" w:type="dxa"/>
            <w:gridSpan w:val="2"/>
            <w:tcBorders>
              <w:left w:val="single" w:color="auto" w:sz="12" w:space="0"/>
              <w:right w:val="single" w:color="auto" w:sz="2" w:space="0"/>
            </w:tcBorders>
            <w:vAlign w:val="center"/>
          </w:tcPr>
          <w:p>
            <w:pPr>
              <w:jc w:val="center"/>
              <w:rPr>
                <w:color w:val="auto"/>
                <w:highlight w:val="none"/>
              </w:rPr>
            </w:pPr>
            <w:r>
              <w:rPr>
                <w:rFonts w:hint="eastAsia" w:cs="宋体"/>
                <w:color w:val="auto"/>
                <w:highlight w:val="none"/>
              </w:rPr>
              <w:t>供货商</w:t>
            </w:r>
          </w:p>
        </w:tc>
        <w:tc>
          <w:tcPr>
            <w:tcW w:w="4321" w:type="dxa"/>
            <w:gridSpan w:val="6"/>
            <w:tcBorders>
              <w:left w:val="single" w:color="auto" w:sz="2" w:space="0"/>
              <w:right w:val="single" w:color="auto" w:sz="2" w:space="0"/>
            </w:tcBorders>
            <w:vAlign w:val="center"/>
          </w:tcPr>
          <w:p>
            <w:pPr>
              <w:jc w:val="center"/>
              <w:rPr>
                <w:color w:val="auto"/>
                <w:highlight w:val="none"/>
              </w:rPr>
            </w:pPr>
          </w:p>
        </w:tc>
        <w:tc>
          <w:tcPr>
            <w:tcW w:w="1642" w:type="dxa"/>
            <w:gridSpan w:val="4"/>
            <w:tcBorders>
              <w:left w:val="single" w:color="auto" w:sz="2" w:space="0"/>
              <w:right w:val="single" w:color="auto" w:sz="2" w:space="0"/>
            </w:tcBorders>
            <w:vAlign w:val="center"/>
          </w:tcPr>
          <w:p>
            <w:pPr>
              <w:jc w:val="center"/>
              <w:rPr>
                <w:color w:val="auto"/>
                <w:highlight w:val="none"/>
              </w:rPr>
            </w:pPr>
            <w:r>
              <w:rPr>
                <w:rFonts w:hint="eastAsia" w:cs="宋体"/>
                <w:color w:val="auto"/>
                <w:highlight w:val="none"/>
              </w:rPr>
              <w:t>合同总金额</w:t>
            </w:r>
            <w:r>
              <w:rPr>
                <w:color w:val="auto"/>
                <w:highlight w:val="none"/>
              </w:rPr>
              <w:t xml:space="preserve">   </w:t>
            </w:r>
          </w:p>
        </w:tc>
        <w:tc>
          <w:tcPr>
            <w:tcW w:w="1684" w:type="dxa"/>
            <w:gridSpan w:val="2"/>
            <w:tcBorders>
              <w:left w:val="single" w:color="auto" w:sz="2" w:space="0"/>
              <w:right w:val="single" w:color="auto" w:sz="12" w:space="0"/>
            </w:tcBorders>
            <w:vAlign w:val="center"/>
          </w:tcPr>
          <w:p>
            <w:pPr>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8853" w:type="dxa"/>
            <w:gridSpan w:val="14"/>
            <w:tcBorders>
              <w:left w:val="single" w:color="auto" w:sz="12" w:space="0"/>
              <w:right w:val="single" w:color="auto" w:sz="12" w:space="0"/>
            </w:tcBorders>
            <w:vAlign w:val="center"/>
          </w:tcPr>
          <w:p>
            <w:pPr>
              <w:jc w:val="center"/>
              <w:rPr>
                <w:color w:val="auto"/>
                <w:highlight w:val="none"/>
              </w:rPr>
            </w:pPr>
            <w:r>
              <w:rPr>
                <w:rFonts w:hint="eastAsia" w:cs="宋体"/>
                <w:color w:val="auto"/>
                <w:highlight w:val="none"/>
              </w:rPr>
              <w:t>设备明细（品名、型号、规格、生产厂家、数量、金额等，不够可另附表）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668" w:type="dxa"/>
            <w:tcBorders>
              <w:left w:val="single" w:color="auto" w:sz="12" w:space="0"/>
              <w:bottom w:val="single" w:color="auto" w:sz="2" w:space="0"/>
              <w:right w:val="single" w:color="auto" w:sz="2" w:space="0"/>
            </w:tcBorders>
            <w:vAlign w:val="center"/>
          </w:tcPr>
          <w:p>
            <w:pPr>
              <w:jc w:val="center"/>
              <w:rPr>
                <w:b/>
                <w:bCs/>
                <w:color w:val="auto"/>
                <w:highlight w:val="none"/>
              </w:rPr>
            </w:pPr>
            <w:r>
              <w:rPr>
                <w:rFonts w:hint="eastAsia" w:cs="宋体"/>
                <w:b/>
                <w:bCs/>
                <w:color w:val="auto"/>
                <w:highlight w:val="none"/>
              </w:rPr>
              <w:t>序号</w:t>
            </w:r>
          </w:p>
        </w:tc>
        <w:tc>
          <w:tcPr>
            <w:tcW w:w="1667" w:type="dxa"/>
            <w:gridSpan w:val="3"/>
            <w:tcBorders>
              <w:left w:val="single" w:color="auto" w:sz="2" w:space="0"/>
              <w:bottom w:val="single" w:color="auto" w:sz="2" w:space="0"/>
              <w:right w:val="single" w:color="auto" w:sz="2" w:space="0"/>
            </w:tcBorders>
            <w:vAlign w:val="center"/>
          </w:tcPr>
          <w:p>
            <w:pPr>
              <w:jc w:val="center"/>
              <w:rPr>
                <w:b/>
                <w:bCs/>
                <w:color w:val="auto"/>
                <w:highlight w:val="none"/>
              </w:rPr>
            </w:pPr>
            <w:r>
              <w:rPr>
                <w:rFonts w:hint="eastAsia" w:cs="宋体"/>
                <w:b/>
                <w:bCs/>
                <w:color w:val="auto"/>
                <w:highlight w:val="none"/>
              </w:rPr>
              <w:t>品名</w:t>
            </w:r>
          </w:p>
        </w:tc>
        <w:tc>
          <w:tcPr>
            <w:tcW w:w="2397" w:type="dxa"/>
            <w:gridSpan w:val="3"/>
            <w:tcBorders>
              <w:left w:val="single" w:color="auto" w:sz="2" w:space="0"/>
              <w:bottom w:val="single" w:color="auto" w:sz="2" w:space="0"/>
              <w:right w:val="single" w:color="auto" w:sz="2" w:space="0"/>
            </w:tcBorders>
            <w:vAlign w:val="center"/>
          </w:tcPr>
          <w:p>
            <w:pPr>
              <w:jc w:val="center"/>
              <w:rPr>
                <w:b/>
                <w:bCs/>
                <w:color w:val="auto"/>
                <w:highlight w:val="none"/>
              </w:rPr>
            </w:pPr>
            <w:r>
              <w:rPr>
                <w:rFonts w:hint="eastAsia" w:cs="宋体"/>
                <w:b/>
                <w:bCs/>
                <w:color w:val="auto"/>
                <w:highlight w:val="none"/>
              </w:rPr>
              <w:t>技术参数</w:t>
            </w:r>
          </w:p>
          <w:p>
            <w:pPr>
              <w:jc w:val="center"/>
              <w:rPr>
                <w:b/>
                <w:bCs/>
                <w:color w:val="auto"/>
                <w:highlight w:val="none"/>
              </w:rPr>
            </w:pPr>
            <w:r>
              <w:rPr>
                <w:rFonts w:hint="eastAsia" w:cs="宋体"/>
                <w:b/>
                <w:bCs/>
                <w:color w:val="auto"/>
                <w:highlight w:val="none"/>
              </w:rPr>
              <w:t>（规格型号）</w:t>
            </w:r>
          </w:p>
        </w:tc>
        <w:tc>
          <w:tcPr>
            <w:tcW w:w="1359" w:type="dxa"/>
            <w:gridSpan w:val="2"/>
            <w:tcBorders>
              <w:left w:val="single" w:color="auto" w:sz="2" w:space="0"/>
              <w:bottom w:val="single" w:color="auto" w:sz="2" w:space="0"/>
              <w:right w:val="single" w:color="auto" w:sz="2" w:space="0"/>
            </w:tcBorders>
            <w:vAlign w:val="center"/>
          </w:tcPr>
          <w:p>
            <w:pPr>
              <w:jc w:val="center"/>
              <w:rPr>
                <w:b/>
                <w:bCs/>
                <w:color w:val="auto"/>
                <w:highlight w:val="none"/>
              </w:rPr>
            </w:pPr>
            <w:r>
              <w:rPr>
                <w:rFonts w:hint="eastAsia" w:cs="宋体"/>
                <w:b/>
                <w:bCs/>
                <w:color w:val="auto"/>
                <w:highlight w:val="none"/>
              </w:rPr>
              <w:t>生产厂家（产地）</w:t>
            </w:r>
          </w:p>
        </w:tc>
        <w:tc>
          <w:tcPr>
            <w:tcW w:w="696" w:type="dxa"/>
            <w:gridSpan w:val="2"/>
            <w:tcBorders>
              <w:top w:val="single" w:color="auto" w:sz="2" w:space="0"/>
              <w:left w:val="single" w:color="auto" w:sz="2" w:space="0"/>
              <w:bottom w:val="single" w:color="auto" w:sz="2" w:space="0"/>
              <w:right w:val="single" w:color="auto" w:sz="2" w:space="0"/>
            </w:tcBorders>
            <w:vAlign w:val="center"/>
          </w:tcPr>
          <w:p>
            <w:pPr>
              <w:jc w:val="center"/>
              <w:rPr>
                <w:b/>
                <w:bCs/>
                <w:color w:val="auto"/>
                <w:highlight w:val="none"/>
              </w:rPr>
            </w:pPr>
            <w:r>
              <w:rPr>
                <w:rFonts w:hint="eastAsia" w:cs="宋体"/>
                <w:b/>
                <w:bCs/>
                <w:color w:val="auto"/>
                <w:highlight w:val="none"/>
              </w:rPr>
              <w:t>数量</w:t>
            </w:r>
          </w:p>
        </w:tc>
        <w:tc>
          <w:tcPr>
            <w:tcW w:w="880" w:type="dxa"/>
            <w:gridSpan w:val="2"/>
            <w:tcBorders>
              <w:top w:val="single" w:color="auto" w:sz="2" w:space="0"/>
              <w:left w:val="single" w:color="auto" w:sz="2" w:space="0"/>
              <w:bottom w:val="single" w:color="auto" w:sz="2" w:space="0"/>
            </w:tcBorders>
            <w:vAlign w:val="center"/>
          </w:tcPr>
          <w:p>
            <w:pPr>
              <w:jc w:val="center"/>
              <w:rPr>
                <w:b/>
                <w:bCs/>
                <w:color w:val="auto"/>
                <w:highlight w:val="none"/>
              </w:rPr>
            </w:pPr>
            <w:r>
              <w:rPr>
                <w:rFonts w:hint="eastAsia" w:cs="宋体"/>
                <w:b/>
                <w:bCs/>
                <w:color w:val="auto"/>
                <w:highlight w:val="none"/>
              </w:rPr>
              <w:t>单位</w:t>
            </w:r>
          </w:p>
        </w:tc>
        <w:tc>
          <w:tcPr>
            <w:tcW w:w="1186" w:type="dxa"/>
            <w:tcBorders>
              <w:bottom w:val="single" w:color="auto" w:sz="2" w:space="0"/>
              <w:right w:val="single" w:color="auto" w:sz="12" w:space="0"/>
            </w:tcBorders>
            <w:vAlign w:val="center"/>
          </w:tcPr>
          <w:p>
            <w:pPr>
              <w:jc w:val="center"/>
              <w:rPr>
                <w:b/>
                <w:bCs/>
                <w:color w:val="auto"/>
                <w:highlight w:val="none"/>
              </w:rPr>
            </w:pPr>
            <w:r>
              <w:rPr>
                <w:rFonts w:hint="eastAsia" w:cs="宋体"/>
                <w:b/>
                <w:bCs/>
                <w:color w:val="auto"/>
                <w:highlight w:val="none"/>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68" w:type="dxa"/>
            <w:tcBorders>
              <w:top w:val="single" w:color="auto" w:sz="2" w:space="0"/>
              <w:left w:val="single" w:color="auto" w:sz="12" w:space="0"/>
              <w:bottom w:val="single" w:color="auto" w:sz="2" w:space="0"/>
              <w:right w:val="single" w:color="auto" w:sz="2" w:space="0"/>
            </w:tcBorders>
            <w:vAlign w:val="center"/>
          </w:tcPr>
          <w:p>
            <w:pPr>
              <w:tabs>
                <w:tab w:val="left" w:pos="2880"/>
              </w:tabs>
              <w:snapToGrid w:val="0"/>
              <w:jc w:val="center"/>
              <w:rPr>
                <w:rFonts w:ascii="宋体" w:cs="宋体"/>
                <w:color w:val="auto"/>
                <w:sz w:val="24"/>
                <w:highlight w:val="none"/>
              </w:rPr>
            </w:pPr>
          </w:p>
        </w:tc>
        <w:tc>
          <w:tcPr>
            <w:tcW w:w="1667" w:type="dxa"/>
            <w:gridSpan w:val="3"/>
            <w:tcBorders>
              <w:top w:val="single" w:color="auto" w:sz="2" w:space="0"/>
              <w:left w:val="single" w:color="auto" w:sz="2" w:space="0"/>
              <w:bottom w:val="single" w:color="auto" w:sz="2" w:space="0"/>
              <w:right w:val="single" w:color="auto" w:sz="2" w:space="0"/>
            </w:tcBorders>
            <w:vAlign w:val="center"/>
          </w:tcPr>
          <w:p>
            <w:pPr>
              <w:snapToGrid w:val="0"/>
              <w:jc w:val="center"/>
              <w:rPr>
                <w:rFonts w:ascii="宋体" w:cs="宋体"/>
                <w:color w:val="auto"/>
                <w:kern w:val="0"/>
                <w:sz w:val="24"/>
                <w:highlight w:val="none"/>
              </w:rPr>
            </w:pPr>
          </w:p>
        </w:tc>
        <w:tc>
          <w:tcPr>
            <w:tcW w:w="2397" w:type="dxa"/>
            <w:gridSpan w:val="3"/>
            <w:tcBorders>
              <w:top w:val="single" w:color="auto" w:sz="2" w:space="0"/>
              <w:left w:val="single" w:color="auto" w:sz="2" w:space="0"/>
              <w:bottom w:val="single" w:color="auto" w:sz="2" w:space="0"/>
              <w:right w:val="single" w:color="auto" w:sz="2" w:space="0"/>
            </w:tcBorders>
            <w:vAlign w:val="center"/>
          </w:tcPr>
          <w:p>
            <w:pPr>
              <w:autoSpaceDE w:val="0"/>
              <w:autoSpaceDN w:val="0"/>
              <w:adjustRightInd w:val="0"/>
              <w:snapToGrid w:val="0"/>
              <w:jc w:val="center"/>
              <w:rPr>
                <w:rFonts w:ascii="宋体" w:cs="宋体"/>
                <w:color w:val="auto"/>
                <w:kern w:val="0"/>
                <w:sz w:val="24"/>
                <w:highlight w:val="none"/>
              </w:rPr>
            </w:pPr>
          </w:p>
        </w:tc>
        <w:tc>
          <w:tcPr>
            <w:tcW w:w="1359" w:type="dxa"/>
            <w:gridSpan w:val="2"/>
            <w:tcBorders>
              <w:top w:val="single" w:color="auto" w:sz="2" w:space="0"/>
              <w:left w:val="single" w:color="auto" w:sz="2" w:space="0"/>
              <w:bottom w:val="single" w:color="auto" w:sz="2" w:space="0"/>
              <w:right w:val="single" w:color="auto" w:sz="2" w:space="0"/>
            </w:tcBorders>
            <w:vAlign w:val="center"/>
          </w:tcPr>
          <w:p>
            <w:pPr>
              <w:snapToGrid w:val="0"/>
              <w:jc w:val="center"/>
              <w:rPr>
                <w:rFonts w:ascii="Tahoma" w:hAnsi="Tahoma" w:cs="Tahoma"/>
                <w:color w:val="auto"/>
                <w:highlight w:val="none"/>
              </w:rPr>
            </w:pPr>
          </w:p>
        </w:tc>
        <w:tc>
          <w:tcPr>
            <w:tcW w:w="696" w:type="dxa"/>
            <w:gridSpan w:val="2"/>
            <w:tcBorders>
              <w:top w:val="single" w:color="auto" w:sz="2" w:space="0"/>
              <w:left w:val="single" w:color="auto" w:sz="2" w:space="0"/>
              <w:bottom w:val="single" w:color="auto" w:sz="2" w:space="0"/>
              <w:right w:val="single" w:color="auto" w:sz="2" w:space="0"/>
            </w:tcBorders>
            <w:vAlign w:val="center"/>
          </w:tcPr>
          <w:p>
            <w:pPr>
              <w:snapToGrid w:val="0"/>
              <w:jc w:val="center"/>
              <w:rPr>
                <w:rFonts w:ascii="宋体" w:cs="宋体"/>
                <w:color w:val="auto"/>
                <w:kern w:val="0"/>
                <w:highlight w:val="none"/>
              </w:rPr>
            </w:pPr>
          </w:p>
        </w:tc>
        <w:tc>
          <w:tcPr>
            <w:tcW w:w="880" w:type="dxa"/>
            <w:gridSpan w:val="2"/>
            <w:tcBorders>
              <w:top w:val="single" w:color="auto" w:sz="2" w:space="0"/>
              <w:left w:val="single" w:color="auto" w:sz="2" w:space="0"/>
              <w:bottom w:val="single" w:color="auto" w:sz="2" w:space="0"/>
              <w:right w:val="single" w:color="auto" w:sz="2" w:space="0"/>
            </w:tcBorders>
            <w:vAlign w:val="center"/>
          </w:tcPr>
          <w:p>
            <w:pPr>
              <w:tabs>
                <w:tab w:val="left" w:pos="2880"/>
              </w:tabs>
              <w:snapToGrid w:val="0"/>
              <w:jc w:val="center"/>
              <w:rPr>
                <w:rFonts w:ascii="宋体" w:cs="宋体"/>
                <w:color w:val="auto"/>
                <w:highlight w:val="none"/>
              </w:rPr>
            </w:pPr>
          </w:p>
        </w:tc>
        <w:tc>
          <w:tcPr>
            <w:tcW w:w="1186" w:type="dxa"/>
            <w:tcBorders>
              <w:top w:val="single" w:color="auto" w:sz="2" w:space="0"/>
              <w:left w:val="single" w:color="auto" w:sz="2" w:space="0"/>
              <w:bottom w:val="single" w:color="auto" w:sz="2" w:space="0"/>
              <w:right w:val="single" w:color="auto" w:sz="2" w:space="0"/>
            </w:tcBorders>
            <w:vAlign w:val="center"/>
          </w:tcPr>
          <w:p>
            <w:pPr>
              <w:tabs>
                <w:tab w:val="left" w:pos="2880"/>
              </w:tabs>
              <w:snapToGrid w:val="0"/>
              <w:jc w:val="center"/>
              <w:rPr>
                <w:rFonts w:asci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68" w:type="dxa"/>
            <w:tcBorders>
              <w:top w:val="single" w:color="auto" w:sz="2" w:space="0"/>
              <w:left w:val="single" w:color="auto" w:sz="12" w:space="0"/>
              <w:bottom w:val="single" w:color="auto" w:sz="2" w:space="0"/>
              <w:right w:val="single" w:color="auto" w:sz="2" w:space="0"/>
            </w:tcBorders>
            <w:vAlign w:val="center"/>
          </w:tcPr>
          <w:p>
            <w:pPr>
              <w:tabs>
                <w:tab w:val="left" w:pos="2880"/>
              </w:tabs>
              <w:snapToGrid w:val="0"/>
              <w:jc w:val="center"/>
              <w:rPr>
                <w:rFonts w:ascii="宋体" w:cs="宋体"/>
                <w:color w:val="auto"/>
                <w:sz w:val="24"/>
                <w:highlight w:val="none"/>
              </w:rPr>
            </w:pPr>
          </w:p>
        </w:tc>
        <w:tc>
          <w:tcPr>
            <w:tcW w:w="1667" w:type="dxa"/>
            <w:gridSpan w:val="3"/>
            <w:tcBorders>
              <w:top w:val="single" w:color="auto" w:sz="2" w:space="0"/>
              <w:left w:val="single" w:color="auto" w:sz="2" w:space="0"/>
              <w:bottom w:val="single" w:color="auto" w:sz="2" w:space="0"/>
              <w:right w:val="single" w:color="auto" w:sz="2" w:space="0"/>
            </w:tcBorders>
            <w:vAlign w:val="center"/>
          </w:tcPr>
          <w:p>
            <w:pPr>
              <w:snapToGrid w:val="0"/>
              <w:jc w:val="center"/>
              <w:rPr>
                <w:rFonts w:ascii="宋体" w:cs="宋体"/>
                <w:color w:val="auto"/>
                <w:kern w:val="0"/>
                <w:sz w:val="24"/>
                <w:highlight w:val="none"/>
              </w:rPr>
            </w:pPr>
          </w:p>
        </w:tc>
        <w:tc>
          <w:tcPr>
            <w:tcW w:w="2397" w:type="dxa"/>
            <w:gridSpan w:val="3"/>
            <w:tcBorders>
              <w:top w:val="single" w:color="auto" w:sz="2" w:space="0"/>
              <w:left w:val="single" w:color="auto" w:sz="2" w:space="0"/>
              <w:bottom w:val="single" w:color="auto" w:sz="2" w:space="0"/>
              <w:right w:val="single" w:color="auto" w:sz="2" w:space="0"/>
            </w:tcBorders>
            <w:vAlign w:val="center"/>
          </w:tcPr>
          <w:p>
            <w:pPr>
              <w:autoSpaceDE w:val="0"/>
              <w:autoSpaceDN w:val="0"/>
              <w:adjustRightInd w:val="0"/>
              <w:snapToGrid w:val="0"/>
              <w:jc w:val="center"/>
              <w:rPr>
                <w:rFonts w:ascii="宋体" w:cs="宋体"/>
                <w:color w:val="auto"/>
                <w:kern w:val="0"/>
                <w:sz w:val="24"/>
                <w:highlight w:val="none"/>
              </w:rPr>
            </w:pPr>
          </w:p>
        </w:tc>
        <w:tc>
          <w:tcPr>
            <w:tcW w:w="1359" w:type="dxa"/>
            <w:gridSpan w:val="2"/>
            <w:tcBorders>
              <w:top w:val="single" w:color="auto" w:sz="2" w:space="0"/>
              <w:left w:val="single" w:color="auto" w:sz="2" w:space="0"/>
              <w:bottom w:val="single" w:color="auto" w:sz="2" w:space="0"/>
              <w:right w:val="single" w:color="auto" w:sz="2" w:space="0"/>
            </w:tcBorders>
            <w:vAlign w:val="center"/>
          </w:tcPr>
          <w:p>
            <w:pPr>
              <w:snapToGrid w:val="0"/>
              <w:jc w:val="center"/>
              <w:rPr>
                <w:rFonts w:ascii="Tahoma" w:hAnsi="Tahoma" w:cs="Tahoma"/>
                <w:color w:val="auto"/>
                <w:highlight w:val="none"/>
              </w:rPr>
            </w:pPr>
          </w:p>
        </w:tc>
        <w:tc>
          <w:tcPr>
            <w:tcW w:w="696" w:type="dxa"/>
            <w:gridSpan w:val="2"/>
            <w:tcBorders>
              <w:top w:val="single" w:color="auto" w:sz="2" w:space="0"/>
              <w:left w:val="single" w:color="auto" w:sz="2" w:space="0"/>
              <w:bottom w:val="single" w:color="auto" w:sz="2" w:space="0"/>
              <w:right w:val="single" w:color="auto" w:sz="2" w:space="0"/>
            </w:tcBorders>
            <w:vAlign w:val="center"/>
          </w:tcPr>
          <w:p>
            <w:pPr>
              <w:snapToGrid w:val="0"/>
              <w:jc w:val="center"/>
              <w:rPr>
                <w:rFonts w:ascii="宋体" w:cs="宋体"/>
                <w:color w:val="auto"/>
                <w:kern w:val="0"/>
                <w:highlight w:val="none"/>
              </w:rPr>
            </w:pPr>
          </w:p>
        </w:tc>
        <w:tc>
          <w:tcPr>
            <w:tcW w:w="880" w:type="dxa"/>
            <w:gridSpan w:val="2"/>
            <w:tcBorders>
              <w:top w:val="single" w:color="auto" w:sz="2" w:space="0"/>
              <w:left w:val="single" w:color="auto" w:sz="2" w:space="0"/>
              <w:bottom w:val="single" w:color="auto" w:sz="2" w:space="0"/>
              <w:right w:val="single" w:color="auto" w:sz="2" w:space="0"/>
            </w:tcBorders>
            <w:vAlign w:val="center"/>
          </w:tcPr>
          <w:p>
            <w:pPr>
              <w:tabs>
                <w:tab w:val="left" w:pos="2880"/>
              </w:tabs>
              <w:snapToGrid w:val="0"/>
              <w:jc w:val="center"/>
              <w:rPr>
                <w:rFonts w:ascii="宋体" w:cs="宋体"/>
                <w:color w:val="auto"/>
                <w:highlight w:val="none"/>
              </w:rPr>
            </w:pPr>
          </w:p>
        </w:tc>
        <w:tc>
          <w:tcPr>
            <w:tcW w:w="1186" w:type="dxa"/>
            <w:tcBorders>
              <w:top w:val="single" w:color="auto" w:sz="2" w:space="0"/>
              <w:left w:val="single" w:color="auto" w:sz="2" w:space="0"/>
              <w:bottom w:val="single" w:color="auto" w:sz="2" w:space="0"/>
              <w:right w:val="single" w:color="auto" w:sz="2" w:space="0"/>
            </w:tcBorders>
            <w:vAlign w:val="center"/>
          </w:tcPr>
          <w:p>
            <w:pPr>
              <w:tabs>
                <w:tab w:val="left" w:pos="2880"/>
              </w:tabs>
              <w:snapToGrid w:val="0"/>
              <w:jc w:val="center"/>
              <w:rPr>
                <w:rFonts w:asci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68" w:type="dxa"/>
            <w:tcBorders>
              <w:top w:val="single" w:color="auto" w:sz="2" w:space="0"/>
              <w:left w:val="single" w:color="auto" w:sz="12" w:space="0"/>
              <w:bottom w:val="single" w:color="auto" w:sz="2" w:space="0"/>
              <w:right w:val="single" w:color="auto" w:sz="2" w:space="0"/>
            </w:tcBorders>
            <w:vAlign w:val="center"/>
          </w:tcPr>
          <w:p>
            <w:pPr>
              <w:tabs>
                <w:tab w:val="left" w:pos="2880"/>
              </w:tabs>
              <w:snapToGrid w:val="0"/>
              <w:rPr>
                <w:rFonts w:ascii="宋体" w:cs="宋体"/>
                <w:color w:val="auto"/>
                <w:sz w:val="24"/>
                <w:highlight w:val="none"/>
              </w:rPr>
            </w:pPr>
          </w:p>
        </w:tc>
        <w:tc>
          <w:tcPr>
            <w:tcW w:w="1667" w:type="dxa"/>
            <w:gridSpan w:val="3"/>
            <w:tcBorders>
              <w:top w:val="single" w:color="auto" w:sz="2" w:space="0"/>
              <w:left w:val="single" w:color="auto" w:sz="2" w:space="0"/>
              <w:bottom w:val="single" w:color="auto" w:sz="2" w:space="0"/>
              <w:right w:val="single" w:color="auto" w:sz="2" w:space="0"/>
            </w:tcBorders>
            <w:vAlign w:val="center"/>
          </w:tcPr>
          <w:p>
            <w:pPr>
              <w:snapToGrid w:val="0"/>
              <w:jc w:val="center"/>
              <w:rPr>
                <w:rFonts w:ascii="宋体" w:cs="宋体"/>
                <w:color w:val="auto"/>
                <w:kern w:val="0"/>
                <w:sz w:val="24"/>
                <w:highlight w:val="none"/>
              </w:rPr>
            </w:pPr>
          </w:p>
        </w:tc>
        <w:tc>
          <w:tcPr>
            <w:tcW w:w="2397" w:type="dxa"/>
            <w:gridSpan w:val="3"/>
            <w:tcBorders>
              <w:top w:val="single" w:color="auto" w:sz="2" w:space="0"/>
              <w:left w:val="single" w:color="auto" w:sz="2" w:space="0"/>
              <w:bottom w:val="single" w:color="auto" w:sz="2" w:space="0"/>
              <w:right w:val="single" w:color="auto" w:sz="2" w:space="0"/>
            </w:tcBorders>
            <w:vAlign w:val="center"/>
          </w:tcPr>
          <w:p>
            <w:pPr>
              <w:autoSpaceDE w:val="0"/>
              <w:autoSpaceDN w:val="0"/>
              <w:adjustRightInd w:val="0"/>
              <w:snapToGrid w:val="0"/>
              <w:jc w:val="center"/>
              <w:rPr>
                <w:rFonts w:ascii="宋体" w:cs="宋体"/>
                <w:color w:val="auto"/>
                <w:kern w:val="0"/>
                <w:sz w:val="24"/>
                <w:highlight w:val="none"/>
              </w:rPr>
            </w:pPr>
          </w:p>
        </w:tc>
        <w:tc>
          <w:tcPr>
            <w:tcW w:w="1359" w:type="dxa"/>
            <w:gridSpan w:val="2"/>
            <w:tcBorders>
              <w:top w:val="single" w:color="auto" w:sz="2" w:space="0"/>
              <w:left w:val="single" w:color="auto" w:sz="2" w:space="0"/>
              <w:bottom w:val="single" w:color="auto" w:sz="2" w:space="0"/>
              <w:right w:val="single" w:color="auto" w:sz="2" w:space="0"/>
            </w:tcBorders>
            <w:vAlign w:val="center"/>
          </w:tcPr>
          <w:p>
            <w:pPr>
              <w:snapToGrid w:val="0"/>
              <w:jc w:val="center"/>
              <w:rPr>
                <w:rFonts w:ascii="Tahoma" w:hAnsi="Tahoma" w:cs="Tahoma"/>
                <w:color w:val="auto"/>
                <w:highlight w:val="none"/>
              </w:rPr>
            </w:pPr>
          </w:p>
        </w:tc>
        <w:tc>
          <w:tcPr>
            <w:tcW w:w="696" w:type="dxa"/>
            <w:gridSpan w:val="2"/>
            <w:tcBorders>
              <w:top w:val="single" w:color="auto" w:sz="2" w:space="0"/>
              <w:left w:val="single" w:color="auto" w:sz="2" w:space="0"/>
              <w:bottom w:val="single" w:color="auto" w:sz="2" w:space="0"/>
              <w:right w:val="single" w:color="auto" w:sz="2" w:space="0"/>
            </w:tcBorders>
            <w:vAlign w:val="center"/>
          </w:tcPr>
          <w:p>
            <w:pPr>
              <w:snapToGrid w:val="0"/>
              <w:jc w:val="center"/>
              <w:rPr>
                <w:rFonts w:ascii="宋体" w:cs="宋体"/>
                <w:color w:val="auto"/>
                <w:kern w:val="0"/>
                <w:highlight w:val="none"/>
              </w:rPr>
            </w:pPr>
          </w:p>
        </w:tc>
        <w:tc>
          <w:tcPr>
            <w:tcW w:w="880" w:type="dxa"/>
            <w:gridSpan w:val="2"/>
            <w:tcBorders>
              <w:top w:val="single" w:color="auto" w:sz="2" w:space="0"/>
              <w:left w:val="single" w:color="auto" w:sz="2" w:space="0"/>
              <w:bottom w:val="single" w:color="auto" w:sz="2" w:space="0"/>
              <w:right w:val="single" w:color="auto" w:sz="2" w:space="0"/>
            </w:tcBorders>
            <w:vAlign w:val="center"/>
          </w:tcPr>
          <w:p>
            <w:pPr>
              <w:tabs>
                <w:tab w:val="left" w:pos="2880"/>
              </w:tabs>
              <w:snapToGrid w:val="0"/>
              <w:jc w:val="center"/>
              <w:rPr>
                <w:rFonts w:ascii="宋体" w:cs="宋体"/>
                <w:color w:val="auto"/>
                <w:highlight w:val="none"/>
              </w:rPr>
            </w:pPr>
          </w:p>
        </w:tc>
        <w:tc>
          <w:tcPr>
            <w:tcW w:w="1186" w:type="dxa"/>
            <w:tcBorders>
              <w:top w:val="single" w:color="auto" w:sz="2" w:space="0"/>
              <w:left w:val="single" w:color="auto" w:sz="2" w:space="0"/>
              <w:bottom w:val="single" w:color="auto" w:sz="2" w:space="0"/>
              <w:right w:val="single" w:color="auto" w:sz="2" w:space="0"/>
            </w:tcBorders>
            <w:vAlign w:val="center"/>
          </w:tcPr>
          <w:p>
            <w:pPr>
              <w:tabs>
                <w:tab w:val="left" w:pos="2880"/>
              </w:tabs>
              <w:snapToGrid w:val="0"/>
              <w:jc w:val="center"/>
              <w:rPr>
                <w:rFonts w:asci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68" w:type="dxa"/>
            <w:vMerge w:val="restart"/>
            <w:tcBorders>
              <w:top w:val="single" w:color="auto" w:sz="12" w:space="0"/>
              <w:left w:val="single" w:color="auto" w:sz="12" w:space="0"/>
            </w:tcBorders>
            <w:textDirection w:val="tbRlV"/>
            <w:vAlign w:val="center"/>
          </w:tcPr>
          <w:p>
            <w:pPr>
              <w:ind w:left="113" w:right="113"/>
              <w:jc w:val="center"/>
              <w:rPr>
                <w:color w:val="auto"/>
                <w:highlight w:val="none"/>
              </w:rPr>
            </w:pPr>
            <w:r>
              <w:rPr>
                <w:rFonts w:hint="eastAsia" w:cs="宋体"/>
                <w:color w:val="auto"/>
                <w:highlight w:val="none"/>
              </w:rPr>
              <w:t>实</w:t>
            </w:r>
            <w:r>
              <w:rPr>
                <w:color w:val="auto"/>
                <w:highlight w:val="none"/>
              </w:rPr>
              <w:t xml:space="preserve"> </w:t>
            </w:r>
            <w:r>
              <w:rPr>
                <w:rFonts w:hint="eastAsia" w:cs="宋体"/>
                <w:color w:val="auto"/>
                <w:highlight w:val="none"/>
              </w:rPr>
              <w:t>物</w:t>
            </w:r>
            <w:r>
              <w:rPr>
                <w:color w:val="auto"/>
                <w:highlight w:val="none"/>
              </w:rPr>
              <w:t xml:space="preserve"> </w:t>
            </w:r>
            <w:r>
              <w:rPr>
                <w:rFonts w:hint="eastAsia" w:cs="宋体"/>
                <w:color w:val="auto"/>
                <w:highlight w:val="none"/>
              </w:rPr>
              <w:t>验</w:t>
            </w:r>
            <w:r>
              <w:rPr>
                <w:color w:val="auto"/>
                <w:highlight w:val="none"/>
              </w:rPr>
              <w:t xml:space="preserve"> </w:t>
            </w:r>
            <w:r>
              <w:rPr>
                <w:rFonts w:hint="eastAsia" w:cs="宋体"/>
                <w:color w:val="auto"/>
                <w:highlight w:val="none"/>
              </w:rPr>
              <w:t>收</w:t>
            </w:r>
            <w:r>
              <w:rPr>
                <w:color w:val="auto"/>
                <w:highlight w:val="none"/>
              </w:rPr>
              <w:t xml:space="preserve"> </w:t>
            </w:r>
            <w:r>
              <w:rPr>
                <w:rFonts w:hint="eastAsia" w:cs="宋体"/>
                <w:color w:val="auto"/>
                <w:highlight w:val="none"/>
              </w:rPr>
              <w:t>情</w:t>
            </w:r>
            <w:r>
              <w:rPr>
                <w:color w:val="auto"/>
                <w:highlight w:val="none"/>
              </w:rPr>
              <w:t xml:space="preserve"> </w:t>
            </w:r>
            <w:r>
              <w:rPr>
                <w:rFonts w:hint="eastAsia" w:cs="宋体"/>
                <w:color w:val="auto"/>
                <w:highlight w:val="none"/>
              </w:rPr>
              <w:t>况</w:t>
            </w:r>
          </w:p>
        </w:tc>
        <w:tc>
          <w:tcPr>
            <w:tcW w:w="8185" w:type="dxa"/>
            <w:gridSpan w:val="13"/>
            <w:tcBorders>
              <w:top w:val="single" w:color="auto" w:sz="12" w:space="0"/>
              <w:right w:val="single" w:color="auto" w:sz="12" w:space="0"/>
            </w:tcBorders>
          </w:tcPr>
          <w:p>
            <w:pPr>
              <w:rPr>
                <w:color w:val="auto"/>
                <w:highlight w:val="none"/>
              </w:rPr>
            </w:pPr>
            <w:r>
              <w:rPr>
                <w:rFonts w:hint="eastAsia" w:cs="宋体"/>
                <w:color w:val="auto"/>
                <w:highlight w:val="none"/>
              </w:rPr>
              <w:t>外观质量（有无残损，程度如何）。</w:t>
            </w:r>
          </w:p>
          <w:p>
            <w:pPr>
              <w:rPr>
                <w:color w:val="auto"/>
                <w:highlight w:val="none"/>
              </w:rPr>
            </w:pPr>
          </w:p>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trPr>
        <w:tc>
          <w:tcPr>
            <w:tcW w:w="668" w:type="dxa"/>
            <w:vMerge w:val="continue"/>
            <w:tcBorders>
              <w:left w:val="single" w:color="auto" w:sz="12" w:space="0"/>
            </w:tcBorders>
            <w:vAlign w:val="center"/>
          </w:tcPr>
          <w:p>
            <w:pPr>
              <w:jc w:val="center"/>
              <w:rPr>
                <w:color w:val="auto"/>
                <w:highlight w:val="none"/>
              </w:rPr>
            </w:pPr>
          </w:p>
        </w:tc>
        <w:tc>
          <w:tcPr>
            <w:tcW w:w="8185" w:type="dxa"/>
            <w:gridSpan w:val="13"/>
            <w:tcBorders>
              <w:right w:val="single" w:color="auto" w:sz="12" w:space="0"/>
            </w:tcBorders>
          </w:tcPr>
          <w:p>
            <w:pPr>
              <w:rPr>
                <w:color w:val="auto"/>
                <w:highlight w:val="none"/>
              </w:rPr>
            </w:pPr>
            <w:r>
              <w:rPr>
                <w:rFonts w:hint="eastAsia" w:cs="宋体"/>
                <w:color w:val="auto"/>
                <w:highlight w:val="none"/>
              </w:rPr>
              <w:t>清点数量（主机、配件、型号、规格、产地是否与招投标文件、合同、发票、装箱单的数量相同，若有出入，说明缺件名称、规格、数量、金额）。</w:t>
            </w:r>
          </w:p>
          <w:p>
            <w:pPr>
              <w:rPr>
                <w:color w:val="auto"/>
                <w:highlight w:val="none"/>
              </w:rPr>
            </w:pPr>
          </w:p>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3" w:hRule="atLeast"/>
        </w:trPr>
        <w:tc>
          <w:tcPr>
            <w:tcW w:w="668" w:type="dxa"/>
            <w:vMerge w:val="continue"/>
            <w:tcBorders>
              <w:left w:val="single" w:color="auto" w:sz="12" w:space="0"/>
            </w:tcBorders>
            <w:vAlign w:val="center"/>
          </w:tcPr>
          <w:p>
            <w:pPr>
              <w:jc w:val="center"/>
              <w:rPr>
                <w:color w:val="auto"/>
                <w:highlight w:val="none"/>
              </w:rPr>
            </w:pPr>
          </w:p>
        </w:tc>
        <w:tc>
          <w:tcPr>
            <w:tcW w:w="8185" w:type="dxa"/>
            <w:gridSpan w:val="13"/>
            <w:tcBorders>
              <w:right w:val="single" w:color="auto" w:sz="12" w:space="0"/>
            </w:tcBorders>
          </w:tcPr>
          <w:p>
            <w:pPr>
              <w:rPr>
                <w:color w:val="auto"/>
                <w:highlight w:val="none"/>
              </w:rPr>
            </w:pPr>
            <w:r>
              <w:rPr>
                <w:rFonts w:hint="eastAsia" w:cs="宋体"/>
                <w:color w:val="auto"/>
                <w:highlight w:val="none"/>
              </w:rPr>
              <w:t>仪器设备安装调试及使用人员培训情况（是否完成整套设备安装、有无安装缺陷，使用人员是否经过培训）。</w:t>
            </w:r>
          </w:p>
          <w:p>
            <w:pP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7" w:hRule="atLeast"/>
        </w:trPr>
        <w:tc>
          <w:tcPr>
            <w:tcW w:w="668" w:type="dxa"/>
            <w:tcBorders>
              <w:top w:val="single" w:color="auto" w:sz="12" w:space="0"/>
              <w:left w:val="single" w:color="auto" w:sz="12" w:space="0"/>
            </w:tcBorders>
            <w:textDirection w:val="tbRlV"/>
            <w:vAlign w:val="center"/>
          </w:tcPr>
          <w:p>
            <w:pPr>
              <w:ind w:left="113" w:right="113"/>
              <w:jc w:val="center"/>
              <w:rPr>
                <w:color w:val="auto"/>
                <w:highlight w:val="none"/>
              </w:rPr>
            </w:pPr>
            <w:r>
              <w:rPr>
                <w:rFonts w:hint="eastAsia" w:cs="宋体"/>
                <w:color w:val="auto"/>
                <w:highlight w:val="none"/>
              </w:rPr>
              <w:t>技术验收情况</w:t>
            </w:r>
          </w:p>
        </w:tc>
        <w:tc>
          <w:tcPr>
            <w:tcW w:w="8185" w:type="dxa"/>
            <w:gridSpan w:val="13"/>
            <w:tcBorders>
              <w:top w:val="single" w:color="auto" w:sz="12" w:space="0"/>
              <w:right w:val="single" w:color="auto" w:sz="12" w:space="0"/>
            </w:tcBorders>
          </w:tcPr>
          <w:p>
            <w:pPr>
              <w:rPr>
                <w:rFonts w:ascii="宋体" w:cs="宋体"/>
                <w:color w:val="auto"/>
                <w:highlight w:val="none"/>
              </w:rPr>
            </w:pPr>
            <w:r>
              <w:rPr>
                <w:rFonts w:hint="eastAsia" w:ascii="宋体" w:hAnsi="宋体" w:cs="宋体"/>
                <w:color w:val="auto"/>
                <w:highlight w:val="none"/>
              </w:rPr>
              <w:t>依据合同约定技术条款逐一测定设备的性能和各项技术指标，所测结果是否与合同约定技术条款规定的一样，性能是否稳定，配件是否齐全，是否有安全隐患，具体说明。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40" w:hRule="atLeast"/>
        </w:trPr>
        <w:tc>
          <w:tcPr>
            <w:tcW w:w="668" w:type="dxa"/>
            <w:tcBorders>
              <w:top w:val="single" w:color="auto" w:sz="12" w:space="0"/>
              <w:left w:val="single" w:color="auto" w:sz="12" w:space="0"/>
              <w:bottom w:val="single" w:color="auto" w:sz="12" w:space="0"/>
            </w:tcBorders>
            <w:textDirection w:val="tbRlV"/>
            <w:vAlign w:val="center"/>
          </w:tcPr>
          <w:p>
            <w:pPr>
              <w:spacing w:after="120"/>
              <w:ind w:left="113" w:right="113"/>
              <w:jc w:val="center"/>
              <w:rPr>
                <w:color w:val="auto"/>
                <w:highlight w:val="none"/>
              </w:rPr>
            </w:pPr>
            <w:r>
              <w:rPr>
                <w:rFonts w:hint="eastAsia" w:cs="宋体"/>
                <w:color w:val="auto"/>
                <w:highlight w:val="none"/>
              </w:rPr>
              <w:t>初步验收情况</w:t>
            </w:r>
          </w:p>
        </w:tc>
        <w:tc>
          <w:tcPr>
            <w:tcW w:w="8185" w:type="dxa"/>
            <w:gridSpan w:val="13"/>
            <w:tcBorders>
              <w:top w:val="single" w:color="auto" w:sz="12" w:space="0"/>
              <w:bottom w:val="single" w:color="auto" w:sz="12" w:space="0"/>
              <w:right w:val="single" w:color="auto" w:sz="12" w:space="0"/>
            </w:tcBorders>
            <w:vAlign w:val="center"/>
          </w:tcPr>
          <w:p>
            <w:pPr>
              <w:spacing w:line="240" w:lineRule="atLeast"/>
              <w:rPr>
                <w:rFonts w:ascii="宋体" w:cs="宋体"/>
                <w:color w:val="auto"/>
                <w:highlight w:val="none"/>
              </w:rPr>
            </w:pPr>
            <w:r>
              <w:rPr>
                <w:rFonts w:hint="eastAsia" w:ascii="宋体" w:hAnsi="宋体" w:cs="宋体"/>
                <w:color w:val="auto"/>
                <w:highlight w:val="none"/>
              </w:rPr>
              <w:t>□通过验收</w:t>
            </w:r>
            <w:r>
              <w:rPr>
                <w:rFonts w:ascii="宋体" w:hAnsi="宋体" w:cs="宋体"/>
                <w:color w:val="auto"/>
                <w:highlight w:val="none"/>
              </w:rPr>
              <w:t xml:space="preserve">                  </w:t>
            </w:r>
            <w:r>
              <w:rPr>
                <w:rFonts w:hint="eastAsia" w:ascii="宋体" w:hAnsi="宋体" w:cs="宋体"/>
                <w:color w:val="auto"/>
                <w:highlight w:val="none"/>
              </w:rPr>
              <w:t>□整改后再组织验收</w:t>
            </w:r>
          </w:p>
          <w:p>
            <w:pPr>
              <w:spacing w:line="240" w:lineRule="atLeast"/>
              <w:rPr>
                <w:rFonts w:ascii="宋体" w:cs="宋体"/>
                <w:color w:val="auto"/>
                <w:highlight w:val="none"/>
              </w:rPr>
            </w:pPr>
          </w:p>
          <w:p>
            <w:pPr>
              <w:adjustRightInd w:val="0"/>
              <w:snapToGrid w:val="0"/>
              <w:rPr>
                <w:color w:val="auto"/>
                <w:highlight w:val="none"/>
              </w:rPr>
            </w:pPr>
            <w:r>
              <w:rPr>
                <w:rFonts w:hint="eastAsia" w:ascii="宋体" w:hAnsi="宋体" w:cs="宋体"/>
                <w:color w:val="auto"/>
                <w:highlight w:val="none"/>
              </w:rPr>
              <w:t>□不通过验收</w:t>
            </w:r>
            <w:r>
              <w:rPr>
                <w:rFonts w:ascii="宋体" w:hAnsi="宋体" w:cs="宋体"/>
                <w:color w:val="auto"/>
                <w:highlight w:val="none"/>
              </w:rPr>
              <w:t xml:space="preserve">  </w:t>
            </w:r>
            <w:r>
              <w:rPr>
                <w:rFonts w:hint="eastAsia" w:ascii="宋体" w:hAnsi="宋体" w:cs="宋体"/>
                <w:color w:val="auto"/>
                <w:highlight w:val="none"/>
              </w:rPr>
              <w:t>索赔要求</w:t>
            </w:r>
            <w:r>
              <w:rPr>
                <w:rFonts w:ascii="宋体" w:hAnsi="宋体" w:cs="宋体"/>
                <w:color w:val="auto"/>
                <w:highlight w:val="none"/>
              </w:rPr>
              <w:t xml:space="preserve">      </w:t>
            </w:r>
            <w:r>
              <w:rPr>
                <w:rFonts w:hint="eastAsia" w:ascii="宋体" w:hAnsi="宋体" w:cs="宋体"/>
                <w:color w:val="auto"/>
                <w:highlight w:val="none"/>
              </w:rPr>
              <w:t>□其他结论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3" w:hRule="atLeast"/>
        </w:trPr>
        <w:tc>
          <w:tcPr>
            <w:tcW w:w="1297" w:type="dxa"/>
            <w:gridSpan w:val="3"/>
            <w:tcBorders>
              <w:top w:val="single" w:color="auto" w:sz="12" w:space="0"/>
              <w:left w:val="single" w:color="auto" w:sz="12" w:space="0"/>
              <w:right w:val="single" w:color="auto" w:sz="2" w:space="0"/>
            </w:tcBorders>
            <w:vAlign w:val="center"/>
          </w:tcPr>
          <w:p>
            <w:pPr>
              <w:spacing w:line="240" w:lineRule="atLeast"/>
              <w:jc w:val="center"/>
              <w:rPr>
                <w:rFonts w:ascii="宋体" w:cs="宋体"/>
                <w:color w:val="auto"/>
                <w:highlight w:val="none"/>
              </w:rPr>
            </w:pPr>
            <w:r>
              <w:rPr>
                <w:rFonts w:hint="eastAsia" w:ascii="宋体" w:hAnsi="宋体" w:cs="宋体"/>
                <w:color w:val="auto"/>
                <w:highlight w:val="none"/>
              </w:rPr>
              <w:t>验收小组</w:t>
            </w:r>
          </w:p>
          <w:p>
            <w:pPr>
              <w:spacing w:line="240" w:lineRule="atLeast"/>
              <w:jc w:val="center"/>
              <w:rPr>
                <w:rFonts w:ascii="宋体" w:cs="宋体"/>
                <w:color w:val="auto"/>
                <w:highlight w:val="none"/>
              </w:rPr>
            </w:pPr>
            <w:r>
              <w:rPr>
                <w:rFonts w:hint="eastAsia" w:ascii="宋体" w:hAnsi="宋体" w:cs="宋体"/>
                <w:color w:val="auto"/>
                <w:highlight w:val="none"/>
              </w:rPr>
              <w:t>成员签字</w:t>
            </w:r>
          </w:p>
        </w:tc>
        <w:tc>
          <w:tcPr>
            <w:tcW w:w="3435" w:type="dxa"/>
            <w:gridSpan w:val="4"/>
            <w:tcBorders>
              <w:top w:val="single" w:color="auto" w:sz="12" w:space="0"/>
              <w:left w:val="single" w:color="auto" w:sz="2" w:space="0"/>
              <w:right w:val="single" w:color="auto" w:sz="2" w:space="0"/>
            </w:tcBorders>
            <w:vAlign w:val="center"/>
          </w:tcPr>
          <w:p>
            <w:pPr>
              <w:spacing w:line="240" w:lineRule="atLeast"/>
              <w:jc w:val="center"/>
              <w:rPr>
                <w:rFonts w:ascii="宋体" w:cs="宋体"/>
                <w:color w:val="auto"/>
                <w:highlight w:val="none"/>
              </w:rPr>
            </w:pPr>
          </w:p>
        </w:tc>
        <w:tc>
          <w:tcPr>
            <w:tcW w:w="1730" w:type="dxa"/>
            <w:gridSpan w:val="3"/>
            <w:tcBorders>
              <w:top w:val="single" w:color="auto" w:sz="12" w:space="0"/>
              <w:left w:val="single" w:color="auto" w:sz="2" w:space="0"/>
              <w:right w:val="single" w:color="auto" w:sz="2" w:space="0"/>
            </w:tcBorders>
            <w:vAlign w:val="center"/>
          </w:tcPr>
          <w:p>
            <w:pPr>
              <w:spacing w:line="240" w:lineRule="atLeast"/>
              <w:rPr>
                <w:rFonts w:ascii="宋体" w:cs="宋体"/>
                <w:color w:val="auto"/>
                <w:highlight w:val="none"/>
              </w:rPr>
            </w:pPr>
            <w:r>
              <w:rPr>
                <w:rFonts w:ascii="宋体" w:hAnsi="宋体" w:cs="宋体"/>
                <w:color w:val="auto"/>
                <w:highlight w:val="none"/>
              </w:rPr>
              <w:t xml:space="preserve">    </w:t>
            </w:r>
            <w:r>
              <w:rPr>
                <w:rFonts w:hint="eastAsia" w:ascii="宋体" w:hAnsi="宋体" w:cs="宋体"/>
                <w:color w:val="auto"/>
                <w:highlight w:val="none"/>
              </w:rPr>
              <w:t>供货商</w:t>
            </w:r>
          </w:p>
          <w:p>
            <w:pPr>
              <w:spacing w:line="240" w:lineRule="atLeast"/>
              <w:jc w:val="center"/>
              <w:rPr>
                <w:rFonts w:ascii="宋体" w:cs="宋体"/>
                <w:color w:val="auto"/>
                <w:highlight w:val="none"/>
              </w:rPr>
            </w:pPr>
            <w:r>
              <w:rPr>
                <w:rFonts w:hint="eastAsia" w:ascii="宋体" w:hAnsi="宋体" w:cs="宋体"/>
                <w:color w:val="auto"/>
                <w:highlight w:val="none"/>
              </w:rPr>
              <w:t>授权代表签字</w:t>
            </w:r>
          </w:p>
        </w:tc>
        <w:tc>
          <w:tcPr>
            <w:tcW w:w="2391" w:type="dxa"/>
            <w:gridSpan w:val="4"/>
            <w:tcBorders>
              <w:top w:val="single" w:color="auto" w:sz="12" w:space="0"/>
              <w:left w:val="single" w:color="auto" w:sz="2" w:space="0"/>
              <w:bottom w:val="single" w:color="auto" w:sz="12" w:space="0"/>
              <w:right w:val="single" w:color="auto" w:sz="12" w:space="0"/>
            </w:tcBorders>
            <w:vAlign w:val="center"/>
          </w:tcPr>
          <w:p>
            <w:pPr>
              <w:spacing w:line="240" w:lineRule="atLeast"/>
              <w:jc w:val="center"/>
              <w:rPr>
                <w:rFonts w:ascii="宋体" w:cs="宋体"/>
                <w:color w:val="auto"/>
                <w:highlight w:val="none"/>
              </w:rPr>
            </w:pPr>
          </w:p>
        </w:tc>
      </w:tr>
    </w:tbl>
    <w:p>
      <w:pPr>
        <w:snapToGrid w:val="0"/>
        <w:spacing w:line="360" w:lineRule="auto"/>
        <w:rPr>
          <w:rFonts w:ascii="宋体"/>
          <w:color w:val="auto"/>
          <w:sz w:val="28"/>
          <w:szCs w:val="28"/>
          <w:highlight w:val="none"/>
        </w:rPr>
      </w:pPr>
      <w:r>
        <w:rPr>
          <w:rFonts w:hint="eastAsia" w:ascii="宋体" w:hAnsi="宋体" w:cs="宋体"/>
          <w:color w:val="auto"/>
          <w:sz w:val="28"/>
          <w:szCs w:val="28"/>
          <w:highlight w:val="none"/>
        </w:rPr>
        <w:t>附件</w:t>
      </w:r>
      <w:r>
        <w:rPr>
          <w:rFonts w:ascii="宋体" w:hAnsi="宋体" w:cs="宋体"/>
          <w:color w:val="auto"/>
          <w:sz w:val="28"/>
          <w:szCs w:val="28"/>
          <w:highlight w:val="none"/>
        </w:rPr>
        <w:t>5</w:t>
      </w:r>
      <w:r>
        <w:rPr>
          <w:rFonts w:hint="eastAsia" w:ascii="宋体" w:hAnsi="宋体" w:cs="宋体"/>
          <w:color w:val="auto"/>
          <w:sz w:val="28"/>
          <w:szCs w:val="28"/>
          <w:highlight w:val="none"/>
        </w:rPr>
        <w:t>：</w:t>
      </w:r>
    </w:p>
    <w:p>
      <w:pPr>
        <w:jc w:val="center"/>
        <w:rPr>
          <w:color w:val="auto"/>
          <w:highlight w:val="none"/>
        </w:rPr>
        <w:sectPr>
          <w:pgSz w:w="11906" w:h="16838"/>
          <w:pgMar w:top="1418" w:right="1418" w:bottom="1418" w:left="1417" w:header="998" w:footer="998" w:gutter="0"/>
          <w:cols w:space="720" w:num="1"/>
          <w:docGrid w:type="lines" w:linePitch="312" w:charSpace="0"/>
        </w:sectPr>
      </w:pPr>
      <w:r>
        <w:rPr>
          <w:rFonts w:hint="eastAsia" w:ascii="宋体" w:hAnsi="宋体" w:cs="宋体"/>
          <w:b/>
          <w:bCs/>
          <w:color w:val="auto"/>
          <w:sz w:val="36"/>
          <w:szCs w:val="36"/>
          <w:highlight w:val="none"/>
        </w:rPr>
        <w:t>中标通知书</w:t>
      </w:r>
    </w:p>
    <w:p>
      <w:pPr>
        <w:pStyle w:val="38"/>
        <w:spacing w:line="360" w:lineRule="auto"/>
        <w:ind w:left="0"/>
        <w:rPr>
          <w:b/>
          <w:bCs/>
          <w:color w:val="auto"/>
          <w:sz w:val="21"/>
          <w:szCs w:val="21"/>
          <w:highlight w:val="none"/>
        </w:rPr>
      </w:pPr>
      <w:r>
        <w:rPr>
          <w:rFonts w:ascii="宋体" w:hAnsi="宋体" w:cs="宋体"/>
          <w:b/>
          <w:bCs/>
          <w:color w:val="auto"/>
          <w:sz w:val="24"/>
          <w:szCs w:val="24"/>
          <w:highlight w:val="none"/>
        </w:rPr>
        <w:t>河南省政府采购合同融资政策告知函</w:t>
      </w:r>
    </w:p>
    <w:p>
      <w:pPr>
        <w:pStyle w:val="21"/>
        <w:spacing w:line="360" w:lineRule="auto"/>
        <w:ind w:left="0" w:leftChars="0" w:firstLine="0" w:firstLineChars="0"/>
        <w:jc w:val="center"/>
        <w:rPr>
          <w:rFonts w:ascii="宋体" w:hAnsi="宋体" w:cs="宋体"/>
          <w:b/>
          <w:bCs/>
          <w:color w:val="auto"/>
          <w:sz w:val="24"/>
          <w:highlight w:val="none"/>
        </w:rPr>
      </w:pPr>
    </w:p>
    <w:p>
      <w:pPr>
        <w:pStyle w:val="21"/>
        <w:spacing w:line="360" w:lineRule="auto"/>
        <w:ind w:left="0" w:leftChars="0" w:firstLine="0" w:firstLineChars="0"/>
        <w:jc w:val="center"/>
        <w:rPr>
          <w:rFonts w:ascii="宋体" w:hAnsi="宋体" w:cs="宋体"/>
          <w:b/>
          <w:bCs/>
          <w:color w:val="auto"/>
          <w:sz w:val="24"/>
          <w:highlight w:val="none"/>
        </w:rPr>
      </w:pPr>
      <w:r>
        <w:rPr>
          <w:rFonts w:ascii="宋体" w:hAnsi="宋体" w:cs="宋体"/>
          <w:b/>
          <w:bCs/>
          <w:color w:val="auto"/>
          <w:sz w:val="24"/>
          <w:highlight w:val="none"/>
        </w:rPr>
        <w:t>河南省政府采购合同融资政策告知函</w:t>
      </w:r>
    </w:p>
    <w:p>
      <w:pPr>
        <w:spacing w:line="360" w:lineRule="auto"/>
        <w:rPr>
          <w:rFonts w:ascii="宋体" w:hAnsi="宋体" w:cs="宋体"/>
          <w:color w:val="auto"/>
          <w:highlight w:val="none"/>
        </w:rPr>
      </w:pPr>
      <w:r>
        <w:rPr>
          <w:rFonts w:hint="eastAsia" w:ascii="宋体" w:hAnsi="宋体" w:cs="宋体"/>
          <w:color w:val="auto"/>
          <w:highlight w:val="none"/>
        </w:rPr>
        <w:t>各投标供应商：</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欢迎贵公司参与河南省政府采购活动！</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政府采购合同融资是河南省财政厅支持中小微企业发展，针对参与政府采购活动的投标供应商融资难、融资贵问题推出的一项融资政策。贵公司若成为本次政府采购项目的成交供应商，可持政府采购合同向金融机构申请贷款，无需抵押、担保，融资机构将根据《河南省政府采购合同融资工作实施方案》（豫财购〔2017〕10号），按照双方自愿的原则提供便捷、优惠的贷款服务。</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贷款渠道和提供贷款的金融机构，可在河南省政府采购网“河南省政府采购合同融资平台”查询联系。</w:t>
      </w:r>
    </w:p>
    <w:p>
      <w:pPr>
        <w:pStyle w:val="2"/>
        <w:ind w:left="63" w:right="63"/>
        <w:jc w:val="both"/>
        <w:rPr>
          <w:color w:val="auto"/>
          <w:highlight w:val="none"/>
        </w:rPr>
      </w:pPr>
    </w:p>
    <w:p>
      <w:pPr>
        <w:rPr>
          <w:rFonts w:ascii="宋体" w:hAnsi="宋体" w:cs="宋体"/>
          <w:b/>
          <w:bCs/>
          <w:color w:val="auto"/>
          <w:highlight w:val="none"/>
        </w:rPr>
      </w:pPr>
      <w:r>
        <w:rPr>
          <w:rFonts w:hint="eastAsia" w:ascii="宋体" w:hAnsi="宋体" w:cs="宋体"/>
          <w:b/>
          <w:bCs/>
          <w:color w:val="auto"/>
          <w:highlight w:val="none"/>
        </w:rPr>
        <w:br w:type="page"/>
      </w:r>
    </w:p>
    <w:p>
      <w:pPr>
        <w:pStyle w:val="46"/>
        <w:numPr>
          <w:ilvl w:val="0"/>
          <w:numId w:val="43"/>
        </w:numPr>
        <w:ind w:firstLine="0"/>
        <w:jc w:val="center"/>
        <w:outlineLvl w:val="0"/>
        <w:rPr>
          <w:rFonts w:hint="eastAsia" w:ascii="宋体" w:hAnsi="宋体" w:eastAsia="宋体" w:cs="宋体"/>
          <w:b/>
          <w:bCs/>
          <w:color w:val="auto"/>
          <w:highlight w:val="none"/>
        </w:rPr>
      </w:pPr>
      <w:bookmarkStart w:id="450" w:name="_Toc25633"/>
      <w:r>
        <w:rPr>
          <w:rFonts w:hint="eastAsia" w:ascii="宋体" w:hAnsi="宋体" w:eastAsia="宋体" w:cs="宋体"/>
          <w:b/>
          <w:bCs/>
          <w:color w:val="auto"/>
          <w:highlight w:val="none"/>
        </w:rPr>
        <w:t>技术标准和要求</w:t>
      </w:r>
      <w:bookmarkEnd w:id="450"/>
    </w:p>
    <w:p>
      <w:pPr>
        <w:pStyle w:val="47"/>
        <w:numPr>
          <w:ilvl w:val="0"/>
          <w:numId w:val="0"/>
        </w:numPr>
        <w:rPr>
          <w:rFonts w:hint="default" w:eastAsia="宋体"/>
          <w:b/>
          <w:bCs/>
          <w:lang w:val="en-US" w:eastAsia="zh-CN"/>
        </w:rPr>
      </w:pPr>
      <w:r>
        <w:rPr>
          <w:rFonts w:hint="eastAsia"/>
          <w:b/>
          <w:bCs/>
          <w:lang w:val="en-US" w:eastAsia="zh-CN"/>
        </w:rPr>
        <w:t>包1：国产产品</w:t>
      </w:r>
    </w:p>
    <w:tbl>
      <w:tblPr>
        <w:tblStyle w:val="48"/>
        <w:tblW w:w="8858"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76"/>
        <w:gridCol w:w="1064"/>
        <w:gridCol w:w="654"/>
        <w:gridCol w:w="505"/>
        <w:gridCol w:w="485"/>
        <w:gridCol w:w="5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476"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06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货物名称</w:t>
            </w:r>
          </w:p>
        </w:tc>
        <w:tc>
          <w:tcPr>
            <w:tcW w:w="65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是否进口</w:t>
            </w:r>
          </w:p>
        </w:tc>
        <w:tc>
          <w:tcPr>
            <w:tcW w:w="505"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485"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67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HPC高性能计算集群</w:t>
            </w:r>
          </w:p>
        </w:tc>
        <w:tc>
          <w:tcPr>
            <w:tcW w:w="654"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否</w:t>
            </w:r>
          </w:p>
        </w:tc>
        <w:tc>
          <w:tcPr>
            <w:tcW w:w="50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674" w:type="dxa"/>
            <w:shd w:val="clear" w:color="auto" w:fill="auto"/>
            <w:vAlign w:val="center"/>
          </w:tcPr>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登录管理存储节点要求：</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1，双路英特尔三代CPU，不低于24核心48线程，主频不低于2.1GHz，功耗不得大于270W</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2，主板：专业服务器主板，英特尔C621A芯片，支持IPMI远程，不少于16根内存插槽，PCI-E不少于6个，不少于两个M.2插槽，支持RAID；不少于四个U.2硬盘接口，7.1 HD Audio，支持TPM加密，智能温控散热系统</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3，内存不低于64G，使用 DDR4 3200 RECC 芯片，不少于四根</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4，系统硬盘：系统硬盘不低于2块480GB，要求 M.2高速硬盘；数据存储盘不低于48TB企业级，数量不低于6块</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5，阵列卡，不低于12Gb/s  ， 2G缓存，不少于8个端口</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6，网卡：具备不少于两个QSFP28端口，100Gb/s以太网适配器卡ConnectX-4 EN网络接口卡，100GbE双端口QSFP28,PCIe3.0 x16，高支架；配置线缆要求有100 Gb/s直接连接铜质电缆（DAC）、铜质分路器电缆、有源光缆（AOC）和收发器，长度不小于三米；</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7，机箱电源：要求专业级服务器机架式机箱电源，含专业服务器导轨，不低于8盘位热插拔，电源不低于850W</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计算节点要求(不少于10个）：</w:t>
            </w:r>
          </w:p>
          <w:p>
            <w:pPr>
              <w:spacing w:line="240" w:lineRule="auto"/>
              <w:ind w:firstLine="210" w:firstLineChars="1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1，1，双路三代CPU，不低于76核心152线程，主频不低于2.8GHz，功耗不得大于300W</w:t>
            </w:r>
            <w:r>
              <w:rPr>
                <w:rFonts w:hint="eastAsia" w:ascii="宋体" w:hAnsi="宋体" w:cs="宋体"/>
                <w:color w:val="auto"/>
                <w:szCs w:val="21"/>
                <w:highlight w:val="none"/>
                <w:lang w:eastAsia="zh-CN"/>
              </w:rPr>
              <w:t>。</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2，主板：专业服务器主板，英特尔C621A芯片，支持IPMI远程，不少于16根内存插槽，PCI-E不少于6个，不少于两个M.2插槽，支持RAID；不少于四个U.2硬盘接口，7.1 HD Audio，支持TPM加密，智能温控散热系统</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3，内存不低于 64GB，使用 DDR4 3200 RECC 芯片,不少于16根</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4，硬盘：系统硬盘不低于1.92TB，要求 NVME固态硬盘；数据存储盘不低于16TB企业级</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5，网卡：具备不少于两个QSFP28端口，100Gb/s以太网适配器卡ConnectX-4 EN网络接口卡，100GbE双端口QSFP28,PCIe3.0 x16，高支架；配置线缆要求有100 Gb/s直接连接铜质电缆（DAC）、铜质分路器电缆、有源光缆（AOC）和收发器，长度不小于三米；</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6，机箱电源：要求专业级服务器机架式机箱电源，含专业服务器导轨，不低于8盘位热插拔，电源不低于长城1300W 1+1冗余</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网络设备要求：</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1，接入交换机： 不少于24个千兆电口+4个千兆光口，准三层网管，支持静态路由，RIP/OSPF路由，AC220V，机架式安装。交换容量≥256Gbps，包转发能力≥51Mpps，支持802.3ad端口聚合每组最大8个、支持动态LACP或静态聚合；支持IGMPv1/v2/v3、PIM-SM、PIM-DM，支持组播流量跨VLAN复制功能；支持静态路由，rip/ospf动态路由；支持DHCP snooping，DHCP server，DHCP raleay；支持802.1X/Radius认证，支持IP+MAC+端口绑定；支持ZTP零接触配置开通（Zero Touch Provisioning）；原厂提供ISO9001、ISO14001、管理体系认证证书</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2，算力交换机：满足36 x EDR 100Gb/s ports in a 1U switchQSFP28连接7.2Tb/s （EDR）吞吐量，不大于90ns延迟，要求具备自适应路由、拥塞控制、端口镜像功能；不少于9个虚拟通道:8个数据+1个管理；不接受二手或者拆机设备</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4，42U定制机柜：配置2个尺寸600*1000*2000机柜，含托盘，32A PDU不少于两个，为保证质量要求提供第三方测试报告</w:t>
            </w:r>
          </w:p>
          <w:p>
            <w:pPr>
              <w:spacing w:line="240" w:lineRule="auto"/>
              <w:ind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p>
            <w:pPr>
              <w:numPr>
                <w:ilvl w:val="0"/>
                <w:numId w:val="44"/>
              </w:numPr>
              <w:spacing w:line="240" w:lineRule="auto"/>
              <w:ind w:firstLine="210" w:firstLineChars="100"/>
              <w:rPr>
                <w:rFonts w:hint="eastAsia"/>
              </w:rPr>
            </w:pPr>
            <w:r>
              <w:rPr>
                <w:rFonts w:hint="eastAsia" w:ascii="宋体" w:hAnsi="宋体" w:eastAsia="宋体" w:cs="宋体"/>
                <w:color w:val="auto"/>
                <w:szCs w:val="21"/>
                <w:highlight w:val="none"/>
              </w:rPr>
              <w:t>UPS不间断电源：功率范围：15KVA，三进单出在线式。零切换时间；双转换纯在线式架构，电池市电供电模式切换的零转换时间，支持定频输出，有效保证负载供电可靠性。采用DSP数字控制技术；采用先进的DSP数字化控制技术，提供稳定可靠正弦波供电。三电平逆变技术，高效节能，失真度更小，带载能力更强，适应各种复杂类型负载。超宽输入电压频率范围，可承受90V~300V(单相相电压)/150V~500V(三相线电压)极宽输入电压及40~70Hz频率输入范围，兼容恶劣电力环境，减少电池放电次数，提高电池备用时间及使用寿命。可搭配发电机使用，输入电压与频率范围广，能有效隔离发电机产生的不良电力，为负载提供纯净、安全、稳定的电源。输入功率因数高，采用有源功率因数校正技术(PFC)，输入功率因数达0.99以上，有效地避免电网污染，有效降低电费支出。输出功率因素达0.9,125%额定功率10分钟。，可输出200/ 208/220/230/240Vac 50/60Hz广泛适应各种电压频率制式设备。</w:t>
            </w:r>
          </w:p>
          <w:p>
            <w:pPr>
              <w:numPr>
                <w:ilvl w:val="0"/>
                <w:numId w:val="0"/>
              </w:numPr>
              <w:spacing w:line="240" w:lineRule="auto"/>
              <w:ind w:firstLine="420" w:firstLineChars="200"/>
              <w:rPr>
                <w:rFonts w:hint="eastAsia"/>
              </w:rPr>
            </w:pPr>
            <w:r>
              <w:rPr>
                <w:rFonts w:hint="eastAsia" w:ascii="宋体" w:hAnsi="宋体" w:eastAsia="宋体" w:cs="宋体"/>
                <w:b w:val="0"/>
                <w:bCs w:val="0"/>
                <w:color w:val="auto"/>
                <w:szCs w:val="21"/>
                <w:highlight w:val="none"/>
              </w:rPr>
              <w:t>其他相关服务</w:t>
            </w:r>
            <w:r>
              <w:rPr>
                <w:rFonts w:hint="eastAsia" w:ascii="宋体" w:hAnsi="宋体" w:cs="宋体"/>
                <w:b/>
                <w:bCs/>
                <w:color w:val="auto"/>
                <w:szCs w:val="21"/>
                <w:highlight w:val="none"/>
                <w:lang w:eastAsia="zh-CN"/>
              </w:rPr>
              <w:t>：</w:t>
            </w:r>
            <w:r>
              <w:rPr>
                <w:rFonts w:hint="eastAsia" w:ascii="宋体" w:hAnsi="宋体" w:eastAsia="宋体" w:cs="宋体"/>
                <w:color w:val="auto"/>
                <w:szCs w:val="21"/>
                <w:highlight w:val="none"/>
              </w:rPr>
              <w:t>工程师上门安装调试；完成专业平台搭建服务；提供并行环境、科学计算数学库和编译器调试安装、系统优化服务；协助用户科研软件的安装；协助客户优化平台且移植数据；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高温绝缘材料电阻率测量系统</w:t>
            </w:r>
          </w:p>
        </w:tc>
        <w:tc>
          <w:tcPr>
            <w:tcW w:w="654"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505"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c>
          <w:tcPr>
            <w:tcW w:w="5674" w:type="dxa"/>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☆1.测量温度：RT-1000℃，控温精度±0.5℃；</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2.升温斜率：0-10°C/min；典型值：3°C/min；</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☆3.配置高阻测量模块，电阻测量范围：100Ω~1016Ω；</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4.电阻率测量范围：103~1016Ω·cm； </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☆5.空载泄露电流：&lt;0.5pA ;</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6.要求采用集成化设计，软件、夹具，高温炉集成于一体，带有触摸屏，可视化操作；</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☆7.要求采用三环电极夹具系统，采用铂金电极和引线，具有损耗小，耐高温，抗氧化能力； </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8.要求控温和测温采用同一个传感器，保证样品每次采集的温度都是样品实际温度；</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9.要求采用高温电学加热炉，内置金属屏蔽罩，有效减小加热丝产生的交流干扰；</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10.要求采用真空气密性设计，可以实现真空、流动气氛等测量环境；</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☆11.要求采用电动炉膛升降平台，固定式夹具，炉膛口朝下，可以使温度更均匀；</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12.仪器内置专业测量分析软件，一次升温可同时测量样品的温度谱，且能对软件提供免费升级服务；</w:t>
            </w:r>
          </w:p>
          <w:p>
            <w:pPr>
              <w:spacing w:line="240" w:lineRule="auto"/>
              <w:ind w:firstLine="200" w:firstLineChars="100"/>
              <w:rPr>
                <w:rFonts w:hint="eastAsia" w:ascii="宋体" w:hAnsi="宋体" w:eastAsia="宋体" w:cs="宋体"/>
                <w:color w:val="auto"/>
                <w:szCs w:val="21"/>
                <w:highlight w:val="none"/>
              </w:rPr>
            </w:pPr>
            <w:r>
              <w:rPr>
                <w:rFonts w:hint="eastAsia" w:ascii="宋体" w:hAnsi="宋体" w:eastAsia="宋体" w:cs="宋体"/>
                <w:i w:val="0"/>
                <w:iCs w:val="0"/>
                <w:color w:val="000000"/>
                <w:kern w:val="0"/>
                <w:sz w:val="20"/>
                <w:szCs w:val="20"/>
                <w:u w:val="none"/>
                <w:lang w:val="en-US" w:eastAsia="zh-CN" w:bidi="ar"/>
              </w:rPr>
              <w:t>13.内置无线WIFI，能实现远程技术测试支持和服务，同时需要提供扫码在线视频教学功能；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3</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高温压电温谱仪</w:t>
            </w:r>
          </w:p>
        </w:tc>
        <w:tc>
          <w:tcPr>
            <w:tcW w:w="654"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505"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c>
          <w:tcPr>
            <w:tcW w:w="5674" w:type="dxa"/>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☆1．测量温度：RT-800℃,控温精度±0.5℃；</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2.升温斜率：0-10°C/min；典型值：3°C/min；</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3．D33测量范围：0~2000 pC/N，量程自动切换；</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4．准确度：≤±2%；</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5．力的频率：≥110Hz；</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6．力的大小：≥0.25N；</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7．测量速度：FAST，MEDIUM，SLOW；</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8．具有放电保护功能；</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☆9．可分析样品d33随温度、频率、时间变化的曲线。</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10．采用集成化设计，软件、夹具，加热集成于一体，通过自带电脑一体机进行操作；</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11．要求采用高温电学加热炉，内置金属屏蔽罩，可以有效减小加热丝交流干扰和外部信号的干扰；</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☆12．要求采用电动炉膛升降平台，固定式夹具，炉膛口朝下，可以使温度更均匀；</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13．要求控温和测温为同一个传感器，保证样品每次采集的温度都是样品实际温度，系统可通过已知样品居里温度校准测温传感器，可以避免样品因导热性能不同带来测量的误差；</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14.仪器内置专业测量分析软件，一次升温可同时测量样品的温度谱，且能对软件提供免费升级服务；</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☆15.要求提供击穿测试模块，电压输出范围：0-30KV可调，保护电流1mA，同时可进行油浴高压极化；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4</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高低温介电阻抗温谱仪</w:t>
            </w:r>
          </w:p>
        </w:tc>
        <w:tc>
          <w:tcPr>
            <w:tcW w:w="654"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505"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c>
          <w:tcPr>
            <w:tcW w:w="5674" w:type="dxa"/>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1.测量通道：单通道</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☆2.温度范围：-160℃-450°C ，控温精度：±0.5℃；</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3.升温斜率：0-10°C/min，典型值3°C/min；</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☆4.配置WK精密阻抗测量模块，测量频率范围：20Hz~10MHz，阻抗测量精度：0.05%；</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5.采用集成化设计，软件、夹具，加热制冷集成于一体，通过自带电脑一体机进行可视化操作；</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☆6.仪器采用加热制冷一体化控温平台，配备自动液氮注入系统LNP；</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7.程序自动补给和控制平台所需液氮制冷量和温度控制，液氮罐使用容量35L，接口KF50；</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☆8.采用弹簧电极夹具系统，上电极为半球电极，下电极为平板电极，确保稳定和可靠；</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9.采用高真空气密性设计，可以实现高低温、真空气氛测量环境；☆10.仪器内置真空组件，软件实时显示真空数值，真空度小于200Pa；</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11.控温和测温为同一个传感器，保证样品每次采集的温度都是样品实际温度，系统可通过已知样品居里温度校准测温传感器，可以避免样品因导热性能不同带来测量的误差；</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12.仪器内置专业测量分析软件，一次升温可同时测量样品的温度谱，频率谱等功能，操作简单、使用方便，且能对软件提供免费升级服务；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5</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1200°C不锈钢管式电炉</w:t>
            </w:r>
          </w:p>
        </w:tc>
        <w:tc>
          <w:tcPr>
            <w:tcW w:w="654" w:type="dxa"/>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505" w:type="dxa"/>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c>
          <w:tcPr>
            <w:tcW w:w="5674" w:type="dxa"/>
            <w:shd w:val="clear" w:color="auto" w:fill="auto"/>
            <w:vAlign w:val="center"/>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最高使用温度：1200°C</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工作温度：≤1150°C</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炉膛材质：多晶莫来纤维，炉膛采用日本技术合资品牌，加热丝径2mm</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炉体结构：加热炉膛上下2部分组成，可开启</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额定功率：3KW</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控温方式：国产智能仪表，PID调节、自整定功能，并可编制50段升降温程序</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K型热电偶（2.5mm的丝）</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加热元件：高电阻电热合金丝OCr27AI7Mo2</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外形尺寸：360*580*565mm</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石英管尺寸：Φ80/72*1000mm</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加热区长度：420mm；恒温区长度：210mm</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电压：220V</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温区：单温区</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密封法兰：多环密封，快速卡箍链接</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外炉壳：采用不锈钢压花板</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排风冷却装置：结合热感应技术，炉体表面50度时排温风扇自动开启</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控温精度：±1°C</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升温速率（推荐）：0-1000°C以下≤10°C/min</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1000-1200°C≤5°C/min</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重量：75Kg</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标准配置：单级泵4L1台，石英管1支，石英堵1对，硅胶圈垫2套，活动平台1台，气路总成1套（含真空压力表），石英舟1个，钩子1把，高温手套1副</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技术特点：炉膛材料采用优质的多晶莫来纤维真空吸附制成，节能50%，温场均匀。密封法兰采用304不锈钢双环密封挤压密封技术，有效的提高了炉管两端的气密性。快速卡箍链接，方便取放样品。有效的保证炉管的密封可靠性。气路具有进出气微量可调功能。两端气路支架，支撑着气路装置。有效消除了气路总成自身的应力，杜绝了因自身应力而造成的炉管损坏。先进的空气隔热技术，结合热感应技术，当炉体表面温升到达50℃时，排温风扇将自动启动，使炉体表面快速降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6</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1600°C真空气氛管式电炉</w:t>
            </w:r>
          </w:p>
        </w:tc>
        <w:tc>
          <w:tcPr>
            <w:tcW w:w="654" w:type="dxa"/>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505" w:type="dxa"/>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c>
          <w:tcPr>
            <w:tcW w:w="5674"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最高使用温度：1600°C</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炉膛材质：多晶莫来纤维</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加热丝径2mm</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炉体结构：炉控一体</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额定功率：4KW</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控温方式：国产智能仪表，PID调节、自整定功能，并可编制50段升降温程序</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B型热电偶</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加热元件：1700型硅钼棒</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外形尺寸：520*600*803mm</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刚玉管尺寸：Φ60/500*1000mm</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加热区长度：260mm；恒温区长度：120mm</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电压：220V</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温区：单温区</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气路法兰：双环密封，卡箍快速链接</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外炉壳：碳钢静电喷涂</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排风冷却装置：结合热感应技术，炉体表面50度时排温风扇自动开启</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控温精度：±1°C</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重量：145Kg</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1600°C电炉特殊保护功能：</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1.电流限幅功能：此功能延长了硅钼棒加热元件使用寿命，对用户供电设备免受大电流冲击提供安全保护，保护用户在误操作时电炉使用安全</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2.电流缓启动功能：对用户供电设备免受大电流冲击提供安全保护，即使中途取放物料，也可使测温系统随时响应温度变化</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标准配置：单级泵4L1台，刚玉管1支，刚玉堵4个，硅胶圈垫2套，活动平台1台，气路总成1套（含真空压力表），刚玉舟1个，钩子1把，高温手套1副</w:t>
            </w:r>
          </w:p>
          <w:p>
            <w:pPr>
              <w:keepNext w:val="0"/>
              <w:keepLines w:val="0"/>
              <w:widowControl/>
              <w:suppressLineNumbers w:val="0"/>
              <w:jc w:val="left"/>
              <w:textAlignment w:val="top"/>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技术特点：炉膛材料采用优质的多晶莫来纤维真空吸附制成，节能50%，温场均匀。密封法兰采用304不锈钢双环密封挤压密封技术，有效的提高了炉管两端的气密性。快速卡箍链接，方便取放样品。有效的保证炉管的密封可靠性。气路具有进出气微量可调功能。两端气路支架，支撑着气路装置。有效消除了气路总成自身的应力，杜绝了因自身应力而造成的炉管损坏。先进的空气隔热技术，结合热感应技术，当炉体表面温升到达50℃时，排温风扇将自动启动，使炉体表面快速降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7</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1200°C不锈钢箱式电炉</w:t>
            </w:r>
          </w:p>
        </w:tc>
        <w:tc>
          <w:tcPr>
            <w:tcW w:w="654" w:type="dxa"/>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505" w:type="dxa"/>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c>
          <w:tcPr>
            <w:tcW w:w="5674" w:type="dxa"/>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最高温度：1200°C</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炉膛材质：多晶莫来纤维，炉膛采用日本技术合资品牌</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炉膛尺寸：300*200*120mm</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外形尺寸：590*460*682mm</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功率：3KW</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电压：220V</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控温精度：±1°C</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开门方式：侧拉平移，开门断电</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外炉壳：采用不锈钢压花板</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加热元件：高电阻电热合金丝OCr27AI7Mo2</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炉体结构：加热炉体控制箱一体化</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温控系统：国产智能仪表，PID调节、自整定功能，并可编制30段升降温程序</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最快升温速率：≤15°C/min</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测温方式：K型热电偶</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容积：7L</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重量：90Kg</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标准配置：活动平台1台，高温手套1副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8</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1300°C节能箱式电炉</w:t>
            </w:r>
          </w:p>
        </w:tc>
        <w:tc>
          <w:tcPr>
            <w:tcW w:w="654" w:type="dxa"/>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505" w:type="dxa"/>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c>
          <w:tcPr>
            <w:tcW w:w="5674" w:type="dxa"/>
            <w:shd w:val="clear" w:color="auto" w:fill="FFFFFF"/>
            <w:vAlign w:val="top"/>
          </w:tcPr>
          <w:p>
            <w:pPr>
              <w:keepNext w:val="0"/>
              <w:keepLines w:val="0"/>
              <w:widowControl/>
              <w:suppressLineNumbers w:val="0"/>
              <w:jc w:val="left"/>
              <w:textAlignment w:val="top"/>
              <w:rPr>
                <w:rFonts w:hint="eastAsia"/>
              </w:rPr>
            </w:pPr>
            <w:r>
              <w:rPr>
                <w:rFonts w:hint="eastAsia"/>
              </w:rPr>
              <w:t>最高温度：1300°C</w:t>
            </w:r>
          </w:p>
          <w:p>
            <w:pPr>
              <w:keepNext w:val="0"/>
              <w:keepLines w:val="0"/>
              <w:widowControl/>
              <w:suppressLineNumbers w:val="0"/>
              <w:jc w:val="left"/>
              <w:textAlignment w:val="top"/>
              <w:rPr>
                <w:rFonts w:hint="eastAsia"/>
              </w:rPr>
            </w:pPr>
            <w:r>
              <w:rPr>
                <w:rFonts w:hint="eastAsia"/>
              </w:rPr>
              <w:t>炉膛材质：多晶莫来纤维</w:t>
            </w:r>
          </w:p>
          <w:p>
            <w:pPr>
              <w:keepNext w:val="0"/>
              <w:keepLines w:val="0"/>
              <w:widowControl/>
              <w:suppressLineNumbers w:val="0"/>
              <w:jc w:val="left"/>
              <w:textAlignment w:val="top"/>
              <w:rPr>
                <w:rFonts w:hint="eastAsia"/>
              </w:rPr>
            </w:pPr>
            <w:r>
              <w:rPr>
                <w:rFonts w:hint="eastAsia"/>
              </w:rPr>
              <w:t>装棒后炉膛尺寸：400*200*160mm</w:t>
            </w:r>
          </w:p>
          <w:p>
            <w:pPr>
              <w:keepNext w:val="0"/>
              <w:keepLines w:val="0"/>
              <w:widowControl/>
              <w:suppressLineNumbers w:val="0"/>
              <w:jc w:val="left"/>
              <w:textAlignment w:val="top"/>
              <w:rPr>
                <w:rFonts w:hint="eastAsia"/>
              </w:rPr>
            </w:pPr>
            <w:r>
              <w:rPr>
                <w:rFonts w:hint="eastAsia"/>
              </w:rPr>
              <w:t>外形尺寸：720*573*870mm</w:t>
            </w:r>
          </w:p>
          <w:p>
            <w:pPr>
              <w:keepNext w:val="0"/>
              <w:keepLines w:val="0"/>
              <w:widowControl/>
              <w:suppressLineNumbers w:val="0"/>
              <w:jc w:val="left"/>
              <w:textAlignment w:val="top"/>
              <w:rPr>
                <w:rFonts w:hint="eastAsia"/>
              </w:rPr>
            </w:pPr>
            <w:r>
              <w:rPr>
                <w:rFonts w:hint="eastAsia"/>
              </w:rPr>
              <w:t>功率：8KW</w:t>
            </w:r>
          </w:p>
          <w:p>
            <w:pPr>
              <w:keepNext w:val="0"/>
              <w:keepLines w:val="0"/>
              <w:widowControl/>
              <w:suppressLineNumbers w:val="0"/>
              <w:jc w:val="left"/>
              <w:textAlignment w:val="top"/>
              <w:rPr>
                <w:rFonts w:hint="eastAsia"/>
              </w:rPr>
            </w:pPr>
            <w:r>
              <w:rPr>
                <w:rFonts w:hint="eastAsia"/>
              </w:rPr>
              <w:t>电压：380V</w:t>
            </w:r>
          </w:p>
          <w:p>
            <w:pPr>
              <w:keepNext w:val="0"/>
              <w:keepLines w:val="0"/>
              <w:widowControl/>
              <w:suppressLineNumbers w:val="0"/>
              <w:jc w:val="left"/>
              <w:textAlignment w:val="top"/>
              <w:rPr>
                <w:rFonts w:hint="eastAsia"/>
              </w:rPr>
            </w:pPr>
            <w:r>
              <w:rPr>
                <w:rFonts w:hint="eastAsia"/>
              </w:rPr>
              <w:t>控温精度：±1°C</w:t>
            </w:r>
          </w:p>
          <w:p>
            <w:pPr>
              <w:keepNext w:val="0"/>
              <w:keepLines w:val="0"/>
              <w:widowControl/>
              <w:suppressLineNumbers w:val="0"/>
              <w:jc w:val="left"/>
              <w:textAlignment w:val="top"/>
              <w:rPr>
                <w:rFonts w:hint="eastAsia"/>
              </w:rPr>
            </w:pPr>
            <w:r>
              <w:rPr>
                <w:rFonts w:hint="eastAsia"/>
              </w:rPr>
              <w:t>开门方式：侧拉平移，开门断电</w:t>
            </w:r>
          </w:p>
          <w:p>
            <w:pPr>
              <w:keepNext w:val="0"/>
              <w:keepLines w:val="0"/>
              <w:widowControl/>
              <w:suppressLineNumbers w:val="0"/>
              <w:jc w:val="left"/>
              <w:textAlignment w:val="top"/>
              <w:rPr>
                <w:rFonts w:hint="eastAsia"/>
              </w:rPr>
            </w:pPr>
            <w:r>
              <w:rPr>
                <w:rFonts w:hint="eastAsia"/>
              </w:rPr>
              <w:t>外炉壳：碳钢静电喷涂</w:t>
            </w:r>
          </w:p>
          <w:p>
            <w:pPr>
              <w:keepNext w:val="0"/>
              <w:keepLines w:val="0"/>
              <w:widowControl/>
              <w:suppressLineNumbers w:val="0"/>
              <w:jc w:val="left"/>
              <w:textAlignment w:val="top"/>
              <w:rPr>
                <w:rFonts w:hint="eastAsia"/>
              </w:rPr>
            </w:pPr>
            <w:r>
              <w:rPr>
                <w:rFonts w:hint="eastAsia"/>
              </w:rPr>
              <w:t>加热元件：1500型硅碳棒</w:t>
            </w:r>
          </w:p>
          <w:p>
            <w:pPr>
              <w:keepNext w:val="0"/>
              <w:keepLines w:val="0"/>
              <w:widowControl/>
              <w:suppressLineNumbers w:val="0"/>
              <w:jc w:val="left"/>
              <w:textAlignment w:val="top"/>
              <w:rPr>
                <w:rFonts w:hint="eastAsia"/>
              </w:rPr>
            </w:pPr>
            <w:r>
              <w:rPr>
                <w:rFonts w:hint="eastAsia"/>
              </w:rPr>
              <w:t>炉体结构：加热炉体控制箱一体化</w:t>
            </w:r>
          </w:p>
          <w:p>
            <w:pPr>
              <w:keepNext w:val="0"/>
              <w:keepLines w:val="0"/>
              <w:widowControl/>
              <w:suppressLineNumbers w:val="0"/>
              <w:jc w:val="left"/>
              <w:textAlignment w:val="top"/>
              <w:rPr>
                <w:rFonts w:hint="eastAsia"/>
              </w:rPr>
            </w:pPr>
            <w:r>
              <w:rPr>
                <w:rFonts w:hint="eastAsia"/>
              </w:rPr>
              <w:t>温控系统：国产智能仪表，PID调节、自整定功能，并可编制30段升降温程序</w:t>
            </w:r>
          </w:p>
          <w:p>
            <w:pPr>
              <w:keepNext w:val="0"/>
              <w:keepLines w:val="0"/>
              <w:widowControl/>
              <w:suppressLineNumbers w:val="0"/>
              <w:jc w:val="left"/>
              <w:textAlignment w:val="top"/>
              <w:rPr>
                <w:rFonts w:hint="eastAsia"/>
              </w:rPr>
            </w:pPr>
            <w:r>
              <w:rPr>
                <w:rFonts w:hint="eastAsia"/>
              </w:rPr>
              <w:t>最快升温速率（建议）：≤15°C/min</w:t>
            </w:r>
          </w:p>
          <w:p>
            <w:pPr>
              <w:keepNext w:val="0"/>
              <w:keepLines w:val="0"/>
              <w:widowControl/>
              <w:suppressLineNumbers w:val="0"/>
              <w:jc w:val="left"/>
              <w:textAlignment w:val="top"/>
              <w:rPr>
                <w:rFonts w:hint="eastAsia"/>
              </w:rPr>
            </w:pPr>
            <w:r>
              <w:rPr>
                <w:rFonts w:hint="eastAsia"/>
              </w:rPr>
              <w:t>测温方式：S型热电偶</w:t>
            </w:r>
          </w:p>
          <w:p>
            <w:pPr>
              <w:keepNext w:val="0"/>
              <w:keepLines w:val="0"/>
              <w:widowControl/>
              <w:suppressLineNumbers w:val="0"/>
              <w:jc w:val="left"/>
              <w:textAlignment w:val="top"/>
              <w:rPr>
                <w:rFonts w:hint="eastAsia"/>
              </w:rPr>
            </w:pPr>
            <w:r>
              <w:rPr>
                <w:rFonts w:hint="eastAsia"/>
              </w:rPr>
              <w:t xml:space="preserve">容积：13L </w:t>
            </w:r>
          </w:p>
          <w:p>
            <w:pPr>
              <w:keepNext w:val="0"/>
              <w:keepLines w:val="0"/>
              <w:widowControl/>
              <w:suppressLineNumbers w:val="0"/>
              <w:jc w:val="left"/>
              <w:textAlignment w:val="top"/>
              <w:rPr>
                <w:rFonts w:hint="eastAsia"/>
              </w:rPr>
            </w:pPr>
            <w:r>
              <w:rPr>
                <w:rFonts w:hint="eastAsia"/>
              </w:rPr>
              <w:t>重量：120Kg</w:t>
            </w:r>
          </w:p>
          <w:p>
            <w:pPr>
              <w:keepNext w:val="0"/>
              <w:keepLines w:val="0"/>
              <w:widowControl/>
              <w:suppressLineNumbers w:val="0"/>
              <w:jc w:val="left"/>
              <w:textAlignment w:val="top"/>
              <w:rPr>
                <w:rFonts w:hint="eastAsia" w:ascii="宋体" w:hAnsi="宋体" w:eastAsia="宋体" w:cs="宋体"/>
                <w:i w:val="0"/>
                <w:iCs w:val="0"/>
                <w:color w:val="000000"/>
                <w:kern w:val="2"/>
                <w:sz w:val="20"/>
                <w:szCs w:val="20"/>
                <w:u w:val="none"/>
                <w:lang w:val="en-US" w:eastAsia="zh-CN" w:bidi="ar-SA"/>
              </w:rPr>
            </w:pPr>
            <w:r>
              <w:rPr>
                <w:rFonts w:hint="eastAsia"/>
              </w:rPr>
              <w:t>标准配置：活动平台1台，高温手套1副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9</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1600°C节能箱式电炉</w:t>
            </w:r>
          </w:p>
        </w:tc>
        <w:tc>
          <w:tcPr>
            <w:tcW w:w="654"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否</w:t>
            </w:r>
          </w:p>
        </w:tc>
        <w:tc>
          <w:tcPr>
            <w:tcW w:w="505"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c>
          <w:tcPr>
            <w:tcW w:w="5674" w:type="dxa"/>
            <w:shd w:val="clear" w:color="auto" w:fill="FFFFFF"/>
            <w:vAlign w:val="top"/>
          </w:tcPr>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最高温度：1600°C</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炉膛材质：多晶莫来纤维</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炉膛尺寸：400*200*160mm</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外形尺寸：840*715*1690mm</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功率：12KW</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电压：380（单相）</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控温精度：±1°C</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开门方式：侧拉平移，开门断电</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外炉壳：采用不锈钢压花板</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加热元件：1700型硅钼棒</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炉体结构：加热炉体控制箱一体化（上下组合）</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温控系统：国产智能仪表，PID调节、自整定功能，并可编制30段升降温程序</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测温方式：B型热电偶</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容积：13L</w:t>
            </w:r>
          </w:p>
          <w:p>
            <w:pPr>
              <w:keepNext w:val="0"/>
              <w:keepLines w:val="0"/>
              <w:widowControl/>
              <w:suppressLineNumbers w:val="0"/>
              <w:jc w:val="left"/>
              <w:textAlignment w:val="top"/>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重量：325Kg</w:t>
            </w:r>
          </w:p>
          <w:p>
            <w:pPr>
              <w:keepNext w:val="0"/>
              <w:keepLines w:val="0"/>
              <w:widowControl/>
              <w:suppressLineNumbers w:val="0"/>
              <w:jc w:val="left"/>
              <w:textAlignment w:val="top"/>
              <w:rPr>
                <w:rFonts w:hint="eastAsia"/>
              </w:rPr>
            </w:pPr>
            <w:r>
              <w:rPr>
                <w:rFonts w:hint="eastAsia" w:ascii="宋体" w:hAnsi="宋体" w:eastAsia="宋体" w:cs="宋体"/>
                <w:i w:val="0"/>
                <w:iCs w:val="0"/>
                <w:color w:val="000000"/>
                <w:kern w:val="0"/>
                <w:sz w:val="20"/>
                <w:szCs w:val="20"/>
                <w:u w:val="none"/>
                <w:lang w:val="en-US" w:eastAsia="zh-CN" w:bidi="ar"/>
              </w:rPr>
              <w:t>标准配件：炉门转1套，高温手套1副</w:t>
            </w:r>
          </w:p>
        </w:tc>
      </w:tr>
    </w:tbl>
    <w:p>
      <w:pPr>
        <w:rPr>
          <w:color w:val="auto"/>
          <w:highlight w:val="none"/>
        </w:rPr>
      </w:pPr>
    </w:p>
    <w:p>
      <w:pPr>
        <w:rPr>
          <w:color w:val="auto"/>
          <w:highlight w:val="none"/>
        </w:rPr>
      </w:pPr>
      <w:bookmarkStart w:id="451" w:name="_Toc534361857"/>
      <w:bookmarkStart w:id="452" w:name="_Toc531161570"/>
      <w:bookmarkStart w:id="453" w:name="_Toc530560434"/>
      <w:r>
        <w:rPr>
          <w:rFonts w:hint="eastAsia" w:ascii="宋体" w:hAnsi="宋体" w:eastAsia="宋体" w:cs="宋体"/>
          <w:b/>
          <w:bCs/>
          <w:color w:val="000000"/>
          <w:sz w:val="22"/>
          <w:szCs w:val="21"/>
        </w:rPr>
        <w:t>包2    是否接受进口产品：是</w:t>
      </w:r>
    </w:p>
    <w:tbl>
      <w:tblPr>
        <w:tblStyle w:val="48"/>
        <w:tblW w:w="8858"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76"/>
        <w:gridCol w:w="1064"/>
        <w:gridCol w:w="654"/>
        <w:gridCol w:w="505"/>
        <w:gridCol w:w="485"/>
        <w:gridCol w:w="5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476"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06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货物名称</w:t>
            </w:r>
          </w:p>
        </w:tc>
        <w:tc>
          <w:tcPr>
            <w:tcW w:w="65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是否进口</w:t>
            </w:r>
          </w:p>
        </w:tc>
        <w:tc>
          <w:tcPr>
            <w:tcW w:w="505"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485"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67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热膨胀仪</w:t>
            </w:r>
          </w:p>
        </w:tc>
        <w:tc>
          <w:tcPr>
            <w:tcW w:w="654"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是</w:t>
            </w:r>
          </w:p>
        </w:tc>
        <w:tc>
          <w:tcPr>
            <w:tcW w:w="50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674" w:type="dxa"/>
            <w:shd w:val="clear" w:color="auto" w:fill="auto"/>
            <w:vAlign w:val="center"/>
          </w:tcPr>
          <w:p>
            <w:pPr>
              <w:ind w:firstLine="420" w:firstLineChars="200"/>
              <w:rPr>
                <w:rFonts w:ascii="Times New Roman" w:hAnsi="Times New Roman"/>
                <w:szCs w:val="21"/>
              </w:rPr>
            </w:pPr>
            <w:r>
              <w:rPr>
                <w:rFonts w:ascii="Times New Roman" w:hAnsi="Times New Roman"/>
                <w:szCs w:val="21"/>
              </w:rPr>
              <w:t>1.温度范围：室温</w:t>
            </w:r>
            <w:r>
              <w:rPr>
                <w:rFonts w:ascii="Times New Roman" w:hAnsi="Times New Roman" w:eastAsia="Dotum"/>
                <w:szCs w:val="21"/>
              </w:rPr>
              <w:t>~</w:t>
            </w:r>
            <w:r>
              <w:rPr>
                <w:rFonts w:ascii="Times New Roman" w:hAnsi="Times New Roman"/>
                <w:szCs w:val="21"/>
              </w:rPr>
              <w:t>1350℃；</w:t>
            </w:r>
          </w:p>
          <w:p>
            <w:pPr>
              <w:ind w:firstLine="420" w:firstLineChars="200"/>
              <w:rPr>
                <w:rFonts w:ascii="Times New Roman" w:hAnsi="Times New Roman"/>
                <w:szCs w:val="21"/>
              </w:rPr>
            </w:pPr>
            <w:r>
              <w:rPr>
                <w:rFonts w:ascii="Times New Roman" w:hAnsi="Times New Roman"/>
                <w:szCs w:val="21"/>
              </w:rPr>
              <w:t>2.</w:t>
            </w:r>
            <w:r>
              <w:rPr>
                <w:rFonts w:ascii="Times New Roman" w:hAnsi="Times New Roman"/>
                <w:kern w:val="0"/>
                <w:szCs w:val="21"/>
              </w:rPr>
              <w:t>样品长度：0~50 mm；</w:t>
            </w:r>
            <w:r>
              <w:rPr>
                <w:rFonts w:ascii="Times New Roman" w:hAnsi="Times New Roman"/>
                <w:szCs w:val="21"/>
              </w:rPr>
              <w:t>样品最大直径：14mm；</w:t>
            </w:r>
          </w:p>
          <w:p>
            <w:pPr>
              <w:ind w:firstLine="420" w:firstLineChars="200"/>
              <w:rPr>
                <w:rFonts w:ascii="Times New Roman" w:hAnsi="Times New Roman"/>
                <w:szCs w:val="21"/>
              </w:rPr>
            </w:pPr>
            <w:r>
              <w:rPr>
                <w:rFonts w:ascii="Times New Roman" w:hAnsi="Times New Roman"/>
                <w:szCs w:val="21"/>
              </w:rPr>
              <w:t>3.测量精度：≤1%；</w:t>
            </w:r>
          </w:p>
          <w:p>
            <w:pPr>
              <w:ind w:firstLine="420" w:firstLineChars="200"/>
              <w:rPr>
                <w:rFonts w:ascii="Times New Roman" w:hAnsi="Times New Roman"/>
                <w:szCs w:val="21"/>
              </w:rPr>
            </w:pPr>
            <w:r>
              <w:rPr>
                <w:rFonts w:ascii="Times New Roman" w:hAnsi="Times New Roman"/>
                <w:szCs w:val="21"/>
              </w:rPr>
              <w:t>4.测量范围：+/-2500um；</w:t>
            </w:r>
          </w:p>
          <w:p>
            <w:pPr>
              <w:ind w:firstLine="420" w:firstLineChars="200"/>
              <w:rPr>
                <w:rFonts w:ascii="Times New Roman" w:hAnsi="Times New Roman"/>
                <w:szCs w:val="21"/>
              </w:rPr>
            </w:pPr>
            <w:r>
              <w:rPr>
                <w:rFonts w:ascii="Times New Roman" w:hAnsi="Times New Roman"/>
                <w:szCs w:val="21"/>
              </w:rPr>
              <w:t>5.LVDT传感器分辨率：10nm；</w:t>
            </w:r>
          </w:p>
          <w:p>
            <w:pPr>
              <w:ind w:firstLine="420" w:firstLineChars="200"/>
              <w:rPr>
                <w:rFonts w:ascii="Times New Roman" w:hAnsi="Times New Roman"/>
                <w:szCs w:val="21"/>
              </w:rPr>
            </w:pPr>
            <w:r>
              <w:rPr>
                <w:rFonts w:ascii="Times New Roman" w:hAnsi="Times New Roman"/>
                <w:szCs w:val="21"/>
              </w:rPr>
              <w:t>6.接触力：0.02N到1.00N，可调；</w:t>
            </w:r>
          </w:p>
          <w:p>
            <w:pPr>
              <w:ind w:firstLine="420" w:firstLineChars="200"/>
              <w:rPr>
                <w:rFonts w:ascii="Times New Roman" w:hAnsi="Times New Roman"/>
                <w:kern w:val="0"/>
                <w:szCs w:val="21"/>
              </w:rPr>
            </w:pPr>
            <w:r>
              <w:rPr>
                <w:rFonts w:ascii="Times New Roman" w:hAnsi="Times New Roman"/>
                <w:szCs w:val="21"/>
              </w:rPr>
              <w:t>7.气氛：</w:t>
            </w:r>
            <w:r>
              <w:rPr>
                <w:rFonts w:ascii="Times New Roman" w:hAnsi="Times New Roman"/>
                <w:kern w:val="0"/>
                <w:szCs w:val="21"/>
              </w:rPr>
              <w:t>真空、惰性气体、空气；</w:t>
            </w:r>
          </w:p>
          <w:p>
            <w:pPr>
              <w:ind w:firstLine="420" w:firstLineChars="200"/>
              <w:rPr>
                <w:rFonts w:ascii="Times New Roman" w:hAnsi="Times New Roman"/>
                <w:szCs w:val="21"/>
              </w:rPr>
            </w:pPr>
            <w:r>
              <w:rPr>
                <w:rFonts w:ascii="Times New Roman" w:hAnsi="Times New Roman"/>
                <w:szCs w:val="21"/>
              </w:rPr>
              <w:t>8.最大冷却速率：10℃/min；</w:t>
            </w:r>
          </w:p>
          <w:p>
            <w:pPr>
              <w:ind w:firstLine="420" w:firstLineChars="200"/>
              <w:rPr>
                <w:rFonts w:ascii="Times New Roman" w:hAnsi="Times New Roman"/>
                <w:szCs w:val="21"/>
              </w:rPr>
            </w:pPr>
            <w:r>
              <w:rPr>
                <w:rFonts w:ascii="Times New Roman" w:hAnsi="Times New Roman"/>
                <w:szCs w:val="21"/>
              </w:rPr>
              <w:t>9.样品支架：氧化铝；</w:t>
            </w:r>
          </w:p>
          <w:p>
            <w:pPr>
              <w:ind w:firstLine="420" w:firstLineChars="200"/>
              <w:rPr>
                <w:rFonts w:ascii="Times New Roman" w:hAnsi="Times New Roman"/>
                <w:szCs w:val="21"/>
              </w:rPr>
            </w:pPr>
            <w:r>
              <w:rPr>
                <w:rFonts w:ascii="Times New Roman" w:hAnsi="Times New Roman"/>
                <w:szCs w:val="21"/>
              </w:rPr>
              <w:t>10.最大加热速率：100℃/min；</w:t>
            </w:r>
          </w:p>
          <w:p>
            <w:pPr>
              <w:ind w:firstLine="420" w:firstLineChars="200"/>
              <w:rPr>
                <w:rFonts w:ascii="Times New Roman" w:hAnsi="Times New Roman"/>
                <w:szCs w:val="21"/>
              </w:rPr>
            </w:pPr>
            <w:r>
              <w:rPr>
                <w:rFonts w:ascii="Times New Roman" w:hAnsi="Times New Roman"/>
                <w:szCs w:val="21"/>
              </w:rPr>
              <w:t>11.α准确度：0.03*10</w:t>
            </w:r>
            <w:r>
              <w:rPr>
                <w:rFonts w:ascii="Times New Roman" w:hAnsi="Times New Roman"/>
                <w:szCs w:val="21"/>
                <w:vertAlign w:val="superscript"/>
              </w:rPr>
              <w:t>-6</w:t>
            </w:r>
            <w:r>
              <w:rPr>
                <w:rFonts w:ascii="Times New Roman" w:hAnsi="Times New Roman"/>
                <w:szCs w:val="21"/>
              </w:rPr>
              <w:t>K</w:t>
            </w:r>
            <w:r>
              <w:rPr>
                <w:rFonts w:ascii="Times New Roman" w:hAnsi="Times New Roman"/>
                <w:szCs w:val="21"/>
                <w:vertAlign w:val="superscript"/>
              </w:rPr>
              <w:t>-1</w:t>
            </w:r>
            <w:r>
              <w:rPr>
                <w:rFonts w:ascii="Times New Roman" w:hAnsi="Times New Roman"/>
                <w:szCs w:val="21"/>
              </w:rPr>
              <w:t>；</w:t>
            </w:r>
          </w:p>
          <w:p>
            <w:pPr>
              <w:ind w:firstLine="420" w:firstLineChars="200"/>
              <w:rPr>
                <w:rFonts w:ascii="Times New Roman" w:hAnsi="Times New Roman"/>
                <w:szCs w:val="21"/>
              </w:rPr>
            </w:pPr>
            <w:r>
              <w:rPr>
                <w:rFonts w:ascii="Times New Roman" w:hAnsi="Times New Roman"/>
                <w:szCs w:val="21"/>
              </w:rPr>
              <w:t>12.传感器：线性可变差分传感器 (LVDT) 和数字放大器</w:t>
            </w:r>
          </w:p>
          <w:p>
            <w:pPr>
              <w:ind w:firstLine="420" w:firstLineChars="200"/>
              <w:rPr>
                <w:rFonts w:ascii="Times New Roman" w:hAnsi="Times New Roman"/>
                <w:szCs w:val="21"/>
              </w:rPr>
            </w:pPr>
            <w:r>
              <w:rPr>
                <w:rFonts w:ascii="Times New Roman" w:hAnsi="Times New Roman"/>
                <w:szCs w:val="21"/>
              </w:rPr>
              <w:t>*13.软件系统，不受版权限制，终身免费升级，软件至少可以安装十台计算机以上，全功能仪器操作软件及通用分析软件：以Windows为操作系统，多任务、多用户操作，功能强大的数据处理、自动校准方法、结果文件等。</w:t>
            </w:r>
          </w:p>
          <w:p>
            <w:pPr>
              <w:spacing w:line="240" w:lineRule="auto"/>
              <w:ind w:firstLine="210" w:firstLineChars="100"/>
              <w:rPr>
                <w:rFonts w:hint="eastAsia" w:ascii="宋体" w:hAnsi="宋体" w:eastAsia="宋体" w:cs="宋体"/>
                <w:i w:val="0"/>
                <w:iCs w:val="0"/>
                <w:color w:val="auto"/>
                <w:sz w:val="21"/>
                <w:szCs w:val="21"/>
                <w:highlight w:val="none"/>
                <w:u w:val="none"/>
              </w:rPr>
            </w:pPr>
            <w:r>
              <w:rPr>
                <w:rFonts w:ascii="Times New Roman" w:hAnsi="Times New Roman"/>
                <w:szCs w:val="21"/>
              </w:rPr>
              <w:t>14.配置：热膨胀仪主机1台、品牌电脑1台、配套国产水浴1台。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39" w:hRule="atLeast"/>
        </w:trPr>
        <w:tc>
          <w:tcPr>
            <w:tcW w:w="476"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热重分析仪</w:t>
            </w:r>
          </w:p>
        </w:tc>
        <w:tc>
          <w:tcPr>
            <w:tcW w:w="654"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是</w:t>
            </w:r>
          </w:p>
        </w:tc>
        <w:tc>
          <w:tcPr>
            <w:tcW w:w="505"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c>
          <w:tcPr>
            <w:tcW w:w="5674" w:type="dxa"/>
            <w:shd w:val="clear" w:color="auto" w:fill="auto"/>
            <w:vAlign w:val="center"/>
          </w:tcPr>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*1、天平量程：≥1000mg </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*2、仪器结构：水平结构，横式炉体，能够有效减小气流扰动。</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*3、热天平：采用微量精密电子天平，校准方式为内置砝码自动校准，内置砝码砝码数量不少于2个。天平室有恒温水浴保护，保证天平始终在恒温状态下工作，不漂移。</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4、配备彩色App式液晶触摸屏，可以监测实验进程、设定参数、启动及停止实验、控制炉体开关。</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*5、坩埚支架为陶瓷杆加托盘结构，内嵌热电偶，热电偶为隐藏式设计，不裸露，防腐性能好，不易损坏。</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6、内置气体控制器，可实现三路气体自动切换。</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7、最高测试温度： 1100℃；最低测试温度：&lt;25℃</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8、炉体材质：铂铑炉体</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9、最快升温速率：≥200℃/min（线性可控）</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10、温度准确度：≤±1K</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11、温度精度：≤±0.4K</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*12、天平测量准确度：≤0.005%；天平测量精度：≤0.0025%</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主要配置：</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1、主机（内置微量电子天平和气体控制器）1台。                                                                            </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2、传感器（坩埚支架）1支。                                                                                                                                                                                                         </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3、高级操作及分析软件1套。 </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4、彩色App式液晶触摸屏1台。</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5、操作工具1套。</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6、金属标样1套。</w:t>
            </w:r>
          </w:p>
          <w:p>
            <w:pPr>
              <w:spacing w:line="240" w:lineRule="auto"/>
              <w:ind w:firstLine="200" w:firstLineChars="100"/>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 、恒温水浴槽一台</w:t>
            </w:r>
          </w:p>
          <w:p>
            <w:pPr>
              <w:spacing w:line="240" w:lineRule="auto"/>
              <w:ind w:firstLine="200" w:firstLineChars="100"/>
              <w:rPr>
                <w:rFonts w:hint="eastAsia" w:ascii="宋体" w:hAnsi="宋体" w:eastAsia="宋体" w:cs="宋体"/>
                <w:color w:val="auto"/>
                <w:szCs w:val="21"/>
                <w:highlight w:val="none"/>
              </w:rPr>
            </w:pPr>
            <w:r>
              <w:rPr>
                <w:rFonts w:hint="eastAsia" w:ascii="宋体" w:hAnsi="宋体" w:eastAsia="宋体" w:cs="宋体"/>
                <w:i w:val="0"/>
                <w:iCs w:val="0"/>
                <w:color w:val="000000"/>
                <w:kern w:val="0"/>
                <w:sz w:val="20"/>
                <w:szCs w:val="20"/>
                <w:u w:val="none"/>
                <w:lang w:val="en-US" w:eastAsia="zh-CN" w:bidi="ar"/>
              </w:rPr>
              <w:t>8 、氧化铝坩埚（带盖）20套。</w:t>
            </w:r>
          </w:p>
        </w:tc>
      </w:tr>
    </w:tbl>
    <w:p>
      <w:pPr>
        <w:rPr>
          <w:rFonts w:hint="eastAsia" w:ascii="宋体" w:hAnsi="宋体" w:eastAsia="宋体" w:cs="宋体"/>
          <w:b/>
          <w:bCs/>
          <w:color w:val="000000"/>
          <w:sz w:val="22"/>
          <w:szCs w:val="21"/>
        </w:rPr>
      </w:pPr>
      <w:r>
        <w:rPr>
          <w:rFonts w:hint="eastAsia" w:ascii="宋体" w:hAnsi="宋体" w:eastAsia="宋体" w:cs="宋体"/>
          <w:b/>
          <w:bCs/>
          <w:color w:val="000000"/>
          <w:sz w:val="22"/>
          <w:szCs w:val="21"/>
        </w:rPr>
        <w:t>包</w:t>
      </w:r>
      <w:r>
        <w:rPr>
          <w:rFonts w:hint="eastAsia" w:ascii="宋体" w:hAnsi="宋体" w:cs="宋体"/>
          <w:b/>
          <w:bCs/>
          <w:color w:val="000000"/>
          <w:sz w:val="22"/>
          <w:szCs w:val="21"/>
          <w:lang w:val="en-US" w:eastAsia="zh-CN"/>
        </w:rPr>
        <w:t>3</w:t>
      </w:r>
      <w:r>
        <w:rPr>
          <w:rFonts w:hint="eastAsia" w:ascii="宋体" w:hAnsi="宋体" w:eastAsia="宋体" w:cs="宋体"/>
          <w:b/>
          <w:bCs/>
          <w:color w:val="000000"/>
          <w:sz w:val="22"/>
          <w:szCs w:val="21"/>
        </w:rPr>
        <w:t xml:space="preserve">    是否接受进口产品：是</w:t>
      </w:r>
    </w:p>
    <w:tbl>
      <w:tblPr>
        <w:tblStyle w:val="48"/>
        <w:tblW w:w="8858"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76"/>
        <w:gridCol w:w="1064"/>
        <w:gridCol w:w="654"/>
        <w:gridCol w:w="505"/>
        <w:gridCol w:w="485"/>
        <w:gridCol w:w="5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476"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06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货物名称</w:t>
            </w:r>
          </w:p>
        </w:tc>
        <w:tc>
          <w:tcPr>
            <w:tcW w:w="65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是否进口</w:t>
            </w:r>
          </w:p>
        </w:tc>
        <w:tc>
          <w:tcPr>
            <w:tcW w:w="505"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485"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67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X射线光电子能谱仪</w:t>
            </w:r>
          </w:p>
        </w:tc>
        <w:tc>
          <w:tcPr>
            <w:tcW w:w="654"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是</w:t>
            </w:r>
          </w:p>
        </w:tc>
        <w:tc>
          <w:tcPr>
            <w:tcW w:w="50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674" w:type="dxa"/>
            <w:shd w:val="clear" w:color="auto" w:fill="auto"/>
            <w:vAlign w:val="center"/>
          </w:tcPr>
          <w:p>
            <w:pPr>
              <w:spacing w:line="240" w:lineRule="auto"/>
              <w:ind w:firstLine="210" w:firstLineChars="100"/>
              <w:rPr>
                <w:rFonts w:hint="eastAsia" w:ascii="Times New Roman" w:hAnsi="Times New Roman"/>
                <w:szCs w:val="21"/>
              </w:rPr>
            </w:pPr>
            <w:r>
              <w:rPr>
                <w:rFonts w:hint="eastAsia" w:ascii="Times New Roman" w:hAnsi="Times New Roman"/>
                <w:szCs w:val="21"/>
              </w:rPr>
              <w:t>1. Al Kα单色化X射线源XPS性能指标</w:t>
            </w:r>
          </w:p>
          <w:p>
            <w:pPr>
              <w:spacing w:line="240" w:lineRule="auto"/>
              <w:ind w:firstLine="210" w:firstLineChars="100"/>
              <w:rPr>
                <w:rFonts w:hint="eastAsia" w:ascii="Times New Roman" w:hAnsi="Times New Roman"/>
                <w:szCs w:val="21"/>
              </w:rPr>
            </w:pPr>
            <w:r>
              <w:rPr>
                <w:rFonts w:hint="eastAsia" w:ascii="Times New Roman" w:hAnsi="Times New Roman"/>
                <w:szCs w:val="21"/>
              </w:rPr>
              <w:t>1.1 Ag样品大束斑分析能量分辨率和灵敏度（Ag 3d5/2峰）：0.45eV@160kcps；0.5eV@650kcps；0.6eV@2500kcps；</w:t>
            </w:r>
          </w:p>
          <w:p>
            <w:pPr>
              <w:spacing w:line="240" w:lineRule="auto"/>
              <w:ind w:firstLine="210" w:firstLineChars="100"/>
              <w:rPr>
                <w:rFonts w:hint="eastAsia" w:ascii="Times New Roman" w:hAnsi="Times New Roman"/>
                <w:szCs w:val="21"/>
              </w:rPr>
            </w:pPr>
            <w:r>
              <w:rPr>
                <w:rFonts w:hint="eastAsia" w:ascii="Times New Roman" w:hAnsi="Times New Roman"/>
                <w:szCs w:val="21"/>
              </w:rPr>
              <w:t>1.2 Ag样品最小束斑能量分辨和灵敏度（Ag 3d5/2峰）：0.5eV@1.5kcps、0.6eV@6kcps，注明束斑大小；</w:t>
            </w:r>
          </w:p>
          <w:p>
            <w:pPr>
              <w:spacing w:line="240" w:lineRule="auto"/>
              <w:ind w:firstLine="210" w:firstLineChars="100"/>
              <w:rPr>
                <w:rFonts w:hint="eastAsia" w:ascii="Times New Roman" w:hAnsi="Times New Roman"/>
                <w:szCs w:val="21"/>
              </w:rPr>
            </w:pPr>
            <w:r>
              <w:rPr>
                <w:rFonts w:hint="eastAsia" w:ascii="Times New Roman" w:hAnsi="Times New Roman"/>
                <w:szCs w:val="21"/>
              </w:rPr>
              <w:t>★1.3 PET样品大束斑分析能量分辨率（O-C=O的C 1s峰）和灵敏度（C-C/C-H的C 1s峰）：0.68eV@20kcps、0.77eV@70kcps；</w:t>
            </w:r>
          </w:p>
          <w:p>
            <w:pPr>
              <w:spacing w:line="240" w:lineRule="auto"/>
              <w:ind w:firstLine="210" w:firstLineChars="100"/>
              <w:rPr>
                <w:rFonts w:hint="eastAsia" w:ascii="Times New Roman" w:hAnsi="Times New Roman"/>
                <w:szCs w:val="21"/>
              </w:rPr>
            </w:pPr>
            <w:r>
              <w:rPr>
                <w:rFonts w:hint="eastAsia" w:ascii="Times New Roman" w:hAnsi="Times New Roman"/>
                <w:szCs w:val="21"/>
              </w:rPr>
              <w:t>1.4 平行成像XPS空间分辨率（锐利刀口样品信号强度80%～20%线宽度）：1μm；</w:t>
            </w:r>
          </w:p>
          <w:p>
            <w:pPr>
              <w:spacing w:line="240" w:lineRule="auto"/>
              <w:ind w:firstLine="210" w:firstLineChars="100"/>
              <w:rPr>
                <w:rFonts w:hint="eastAsia" w:ascii="Times New Roman" w:hAnsi="Times New Roman"/>
                <w:szCs w:val="21"/>
              </w:rPr>
            </w:pPr>
            <w:r>
              <w:rPr>
                <w:rFonts w:hint="eastAsia" w:ascii="Times New Roman" w:hAnsi="Times New Roman"/>
                <w:szCs w:val="21"/>
              </w:rPr>
              <w:t>1.5 选区XPS：选择性分析区域束斑大小：15μm至大束斑（Φ200μm以上），应包含较大束斑（100～120μm）、中等束斑（50～60μm）和小束斑（15～20μm）等，满足微区分析需要；</w:t>
            </w:r>
          </w:p>
          <w:p>
            <w:pPr>
              <w:spacing w:line="240" w:lineRule="auto"/>
              <w:ind w:firstLine="210" w:firstLineChars="100"/>
              <w:rPr>
                <w:rFonts w:hint="eastAsia" w:ascii="Times New Roman" w:hAnsi="Times New Roman"/>
                <w:szCs w:val="21"/>
              </w:rPr>
            </w:pPr>
            <w:r>
              <w:rPr>
                <w:rFonts w:hint="eastAsia" w:ascii="Times New Roman" w:hAnsi="Times New Roman"/>
                <w:szCs w:val="21"/>
              </w:rPr>
              <w:t>2. 单色化高能XPS指标（Ag 3d5/2峰半高全宽@强度）</w:t>
            </w:r>
          </w:p>
          <w:p>
            <w:pPr>
              <w:spacing w:line="240" w:lineRule="auto"/>
              <w:ind w:firstLine="210" w:firstLineChars="100"/>
              <w:rPr>
                <w:rFonts w:hint="eastAsia" w:ascii="Times New Roman" w:hAnsi="Times New Roman"/>
                <w:szCs w:val="21"/>
              </w:rPr>
            </w:pPr>
            <w:r>
              <w:rPr>
                <w:rFonts w:hint="eastAsia" w:ascii="Times New Roman" w:hAnsi="Times New Roman"/>
                <w:szCs w:val="21"/>
              </w:rPr>
              <w:t>2.1 X射线源类型：单色化高能X射线源（X射线光子能量&gt;2800eV）；</w:t>
            </w:r>
          </w:p>
          <w:p>
            <w:pPr>
              <w:spacing w:line="240" w:lineRule="auto"/>
              <w:ind w:firstLine="210" w:firstLineChars="100"/>
              <w:rPr>
                <w:rFonts w:hint="eastAsia" w:ascii="Times New Roman" w:hAnsi="Times New Roman"/>
                <w:szCs w:val="21"/>
              </w:rPr>
            </w:pPr>
            <w:r>
              <w:rPr>
                <w:rFonts w:hint="eastAsia" w:ascii="Times New Roman" w:hAnsi="Times New Roman"/>
                <w:szCs w:val="21"/>
              </w:rPr>
              <w:t>2.2 大束斑能量分辨：0.9eV@5kcps；</w:t>
            </w:r>
          </w:p>
          <w:p>
            <w:pPr>
              <w:spacing w:line="240" w:lineRule="auto"/>
              <w:ind w:firstLine="210" w:firstLineChars="100"/>
              <w:rPr>
                <w:rFonts w:hint="eastAsia" w:ascii="Times New Roman" w:hAnsi="Times New Roman"/>
                <w:szCs w:val="21"/>
              </w:rPr>
            </w:pPr>
            <w:r>
              <w:rPr>
                <w:rFonts w:hint="eastAsia" w:ascii="Times New Roman" w:hAnsi="Times New Roman"/>
                <w:szCs w:val="21"/>
              </w:rPr>
              <w:t>2.3 提供单色化高能X射线源(X射线光子能量&gt;2800eV)实用案例(已公开发表的文献不少于5篇)</w:t>
            </w:r>
          </w:p>
          <w:p>
            <w:pPr>
              <w:spacing w:line="240" w:lineRule="auto"/>
              <w:ind w:firstLine="210" w:firstLineChars="100"/>
              <w:rPr>
                <w:rFonts w:hint="eastAsia" w:ascii="Times New Roman" w:hAnsi="Times New Roman"/>
                <w:szCs w:val="21"/>
              </w:rPr>
            </w:pPr>
            <w:r>
              <w:rPr>
                <w:rFonts w:hint="eastAsia" w:ascii="Times New Roman" w:hAnsi="Times New Roman"/>
                <w:szCs w:val="21"/>
              </w:rPr>
              <w:t>3.真空系统性能指标</w:t>
            </w:r>
          </w:p>
          <w:p>
            <w:pPr>
              <w:spacing w:line="240" w:lineRule="auto"/>
              <w:ind w:firstLine="210" w:firstLineChars="100"/>
              <w:rPr>
                <w:rFonts w:hint="eastAsia" w:ascii="Times New Roman" w:hAnsi="Times New Roman"/>
                <w:szCs w:val="21"/>
              </w:rPr>
            </w:pPr>
            <w:r>
              <w:rPr>
                <w:rFonts w:hint="eastAsia" w:ascii="Times New Roman" w:hAnsi="Times New Roman"/>
                <w:szCs w:val="21"/>
              </w:rPr>
              <w:t>3.1 分析室：μ金属制造，涡轮分子泵抽速不小于300升/秒，烘烤后真空度优于7×10-8Pa；</w:t>
            </w:r>
          </w:p>
          <w:p>
            <w:pPr>
              <w:spacing w:line="240" w:lineRule="auto"/>
              <w:ind w:firstLine="210" w:firstLineChars="100"/>
              <w:rPr>
                <w:rFonts w:hint="eastAsia" w:ascii="Times New Roman" w:hAnsi="Times New Roman"/>
                <w:szCs w:val="21"/>
              </w:rPr>
            </w:pPr>
            <w:r>
              <w:rPr>
                <w:rFonts w:hint="eastAsia" w:ascii="Times New Roman" w:hAnsi="Times New Roman"/>
                <w:szCs w:val="21"/>
              </w:rPr>
              <w:t>3.2 进样室：不锈钢制造，涡轮分子泵抽速不小于200升/秒，烘烤后真空度优于7×10-7Pa；</w:t>
            </w:r>
          </w:p>
          <w:p>
            <w:pPr>
              <w:spacing w:line="240" w:lineRule="auto"/>
              <w:ind w:firstLine="210" w:firstLineChars="100"/>
              <w:rPr>
                <w:rFonts w:hint="eastAsia" w:ascii="Times New Roman" w:hAnsi="Times New Roman"/>
                <w:szCs w:val="21"/>
              </w:rPr>
            </w:pPr>
            <w:r>
              <w:rPr>
                <w:rFonts w:hint="eastAsia" w:ascii="Times New Roman" w:hAnsi="Times New Roman"/>
                <w:szCs w:val="21"/>
              </w:rPr>
              <w:t>3.3 烘烤系统：集成于系统，含有控制单元，软件控制，最高烘烤温度不低于120 ºC。</w:t>
            </w:r>
          </w:p>
          <w:p>
            <w:pPr>
              <w:spacing w:line="240" w:lineRule="auto"/>
              <w:ind w:firstLine="210" w:firstLineChars="100"/>
              <w:rPr>
                <w:rFonts w:hint="eastAsia" w:ascii="Times New Roman" w:hAnsi="Times New Roman"/>
                <w:szCs w:val="21"/>
              </w:rPr>
            </w:pPr>
            <w:r>
              <w:rPr>
                <w:rFonts w:hint="eastAsia" w:ascii="Times New Roman" w:hAnsi="Times New Roman"/>
                <w:szCs w:val="21"/>
              </w:rPr>
              <w:t>4.单色化Al/Ag双阳极X光源</w:t>
            </w:r>
          </w:p>
          <w:p>
            <w:pPr>
              <w:spacing w:line="240" w:lineRule="auto"/>
              <w:ind w:firstLine="210" w:firstLineChars="100"/>
              <w:rPr>
                <w:rFonts w:hint="eastAsia" w:ascii="Times New Roman" w:hAnsi="Times New Roman"/>
                <w:szCs w:val="21"/>
              </w:rPr>
            </w:pPr>
            <w:r>
              <w:rPr>
                <w:rFonts w:hint="eastAsia" w:ascii="Times New Roman" w:hAnsi="Times New Roman"/>
                <w:szCs w:val="21"/>
              </w:rPr>
              <w:t>4.1 类型：单一靶面的水冷Al/Ag双阳极，至少可换8个Al和4个Ag点，软件控制换点并调整校准；</w:t>
            </w:r>
          </w:p>
          <w:p>
            <w:pPr>
              <w:spacing w:line="240" w:lineRule="auto"/>
              <w:ind w:firstLine="210" w:firstLineChars="100"/>
              <w:rPr>
                <w:rFonts w:hint="eastAsia" w:ascii="Times New Roman" w:hAnsi="Times New Roman"/>
                <w:szCs w:val="21"/>
              </w:rPr>
            </w:pPr>
            <w:r>
              <w:rPr>
                <w:rFonts w:hint="eastAsia" w:ascii="Times New Roman" w:hAnsi="Times New Roman"/>
                <w:szCs w:val="21"/>
              </w:rPr>
              <w:t>★4.2功率：加速电压15kV，在任意束斑下均可实现发射电流0~40mA可调以获得不同的功率。最大功率和最大束斑下，单位面积上的X射线功率不大于0.4mW/μm2，防止对有机高分子材料样品造成损伤；</w:t>
            </w:r>
          </w:p>
          <w:p>
            <w:pPr>
              <w:spacing w:line="240" w:lineRule="auto"/>
              <w:ind w:firstLine="210" w:firstLineChars="100"/>
              <w:rPr>
                <w:rFonts w:hint="eastAsia" w:ascii="Times New Roman" w:hAnsi="Times New Roman"/>
                <w:szCs w:val="21"/>
              </w:rPr>
            </w:pPr>
            <w:r>
              <w:rPr>
                <w:rFonts w:hint="eastAsia" w:ascii="Times New Roman" w:hAnsi="Times New Roman"/>
                <w:szCs w:val="21"/>
              </w:rPr>
              <w:t>4.3单色器：水冷大背板石英晶体单色器，确保分光晶体的晶格常数不随环境温度发生变化；罗兰圆不小于500mm，以获得本征宽度不大于0.25eV的单色Al Kα的X射线；</w:t>
            </w:r>
          </w:p>
          <w:p>
            <w:pPr>
              <w:spacing w:line="240" w:lineRule="auto"/>
              <w:ind w:firstLine="210" w:firstLineChars="100"/>
              <w:rPr>
                <w:rFonts w:hint="eastAsia" w:ascii="Times New Roman" w:hAnsi="Times New Roman"/>
                <w:szCs w:val="21"/>
              </w:rPr>
            </w:pPr>
            <w:r>
              <w:rPr>
                <w:rFonts w:hint="eastAsia" w:ascii="Times New Roman" w:hAnsi="Times New Roman"/>
                <w:szCs w:val="21"/>
              </w:rPr>
              <w:t>5.静电传输透镜：能量扫描范围不小于0～3000eV，最小步长1meV；</w:t>
            </w:r>
          </w:p>
          <w:p>
            <w:pPr>
              <w:spacing w:line="240" w:lineRule="auto"/>
              <w:ind w:firstLine="210" w:firstLineChars="100"/>
              <w:rPr>
                <w:rFonts w:hint="eastAsia" w:ascii="Times New Roman" w:hAnsi="Times New Roman"/>
                <w:szCs w:val="21"/>
              </w:rPr>
            </w:pPr>
            <w:r>
              <w:rPr>
                <w:rFonts w:hint="eastAsia" w:ascii="Times New Roman" w:hAnsi="Times New Roman"/>
                <w:szCs w:val="21"/>
              </w:rPr>
              <w:t>6.荷电中和器：与静电传输透镜同轴的超低能单电子源，不使用双束中和（电子源和离子源），避免离轴的电子源和离子源对粉末样品表面荷电中和时产生荷电阴影，并防止使用离子源时对样品表面产生损伤（化学状态还原、离子迁移等）；</w:t>
            </w:r>
          </w:p>
          <w:p>
            <w:pPr>
              <w:spacing w:line="240" w:lineRule="auto"/>
              <w:ind w:firstLine="210" w:firstLineChars="100"/>
              <w:rPr>
                <w:rFonts w:hint="eastAsia" w:ascii="Times New Roman" w:hAnsi="Times New Roman"/>
                <w:szCs w:val="21"/>
              </w:rPr>
            </w:pPr>
            <w:r>
              <w:rPr>
                <w:rFonts w:hint="eastAsia" w:ascii="Times New Roman" w:hAnsi="Times New Roman"/>
                <w:szCs w:val="21"/>
              </w:rPr>
              <w:t>7. 电子能谱能量分析器</w:t>
            </w:r>
          </w:p>
          <w:p>
            <w:pPr>
              <w:spacing w:line="240" w:lineRule="auto"/>
              <w:ind w:firstLine="210" w:firstLineChars="100"/>
              <w:rPr>
                <w:rFonts w:hint="eastAsia" w:ascii="Times New Roman" w:hAnsi="Times New Roman"/>
                <w:szCs w:val="21"/>
              </w:rPr>
            </w:pPr>
            <w:r>
              <w:rPr>
                <w:rFonts w:hint="eastAsia" w:ascii="Times New Roman" w:hAnsi="Times New Roman"/>
                <w:szCs w:val="21"/>
              </w:rPr>
              <w:t>7.1 类型：180°半球扇形分析器；</w:t>
            </w:r>
          </w:p>
          <w:p>
            <w:pPr>
              <w:spacing w:line="240" w:lineRule="auto"/>
              <w:ind w:firstLine="210" w:firstLineChars="100"/>
              <w:rPr>
                <w:rFonts w:hint="eastAsia" w:ascii="Times New Roman" w:hAnsi="Times New Roman"/>
                <w:szCs w:val="21"/>
              </w:rPr>
            </w:pPr>
            <w:r>
              <w:rPr>
                <w:rFonts w:hint="eastAsia" w:ascii="Times New Roman" w:hAnsi="Times New Roman"/>
                <w:szCs w:val="21"/>
              </w:rPr>
              <w:t>7.2 平均半径：不小于160mm；</w:t>
            </w:r>
          </w:p>
          <w:p>
            <w:pPr>
              <w:spacing w:line="240" w:lineRule="auto"/>
              <w:ind w:firstLine="210" w:firstLineChars="100"/>
              <w:rPr>
                <w:rFonts w:hint="eastAsia" w:ascii="Times New Roman" w:hAnsi="Times New Roman"/>
                <w:szCs w:val="21"/>
              </w:rPr>
            </w:pPr>
            <w:r>
              <w:rPr>
                <w:rFonts w:hint="eastAsia" w:ascii="Times New Roman" w:hAnsi="Times New Roman"/>
                <w:szCs w:val="21"/>
              </w:rPr>
              <w:t>7.3 通过能（FAT/CAE模式）：1～400eV可调，注明测试时实际使用的通过能预设值。通过能的设置值应保证能用于实际测试，满足电子能谱的不同能量分辨率和灵敏度的需要。对于每一个用于实际测试的通过能设置值，均应精确校准谱仪传输函数，确保在这些通过能设置值下实现精准的XPS定量分析；</w:t>
            </w:r>
          </w:p>
          <w:p>
            <w:pPr>
              <w:spacing w:line="240" w:lineRule="auto"/>
              <w:ind w:firstLine="210" w:firstLineChars="100"/>
              <w:rPr>
                <w:rFonts w:hint="eastAsia" w:ascii="Times New Roman" w:hAnsi="Times New Roman"/>
                <w:szCs w:val="21"/>
              </w:rPr>
            </w:pPr>
            <w:r>
              <w:rPr>
                <w:rFonts w:hint="eastAsia" w:ascii="Times New Roman" w:hAnsi="Times New Roman"/>
                <w:szCs w:val="21"/>
              </w:rPr>
              <w:t>8.平行成像电子能量分析器</w:t>
            </w:r>
          </w:p>
          <w:p>
            <w:pPr>
              <w:spacing w:line="240" w:lineRule="auto"/>
              <w:ind w:firstLine="210" w:firstLineChars="100"/>
              <w:rPr>
                <w:rFonts w:hint="eastAsia" w:ascii="Times New Roman" w:hAnsi="Times New Roman"/>
                <w:szCs w:val="21"/>
              </w:rPr>
            </w:pPr>
            <w:r>
              <w:rPr>
                <w:rFonts w:hint="eastAsia" w:ascii="Times New Roman" w:hAnsi="Times New Roman"/>
                <w:szCs w:val="21"/>
              </w:rPr>
              <w:t>8.1 类型：180°半球球镜分析器，独立于电子能谱能量分析器的第二能量分析器；</w:t>
            </w:r>
          </w:p>
          <w:p>
            <w:pPr>
              <w:spacing w:line="240" w:lineRule="auto"/>
              <w:ind w:firstLine="210" w:firstLineChars="100"/>
              <w:rPr>
                <w:rFonts w:hint="eastAsia" w:ascii="Times New Roman" w:hAnsi="Times New Roman"/>
                <w:szCs w:val="21"/>
              </w:rPr>
            </w:pPr>
            <w:r>
              <w:rPr>
                <w:rFonts w:hint="eastAsia" w:ascii="Times New Roman" w:hAnsi="Times New Roman"/>
                <w:szCs w:val="21"/>
              </w:rPr>
              <w:t>8.2 平均半径：不小于160mm；</w:t>
            </w:r>
          </w:p>
          <w:p>
            <w:pPr>
              <w:spacing w:line="240" w:lineRule="auto"/>
              <w:ind w:firstLine="210" w:firstLineChars="100"/>
              <w:rPr>
                <w:rFonts w:hint="eastAsia" w:ascii="Times New Roman" w:hAnsi="Times New Roman"/>
                <w:szCs w:val="21"/>
              </w:rPr>
            </w:pPr>
            <w:r>
              <w:rPr>
                <w:rFonts w:hint="eastAsia" w:ascii="Times New Roman" w:hAnsi="Times New Roman"/>
                <w:szCs w:val="21"/>
              </w:rPr>
              <w:t>8.3 通过能（FAT/CAE模式）：可满足XPS平行成像的不同能量能量分辨和灵敏度的需要，确保能够区分同一元素的不同化学状态，不可使用FRR/CRR模式，防止傅立叶变换带来的能量分辨的变化和化学状态信息的丢失；</w:t>
            </w:r>
          </w:p>
          <w:p>
            <w:pPr>
              <w:spacing w:line="240" w:lineRule="auto"/>
              <w:ind w:firstLine="210" w:firstLineChars="100"/>
              <w:rPr>
                <w:rFonts w:hint="eastAsia" w:ascii="Times New Roman" w:hAnsi="Times New Roman"/>
                <w:szCs w:val="21"/>
              </w:rPr>
            </w:pPr>
            <w:r>
              <w:rPr>
                <w:rFonts w:hint="eastAsia" w:ascii="Times New Roman" w:hAnsi="Times New Roman"/>
                <w:szCs w:val="21"/>
              </w:rPr>
              <w:t>9.检测器</w:t>
            </w:r>
          </w:p>
          <w:p>
            <w:pPr>
              <w:spacing w:line="240" w:lineRule="auto"/>
              <w:ind w:firstLine="210" w:firstLineChars="100"/>
              <w:rPr>
                <w:rFonts w:hint="eastAsia" w:ascii="Times New Roman" w:hAnsi="Times New Roman"/>
                <w:szCs w:val="21"/>
              </w:rPr>
            </w:pPr>
            <w:r>
              <w:rPr>
                <w:rFonts w:hint="eastAsia" w:ascii="Times New Roman" w:hAnsi="Times New Roman"/>
                <w:szCs w:val="21"/>
              </w:rPr>
              <w:t>9.1 类型：单一的二维阵列检测器，具备双层128个物理通道，包含置于真空中的双层128个阳极、前置放大器及计数器，确保可同时记录光电子发射位置及其强度，可满足XPS采谱和成像XPS、微区XPS、深度剖析XPS、动态XPS工作需要；</w:t>
            </w:r>
          </w:p>
          <w:p>
            <w:pPr>
              <w:spacing w:line="240" w:lineRule="auto"/>
              <w:ind w:firstLine="210" w:firstLineChars="100"/>
              <w:rPr>
                <w:rFonts w:hint="eastAsia" w:ascii="Times New Roman" w:hAnsi="Times New Roman"/>
                <w:szCs w:val="21"/>
              </w:rPr>
            </w:pPr>
            <w:r>
              <w:rPr>
                <w:rFonts w:hint="eastAsia" w:ascii="Times New Roman" w:hAnsi="Times New Roman"/>
                <w:szCs w:val="21"/>
              </w:rPr>
              <w:t>9.2 工作模式：XPS模式下可实现“扫描”以及“拍照”等工作模式，以满足动态表面X射线光电子能谱分析的需求；</w:t>
            </w:r>
          </w:p>
          <w:p>
            <w:pPr>
              <w:spacing w:line="240" w:lineRule="auto"/>
              <w:ind w:firstLine="210" w:firstLineChars="100"/>
              <w:rPr>
                <w:rFonts w:hint="eastAsia" w:ascii="Times New Roman" w:hAnsi="Times New Roman"/>
                <w:szCs w:val="21"/>
              </w:rPr>
            </w:pPr>
            <w:r>
              <w:rPr>
                <w:rFonts w:hint="eastAsia" w:ascii="Times New Roman" w:hAnsi="Times New Roman"/>
                <w:szCs w:val="21"/>
              </w:rPr>
              <w:t>10.深度剖析离子枪</w:t>
            </w:r>
          </w:p>
          <w:p>
            <w:pPr>
              <w:spacing w:line="240" w:lineRule="auto"/>
              <w:ind w:firstLine="210" w:firstLineChars="100"/>
              <w:rPr>
                <w:rFonts w:hint="eastAsia" w:ascii="Times New Roman" w:hAnsi="Times New Roman"/>
                <w:szCs w:val="21"/>
              </w:rPr>
            </w:pPr>
            <w:r>
              <w:rPr>
                <w:rFonts w:hint="eastAsia" w:ascii="Times New Roman" w:hAnsi="Times New Roman"/>
                <w:szCs w:val="21"/>
              </w:rPr>
              <w:t>★10.1离子源类型：聚焦可扫描离子源，单个Ar原子和团簇Ar双模式；</w:t>
            </w:r>
          </w:p>
          <w:p>
            <w:pPr>
              <w:spacing w:line="240" w:lineRule="auto"/>
              <w:ind w:firstLine="210" w:firstLineChars="100"/>
              <w:rPr>
                <w:rFonts w:hint="eastAsia" w:ascii="Times New Roman" w:hAnsi="Times New Roman"/>
                <w:szCs w:val="21"/>
              </w:rPr>
            </w:pPr>
            <w:r>
              <w:rPr>
                <w:rFonts w:hint="eastAsia" w:ascii="Times New Roman" w:hAnsi="Times New Roman"/>
                <w:szCs w:val="21"/>
              </w:rPr>
              <w:t>10.2 可使用气体：Ar/Ar团簇（XPS深度剖析）/He（离子散射谱，ISS）</w:t>
            </w:r>
          </w:p>
          <w:p>
            <w:pPr>
              <w:spacing w:line="240" w:lineRule="auto"/>
              <w:ind w:firstLine="210" w:firstLineChars="100"/>
              <w:rPr>
                <w:rFonts w:hint="eastAsia" w:ascii="Times New Roman" w:hAnsi="Times New Roman"/>
                <w:szCs w:val="21"/>
              </w:rPr>
            </w:pPr>
            <w:r>
              <w:rPr>
                <w:rFonts w:hint="eastAsia" w:ascii="Times New Roman" w:hAnsi="Times New Roman"/>
                <w:szCs w:val="21"/>
              </w:rPr>
              <w:t>10.3 单Ar离子能量：0.5～5keV；</w:t>
            </w:r>
          </w:p>
          <w:p>
            <w:pPr>
              <w:spacing w:line="240" w:lineRule="auto"/>
              <w:ind w:firstLine="210" w:firstLineChars="100"/>
              <w:rPr>
                <w:rFonts w:hint="eastAsia" w:ascii="Times New Roman" w:hAnsi="Times New Roman"/>
                <w:szCs w:val="21"/>
              </w:rPr>
            </w:pPr>
            <w:r>
              <w:rPr>
                <w:rFonts w:hint="eastAsia" w:ascii="Times New Roman" w:hAnsi="Times New Roman"/>
                <w:szCs w:val="21"/>
              </w:rPr>
              <w:t>★10.4团簇Ar离子能量：2～20keV；</w:t>
            </w:r>
          </w:p>
          <w:p>
            <w:pPr>
              <w:spacing w:line="240" w:lineRule="auto"/>
              <w:ind w:firstLine="210" w:firstLineChars="100"/>
              <w:rPr>
                <w:rFonts w:hint="eastAsia" w:ascii="Times New Roman" w:hAnsi="Times New Roman"/>
                <w:szCs w:val="21"/>
              </w:rPr>
            </w:pPr>
            <w:r>
              <w:rPr>
                <w:rFonts w:hint="eastAsia" w:ascii="Times New Roman" w:hAnsi="Times New Roman"/>
                <w:szCs w:val="21"/>
              </w:rPr>
              <w:t>10.5 团簇Ar离子团簇：500～3,000Ar</w:t>
            </w:r>
          </w:p>
          <w:p>
            <w:pPr>
              <w:spacing w:line="240" w:lineRule="auto"/>
              <w:ind w:firstLine="210" w:firstLineChars="100"/>
              <w:rPr>
                <w:rFonts w:hint="eastAsia" w:ascii="Times New Roman" w:hAnsi="Times New Roman"/>
                <w:szCs w:val="21"/>
              </w:rPr>
            </w:pPr>
            <w:r>
              <w:rPr>
                <w:rFonts w:hint="eastAsia" w:ascii="Times New Roman" w:hAnsi="Times New Roman"/>
                <w:szCs w:val="21"/>
              </w:rPr>
              <w:t>10.6 气体控制：软件控制，配套高精度进气阀门和差分真空抽气系统。</w:t>
            </w:r>
          </w:p>
          <w:p>
            <w:pPr>
              <w:spacing w:line="240" w:lineRule="auto"/>
              <w:ind w:firstLine="210" w:firstLineChars="100"/>
              <w:rPr>
                <w:rFonts w:hint="eastAsia" w:ascii="Times New Roman" w:hAnsi="Times New Roman"/>
                <w:szCs w:val="21"/>
              </w:rPr>
            </w:pPr>
            <w:r>
              <w:rPr>
                <w:rFonts w:hint="eastAsia" w:ascii="Times New Roman" w:hAnsi="Times New Roman"/>
                <w:szCs w:val="21"/>
              </w:rPr>
              <w:t>11.分析室样品控制、观察和调整</w:t>
            </w:r>
          </w:p>
          <w:p>
            <w:pPr>
              <w:spacing w:line="240" w:lineRule="auto"/>
              <w:ind w:firstLine="210" w:firstLineChars="100"/>
              <w:rPr>
                <w:rFonts w:hint="eastAsia" w:ascii="Times New Roman" w:hAnsi="Times New Roman"/>
                <w:szCs w:val="21"/>
              </w:rPr>
            </w:pPr>
            <w:r>
              <w:rPr>
                <w:rFonts w:hint="eastAsia" w:ascii="Times New Roman" w:hAnsi="Times New Roman"/>
                <w:szCs w:val="21"/>
              </w:rPr>
              <w:t>11.1 轴向：5轴样品台，即X、Y、Z移动，绕轴和绕样品面法线转动；</w:t>
            </w:r>
          </w:p>
          <w:p>
            <w:pPr>
              <w:spacing w:line="240" w:lineRule="auto"/>
              <w:ind w:firstLine="210" w:firstLineChars="100"/>
              <w:rPr>
                <w:rFonts w:hint="eastAsia" w:ascii="Times New Roman" w:hAnsi="Times New Roman"/>
                <w:szCs w:val="21"/>
              </w:rPr>
            </w:pPr>
            <w:r>
              <w:rPr>
                <w:rFonts w:hint="eastAsia" w:ascii="Times New Roman" w:hAnsi="Times New Roman"/>
                <w:szCs w:val="21"/>
              </w:rPr>
              <w:t>11.2 移动：X方向150mm，Y方向±15mm，Z方向≥18mm；</w:t>
            </w:r>
          </w:p>
          <w:p>
            <w:pPr>
              <w:spacing w:line="240" w:lineRule="auto"/>
              <w:ind w:firstLine="210" w:firstLineChars="100"/>
              <w:rPr>
                <w:rFonts w:hint="eastAsia" w:ascii="Times New Roman" w:hAnsi="Times New Roman"/>
                <w:szCs w:val="21"/>
              </w:rPr>
            </w:pPr>
            <w:r>
              <w:rPr>
                <w:rFonts w:hint="eastAsia" w:ascii="Times New Roman" w:hAnsi="Times New Roman"/>
                <w:szCs w:val="21"/>
              </w:rPr>
              <w:t>11.3 绕轴转动：±90°；</w:t>
            </w:r>
          </w:p>
          <w:p>
            <w:pPr>
              <w:spacing w:line="240" w:lineRule="auto"/>
              <w:ind w:firstLine="210" w:firstLineChars="100"/>
              <w:rPr>
                <w:rFonts w:hint="eastAsia" w:ascii="Times New Roman" w:hAnsi="Times New Roman"/>
                <w:szCs w:val="21"/>
              </w:rPr>
            </w:pPr>
            <w:r>
              <w:rPr>
                <w:rFonts w:hint="eastAsia" w:ascii="Times New Roman" w:hAnsi="Times New Roman"/>
                <w:szCs w:val="21"/>
              </w:rPr>
              <w:t>11.4 绕样品法线转动：±180°</w:t>
            </w:r>
          </w:p>
          <w:p>
            <w:pPr>
              <w:spacing w:line="240" w:lineRule="auto"/>
              <w:ind w:firstLine="210" w:firstLineChars="100"/>
              <w:rPr>
                <w:rFonts w:hint="eastAsia" w:ascii="Times New Roman" w:hAnsi="Times New Roman"/>
                <w:szCs w:val="21"/>
              </w:rPr>
            </w:pPr>
            <w:r>
              <w:rPr>
                <w:rFonts w:hint="eastAsia" w:ascii="Times New Roman" w:hAnsi="Times New Roman"/>
                <w:szCs w:val="21"/>
              </w:rPr>
              <w:t>11.5 最大可分析面积：75mm×30mm；</w:t>
            </w:r>
          </w:p>
          <w:p>
            <w:pPr>
              <w:spacing w:line="240" w:lineRule="auto"/>
              <w:ind w:firstLine="210" w:firstLineChars="100"/>
              <w:rPr>
                <w:rFonts w:hint="eastAsia" w:ascii="Times New Roman" w:hAnsi="Times New Roman"/>
                <w:szCs w:val="21"/>
              </w:rPr>
            </w:pPr>
            <w:r>
              <w:rPr>
                <w:rFonts w:hint="eastAsia" w:ascii="Times New Roman" w:hAnsi="Times New Roman"/>
                <w:szCs w:val="21"/>
              </w:rPr>
              <w:t>11.6 控制：软件操控样品台，记忆和恢复分析位置以实现无人值守的自动分析；</w:t>
            </w:r>
          </w:p>
          <w:p>
            <w:pPr>
              <w:spacing w:line="240" w:lineRule="auto"/>
              <w:ind w:firstLine="210" w:firstLineChars="100"/>
              <w:rPr>
                <w:rFonts w:hint="eastAsia" w:ascii="Times New Roman" w:hAnsi="Times New Roman"/>
                <w:szCs w:val="21"/>
              </w:rPr>
            </w:pPr>
            <w:r>
              <w:rPr>
                <w:rFonts w:hint="eastAsia" w:ascii="Times New Roman" w:hAnsi="Times New Roman"/>
                <w:szCs w:val="21"/>
              </w:rPr>
              <w:t>11.7 观察：软件控制变焦CCD摄像机在不同的放大倍率下实时观察、精确定位分析位置和截取图像；</w:t>
            </w:r>
          </w:p>
          <w:p>
            <w:pPr>
              <w:spacing w:line="240" w:lineRule="auto"/>
              <w:ind w:firstLine="210" w:firstLineChars="100"/>
              <w:rPr>
                <w:rFonts w:hint="eastAsia" w:ascii="Times New Roman" w:hAnsi="Times New Roman"/>
                <w:szCs w:val="21"/>
              </w:rPr>
            </w:pPr>
            <w:r>
              <w:rPr>
                <w:rFonts w:hint="eastAsia" w:ascii="Times New Roman" w:hAnsi="Times New Roman"/>
                <w:szCs w:val="21"/>
              </w:rPr>
              <w:t>11.8 调整：通过可变焦CCD摄像机和实时成像系统确定分析位置，并可软件自动确定最佳的分析高度；</w:t>
            </w:r>
          </w:p>
          <w:p>
            <w:pPr>
              <w:spacing w:line="240" w:lineRule="auto"/>
              <w:ind w:firstLine="210" w:firstLineChars="100"/>
              <w:rPr>
                <w:rFonts w:hint="eastAsia" w:ascii="Times New Roman" w:hAnsi="Times New Roman"/>
                <w:szCs w:val="21"/>
              </w:rPr>
            </w:pPr>
            <w:r>
              <w:rPr>
                <w:rFonts w:hint="eastAsia" w:ascii="Times New Roman" w:hAnsi="Times New Roman"/>
                <w:szCs w:val="21"/>
              </w:rPr>
              <w:t>12.进样室样品控制、观察和调整</w:t>
            </w:r>
          </w:p>
          <w:p>
            <w:pPr>
              <w:spacing w:line="240" w:lineRule="auto"/>
              <w:ind w:firstLine="210" w:firstLineChars="100"/>
              <w:rPr>
                <w:rFonts w:hint="eastAsia" w:ascii="Times New Roman" w:hAnsi="Times New Roman"/>
                <w:szCs w:val="21"/>
              </w:rPr>
            </w:pPr>
            <w:r>
              <w:rPr>
                <w:rFonts w:hint="eastAsia" w:ascii="Times New Roman" w:hAnsi="Times New Roman"/>
                <w:szCs w:val="21"/>
              </w:rPr>
              <w:t>12.1 进样方式：应具备水平放置的、可一次装入并存储3个样品条的多样品停放台，应具备软件控制的全自动进样和样品交换功能；</w:t>
            </w:r>
          </w:p>
          <w:p>
            <w:pPr>
              <w:spacing w:line="240" w:lineRule="auto"/>
              <w:ind w:firstLine="210" w:firstLineChars="100"/>
              <w:rPr>
                <w:rFonts w:hint="eastAsia" w:ascii="Times New Roman" w:hAnsi="Times New Roman"/>
                <w:szCs w:val="21"/>
              </w:rPr>
            </w:pPr>
            <w:r>
              <w:rPr>
                <w:rFonts w:hint="eastAsia" w:ascii="Times New Roman" w:hAnsi="Times New Roman"/>
                <w:szCs w:val="21"/>
              </w:rPr>
              <w:t>12.2 定位相机：可在抽真空时对分析样品定位，真空度达到后转入分析室实施无人值守的全自动分析（包括全谱、高分辨谱和自动确定样品最佳分析高度）；</w:t>
            </w:r>
          </w:p>
          <w:p>
            <w:pPr>
              <w:spacing w:line="240" w:lineRule="auto"/>
              <w:ind w:firstLine="210" w:firstLineChars="100"/>
              <w:rPr>
                <w:rFonts w:hint="eastAsia" w:ascii="Times New Roman" w:hAnsi="Times New Roman"/>
                <w:szCs w:val="21"/>
              </w:rPr>
            </w:pPr>
            <w:r>
              <w:rPr>
                <w:rFonts w:hint="eastAsia" w:ascii="Times New Roman" w:hAnsi="Times New Roman"/>
                <w:szCs w:val="21"/>
              </w:rPr>
              <w:t>13.谱仪控制和数据处理</w:t>
            </w:r>
          </w:p>
          <w:p>
            <w:pPr>
              <w:spacing w:line="240" w:lineRule="auto"/>
              <w:ind w:firstLine="210" w:firstLineChars="100"/>
              <w:rPr>
                <w:rFonts w:hint="eastAsia" w:ascii="Times New Roman" w:hAnsi="Times New Roman"/>
                <w:szCs w:val="21"/>
              </w:rPr>
            </w:pPr>
            <w:r>
              <w:rPr>
                <w:rFonts w:hint="eastAsia" w:ascii="Times New Roman" w:hAnsi="Times New Roman"/>
                <w:szCs w:val="21"/>
              </w:rPr>
              <w:t>13.1 谱仪控制：全计算机自动控制；</w:t>
            </w:r>
          </w:p>
          <w:p>
            <w:pPr>
              <w:spacing w:line="240" w:lineRule="auto"/>
              <w:ind w:firstLine="210" w:firstLineChars="100"/>
              <w:rPr>
                <w:rFonts w:hint="eastAsia" w:ascii="Times New Roman" w:hAnsi="Times New Roman"/>
                <w:szCs w:val="21"/>
              </w:rPr>
            </w:pPr>
            <w:r>
              <w:rPr>
                <w:rFonts w:hint="eastAsia" w:ascii="Times New Roman" w:hAnsi="Times New Roman"/>
                <w:szCs w:val="21"/>
              </w:rPr>
              <w:t>13.2 数据处理：定性分析、定量分析、曲线拟合等；</w:t>
            </w:r>
          </w:p>
          <w:p>
            <w:pPr>
              <w:spacing w:line="240" w:lineRule="auto"/>
              <w:ind w:firstLine="210" w:firstLineChars="100"/>
              <w:rPr>
                <w:rFonts w:hint="eastAsia" w:ascii="Times New Roman" w:hAnsi="Times New Roman"/>
                <w:szCs w:val="21"/>
              </w:rPr>
            </w:pPr>
            <w:r>
              <w:rPr>
                <w:rFonts w:hint="eastAsia" w:ascii="Times New Roman" w:hAnsi="Times New Roman"/>
                <w:szCs w:val="21"/>
              </w:rPr>
              <w:t>13.3 计算机：主流HP工作站（双显示器）；</w:t>
            </w:r>
          </w:p>
          <w:p>
            <w:pPr>
              <w:spacing w:line="240" w:lineRule="auto"/>
              <w:ind w:firstLine="210" w:firstLineChars="100"/>
              <w:rPr>
                <w:rFonts w:hint="eastAsia" w:ascii="Times New Roman" w:hAnsi="Times New Roman"/>
                <w:szCs w:val="21"/>
              </w:rPr>
            </w:pPr>
            <w:r>
              <w:rPr>
                <w:rFonts w:hint="eastAsia" w:ascii="Times New Roman" w:hAnsi="Times New Roman"/>
                <w:szCs w:val="21"/>
              </w:rPr>
              <w:t>14.紫外光电子能谱（UPS）</w:t>
            </w:r>
          </w:p>
          <w:p>
            <w:pPr>
              <w:spacing w:line="240" w:lineRule="auto"/>
              <w:ind w:firstLine="210" w:firstLineChars="100"/>
              <w:rPr>
                <w:rFonts w:hint="eastAsia" w:ascii="Times New Roman" w:hAnsi="Times New Roman"/>
                <w:szCs w:val="21"/>
              </w:rPr>
            </w:pPr>
            <w:r>
              <w:rPr>
                <w:rFonts w:hint="eastAsia" w:ascii="Times New Roman" w:hAnsi="Times New Roman"/>
                <w:szCs w:val="21"/>
              </w:rPr>
              <w:t>14.1 光源：He紫外光源；</w:t>
            </w:r>
          </w:p>
          <w:p>
            <w:pPr>
              <w:spacing w:line="240" w:lineRule="auto"/>
              <w:ind w:firstLine="210" w:firstLineChars="100"/>
              <w:rPr>
                <w:rFonts w:hint="eastAsia" w:ascii="Times New Roman" w:hAnsi="Times New Roman"/>
                <w:szCs w:val="21"/>
              </w:rPr>
            </w:pPr>
            <w:r>
              <w:rPr>
                <w:rFonts w:hint="eastAsia" w:ascii="Times New Roman" w:hAnsi="Times New Roman"/>
                <w:szCs w:val="21"/>
              </w:rPr>
              <w:t>14.2 能量分辨和灵敏度：Ag费米边20%～80%≤120meV时Ag 4d计数率≥1Mcps；</w:t>
            </w:r>
          </w:p>
          <w:p>
            <w:pPr>
              <w:spacing w:line="240" w:lineRule="auto"/>
              <w:ind w:firstLine="210" w:firstLineChars="100"/>
              <w:rPr>
                <w:rFonts w:hint="eastAsia" w:ascii="Times New Roman" w:hAnsi="Times New Roman"/>
                <w:szCs w:val="21"/>
              </w:rPr>
            </w:pPr>
            <w:r>
              <w:rPr>
                <w:rFonts w:hint="eastAsia" w:ascii="Times New Roman" w:hAnsi="Times New Roman"/>
                <w:szCs w:val="21"/>
              </w:rPr>
              <w:t>15.气氛敏感样品传递装置</w:t>
            </w:r>
          </w:p>
          <w:p>
            <w:pPr>
              <w:spacing w:line="240" w:lineRule="auto"/>
              <w:ind w:firstLine="210" w:firstLineChars="100"/>
              <w:rPr>
                <w:rFonts w:hint="eastAsia" w:ascii="Times New Roman" w:hAnsi="Times New Roman"/>
                <w:szCs w:val="21"/>
              </w:rPr>
            </w:pPr>
            <w:r>
              <w:rPr>
                <w:rFonts w:hint="eastAsia" w:ascii="Times New Roman" w:hAnsi="Times New Roman"/>
                <w:szCs w:val="21"/>
              </w:rPr>
              <w:t>15.1 制造商：XPS主机原厂；</w:t>
            </w:r>
          </w:p>
          <w:p>
            <w:pPr>
              <w:spacing w:line="240" w:lineRule="auto"/>
              <w:ind w:firstLine="210" w:firstLineChars="100"/>
              <w:rPr>
                <w:rFonts w:hint="eastAsia" w:ascii="Times New Roman" w:hAnsi="Times New Roman"/>
                <w:szCs w:val="21"/>
              </w:rPr>
            </w:pPr>
            <w:r>
              <w:rPr>
                <w:rFonts w:hint="eastAsia" w:ascii="Times New Roman" w:hAnsi="Times New Roman"/>
                <w:szCs w:val="21"/>
              </w:rPr>
              <w:t>15.2 工作方式：可抽真空，可充保护性气体；</w:t>
            </w:r>
          </w:p>
          <w:p>
            <w:pPr>
              <w:spacing w:line="240" w:lineRule="auto"/>
              <w:ind w:firstLine="210" w:firstLineChars="100"/>
              <w:rPr>
                <w:rFonts w:hint="eastAsia" w:ascii="Times New Roman" w:hAnsi="Times New Roman"/>
                <w:szCs w:val="21"/>
              </w:rPr>
            </w:pPr>
            <w:r>
              <w:rPr>
                <w:rFonts w:hint="eastAsia" w:ascii="Times New Roman" w:hAnsi="Times New Roman"/>
                <w:szCs w:val="21"/>
              </w:rPr>
              <w:t>15.3 安置位置：进样室专用法兰口连接；</w:t>
            </w:r>
          </w:p>
          <w:p>
            <w:pPr>
              <w:spacing w:line="240" w:lineRule="auto"/>
              <w:ind w:firstLine="210" w:firstLineChars="100"/>
              <w:rPr>
                <w:rFonts w:hint="eastAsia" w:ascii="Times New Roman" w:hAnsi="Times New Roman"/>
                <w:szCs w:val="21"/>
              </w:rPr>
            </w:pPr>
            <w:r>
              <w:rPr>
                <w:rFonts w:hint="eastAsia" w:ascii="Times New Roman" w:hAnsi="Times New Roman"/>
                <w:szCs w:val="21"/>
              </w:rPr>
              <w:t>16.原位充放电</w:t>
            </w:r>
          </w:p>
          <w:p>
            <w:pPr>
              <w:spacing w:line="240" w:lineRule="auto"/>
              <w:ind w:firstLine="210" w:firstLineChars="100"/>
              <w:rPr>
                <w:rFonts w:hint="eastAsia" w:ascii="Times New Roman" w:hAnsi="Times New Roman"/>
                <w:szCs w:val="21"/>
              </w:rPr>
            </w:pPr>
            <w:r>
              <w:rPr>
                <w:rFonts w:hint="eastAsia" w:ascii="Times New Roman" w:hAnsi="Times New Roman"/>
                <w:szCs w:val="21"/>
              </w:rPr>
              <w:t>16.3 电压范围：0～24VDC；</w:t>
            </w:r>
          </w:p>
          <w:p>
            <w:pPr>
              <w:spacing w:line="240" w:lineRule="auto"/>
              <w:ind w:firstLine="210" w:firstLineChars="100"/>
              <w:rPr>
                <w:rFonts w:hint="eastAsia" w:ascii="Times New Roman" w:hAnsi="Times New Roman"/>
                <w:szCs w:val="21"/>
              </w:rPr>
            </w:pPr>
            <w:r>
              <w:rPr>
                <w:rFonts w:hint="eastAsia" w:ascii="Times New Roman" w:hAnsi="Times New Roman"/>
                <w:szCs w:val="21"/>
              </w:rPr>
              <w:t>16.4 电流范围：0.01～1A；</w:t>
            </w:r>
          </w:p>
          <w:p>
            <w:pPr>
              <w:spacing w:line="240" w:lineRule="auto"/>
              <w:ind w:firstLine="210" w:firstLineChars="100"/>
              <w:rPr>
                <w:rFonts w:hint="eastAsia" w:ascii="Times New Roman" w:hAnsi="Times New Roman"/>
                <w:szCs w:val="21"/>
              </w:rPr>
            </w:pPr>
            <w:r>
              <w:rPr>
                <w:rFonts w:hint="eastAsia" w:ascii="Times New Roman" w:hAnsi="Times New Roman"/>
                <w:szCs w:val="21"/>
              </w:rPr>
              <w:t>17.冷却水系统</w:t>
            </w:r>
          </w:p>
          <w:p>
            <w:pPr>
              <w:spacing w:line="240" w:lineRule="auto"/>
              <w:ind w:firstLine="210" w:firstLineChars="100"/>
              <w:rPr>
                <w:rFonts w:hint="eastAsia" w:ascii="Times New Roman" w:hAnsi="Times New Roman"/>
                <w:szCs w:val="21"/>
              </w:rPr>
            </w:pPr>
            <w:r>
              <w:rPr>
                <w:rFonts w:hint="eastAsia" w:ascii="Times New Roman" w:hAnsi="Times New Roman"/>
                <w:szCs w:val="21"/>
              </w:rPr>
              <w:t>17.1 制造商：品牌循环冷却系统；</w:t>
            </w:r>
          </w:p>
          <w:p>
            <w:pPr>
              <w:spacing w:line="240" w:lineRule="auto"/>
              <w:ind w:firstLine="210" w:firstLineChars="100"/>
              <w:rPr>
                <w:rFonts w:hint="eastAsia" w:ascii="Times New Roman" w:hAnsi="Times New Roman"/>
                <w:szCs w:val="21"/>
              </w:rPr>
            </w:pPr>
            <w:r>
              <w:rPr>
                <w:rFonts w:hint="eastAsia" w:ascii="Times New Roman" w:hAnsi="Times New Roman"/>
                <w:szCs w:val="21"/>
              </w:rPr>
              <w:t>17.2 功率：满足阳极靶、涡轮分子泵、磁透镜和石英单色器冷却需要；</w:t>
            </w:r>
          </w:p>
          <w:p>
            <w:pPr>
              <w:spacing w:line="240" w:lineRule="auto"/>
              <w:ind w:firstLine="210" w:firstLineChars="100"/>
              <w:rPr>
                <w:rFonts w:hint="eastAsia" w:ascii="Times New Roman" w:hAnsi="Times New Roman"/>
                <w:szCs w:val="21"/>
              </w:rPr>
            </w:pPr>
            <w:r>
              <w:rPr>
                <w:rFonts w:hint="eastAsia" w:ascii="Times New Roman" w:hAnsi="Times New Roman"/>
                <w:szCs w:val="21"/>
              </w:rPr>
              <w:t>18.备品备件</w:t>
            </w:r>
          </w:p>
          <w:p>
            <w:pPr>
              <w:spacing w:line="240" w:lineRule="auto"/>
              <w:ind w:firstLine="210" w:firstLineChars="100"/>
              <w:rPr>
                <w:rFonts w:hint="eastAsia" w:ascii="Times New Roman" w:hAnsi="Times New Roman"/>
                <w:szCs w:val="21"/>
              </w:rPr>
            </w:pPr>
            <w:r>
              <w:rPr>
                <w:rFonts w:hint="eastAsia" w:ascii="Times New Roman" w:hAnsi="Times New Roman"/>
                <w:szCs w:val="21"/>
              </w:rPr>
              <w:t>18.1 随机备件：保证仪器正常运行的一年随机备件及工具套包；</w:t>
            </w:r>
          </w:p>
          <w:p>
            <w:pPr>
              <w:spacing w:line="240" w:lineRule="auto"/>
              <w:ind w:firstLine="210" w:firstLineChars="100"/>
              <w:rPr>
                <w:rFonts w:hint="eastAsia" w:ascii="Times New Roman" w:hAnsi="Times New Roman"/>
                <w:szCs w:val="21"/>
              </w:rPr>
            </w:pPr>
            <w:r>
              <w:rPr>
                <w:rFonts w:hint="eastAsia" w:ascii="Times New Roman" w:hAnsi="Times New Roman"/>
                <w:szCs w:val="21"/>
              </w:rPr>
              <w:t>19.不间断电源和隔离变压器</w:t>
            </w:r>
          </w:p>
          <w:p>
            <w:pPr>
              <w:spacing w:line="240" w:lineRule="auto"/>
              <w:ind w:firstLine="210" w:firstLineChars="100"/>
              <w:rPr>
                <w:rFonts w:hint="eastAsia" w:ascii="Times New Roman" w:hAnsi="Times New Roman"/>
                <w:szCs w:val="21"/>
              </w:rPr>
            </w:pPr>
            <w:r>
              <w:rPr>
                <w:rFonts w:hint="eastAsia" w:ascii="Times New Roman" w:hAnsi="Times New Roman"/>
                <w:szCs w:val="21"/>
              </w:rPr>
              <w:t>19.1 不间断电源：保证仪器持续运行两小时的不间断电源；</w:t>
            </w:r>
          </w:p>
          <w:p>
            <w:pPr>
              <w:spacing w:line="240" w:lineRule="auto"/>
              <w:ind w:firstLine="210" w:firstLineChars="100"/>
              <w:rPr>
                <w:rFonts w:hint="eastAsia" w:ascii="Times New Roman" w:hAnsi="Times New Roman"/>
                <w:szCs w:val="21"/>
              </w:rPr>
            </w:pPr>
            <w:r>
              <w:rPr>
                <w:rFonts w:hint="eastAsia" w:ascii="Times New Roman" w:hAnsi="Times New Roman"/>
                <w:szCs w:val="21"/>
              </w:rPr>
              <w:t>19.2 隔离变压器：确保仪器正常工作的外电源隔离变压器一套；</w:t>
            </w:r>
          </w:p>
          <w:p>
            <w:pPr>
              <w:spacing w:line="240" w:lineRule="auto"/>
              <w:ind w:firstLine="210" w:firstLineChars="100"/>
              <w:rPr>
                <w:rFonts w:hint="eastAsia" w:ascii="Times New Roman" w:hAnsi="Times New Roman"/>
                <w:szCs w:val="21"/>
              </w:rPr>
            </w:pPr>
            <w:r>
              <w:rPr>
                <w:rFonts w:hint="eastAsia" w:ascii="Times New Roman" w:hAnsi="Times New Roman"/>
                <w:szCs w:val="21"/>
              </w:rPr>
              <w:t>20.培训</w:t>
            </w:r>
          </w:p>
          <w:p>
            <w:pPr>
              <w:spacing w:line="240" w:lineRule="auto"/>
              <w:ind w:firstLine="210" w:firstLineChars="100"/>
              <w:rPr>
                <w:rFonts w:hint="eastAsia" w:ascii="Times New Roman" w:hAnsi="Times New Roman"/>
                <w:szCs w:val="21"/>
              </w:rPr>
            </w:pPr>
            <w:r>
              <w:rPr>
                <w:rFonts w:hint="eastAsia" w:ascii="Times New Roman" w:hAnsi="Times New Roman"/>
                <w:szCs w:val="21"/>
              </w:rPr>
              <w:t>20.1 现场培训：至少三天的现场培训，保证操作人员熟练基本操作；</w:t>
            </w:r>
          </w:p>
          <w:p>
            <w:pPr>
              <w:spacing w:line="240" w:lineRule="auto"/>
              <w:ind w:firstLine="210" w:firstLineChars="100"/>
              <w:rPr>
                <w:rFonts w:hint="eastAsia" w:ascii="Times New Roman" w:hAnsi="Times New Roman"/>
                <w:szCs w:val="21"/>
              </w:rPr>
            </w:pPr>
            <w:r>
              <w:rPr>
                <w:rFonts w:hint="eastAsia" w:ascii="Times New Roman" w:hAnsi="Times New Roman"/>
                <w:szCs w:val="21"/>
              </w:rPr>
              <w:t>20.2 高级应用培训：至少三天的用户现场的高级应用培训；</w:t>
            </w:r>
          </w:p>
          <w:p>
            <w:pPr>
              <w:spacing w:line="240" w:lineRule="auto"/>
              <w:ind w:firstLine="210" w:firstLineChars="100"/>
              <w:rPr>
                <w:rFonts w:hint="eastAsia" w:ascii="Times New Roman" w:hAnsi="Times New Roman"/>
                <w:szCs w:val="21"/>
              </w:rPr>
            </w:pPr>
            <w:r>
              <w:rPr>
                <w:rFonts w:hint="eastAsia" w:ascii="Times New Roman" w:hAnsi="Times New Roman"/>
                <w:szCs w:val="21"/>
              </w:rPr>
              <w:t>21.技术服务要求</w:t>
            </w:r>
          </w:p>
          <w:p>
            <w:pPr>
              <w:spacing w:line="240" w:lineRule="auto"/>
              <w:ind w:firstLine="210" w:firstLineChars="100"/>
              <w:rPr>
                <w:rFonts w:hint="eastAsia" w:ascii="Times New Roman" w:hAnsi="Times New Roman"/>
                <w:szCs w:val="21"/>
              </w:rPr>
            </w:pPr>
            <w:r>
              <w:rPr>
                <w:rFonts w:hint="eastAsia" w:ascii="Times New Roman" w:hAnsi="Times New Roman"/>
                <w:szCs w:val="21"/>
              </w:rPr>
              <w:t>21.1交货期：300天；</w:t>
            </w:r>
          </w:p>
          <w:p>
            <w:pPr>
              <w:spacing w:line="240" w:lineRule="auto"/>
              <w:ind w:firstLine="210" w:firstLineChars="100"/>
              <w:rPr>
                <w:rFonts w:hint="eastAsia" w:ascii="Times New Roman" w:hAnsi="Times New Roman"/>
                <w:szCs w:val="21"/>
              </w:rPr>
            </w:pPr>
            <w:r>
              <w:rPr>
                <w:rFonts w:hint="eastAsia" w:ascii="Times New Roman" w:hAnsi="Times New Roman"/>
                <w:szCs w:val="21"/>
              </w:rPr>
              <w:t>21.2安装、调试与验收：合同签订后向买方提出详细的安装要求和提供技术咨询；仪器到达用户所在地后在接到用户通知后尽快安排工程师进行安装调试和验收；</w:t>
            </w:r>
          </w:p>
          <w:p>
            <w:pPr>
              <w:spacing w:line="240" w:lineRule="auto"/>
              <w:ind w:firstLine="210" w:firstLineChars="100"/>
              <w:rPr>
                <w:rFonts w:hint="eastAsia" w:ascii="Times New Roman" w:hAnsi="Times New Roman"/>
                <w:szCs w:val="21"/>
              </w:rPr>
            </w:pPr>
            <w:r>
              <w:rPr>
                <w:rFonts w:hint="eastAsia" w:ascii="Times New Roman" w:hAnsi="Times New Roman"/>
                <w:szCs w:val="21"/>
              </w:rPr>
              <w:t>21.3免费保修期：保修期为1年，保修期自仪器验收签字之日算起；</w:t>
            </w:r>
          </w:p>
          <w:p>
            <w:pPr>
              <w:spacing w:line="240" w:lineRule="auto"/>
              <w:ind w:firstLine="210" w:firstLineChars="100"/>
              <w:rPr>
                <w:rFonts w:hint="eastAsia" w:ascii="Times New Roman" w:hAnsi="Times New Roman"/>
                <w:szCs w:val="21"/>
              </w:rPr>
            </w:pPr>
            <w:r>
              <w:rPr>
                <w:rFonts w:hint="eastAsia" w:ascii="Times New Roman" w:hAnsi="Times New Roman"/>
                <w:szCs w:val="21"/>
              </w:rPr>
              <w:t>21.4维修响应时间：卖方对用户的服务要求及时响应；需要在现场解决问题的，在双方协商时间及时到达仪器现场；</w:t>
            </w:r>
          </w:p>
          <w:p>
            <w:pPr>
              <w:spacing w:line="240" w:lineRule="auto"/>
              <w:ind w:firstLine="210" w:firstLineChars="100"/>
              <w:rPr>
                <w:rFonts w:hint="eastAsia" w:ascii="Times New Roman" w:hAnsi="Times New Roman"/>
                <w:szCs w:val="21"/>
              </w:rPr>
            </w:pPr>
            <w:r>
              <w:rPr>
                <w:rFonts w:hint="eastAsia" w:ascii="Times New Roman" w:hAnsi="Times New Roman"/>
                <w:szCs w:val="21"/>
              </w:rPr>
              <w:t>21.5软硬件升级：卖方应免费向买方提供仪器的软件升级，与之相关的硬件升级收取相关费用；</w:t>
            </w:r>
          </w:p>
          <w:p>
            <w:pPr>
              <w:spacing w:line="240" w:lineRule="auto"/>
              <w:ind w:firstLine="210" w:firstLineChars="100"/>
              <w:rPr>
                <w:rFonts w:hint="eastAsia" w:ascii="Times New Roman" w:hAnsi="Times New Roman"/>
                <w:szCs w:val="21"/>
              </w:rPr>
            </w:pPr>
            <w:r>
              <w:rPr>
                <w:rFonts w:hint="eastAsia" w:ascii="Times New Roman" w:hAnsi="Times New Roman"/>
                <w:szCs w:val="21"/>
              </w:rPr>
              <w:t>21.6技术文件：投标时应提供主要技术文件，如：设备的技术规格和技术性能、出厂合格证书、设备的外形尺寸及正常操作与安装维修时所需的空间位置，操作手册电子版等；</w:t>
            </w:r>
          </w:p>
          <w:p>
            <w:pPr>
              <w:spacing w:line="240" w:lineRule="auto"/>
              <w:ind w:firstLine="210" w:firstLineChars="100"/>
              <w:rPr>
                <w:rFonts w:hint="eastAsia" w:ascii="宋体" w:hAnsi="宋体" w:eastAsia="宋体" w:cs="宋体"/>
                <w:i w:val="0"/>
                <w:iCs w:val="0"/>
                <w:color w:val="auto"/>
                <w:sz w:val="21"/>
                <w:szCs w:val="21"/>
                <w:highlight w:val="none"/>
                <w:u w:val="none"/>
              </w:rPr>
            </w:pPr>
            <w:r>
              <w:rPr>
                <w:rFonts w:hint="eastAsia" w:ascii="Times New Roman" w:hAnsi="Times New Roman"/>
                <w:szCs w:val="21"/>
              </w:rPr>
              <w:t>21.7包装要求：包装应该适用于空运和公路等长途运输。</w:t>
            </w:r>
          </w:p>
        </w:tc>
      </w:tr>
    </w:tbl>
    <w:p>
      <w:pPr>
        <w:rPr>
          <w:rFonts w:hint="eastAsia" w:eastAsia="宋体"/>
          <w:lang w:eastAsia="zh-CN"/>
        </w:rPr>
      </w:pPr>
      <w:r>
        <w:rPr>
          <w:rFonts w:hint="eastAsia" w:ascii="宋体" w:hAnsi="宋体" w:eastAsia="宋体" w:cs="宋体"/>
          <w:b/>
          <w:bCs/>
          <w:color w:val="000000"/>
          <w:sz w:val="22"/>
          <w:szCs w:val="21"/>
        </w:rPr>
        <w:t>包</w:t>
      </w:r>
      <w:r>
        <w:rPr>
          <w:rFonts w:hint="eastAsia" w:ascii="宋体" w:hAnsi="宋体" w:cs="宋体"/>
          <w:b/>
          <w:bCs/>
          <w:color w:val="000000"/>
          <w:sz w:val="22"/>
          <w:szCs w:val="21"/>
          <w:lang w:val="en-US" w:eastAsia="zh-CN"/>
        </w:rPr>
        <w:t>4</w:t>
      </w:r>
      <w:r>
        <w:rPr>
          <w:rFonts w:hint="eastAsia" w:ascii="宋体" w:hAnsi="宋体" w:eastAsia="宋体" w:cs="宋体"/>
          <w:b/>
          <w:bCs/>
          <w:color w:val="000000"/>
          <w:sz w:val="22"/>
          <w:szCs w:val="21"/>
        </w:rPr>
        <w:t xml:space="preserve">    是否接受进口产品：是</w:t>
      </w:r>
    </w:p>
    <w:tbl>
      <w:tblPr>
        <w:tblStyle w:val="48"/>
        <w:tblW w:w="8858"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76"/>
        <w:gridCol w:w="1064"/>
        <w:gridCol w:w="654"/>
        <w:gridCol w:w="505"/>
        <w:gridCol w:w="485"/>
        <w:gridCol w:w="5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476"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06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货物名称</w:t>
            </w:r>
          </w:p>
        </w:tc>
        <w:tc>
          <w:tcPr>
            <w:tcW w:w="65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是否进口</w:t>
            </w:r>
          </w:p>
        </w:tc>
        <w:tc>
          <w:tcPr>
            <w:tcW w:w="505"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485"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67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大功率微区X射线衍射仪</w:t>
            </w:r>
          </w:p>
        </w:tc>
        <w:tc>
          <w:tcPr>
            <w:tcW w:w="654"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是</w:t>
            </w:r>
          </w:p>
        </w:tc>
        <w:tc>
          <w:tcPr>
            <w:tcW w:w="50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674" w:type="dxa"/>
            <w:shd w:val="clear" w:color="auto" w:fill="auto"/>
            <w:vAlign w:val="center"/>
          </w:tcPr>
          <w:p>
            <w:pPr>
              <w:spacing w:line="240" w:lineRule="auto"/>
              <w:ind w:firstLine="210" w:firstLineChars="100"/>
              <w:rPr>
                <w:rFonts w:hint="eastAsia" w:ascii="Times New Roman" w:hAnsi="Times New Roman"/>
                <w:szCs w:val="21"/>
              </w:rPr>
            </w:pPr>
            <w:r>
              <w:rPr>
                <w:rFonts w:hint="eastAsia" w:ascii="Times New Roman" w:hAnsi="Times New Roman"/>
                <w:szCs w:val="21"/>
              </w:rPr>
              <w:t>1.光源</w:t>
            </w:r>
          </w:p>
          <w:p>
            <w:pPr>
              <w:spacing w:line="240" w:lineRule="auto"/>
              <w:ind w:firstLine="210" w:firstLineChars="100"/>
              <w:rPr>
                <w:rFonts w:hint="eastAsia" w:ascii="Times New Roman" w:hAnsi="Times New Roman"/>
                <w:szCs w:val="21"/>
              </w:rPr>
            </w:pPr>
            <w:r>
              <w:rPr>
                <w:rFonts w:hint="eastAsia" w:ascii="Times New Roman" w:hAnsi="Times New Roman"/>
                <w:szCs w:val="21"/>
              </w:rPr>
              <w:t>1.1  X射线发生器部分和机柜</w:t>
            </w:r>
          </w:p>
          <w:p>
            <w:pPr>
              <w:spacing w:line="240" w:lineRule="auto"/>
              <w:ind w:firstLine="210" w:firstLineChars="100"/>
              <w:rPr>
                <w:rFonts w:hint="eastAsia" w:ascii="Times New Roman" w:hAnsi="Times New Roman"/>
                <w:szCs w:val="21"/>
              </w:rPr>
            </w:pPr>
            <w:r>
              <w:rPr>
                <w:rFonts w:hint="eastAsia" w:ascii="Times New Roman" w:hAnsi="Times New Roman"/>
                <w:szCs w:val="21"/>
              </w:rPr>
              <w:t>★1.1.1  发生器类型：高功率旋转靶发生器，最大输出功率：≥8.5 kW，可满功率运行。</w:t>
            </w:r>
          </w:p>
          <w:p>
            <w:pPr>
              <w:spacing w:line="240" w:lineRule="auto"/>
              <w:ind w:firstLine="210" w:firstLineChars="100"/>
              <w:rPr>
                <w:rFonts w:hint="eastAsia" w:ascii="Times New Roman" w:hAnsi="Times New Roman"/>
                <w:szCs w:val="21"/>
              </w:rPr>
            </w:pPr>
            <w:r>
              <w:rPr>
                <w:rFonts w:hint="eastAsia" w:ascii="Times New Roman" w:hAnsi="Times New Roman"/>
                <w:szCs w:val="21"/>
              </w:rPr>
              <w:t>1.1.2  管电压：≥45KV</w:t>
            </w:r>
          </w:p>
          <w:p>
            <w:pPr>
              <w:spacing w:line="240" w:lineRule="auto"/>
              <w:ind w:firstLine="210" w:firstLineChars="100"/>
              <w:rPr>
                <w:rFonts w:hint="eastAsia" w:ascii="Times New Roman" w:hAnsi="Times New Roman"/>
                <w:szCs w:val="21"/>
              </w:rPr>
            </w:pPr>
            <w:r>
              <w:rPr>
                <w:rFonts w:hint="eastAsia" w:ascii="Times New Roman" w:hAnsi="Times New Roman"/>
                <w:szCs w:val="21"/>
              </w:rPr>
              <w:t>1.1.3  管电流：≥200mA</w:t>
            </w:r>
          </w:p>
          <w:p>
            <w:pPr>
              <w:spacing w:line="240" w:lineRule="auto"/>
              <w:ind w:firstLine="210" w:firstLineChars="100"/>
              <w:rPr>
                <w:rFonts w:hint="eastAsia" w:ascii="Times New Roman" w:hAnsi="Times New Roman"/>
                <w:szCs w:val="21"/>
              </w:rPr>
            </w:pPr>
            <w:r>
              <w:rPr>
                <w:rFonts w:hint="eastAsia" w:ascii="Times New Roman" w:hAnsi="Times New Roman"/>
                <w:szCs w:val="21"/>
              </w:rPr>
              <w:t>1.1.4  阳极类型：转靶，铜（Cu）</w:t>
            </w:r>
          </w:p>
          <w:p>
            <w:pPr>
              <w:spacing w:line="240" w:lineRule="auto"/>
              <w:ind w:firstLine="210" w:firstLineChars="100"/>
              <w:rPr>
                <w:rFonts w:hint="eastAsia" w:ascii="Times New Roman" w:hAnsi="Times New Roman"/>
                <w:szCs w:val="21"/>
              </w:rPr>
            </w:pPr>
            <w:r>
              <w:rPr>
                <w:rFonts w:hint="eastAsia" w:ascii="Times New Roman" w:hAnsi="Times New Roman"/>
                <w:szCs w:val="21"/>
              </w:rPr>
              <w:t>1.1.5  焦斑尺寸：≤0.4 x 8mm</w:t>
            </w:r>
          </w:p>
          <w:p>
            <w:pPr>
              <w:spacing w:line="240" w:lineRule="auto"/>
              <w:ind w:firstLine="210" w:firstLineChars="100"/>
              <w:rPr>
                <w:rFonts w:hint="eastAsia" w:ascii="Times New Roman" w:hAnsi="Times New Roman"/>
                <w:szCs w:val="21"/>
              </w:rPr>
            </w:pPr>
            <w:r>
              <w:rPr>
                <w:rFonts w:hint="eastAsia" w:ascii="Times New Roman" w:hAnsi="Times New Roman"/>
                <w:szCs w:val="21"/>
              </w:rPr>
              <w:t>1.1.6  灯丝数量≥6根</w:t>
            </w:r>
          </w:p>
          <w:p>
            <w:pPr>
              <w:spacing w:line="240" w:lineRule="auto"/>
              <w:ind w:firstLine="210" w:firstLineChars="100"/>
              <w:rPr>
                <w:rFonts w:hint="eastAsia" w:ascii="Times New Roman" w:hAnsi="Times New Roman"/>
                <w:szCs w:val="21"/>
              </w:rPr>
            </w:pPr>
            <w:r>
              <w:rPr>
                <w:rFonts w:hint="eastAsia" w:ascii="Times New Roman" w:hAnsi="Times New Roman"/>
                <w:szCs w:val="21"/>
              </w:rPr>
              <w:t>1.1.7仪器采用电磁快门技术。</w:t>
            </w:r>
          </w:p>
          <w:p>
            <w:pPr>
              <w:spacing w:line="240" w:lineRule="auto"/>
              <w:ind w:firstLine="210" w:firstLineChars="100"/>
              <w:rPr>
                <w:rFonts w:hint="eastAsia" w:ascii="Times New Roman" w:hAnsi="Times New Roman"/>
                <w:szCs w:val="21"/>
              </w:rPr>
            </w:pPr>
            <w:r>
              <w:rPr>
                <w:rFonts w:hint="eastAsia" w:ascii="Times New Roman" w:hAnsi="Times New Roman"/>
                <w:szCs w:val="21"/>
              </w:rPr>
              <w:t>1.1.8稳定性（电压、电流）：±0.01%以内（电源波动±10%以内）</w:t>
            </w:r>
          </w:p>
          <w:p>
            <w:pPr>
              <w:spacing w:line="240" w:lineRule="auto"/>
              <w:ind w:firstLine="210" w:firstLineChars="100"/>
              <w:rPr>
                <w:rFonts w:hint="eastAsia" w:ascii="Times New Roman" w:hAnsi="Times New Roman"/>
                <w:szCs w:val="21"/>
              </w:rPr>
            </w:pPr>
            <w:r>
              <w:rPr>
                <w:rFonts w:hint="eastAsia" w:ascii="Times New Roman" w:hAnsi="Times New Roman"/>
                <w:szCs w:val="21"/>
              </w:rPr>
              <w:t>1.2 辐射防护：安全连锁机构、辐射剂量符合国标；防护罩外任何一点的X射线泄露小于0.2µSv/h</w:t>
            </w:r>
          </w:p>
          <w:p>
            <w:pPr>
              <w:spacing w:line="240" w:lineRule="auto"/>
              <w:ind w:firstLine="210" w:firstLineChars="100"/>
              <w:rPr>
                <w:rFonts w:hint="eastAsia" w:ascii="Times New Roman" w:hAnsi="Times New Roman"/>
                <w:szCs w:val="21"/>
              </w:rPr>
            </w:pPr>
            <w:r>
              <w:rPr>
                <w:rFonts w:hint="eastAsia" w:ascii="Times New Roman" w:hAnsi="Times New Roman"/>
                <w:szCs w:val="21"/>
              </w:rPr>
              <w:t>1.3 X射线电磁快门：快门装置无需外置空气压缩机，保证安全连锁装置性能稳定。</w:t>
            </w:r>
          </w:p>
          <w:p>
            <w:pPr>
              <w:spacing w:line="240" w:lineRule="auto"/>
              <w:ind w:firstLine="210" w:firstLineChars="100"/>
              <w:rPr>
                <w:rFonts w:hint="eastAsia" w:ascii="Times New Roman" w:hAnsi="Times New Roman"/>
                <w:szCs w:val="21"/>
              </w:rPr>
            </w:pPr>
            <w:r>
              <w:rPr>
                <w:rFonts w:hint="eastAsia" w:ascii="Times New Roman" w:hAnsi="Times New Roman"/>
                <w:szCs w:val="21"/>
              </w:rPr>
              <w:t>2.探测器</w:t>
            </w:r>
          </w:p>
          <w:p>
            <w:pPr>
              <w:spacing w:line="240" w:lineRule="auto"/>
              <w:ind w:firstLine="210" w:firstLineChars="100"/>
              <w:rPr>
                <w:rFonts w:hint="eastAsia" w:ascii="Times New Roman" w:hAnsi="Times New Roman"/>
                <w:szCs w:val="21"/>
              </w:rPr>
            </w:pPr>
            <w:r>
              <w:rPr>
                <w:rFonts w:hint="eastAsia" w:ascii="Times New Roman" w:hAnsi="Times New Roman"/>
                <w:szCs w:val="21"/>
              </w:rPr>
              <w:t>2.1全能矩阵探测器:直接计数X光子</w:t>
            </w:r>
          </w:p>
          <w:p>
            <w:pPr>
              <w:spacing w:line="240" w:lineRule="auto"/>
              <w:ind w:firstLine="210" w:firstLineChars="100"/>
              <w:rPr>
                <w:rFonts w:hint="eastAsia" w:ascii="Times New Roman" w:hAnsi="Times New Roman"/>
                <w:szCs w:val="21"/>
              </w:rPr>
            </w:pPr>
            <w:r>
              <w:rPr>
                <w:rFonts w:hint="eastAsia" w:ascii="Times New Roman" w:hAnsi="Times New Roman"/>
                <w:szCs w:val="21"/>
              </w:rPr>
              <w:t>★2.2有效探测器面积: ≥360mm2 ，可实现0D\1D\2D模式，能量分辨率≤350 eV (X射线荧光压制模式)</w:t>
            </w:r>
          </w:p>
          <w:p>
            <w:pPr>
              <w:spacing w:line="240" w:lineRule="auto"/>
              <w:ind w:firstLine="210" w:firstLineChars="100"/>
              <w:rPr>
                <w:rFonts w:hint="eastAsia" w:ascii="Times New Roman" w:hAnsi="Times New Roman"/>
                <w:szCs w:val="21"/>
              </w:rPr>
            </w:pPr>
            <w:r>
              <w:rPr>
                <w:rFonts w:hint="eastAsia" w:ascii="Times New Roman" w:hAnsi="Times New Roman"/>
                <w:szCs w:val="21"/>
              </w:rPr>
              <w:t>3.测角仪</w:t>
            </w:r>
          </w:p>
          <w:p>
            <w:pPr>
              <w:spacing w:line="240" w:lineRule="auto"/>
              <w:ind w:firstLine="210" w:firstLineChars="100"/>
              <w:rPr>
                <w:rFonts w:hint="eastAsia" w:ascii="Times New Roman" w:hAnsi="Times New Roman"/>
                <w:szCs w:val="21"/>
              </w:rPr>
            </w:pPr>
            <w:r>
              <w:rPr>
                <w:rFonts w:hint="eastAsia" w:ascii="Times New Roman" w:hAnsi="Times New Roman"/>
                <w:szCs w:val="21"/>
              </w:rPr>
              <w:t>3.1扫描方式：θ/θ方式；驱动方式：伺服电机驱动；</w:t>
            </w:r>
          </w:p>
          <w:p>
            <w:pPr>
              <w:spacing w:line="240" w:lineRule="auto"/>
              <w:ind w:firstLine="210" w:firstLineChars="100"/>
              <w:rPr>
                <w:rFonts w:hint="eastAsia" w:ascii="Times New Roman" w:hAnsi="Times New Roman"/>
                <w:szCs w:val="21"/>
              </w:rPr>
            </w:pPr>
            <w:r>
              <w:rPr>
                <w:rFonts w:hint="eastAsia" w:ascii="Times New Roman" w:hAnsi="Times New Roman"/>
                <w:szCs w:val="21"/>
              </w:rPr>
              <w:t>3.2 最小步长：≤0.0001°；</w:t>
            </w:r>
          </w:p>
          <w:p>
            <w:pPr>
              <w:spacing w:line="240" w:lineRule="auto"/>
              <w:ind w:firstLine="210" w:firstLineChars="100"/>
              <w:rPr>
                <w:rFonts w:hint="eastAsia" w:ascii="Times New Roman" w:hAnsi="Times New Roman"/>
                <w:szCs w:val="21"/>
              </w:rPr>
            </w:pPr>
            <w:r>
              <w:rPr>
                <w:rFonts w:hint="eastAsia" w:ascii="Times New Roman" w:hAnsi="Times New Roman"/>
                <w:szCs w:val="21"/>
              </w:rPr>
              <w:t>★3.3测角仪半径≥300mm，以保证拥有超高分辨率；</w:t>
            </w:r>
          </w:p>
          <w:p>
            <w:pPr>
              <w:spacing w:line="240" w:lineRule="auto"/>
              <w:ind w:firstLine="210" w:firstLineChars="100"/>
              <w:rPr>
                <w:rFonts w:hint="eastAsia" w:ascii="Times New Roman" w:hAnsi="Times New Roman"/>
                <w:szCs w:val="21"/>
              </w:rPr>
            </w:pPr>
            <w:r>
              <w:rPr>
                <w:rFonts w:hint="eastAsia" w:ascii="Times New Roman" w:hAnsi="Times New Roman"/>
                <w:szCs w:val="21"/>
              </w:rPr>
              <w:t>3.4实现自动化调节光路，保证开机时最佳光源，保证整机重现性。</w:t>
            </w:r>
          </w:p>
          <w:p>
            <w:pPr>
              <w:spacing w:line="240" w:lineRule="auto"/>
              <w:ind w:firstLine="210" w:firstLineChars="100"/>
              <w:rPr>
                <w:rFonts w:hint="eastAsia" w:ascii="Times New Roman" w:hAnsi="Times New Roman"/>
                <w:szCs w:val="21"/>
              </w:rPr>
            </w:pPr>
            <w:r>
              <w:rPr>
                <w:rFonts w:hint="eastAsia" w:ascii="Times New Roman" w:hAnsi="Times New Roman"/>
                <w:szCs w:val="21"/>
              </w:rPr>
              <w:t>3.5 2θ具有低角度衍射附件，2θ扫描范围：≥-10°～160°</w:t>
            </w:r>
          </w:p>
          <w:p>
            <w:pPr>
              <w:spacing w:line="240" w:lineRule="auto"/>
              <w:ind w:firstLine="210" w:firstLineChars="100"/>
              <w:rPr>
                <w:rFonts w:hint="eastAsia" w:ascii="Times New Roman" w:hAnsi="Times New Roman"/>
                <w:szCs w:val="21"/>
              </w:rPr>
            </w:pPr>
            <w:r>
              <w:rPr>
                <w:rFonts w:hint="eastAsia" w:ascii="Times New Roman" w:hAnsi="Times New Roman"/>
                <w:szCs w:val="21"/>
              </w:rPr>
              <w:t>3.6采用智能虚拟测角仪全自动控制，硬件自动识别、自动纠错</w:t>
            </w:r>
          </w:p>
          <w:p>
            <w:pPr>
              <w:spacing w:line="240" w:lineRule="auto"/>
              <w:ind w:firstLine="210" w:firstLineChars="100"/>
              <w:rPr>
                <w:rFonts w:hint="eastAsia" w:ascii="Times New Roman" w:hAnsi="Times New Roman"/>
                <w:szCs w:val="21"/>
              </w:rPr>
            </w:pPr>
            <w:r>
              <w:rPr>
                <w:rFonts w:hint="eastAsia" w:ascii="Times New Roman" w:hAnsi="Times New Roman"/>
                <w:szCs w:val="21"/>
              </w:rPr>
              <w:t>3.7配置内置式角度计管道护罩</w:t>
            </w:r>
          </w:p>
          <w:p>
            <w:pPr>
              <w:spacing w:line="240" w:lineRule="auto"/>
              <w:ind w:firstLine="210" w:firstLineChars="100"/>
              <w:rPr>
                <w:rFonts w:hint="eastAsia" w:ascii="Times New Roman" w:hAnsi="Times New Roman"/>
                <w:szCs w:val="21"/>
              </w:rPr>
            </w:pPr>
            <w:r>
              <w:rPr>
                <w:rFonts w:hint="eastAsia" w:ascii="Times New Roman" w:hAnsi="Times New Roman"/>
                <w:szCs w:val="21"/>
              </w:rPr>
              <w:t>4.光路部分</w:t>
            </w:r>
          </w:p>
          <w:p>
            <w:pPr>
              <w:spacing w:line="240" w:lineRule="auto"/>
              <w:ind w:firstLine="210" w:firstLineChars="100"/>
              <w:rPr>
                <w:rFonts w:hint="eastAsia" w:ascii="Times New Roman" w:hAnsi="Times New Roman"/>
                <w:szCs w:val="21"/>
              </w:rPr>
            </w:pPr>
            <w:r>
              <w:rPr>
                <w:rFonts w:hint="eastAsia" w:ascii="Times New Roman" w:hAnsi="Times New Roman"/>
                <w:szCs w:val="21"/>
              </w:rPr>
              <w:t>4.1 所有附件均采用模块化设计，安装、拆卸方便；</w:t>
            </w:r>
          </w:p>
          <w:p>
            <w:pPr>
              <w:spacing w:line="240" w:lineRule="auto"/>
              <w:ind w:firstLine="210" w:firstLineChars="100"/>
              <w:rPr>
                <w:rFonts w:hint="eastAsia" w:ascii="Times New Roman" w:hAnsi="Times New Roman"/>
                <w:szCs w:val="21"/>
              </w:rPr>
            </w:pPr>
            <w:r>
              <w:rPr>
                <w:rFonts w:hint="eastAsia" w:ascii="Times New Roman" w:hAnsi="Times New Roman"/>
                <w:szCs w:val="21"/>
              </w:rPr>
              <w:t>4.2 所有附件智能芯片识别、双光学编码自动精确定位，自动调节光路；</w:t>
            </w:r>
          </w:p>
          <w:p>
            <w:pPr>
              <w:spacing w:line="240" w:lineRule="auto"/>
              <w:ind w:firstLine="210" w:firstLineChars="100"/>
              <w:rPr>
                <w:rFonts w:hint="eastAsia" w:ascii="Times New Roman" w:hAnsi="Times New Roman"/>
                <w:szCs w:val="21"/>
              </w:rPr>
            </w:pPr>
            <w:r>
              <w:rPr>
                <w:rFonts w:hint="eastAsia" w:ascii="Times New Roman" w:hAnsi="Times New Roman"/>
                <w:szCs w:val="21"/>
              </w:rPr>
              <w:t>4.3 配有防散射单元等，降低低角度背景；</w:t>
            </w:r>
          </w:p>
          <w:p>
            <w:pPr>
              <w:spacing w:line="240" w:lineRule="auto"/>
              <w:ind w:firstLine="210" w:firstLineChars="100"/>
              <w:rPr>
                <w:rFonts w:hint="eastAsia" w:ascii="Times New Roman" w:hAnsi="Times New Roman"/>
                <w:szCs w:val="21"/>
              </w:rPr>
            </w:pPr>
            <w:r>
              <w:rPr>
                <w:rFonts w:hint="eastAsia" w:ascii="Times New Roman" w:hAnsi="Times New Roman"/>
                <w:szCs w:val="21"/>
              </w:rPr>
              <w:t>5.基本光学部分</w:t>
            </w:r>
          </w:p>
          <w:p>
            <w:pPr>
              <w:spacing w:line="240" w:lineRule="auto"/>
              <w:ind w:firstLine="210" w:firstLineChars="100"/>
              <w:rPr>
                <w:rFonts w:hint="eastAsia" w:ascii="Times New Roman" w:hAnsi="Times New Roman"/>
                <w:szCs w:val="21"/>
              </w:rPr>
            </w:pPr>
            <w:r>
              <w:rPr>
                <w:rFonts w:hint="eastAsia" w:ascii="Times New Roman" w:hAnsi="Times New Roman"/>
                <w:szCs w:val="21"/>
              </w:rPr>
              <w:t>5.1光学系统包括：光源，光路自动调节系统，索拉狭缝，发散狭缝，防反射狭缝，接收狭缝，探测器透射光路部分等。</w:t>
            </w:r>
          </w:p>
          <w:p>
            <w:pPr>
              <w:spacing w:line="240" w:lineRule="auto"/>
              <w:ind w:firstLine="210" w:firstLineChars="100"/>
              <w:rPr>
                <w:rFonts w:hint="eastAsia" w:ascii="Times New Roman" w:hAnsi="Times New Roman"/>
                <w:szCs w:val="21"/>
              </w:rPr>
            </w:pPr>
            <w:r>
              <w:rPr>
                <w:rFonts w:hint="eastAsia" w:ascii="Times New Roman" w:hAnsi="Times New Roman"/>
                <w:szCs w:val="21"/>
              </w:rPr>
              <w:t>5.2配置狭缝系统和索拉狭缝系统，狭缝系统调节范围可适用不同样品种类：自动入射狭缝调节范围至少能覆盖：1mm-7mm；</w:t>
            </w:r>
          </w:p>
          <w:p>
            <w:pPr>
              <w:spacing w:line="240" w:lineRule="auto"/>
              <w:ind w:firstLine="210" w:firstLineChars="100"/>
              <w:rPr>
                <w:rFonts w:hint="eastAsia" w:ascii="Times New Roman" w:hAnsi="Times New Roman"/>
                <w:szCs w:val="21"/>
              </w:rPr>
            </w:pPr>
            <w:r>
              <w:rPr>
                <w:rFonts w:hint="eastAsia" w:ascii="Times New Roman" w:hAnsi="Times New Roman"/>
                <w:szCs w:val="21"/>
              </w:rPr>
              <w:t>5.3 提供原位微量样品台：配置样品台可满足微量样品的测试，也可完成负方向调节，调节范围≥6mm，完成多种类样品测试。</w:t>
            </w:r>
          </w:p>
          <w:p>
            <w:pPr>
              <w:spacing w:line="240" w:lineRule="auto"/>
              <w:ind w:firstLine="210" w:firstLineChars="100"/>
              <w:rPr>
                <w:rFonts w:hint="eastAsia" w:ascii="Times New Roman" w:hAnsi="Times New Roman"/>
                <w:szCs w:val="21"/>
              </w:rPr>
            </w:pPr>
            <w:r>
              <w:rPr>
                <w:rFonts w:hint="eastAsia" w:ascii="Times New Roman" w:hAnsi="Times New Roman"/>
                <w:szCs w:val="21"/>
              </w:rPr>
              <w:t>6.微区系统</w:t>
            </w:r>
          </w:p>
          <w:p>
            <w:pPr>
              <w:spacing w:line="240" w:lineRule="auto"/>
              <w:ind w:firstLine="210" w:firstLineChars="100"/>
              <w:rPr>
                <w:rFonts w:hint="eastAsia" w:ascii="Times New Roman" w:hAnsi="Times New Roman"/>
                <w:szCs w:val="21"/>
              </w:rPr>
            </w:pPr>
            <w:r>
              <w:rPr>
                <w:rFonts w:hint="eastAsia" w:ascii="Times New Roman" w:hAnsi="Times New Roman"/>
                <w:szCs w:val="21"/>
              </w:rPr>
              <w:t>6.1配置CCD，双激光自动定位，能够对材料进行不同位置区域，微区系统采用多丝聚焦镜，保证样品（光斑到达样品的距离在0.5mm）进行微区分析。高倍率相机实现微区Mapping和自动聚焦（样品位置调节），摄影范围：X 2.9 mm、Y 2.1 mm（光学倍率为最大倍率3×3摄影时）与XYZ台结合使用时，可在相机视图画面上输入Mapping条件；使用相机自动调节样品位置（高度调节）的功能。</w:t>
            </w:r>
          </w:p>
          <w:p>
            <w:pPr>
              <w:spacing w:line="240" w:lineRule="auto"/>
              <w:ind w:firstLine="210" w:firstLineChars="100"/>
              <w:rPr>
                <w:rFonts w:hint="eastAsia" w:ascii="Times New Roman" w:hAnsi="Times New Roman"/>
                <w:szCs w:val="21"/>
              </w:rPr>
            </w:pPr>
            <w:r>
              <w:rPr>
                <w:rFonts w:hint="eastAsia" w:ascii="Times New Roman" w:hAnsi="Times New Roman"/>
                <w:szCs w:val="21"/>
              </w:rPr>
              <w:t>★6.2配置多丝聚焦微区附件：汇聚到样品表面的最小光斑≤500μm；</w:t>
            </w:r>
          </w:p>
          <w:p>
            <w:pPr>
              <w:spacing w:line="240" w:lineRule="auto"/>
              <w:ind w:firstLine="210" w:firstLineChars="100"/>
              <w:rPr>
                <w:rFonts w:hint="eastAsia" w:ascii="Times New Roman" w:hAnsi="Times New Roman"/>
                <w:szCs w:val="21"/>
              </w:rPr>
            </w:pPr>
            <w:r>
              <w:rPr>
                <w:rFonts w:hint="eastAsia" w:ascii="Times New Roman" w:hAnsi="Times New Roman"/>
                <w:szCs w:val="21"/>
              </w:rPr>
              <w:t xml:space="preserve">7.平行光附件 </w:t>
            </w:r>
          </w:p>
          <w:p>
            <w:pPr>
              <w:spacing w:line="240" w:lineRule="auto"/>
              <w:ind w:firstLine="210" w:firstLineChars="100"/>
              <w:rPr>
                <w:rFonts w:hint="eastAsia" w:ascii="Times New Roman" w:hAnsi="Times New Roman"/>
                <w:szCs w:val="21"/>
              </w:rPr>
            </w:pPr>
            <w:r>
              <w:rPr>
                <w:rFonts w:hint="eastAsia" w:ascii="Times New Roman" w:hAnsi="Times New Roman"/>
                <w:szCs w:val="21"/>
              </w:rPr>
              <w:t>配备多层膜反射镜,进行平行光测试、平行度小于 0.026°，保证光强的和平行度，无需平板准直器，利用多层膜反射镜技术有效去除 Kβ，且平行光和聚焦光为自动切换，无需跟换附件。</w:t>
            </w:r>
          </w:p>
          <w:p>
            <w:pPr>
              <w:spacing w:line="240" w:lineRule="auto"/>
              <w:ind w:firstLine="210" w:firstLineChars="100"/>
              <w:rPr>
                <w:rFonts w:hint="eastAsia" w:ascii="Times New Roman" w:hAnsi="Times New Roman"/>
                <w:szCs w:val="21"/>
              </w:rPr>
            </w:pPr>
            <w:r>
              <w:rPr>
                <w:rFonts w:hint="eastAsia" w:ascii="Times New Roman" w:hAnsi="Times New Roman"/>
                <w:szCs w:val="21"/>
              </w:rPr>
              <w:t xml:space="preserve">8小角散射单元 </w:t>
            </w:r>
          </w:p>
          <w:p>
            <w:pPr>
              <w:spacing w:line="240" w:lineRule="auto"/>
              <w:ind w:firstLine="210" w:firstLineChars="100"/>
              <w:rPr>
                <w:rFonts w:hint="eastAsia" w:ascii="Times New Roman" w:hAnsi="Times New Roman"/>
                <w:szCs w:val="21"/>
              </w:rPr>
            </w:pPr>
            <w:r>
              <w:rPr>
                <w:rFonts w:hint="eastAsia" w:ascii="Times New Roman" w:hAnsi="Times New Roman"/>
                <w:szCs w:val="21"/>
              </w:rPr>
              <w:t xml:space="preserve">8.1 小角散射模块，配置小角散射专业样品架，纤维样品台。 </w:t>
            </w:r>
          </w:p>
          <w:p>
            <w:pPr>
              <w:spacing w:line="240" w:lineRule="auto"/>
              <w:ind w:firstLine="210" w:firstLineChars="100"/>
              <w:rPr>
                <w:rFonts w:hint="eastAsia" w:ascii="Times New Roman" w:hAnsi="Times New Roman"/>
                <w:szCs w:val="21"/>
              </w:rPr>
            </w:pPr>
            <w:r>
              <w:rPr>
                <w:rFonts w:hint="eastAsia" w:ascii="Times New Roman" w:hAnsi="Times New Roman"/>
                <w:szCs w:val="21"/>
              </w:rPr>
              <w:t xml:space="preserve">8.2 小角散射专用软件：可进行粒径分析、胶体和乳浊液的分散度分析、长周期分析、 孔径解析、聚合物等进行测试等，纳米粒度，孔径大小及分布计算，支持粒子模拟拟合。 </w:t>
            </w:r>
          </w:p>
          <w:p>
            <w:pPr>
              <w:spacing w:line="240" w:lineRule="auto"/>
              <w:ind w:firstLine="210" w:firstLineChars="100"/>
              <w:rPr>
                <w:rFonts w:hint="eastAsia" w:ascii="Times New Roman" w:hAnsi="Times New Roman"/>
                <w:szCs w:val="21"/>
              </w:rPr>
            </w:pPr>
            <w:r>
              <w:rPr>
                <w:rFonts w:hint="eastAsia" w:ascii="Times New Roman" w:hAnsi="Times New Roman"/>
                <w:szCs w:val="21"/>
              </w:rPr>
              <w:t xml:space="preserve">★8.3 真空光路：抽真空，排除光路中空气散射干扰和吸收干扰 </w:t>
            </w:r>
          </w:p>
          <w:p>
            <w:pPr>
              <w:spacing w:line="240" w:lineRule="auto"/>
              <w:ind w:firstLine="210" w:firstLineChars="100"/>
              <w:rPr>
                <w:rFonts w:hint="eastAsia" w:ascii="Times New Roman" w:hAnsi="Times New Roman"/>
                <w:szCs w:val="21"/>
              </w:rPr>
            </w:pPr>
            <w:r>
              <w:rPr>
                <w:rFonts w:hint="eastAsia" w:ascii="Times New Roman" w:hAnsi="Times New Roman"/>
                <w:szCs w:val="21"/>
              </w:rPr>
              <w:t xml:space="preserve">8.4 小角散射测量时，探测器支持一维线性谱图扫描和二维谱图扫描。 </w:t>
            </w:r>
          </w:p>
          <w:p>
            <w:pPr>
              <w:spacing w:line="240" w:lineRule="auto"/>
              <w:ind w:firstLine="210" w:firstLineChars="100"/>
              <w:rPr>
                <w:rFonts w:hint="eastAsia" w:ascii="Times New Roman" w:hAnsi="Times New Roman"/>
                <w:szCs w:val="21"/>
              </w:rPr>
            </w:pPr>
            <w:r>
              <w:rPr>
                <w:rFonts w:hint="eastAsia" w:ascii="Times New Roman" w:hAnsi="Times New Roman"/>
                <w:szCs w:val="21"/>
              </w:rPr>
              <w:t>9.软件部分</w:t>
            </w:r>
          </w:p>
          <w:p>
            <w:pPr>
              <w:spacing w:line="240" w:lineRule="auto"/>
              <w:ind w:firstLine="210" w:firstLineChars="100"/>
              <w:rPr>
                <w:rFonts w:hint="eastAsia" w:ascii="Times New Roman" w:hAnsi="Times New Roman"/>
                <w:szCs w:val="21"/>
              </w:rPr>
            </w:pPr>
            <w:r>
              <w:rPr>
                <w:rFonts w:hint="eastAsia" w:ascii="Times New Roman" w:hAnsi="Times New Roman"/>
                <w:szCs w:val="21"/>
              </w:rPr>
              <w:t>9.1数据处理软件:包括定性分析软件、无标样定量分析软件、结构精修及粉末衍射解结构软件、物相检索软件、图谱处理,包括:平滑,背景扣除,寻峰,点阵参数精密化,晶粒大小与晶胞畸变，结晶度分析，精修等</w:t>
            </w:r>
          </w:p>
          <w:p>
            <w:pPr>
              <w:spacing w:line="240" w:lineRule="auto"/>
              <w:ind w:firstLine="210" w:firstLineChars="100"/>
              <w:rPr>
                <w:rFonts w:hint="eastAsia" w:ascii="Times New Roman" w:hAnsi="Times New Roman"/>
                <w:szCs w:val="21"/>
              </w:rPr>
            </w:pPr>
            <w:r>
              <w:rPr>
                <w:rFonts w:hint="eastAsia" w:ascii="Times New Roman" w:hAnsi="Times New Roman"/>
                <w:szCs w:val="21"/>
              </w:rPr>
              <w:t>9.2 提供人机指导软件，指导试验人员硬件设施的搭载。</w:t>
            </w:r>
          </w:p>
          <w:p>
            <w:pPr>
              <w:spacing w:line="240" w:lineRule="auto"/>
              <w:ind w:firstLine="210" w:firstLineChars="100"/>
              <w:rPr>
                <w:rFonts w:hint="eastAsia" w:ascii="Times New Roman" w:hAnsi="Times New Roman"/>
                <w:szCs w:val="21"/>
              </w:rPr>
            </w:pPr>
            <w:r>
              <w:rPr>
                <w:rFonts w:hint="eastAsia" w:ascii="Times New Roman" w:hAnsi="Times New Roman"/>
                <w:szCs w:val="21"/>
              </w:rPr>
              <w:t>10 服务质量保证</w:t>
            </w:r>
          </w:p>
          <w:p>
            <w:pPr>
              <w:spacing w:line="240" w:lineRule="auto"/>
              <w:ind w:firstLine="210" w:firstLineChars="100"/>
              <w:rPr>
                <w:rFonts w:hint="eastAsia" w:ascii="Times New Roman" w:hAnsi="Times New Roman"/>
                <w:szCs w:val="21"/>
              </w:rPr>
            </w:pPr>
            <w:r>
              <w:rPr>
                <w:rFonts w:hint="eastAsia" w:ascii="Times New Roman" w:hAnsi="Times New Roman"/>
                <w:szCs w:val="21"/>
              </w:rPr>
              <w:t xml:space="preserve">培训、安装、技术文件：国内培训用户操作人员2人，免费安装调试及现场培训、同时提供有关的全套技术文件； </w:t>
            </w:r>
          </w:p>
          <w:p>
            <w:pPr>
              <w:spacing w:line="240" w:lineRule="auto"/>
              <w:ind w:firstLine="210" w:firstLineChars="100"/>
              <w:rPr>
                <w:rFonts w:hint="eastAsia" w:ascii="宋体" w:hAnsi="宋体" w:eastAsia="宋体" w:cs="宋体"/>
                <w:i w:val="0"/>
                <w:iCs w:val="0"/>
                <w:color w:val="auto"/>
                <w:sz w:val="21"/>
                <w:szCs w:val="21"/>
                <w:highlight w:val="none"/>
                <w:u w:val="none"/>
              </w:rPr>
            </w:pPr>
            <w:r>
              <w:rPr>
                <w:rFonts w:hint="eastAsia" w:ascii="Times New Roman" w:hAnsi="Times New Roman"/>
                <w:szCs w:val="21"/>
              </w:rPr>
              <w:t>技术服务：在国内有维修中心，有专职 XRD 的维修工程师，有备品备件库。由专业人员 4 小时内响应，24 小时内提出具体解决方案，5 个工作日内专业技术人员上门现场解决，使设备尽快恢复正常</w:t>
            </w:r>
          </w:p>
        </w:tc>
      </w:tr>
    </w:tbl>
    <w:p>
      <w:pPr>
        <w:rPr>
          <w:rFonts w:hint="eastAsia" w:ascii="宋体" w:hAnsi="宋体" w:eastAsia="宋体" w:cs="宋体"/>
          <w:b/>
          <w:bCs/>
          <w:color w:val="000000"/>
          <w:sz w:val="22"/>
          <w:szCs w:val="21"/>
        </w:rPr>
      </w:pPr>
      <w:r>
        <w:rPr>
          <w:rFonts w:hint="eastAsia" w:ascii="宋体" w:hAnsi="宋体" w:eastAsia="宋体" w:cs="宋体"/>
          <w:b/>
          <w:bCs/>
          <w:color w:val="000000"/>
          <w:sz w:val="22"/>
          <w:szCs w:val="21"/>
        </w:rPr>
        <w:t>包</w:t>
      </w:r>
      <w:r>
        <w:rPr>
          <w:rFonts w:hint="eastAsia" w:ascii="宋体" w:hAnsi="宋体" w:cs="宋体"/>
          <w:b/>
          <w:bCs/>
          <w:color w:val="000000"/>
          <w:sz w:val="22"/>
          <w:szCs w:val="21"/>
          <w:lang w:val="en-US" w:eastAsia="zh-CN"/>
        </w:rPr>
        <w:t>5</w:t>
      </w:r>
      <w:r>
        <w:rPr>
          <w:rFonts w:hint="eastAsia" w:ascii="宋体" w:hAnsi="宋体" w:eastAsia="宋体" w:cs="宋体"/>
          <w:b/>
          <w:bCs/>
          <w:color w:val="000000"/>
          <w:sz w:val="22"/>
          <w:szCs w:val="21"/>
        </w:rPr>
        <w:t xml:space="preserve">    是否接受进口产品：是</w:t>
      </w:r>
    </w:p>
    <w:tbl>
      <w:tblPr>
        <w:tblStyle w:val="48"/>
        <w:tblW w:w="8858"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76"/>
        <w:gridCol w:w="1064"/>
        <w:gridCol w:w="654"/>
        <w:gridCol w:w="505"/>
        <w:gridCol w:w="485"/>
        <w:gridCol w:w="5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476"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06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货物名称</w:t>
            </w:r>
          </w:p>
        </w:tc>
        <w:tc>
          <w:tcPr>
            <w:tcW w:w="65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是否进口</w:t>
            </w:r>
          </w:p>
        </w:tc>
        <w:tc>
          <w:tcPr>
            <w:tcW w:w="505"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485"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67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原位红外光谱仪</w:t>
            </w:r>
          </w:p>
        </w:tc>
        <w:tc>
          <w:tcPr>
            <w:tcW w:w="654"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是</w:t>
            </w:r>
          </w:p>
        </w:tc>
        <w:tc>
          <w:tcPr>
            <w:tcW w:w="50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674" w:type="dxa"/>
            <w:shd w:val="clear" w:color="auto" w:fill="auto"/>
            <w:vAlign w:val="center"/>
          </w:tcPr>
          <w:p>
            <w:pPr>
              <w:spacing w:line="240" w:lineRule="auto"/>
              <w:ind w:firstLine="210" w:firstLineChars="100"/>
              <w:rPr>
                <w:rFonts w:hint="eastAsia" w:ascii="Times New Roman" w:hAnsi="Times New Roman"/>
                <w:szCs w:val="21"/>
              </w:rPr>
            </w:pPr>
            <w:r>
              <w:rPr>
                <w:rFonts w:hint="eastAsia" w:ascii="Times New Roman" w:hAnsi="Times New Roman"/>
                <w:szCs w:val="21"/>
              </w:rPr>
              <w:t>1 光学性能:</w:t>
            </w:r>
          </w:p>
          <w:p>
            <w:pPr>
              <w:spacing w:line="240" w:lineRule="auto"/>
              <w:ind w:firstLine="210" w:firstLineChars="100"/>
              <w:rPr>
                <w:rFonts w:hint="eastAsia" w:ascii="Times New Roman" w:hAnsi="Times New Roman"/>
                <w:szCs w:val="21"/>
              </w:rPr>
            </w:pPr>
            <w:r>
              <w:rPr>
                <w:rFonts w:hint="eastAsia" w:ascii="Times New Roman" w:hAnsi="Times New Roman"/>
                <w:szCs w:val="21"/>
              </w:rPr>
              <w:t>1.1 波长范围：7800-350cm-1</w:t>
            </w:r>
          </w:p>
          <w:p>
            <w:pPr>
              <w:spacing w:line="240" w:lineRule="auto"/>
              <w:ind w:firstLine="210" w:firstLineChars="100"/>
              <w:rPr>
                <w:rFonts w:hint="eastAsia" w:ascii="Times New Roman" w:hAnsi="Times New Roman"/>
                <w:szCs w:val="21"/>
              </w:rPr>
            </w:pPr>
            <w:r>
              <w:rPr>
                <w:rFonts w:hint="eastAsia" w:ascii="Times New Roman" w:hAnsi="Times New Roman"/>
                <w:szCs w:val="21"/>
              </w:rPr>
              <w:t>1.2 光谱分辨率：优于0.28cm-1</w:t>
            </w:r>
          </w:p>
          <w:p>
            <w:pPr>
              <w:spacing w:line="240" w:lineRule="auto"/>
              <w:ind w:firstLine="210" w:firstLineChars="100"/>
              <w:rPr>
                <w:rFonts w:hint="eastAsia" w:ascii="Times New Roman" w:hAnsi="Times New Roman"/>
                <w:szCs w:val="21"/>
              </w:rPr>
            </w:pPr>
            <w:r>
              <w:rPr>
                <w:rFonts w:hint="eastAsia" w:ascii="Times New Roman" w:hAnsi="Times New Roman"/>
                <w:szCs w:val="21"/>
              </w:rPr>
              <w:t>1.3 波数精度：优于0.0005 cm-1</w:t>
            </w:r>
          </w:p>
          <w:p>
            <w:pPr>
              <w:spacing w:line="240" w:lineRule="auto"/>
              <w:ind w:firstLine="210" w:firstLineChars="100"/>
              <w:rPr>
                <w:rFonts w:hint="eastAsia" w:ascii="Times New Roman" w:hAnsi="Times New Roman"/>
                <w:szCs w:val="21"/>
              </w:rPr>
            </w:pPr>
            <w:r>
              <w:rPr>
                <w:rFonts w:hint="eastAsia" w:ascii="Times New Roman" w:hAnsi="Times New Roman"/>
                <w:szCs w:val="21"/>
              </w:rPr>
              <w:t>★1.4 信噪比：280000：1（1分钟测试，4cm-1分辨率，DTGS检测器，RMS）</w:t>
            </w:r>
          </w:p>
          <w:p>
            <w:pPr>
              <w:spacing w:line="240" w:lineRule="auto"/>
              <w:ind w:firstLine="210" w:firstLineChars="100"/>
              <w:rPr>
                <w:rFonts w:hint="eastAsia" w:ascii="Times New Roman" w:hAnsi="Times New Roman"/>
                <w:szCs w:val="21"/>
              </w:rPr>
            </w:pPr>
            <w:r>
              <w:rPr>
                <w:rFonts w:hint="eastAsia" w:ascii="Times New Roman" w:hAnsi="Times New Roman"/>
                <w:szCs w:val="21"/>
              </w:rPr>
              <w:t xml:space="preserve">           或58000：1（1分钟测试，4cm-1分辨率，DTGS检测器，峰峰值）</w:t>
            </w:r>
          </w:p>
          <w:p>
            <w:pPr>
              <w:spacing w:line="240" w:lineRule="auto"/>
              <w:ind w:firstLine="210" w:firstLineChars="100"/>
              <w:rPr>
                <w:rFonts w:hint="eastAsia" w:ascii="Times New Roman" w:hAnsi="Times New Roman"/>
                <w:szCs w:val="21"/>
              </w:rPr>
            </w:pPr>
            <w:r>
              <w:rPr>
                <w:rFonts w:hint="eastAsia" w:ascii="Times New Roman" w:hAnsi="Times New Roman"/>
                <w:szCs w:val="21"/>
              </w:rPr>
              <w:t>1.5 快速扫描信噪比：2000:1（16cm-1分辨率，不低于每秒钟20张光谱的扫描速度，不大于50ms时间内的单次扫描，峰-峰值，MCT检测器）</w:t>
            </w:r>
          </w:p>
          <w:p>
            <w:pPr>
              <w:spacing w:line="240" w:lineRule="auto"/>
              <w:ind w:firstLine="210" w:firstLineChars="100"/>
              <w:rPr>
                <w:rFonts w:hint="eastAsia" w:ascii="Times New Roman" w:hAnsi="Times New Roman"/>
                <w:szCs w:val="21"/>
              </w:rPr>
            </w:pPr>
            <w:r>
              <w:rPr>
                <w:rFonts w:hint="eastAsia" w:ascii="Times New Roman" w:hAnsi="Times New Roman"/>
                <w:szCs w:val="21"/>
              </w:rPr>
              <w:t>1.5 纵坐标线性度：≤0.05%T（ASTM1421方法，4cm-1光谱分辨率下对0.0%T的偏离）</w:t>
            </w:r>
          </w:p>
          <w:p>
            <w:pPr>
              <w:spacing w:line="240" w:lineRule="auto"/>
              <w:ind w:firstLine="210" w:firstLineChars="100"/>
              <w:rPr>
                <w:rFonts w:hint="eastAsia" w:ascii="Times New Roman" w:hAnsi="Times New Roman"/>
                <w:szCs w:val="21"/>
              </w:rPr>
            </w:pPr>
            <w:r>
              <w:rPr>
                <w:rFonts w:hint="eastAsia" w:ascii="Times New Roman" w:hAnsi="Times New Roman"/>
                <w:szCs w:val="21"/>
              </w:rPr>
              <w:t>1.6 扫描速度：扫描速度：20张谱图/秒（16 cm-1分辨率），连接红外图像后可达80张谱图/秒</w:t>
            </w:r>
          </w:p>
          <w:p>
            <w:pPr>
              <w:spacing w:line="240" w:lineRule="auto"/>
              <w:ind w:firstLine="210" w:firstLineChars="100"/>
              <w:rPr>
                <w:rFonts w:hint="eastAsia" w:ascii="Times New Roman" w:hAnsi="Times New Roman"/>
                <w:szCs w:val="21"/>
              </w:rPr>
            </w:pPr>
            <w:r>
              <w:rPr>
                <w:rFonts w:hint="eastAsia" w:ascii="Times New Roman" w:hAnsi="Times New Roman"/>
                <w:szCs w:val="21"/>
              </w:rPr>
              <w:t>2 光学系统:</w:t>
            </w:r>
          </w:p>
          <w:p>
            <w:pPr>
              <w:spacing w:line="240" w:lineRule="auto"/>
              <w:ind w:firstLine="210" w:firstLineChars="100"/>
              <w:rPr>
                <w:rFonts w:hint="eastAsia" w:ascii="Times New Roman" w:hAnsi="Times New Roman"/>
                <w:szCs w:val="21"/>
              </w:rPr>
            </w:pPr>
            <w:r>
              <w:rPr>
                <w:rFonts w:hint="eastAsia" w:ascii="Times New Roman" w:hAnsi="Times New Roman"/>
                <w:szCs w:val="21"/>
              </w:rPr>
              <w:t>2.1 光学台：密封、干燥光学台，检测器感光元件的封装窗片应为防潮型红外光学窗片。若封装窗片做不到防潮，可以在样品仓两侧壁上的两个光孔也应用特种镀膜盐片密封，而非直接暴露于空气中，以更好地保护湿敏元件，具有防尘作用，并降低空气吸收变化带来的影响。光学台应与底盘隔离，具有较好的防震性能。</w:t>
            </w:r>
          </w:p>
          <w:p>
            <w:pPr>
              <w:spacing w:line="240" w:lineRule="auto"/>
              <w:ind w:firstLine="210" w:firstLineChars="100"/>
              <w:rPr>
                <w:rFonts w:hint="eastAsia" w:ascii="Times New Roman" w:hAnsi="Times New Roman"/>
                <w:szCs w:val="21"/>
              </w:rPr>
            </w:pPr>
            <w:r>
              <w:rPr>
                <w:rFonts w:hint="eastAsia" w:ascii="Times New Roman" w:hAnsi="Times New Roman"/>
                <w:szCs w:val="21"/>
              </w:rPr>
              <w:t>2.2 干涉仪：动态准直（可以实现自动准直和实时准直）。由仪器自动完成，无需任何手动调节。开机后只需很短的预热时间，就能进行稳定的测试。同时具有极佳的长期稳定性和可重复性</w:t>
            </w:r>
          </w:p>
          <w:p>
            <w:pPr>
              <w:spacing w:line="240" w:lineRule="auto"/>
              <w:ind w:firstLine="210" w:firstLineChars="100"/>
              <w:rPr>
                <w:rFonts w:hint="eastAsia" w:ascii="Times New Roman" w:hAnsi="Times New Roman"/>
                <w:szCs w:val="21"/>
              </w:rPr>
            </w:pPr>
            <w:r>
              <w:rPr>
                <w:rFonts w:hint="eastAsia" w:ascii="Times New Roman" w:hAnsi="Times New Roman"/>
                <w:szCs w:val="21"/>
              </w:rPr>
              <w:t>2.3光学系统：零校准光学系统，采用永久准直光路设计，无需在使用过程中进行人工调整。</w:t>
            </w:r>
          </w:p>
          <w:p>
            <w:pPr>
              <w:spacing w:line="240" w:lineRule="auto"/>
              <w:ind w:firstLine="210" w:firstLineChars="100"/>
              <w:rPr>
                <w:rFonts w:hint="eastAsia" w:ascii="Times New Roman" w:hAnsi="Times New Roman"/>
                <w:szCs w:val="21"/>
              </w:rPr>
            </w:pPr>
            <w:r>
              <w:rPr>
                <w:rFonts w:hint="eastAsia" w:ascii="Times New Roman" w:hAnsi="Times New Roman"/>
                <w:szCs w:val="21"/>
              </w:rPr>
              <w:t>★2.4 红外光源：高强度中远红外陶瓷光源。</w:t>
            </w:r>
          </w:p>
          <w:p>
            <w:pPr>
              <w:spacing w:line="240" w:lineRule="auto"/>
              <w:ind w:firstLine="210" w:firstLineChars="100"/>
              <w:rPr>
                <w:rFonts w:hint="eastAsia" w:ascii="Times New Roman" w:hAnsi="Times New Roman"/>
                <w:szCs w:val="21"/>
              </w:rPr>
            </w:pPr>
            <w:r>
              <w:rPr>
                <w:rFonts w:hint="eastAsia" w:ascii="Times New Roman" w:hAnsi="Times New Roman"/>
                <w:szCs w:val="21"/>
              </w:rPr>
              <w:t>★2.5 检测器：控温型高灵敏度DLATGS检测器+MCT检测器</w:t>
            </w:r>
          </w:p>
          <w:p>
            <w:pPr>
              <w:spacing w:line="240" w:lineRule="auto"/>
              <w:ind w:firstLine="210" w:firstLineChars="100"/>
              <w:rPr>
                <w:rFonts w:hint="eastAsia" w:ascii="Times New Roman" w:hAnsi="Times New Roman"/>
                <w:szCs w:val="21"/>
              </w:rPr>
            </w:pPr>
            <w:r>
              <w:rPr>
                <w:rFonts w:hint="eastAsia" w:ascii="Times New Roman" w:hAnsi="Times New Roman"/>
                <w:szCs w:val="21"/>
              </w:rPr>
              <w:t>2.6 分束器：KBr分束器。</w:t>
            </w:r>
          </w:p>
          <w:p>
            <w:pPr>
              <w:spacing w:line="240" w:lineRule="auto"/>
              <w:ind w:firstLine="210" w:firstLineChars="100"/>
              <w:rPr>
                <w:rFonts w:hint="eastAsia" w:ascii="Times New Roman" w:hAnsi="Times New Roman"/>
                <w:szCs w:val="21"/>
              </w:rPr>
            </w:pPr>
            <w:r>
              <w:rPr>
                <w:rFonts w:hint="eastAsia" w:ascii="Times New Roman" w:hAnsi="Times New Roman"/>
                <w:szCs w:val="21"/>
              </w:rPr>
              <w:t>2.7 干燥性能：仪器内置长寿命高效自动电子除湿装置（高分子电解薄膜除湿原理），同时采用密闭干涉仪设计，防潮镀层分束器，再加上常规的干燥剂。确保仪器内部干燥，保证了干涉仪的长期稳定和分束器寿命。</w:t>
            </w:r>
          </w:p>
          <w:p>
            <w:pPr>
              <w:spacing w:line="240" w:lineRule="auto"/>
              <w:ind w:firstLine="210" w:firstLineChars="100"/>
              <w:rPr>
                <w:rFonts w:hint="eastAsia" w:ascii="Times New Roman" w:hAnsi="Times New Roman"/>
                <w:szCs w:val="21"/>
              </w:rPr>
            </w:pPr>
            <w:r>
              <w:rPr>
                <w:rFonts w:hint="eastAsia" w:ascii="Times New Roman" w:hAnsi="Times New Roman"/>
                <w:szCs w:val="21"/>
              </w:rPr>
              <w:t>2.8 导入光束窗口：外部导入光束窗口可选</w:t>
            </w:r>
          </w:p>
          <w:p>
            <w:pPr>
              <w:spacing w:line="240" w:lineRule="auto"/>
              <w:ind w:firstLine="210" w:firstLineChars="100"/>
              <w:rPr>
                <w:rFonts w:hint="eastAsia" w:ascii="Times New Roman" w:hAnsi="Times New Roman"/>
                <w:szCs w:val="21"/>
              </w:rPr>
            </w:pPr>
            <w:r>
              <w:rPr>
                <w:rFonts w:hint="eastAsia" w:ascii="Times New Roman" w:hAnsi="Times New Roman"/>
                <w:szCs w:val="21"/>
              </w:rPr>
              <w:t>2.9 系统性能认证：内置标准集成的NIST可溯源标准聚苯乙烯和用于横坐标重复性校验的NG-11滤光片的自动验证系统。</w:t>
            </w:r>
          </w:p>
          <w:p>
            <w:pPr>
              <w:spacing w:line="240" w:lineRule="auto"/>
              <w:ind w:firstLine="210" w:firstLineChars="100"/>
              <w:rPr>
                <w:rFonts w:hint="eastAsia" w:ascii="Times New Roman" w:hAnsi="Times New Roman"/>
                <w:szCs w:val="21"/>
              </w:rPr>
            </w:pPr>
            <w:r>
              <w:rPr>
                <w:rFonts w:hint="eastAsia" w:ascii="Times New Roman" w:hAnsi="Times New Roman"/>
                <w:szCs w:val="21"/>
              </w:rPr>
              <w:t>2.10具有强大的联机功能，可实现与红外图像、红外显微镜、热失重分析仪及气相色谱等仪器的连接。</w:t>
            </w:r>
          </w:p>
          <w:p>
            <w:pPr>
              <w:spacing w:line="240" w:lineRule="auto"/>
              <w:ind w:firstLine="210" w:firstLineChars="100"/>
              <w:rPr>
                <w:rFonts w:hint="eastAsia" w:ascii="Times New Roman" w:hAnsi="Times New Roman"/>
                <w:szCs w:val="21"/>
              </w:rPr>
            </w:pPr>
            <w:r>
              <w:rPr>
                <w:rFonts w:hint="eastAsia" w:ascii="Times New Roman" w:hAnsi="Times New Roman"/>
                <w:szCs w:val="21"/>
              </w:rPr>
              <w:t>3 数据系统:</w:t>
            </w:r>
          </w:p>
          <w:p>
            <w:pPr>
              <w:spacing w:line="240" w:lineRule="auto"/>
              <w:ind w:firstLine="210" w:firstLineChars="100"/>
              <w:rPr>
                <w:rFonts w:hint="eastAsia" w:ascii="Times New Roman" w:hAnsi="Times New Roman"/>
                <w:szCs w:val="21"/>
              </w:rPr>
            </w:pPr>
            <w:r>
              <w:rPr>
                <w:rFonts w:hint="eastAsia" w:ascii="Times New Roman" w:hAnsi="Times New Roman"/>
                <w:szCs w:val="21"/>
              </w:rPr>
              <w:t>3.1 通讯接口：USB直接通讯，简单可靠。也可由TCP/IP接口直接连接或者无线网络连接。每台仪器都指定了唯一的一个IP地址，可以通过网络来控制仪器.</w:t>
            </w:r>
          </w:p>
          <w:p>
            <w:pPr>
              <w:spacing w:line="240" w:lineRule="auto"/>
              <w:ind w:firstLine="210" w:firstLineChars="100"/>
              <w:rPr>
                <w:rFonts w:hint="eastAsia" w:ascii="Times New Roman" w:hAnsi="Times New Roman"/>
                <w:szCs w:val="21"/>
              </w:rPr>
            </w:pPr>
            <w:r>
              <w:rPr>
                <w:rFonts w:hint="eastAsia" w:ascii="Times New Roman" w:hAnsi="Times New Roman"/>
                <w:szCs w:val="21"/>
              </w:rPr>
              <w:t>3.2可以内置的可溯源绝对标准（甲烷气体）来校正谱峰的形状和位置，以标准化的仪器保证测量结果的准确性、精确性、可重复性，确保数据在仪器与仪器之间比较和传递的绝对一致性</w:t>
            </w:r>
          </w:p>
          <w:p>
            <w:pPr>
              <w:spacing w:line="240" w:lineRule="auto"/>
              <w:ind w:firstLine="210" w:firstLineChars="100"/>
              <w:rPr>
                <w:rFonts w:hint="eastAsia" w:ascii="Times New Roman" w:hAnsi="Times New Roman"/>
                <w:szCs w:val="21"/>
              </w:rPr>
            </w:pPr>
            <w:r>
              <w:rPr>
                <w:rFonts w:hint="eastAsia" w:ascii="Times New Roman" w:hAnsi="Times New Roman"/>
                <w:szCs w:val="21"/>
              </w:rPr>
              <w:t>3.3自动实时扣除空气中H2O和CO2干扰背景。</w:t>
            </w:r>
          </w:p>
          <w:p>
            <w:pPr>
              <w:spacing w:line="240" w:lineRule="auto"/>
              <w:ind w:firstLine="210" w:firstLineChars="100"/>
              <w:rPr>
                <w:rFonts w:hint="eastAsia" w:ascii="Times New Roman" w:hAnsi="Times New Roman"/>
                <w:szCs w:val="21"/>
              </w:rPr>
            </w:pPr>
            <w:r>
              <w:rPr>
                <w:rFonts w:hint="eastAsia" w:ascii="Times New Roman" w:hAnsi="Times New Roman"/>
                <w:szCs w:val="21"/>
              </w:rPr>
              <w:t>3.4可在开机状态下自动采集背景，即用户无需在测试样品前还得再采集背景；自动预览背景与样品光谱图，方便监控环境与样品变化。</w:t>
            </w:r>
          </w:p>
          <w:p>
            <w:pPr>
              <w:spacing w:line="240" w:lineRule="auto"/>
              <w:ind w:firstLine="210" w:firstLineChars="100"/>
              <w:rPr>
                <w:rFonts w:hint="eastAsia" w:ascii="Times New Roman" w:hAnsi="Times New Roman"/>
                <w:szCs w:val="21"/>
              </w:rPr>
            </w:pPr>
            <w:r>
              <w:rPr>
                <w:rFonts w:hint="eastAsia" w:ascii="Times New Roman" w:hAnsi="Times New Roman"/>
                <w:szCs w:val="21"/>
              </w:rPr>
              <w:t>3.5错误追踪：所有样品光谱均根据常规光谱学和采样方式进行检查，仪器关键部件实时监测。</w:t>
            </w:r>
          </w:p>
          <w:p>
            <w:pPr>
              <w:spacing w:line="240" w:lineRule="auto"/>
              <w:ind w:firstLine="210" w:firstLineChars="100"/>
              <w:rPr>
                <w:rFonts w:hint="eastAsia" w:ascii="Times New Roman" w:hAnsi="Times New Roman"/>
                <w:szCs w:val="21"/>
              </w:rPr>
            </w:pPr>
            <w:r>
              <w:rPr>
                <w:rFonts w:hint="eastAsia" w:ascii="Times New Roman" w:hAnsi="Times New Roman"/>
                <w:szCs w:val="21"/>
              </w:rPr>
              <w:t>4 软件:通过标准认证的FTIR软件，除具备常用的基本功能外，还应包括以下内容：</w:t>
            </w:r>
          </w:p>
          <w:p>
            <w:pPr>
              <w:spacing w:line="240" w:lineRule="auto"/>
              <w:ind w:firstLine="210" w:firstLineChars="100"/>
              <w:rPr>
                <w:rFonts w:hint="eastAsia" w:ascii="Times New Roman" w:hAnsi="Times New Roman"/>
                <w:szCs w:val="21"/>
              </w:rPr>
            </w:pPr>
            <w:r>
              <w:rPr>
                <w:rFonts w:hint="eastAsia" w:ascii="Times New Roman" w:hAnsi="Times New Roman"/>
                <w:szCs w:val="21"/>
              </w:rPr>
              <w:t>4.1光谱比较软件：提供对产品真伪的鉴定最为有用的Compare软件（光谱比较软件），可最大程度降低人为因素对两张光谱的相似程度的比较结果的误判.</w:t>
            </w:r>
          </w:p>
          <w:p>
            <w:pPr>
              <w:spacing w:line="240" w:lineRule="auto"/>
              <w:ind w:firstLine="210" w:firstLineChars="100"/>
              <w:rPr>
                <w:rFonts w:hint="eastAsia" w:ascii="Times New Roman" w:hAnsi="Times New Roman"/>
                <w:szCs w:val="21"/>
              </w:rPr>
            </w:pPr>
            <w:r>
              <w:rPr>
                <w:rFonts w:hint="eastAsia" w:ascii="Times New Roman" w:hAnsi="Times New Roman"/>
                <w:szCs w:val="21"/>
              </w:rPr>
              <w:t>4.2 能够实时监控反映过程的软件，过程中可以看到三维谱图</w:t>
            </w:r>
          </w:p>
          <w:p>
            <w:pPr>
              <w:spacing w:line="240" w:lineRule="auto"/>
              <w:ind w:firstLine="210" w:firstLineChars="100"/>
              <w:rPr>
                <w:rFonts w:hint="eastAsia" w:ascii="Times New Roman" w:hAnsi="Times New Roman"/>
                <w:szCs w:val="21"/>
              </w:rPr>
            </w:pPr>
            <w:r>
              <w:rPr>
                <w:rFonts w:hint="eastAsia" w:ascii="Times New Roman" w:hAnsi="Times New Roman"/>
                <w:szCs w:val="21"/>
              </w:rPr>
              <w:t>5. 配置要求：</w:t>
            </w:r>
          </w:p>
          <w:p>
            <w:pPr>
              <w:spacing w:line="240" w:lineRule="auto"/>
              <w:ind w:firstLine="210" w:firstLineChars="100"/>
              <w:rPr>
                <w:rFonts w:hint="eastAsia" w:ascii="Times New Roman" w:hAnsi="Times New Roman"/>
                <w:szCs w:val="21"/>
              </w:rPr>
            </w:pPr>
            <w:r>
              <w:rPr>
                <w:rFonts w:hint="eastAsia" w:ascii="Times New Roman" w:hAnsi="Times New Roman"/>
                <w:szCs w:val="21"/>
              </w:rPr>
              <w:t>5.1傅立叶变换红外光谱仪主机1台</w:t>
            </w:r>
          </w:p>
          <w:p>
            <w:pPr>
              <w:spacing w:line="240" w:lineRule="auto"/>
              <w:ind w:firstLine="210" w:firstLineChars="100"/>
              <w:rPr>
                <w:rFonts w:hint="eastAsia" w:ascii="Times New Roman" w:hAnsi="Times New Roman"/>
                <w:szCs w:val="21"/>
              </w:rPr>
            </w:pPr>
            <w:r>
              <w:rPr>
                <w:rFonts w:hint="eastAsia" w:ascii="Times New Roman" w:hAnsi="Times New Roman"/>
                <w:szCs w:val="21"/>
              </w:rPr>
              <w:t>5.2电源电缆1根</w:t>
            </w:r>
          </w:p>
          <w:p>
            <w:pPr>
              <w:spacing w:line="240" w:lineRule="auto"/>
              <w:ind w:firstLine="210" w:firstLineChars="100"/>
              <w:rPr>
                <w:rFonts w:hint="eastAsia" w:ascii="Times New Roman" w:hAnsi="Times New Roman"/>
                <w:szCs w:val="21"/>
              </w:rPr>
            </w:pPr>
            <w:r>
              <w:rPr>
                <w:rFonts w:hint="eastAsia" w:ascii="Times New Roman" w:hAnsi="Times New Roman"/>
                <w:szCs w:val="21"/>
              </w:rPr>
              <w:t>5.3LabSolutions IR软件1套</w:t>
            </w:r>
          </w:p>
          <w:p>
            <w:pPr>
              <w:spacing w:line="240" w:lineRule="auto"/>
              <w:ind w:firstLine="210" w:firstLineChars="100"/>
              <w:rPr>
                <w:rFonts w:hint="eastAsia" w:ascii="Times New Roman" w:hAnsi="Times New Roman"/>
                <w:szCs w:val="21"/>
              </w:rPr>
            </w:pPr>
            <w:r>
              <w:rPr>
                <w:rFonts w:hint="eastAsia" w:ascii="Times New Roman" w:hAnsi="Times New Roman"/>
                <w:szCs w:val="21"/>
              </w:rPr>
              <w:t>5.4固体制样包1套</w:t>
            </w:r>
          </w:p>
          <w:p>
            <w:pPr>
              <w:spacing w:line="240" w:lineRule="auto"/>
              <w:ind w:firstLine="210" w:firstLineChars="100"/>
              <w:rPr>
                <w:rFonts w:hint="eastAsia" w:ascii="Times New Roman" w:hAnsi="Times New Roman"/>
                <w:szCs w:val="21"/>
              </w:rPr>
            </w:pPr>
            <w:r>
              <w:rPr>
                <w:rFonts w:hint="eastAsia" w:ascii="Times New Roman" w:hAnsi="Times New Roman"/>
                <w:szCs w:val="21"/>
              </w:rPr>
              <w:t>5.5MCT检测器系统1套</w:t>
            </w:r>
          </w:p>
          <w:p>
            <w:pPr>
              <w:spacing w:line="240" w:lineRule="auto"/>
              <w:ind w:firstLine="210" w:firstLineChars="100"/>
              <w:rPr>
                <w:rFonts w:hint="eastAsia" w:ascii="Times New Roman" w:hAnsi="Times New Roman"/>
                <w:szCs w:val="21"/>
              </w:rPr>
            </w:pPr>
            <w:r>
              <w:rPr>
                <w:rFonts w:hint="eastAsia" w:ascii="Times New Roman" w:hAnsi="Times New Roman"/>
                <w:szCs w:val="21"/>
              </w:rPr>
              <w:t>5.6原位漫反射附件1套</w:t>
            </w:r>
          </w:p>
          <w:p>
            <w:pPr>
              <w:spacing w:line="240" w:lineRule="auto"/>
              <w:ind w:firstLine="210" w:firstLineChars="100"/>
              <w:rPr>
                <w:rFonts w:hint="eastAsia" w:ascii="Times New Roman" w:hAnsi="Times New Roman"/>
                <w:szCs w:val="21"/>
              </w:rPr>
            </w:pPr>
            <w:r>
              <w:rPr>
                <w:rFonts w:hint="eastAsia" w:ascii="Times New Roman" w:hAnsi="Times New Roman"/>
                <w:szCs w:val="21"/>
              </w:rPr>
              <w:t>5.7原位反应池附件1套</w:t>
            </w:r>
          </w:p>
          <w:p>
            <w:pPr>
              <w:spacing w:line="240" w:lineRule="auto"/>
              <w:ind w:firstLine="210" w:firstLineChars="100"/>
              <w:rPr>
                <w:rFonts w:hint="eastAsia" w:ascii="Times New Roman" w:hAnsi="Times New Roman"/>
                <w:szCs w:val="21"/>
              </w:rPr>
            </w:pPr>
            <w:r>
              <w:rPr>
                <w:rFonts w:hint="eastAsia" w:ascii="Times New Roman" w:hAnsi="Times New Roman"/>
                <w:szCs w:val="21"/>
              </w:rPr>
              <w:t xml:space="preserve">5.8液体制样包1套 </w:t>
            </w:r>
          </w:p>
          <w:p>
            <w:pPr>
              <w:spacing w:line="240" w:lineRule="auto"/>
              <w:ind w:firstLine="210" w:firstLineChars="100"/>
              <w:rPr>
                <w:rFonts w:hint="eastAsia" w:ascii="宋体" w:hAnsi="宋体" w:eastAsia="宋体" w:cs="宋体"/>
                <w:i w:val="0"/>
                <w:iCs w:val="0"/>
                <w:color w:val="auto"/>
                <w:sz w:val="21"/>
                <w:szCs w:val="21"/>
                <w:highlight w:val="none"/>
                <w:u w:val="none"/>
              </w:rPr>
            </w:pPr>
            <w:r>
              <w:rPr>
                <w:rFonts w:hint="eastAsia" w:ascii="Times New Roman" w:hAnsi="Times New Roman"/>
                <w:szCs w:val="21"/>
              </w:rPr>
              <w:t>5.9计算机和打印机各1台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04" w:hRule="atLeast"/>
        </w:trPr>
        <w:tc>
          <w:tcPr>
            <w:tcW w:w="476" w:type="dxa"/>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2</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紫外可见近红外分光光度计</w:t>
            </w:r>
          </w:p>
        </w:tc>
        <w:tc>
          <w:tcPr>
            <w:tcW w:w="654"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是</w:t>
            </w:r>
          </w:p>
        </w:tc>
        <w:tc>
          <w:tcPr>
            <w:tcW w:w="505" w:type="dxa"/>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c>
          <w:tcPr>
            <w:tcW w:w="5674" w:type="dxa"/>
            <w:shd w:val="clear" w:color="auto" w:fill="auto"/>
            <w:vAlign w:val="center"/>
          </w:tcPr>
          <w:p>
            <w:pPr>
              <w:widowControl/>
              <w:rPr>
                <w:rFonts w:ascii="Times New Roman" w:hAnsi="Times New Roman"/>
                <w:color w:val="000000"/>
                <w:kern w:val="0"/>
                <w:szCs w:val="21"/>
                <w:lang w:bidi="ar"/>
              </w:rPr>
            </w:pPr>
            <w:r>
              <w:rPr>
                <w:rFonts w:ascii="Times New Roman" w:hAnsi="Times New Roman"/>
                <w:color w:val="000000"/>
                <w:kern w:val="0"/>
                <w:szCs w:val="21"/>
                <w:lang w:bidi="ar"/>
              </w:rPr>
              <w:t>1. 工作环境：</w:t>
            </w:r>
          </w:p>
          <w:p>
            <w:pPr>
              <w:widowControl/>
              <w:rPr>
                <w:rFonts w:ascii="Times New Roman" w:hAnsi="Times New Roman"/>
                <w:color w:val="000000"/>
                <w:kern w:val="0"/>
                <w:szCs w:val="21"/>
                <w:lang w:bidi="ar"/>
              </w:rPr>
            </w:pPr>
            <w:r>
              <w:rPr>
                <w:rFonts w:ascii="Times New Roman" w:hAnsi="Times New Roman"/>
                <w:color w:val="000000"/>
                <w:kern w:val="0"/>
                <w:szCs w:val="21"/>
                <w:lang w:bidi="ar"/>
              </w:rPr>
              <w:t>1.1 使用温度范围:15</w:t>
            </w:r>
            <w:r>
              <w:rPr>
                <w:rFonts w:hint="eastAsia" w:ascii="Times New Roman" w:hAnsi="Times New Roman"/>
                <w:color w:val="000000"/>
                <w:kern w:val="0"/>
                <w:szCs w:val="21"/>
                <w:lang w:bidi="ar"/>
              </w:rPr>
              <w:t xml:space="preserve"> </w:t>
            </w:r>
            <w:r>
              <w:rPr>
                <w:rFonts w:ascii="Times New Roman" w:hAnsi="Times New Roman"/>
                <w:color w:val="000000"/>
                <w:kern w:val="0"/>
                <w:szCs w:val="21"/>
                <w:lang w:bidi="ar"/>
              </w:rPr>
              <w:t>℃～35</w:t>
            </w:r>
            <w:r>
              <w:rPr>
                <w:rFonts w:hint="eastAsia" w:ascii="Times New Roman" w:hAnsi="Times New Roman"/>
                <w:color w:val="000000"/>
                <w:kern w:val="0"/>
                <w:szCs w:val="21"/>
                <w:lang w:bidi="ar"/>
              </w:rPr>
              <w:t xml:space="preserve"> </w:t>
            </w:r>
            <w:r>
              <w:rPr>
                <w:rFonts w:ascii="Times New Roman" w:hAnsi="Times New Roman"/>
                <w:color w:val="000000"/>
                <w:kern w:val="0"/>
                <w:szCs w:val="21"/>
                <w:lang w:bidi="ar"/>
              </w:rPr>
              <w:t>℃；</w:t>
            </w:r>
          </w:p>
          <w:p>
            <w:pPr>
              <w:widowControl/>
              <w:rPr>
                <w:rFonts w:ascii="Times New Roman" w:hAnsi="Times New Roman"/>
                <w:color w:val="000000"/>
                <w:kern w:val="0"/>
                <w:szCs w:val="21"/>
                <w:lang w:bidi="ar"/>
              </w:rPr>
            </w:pPr>
            <w:r>
              <w:rPr>
                <w:rFonts w:ascii="Times New Roman" w:hAnsi="Times New Roman"/>
                <w:color w:val="000000"/>
                <w:kern w:val="0"/>
                <w:szCs w:val="21"/>
                <w:lang w:bidi="ar"/>
              </w:rPr>
              <w:t>1.2 使用湿度范围:30%～80%；</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 分光系统：</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2.1 光学系统:双光束；</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2.2 分光器:双光栅单色器，象差校正型切尼尔一特纳装置；</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2.3 设定波长范围:185～1400</w:t>
            </w:r>
            <w:r>
              <w:rPr>
                <w:rFonts w:hint="eastAsia" w:ascii="Times New Roman" w:hAnsi="Times New Roman"/>
                <w:color w:val="000000"/>
                <w:kern w:val="0"/>
                <w:szCs w:val="21"/>
                <w:lang w:bidi="ar"/>
              </w:rPr>
              <w:t xml:space="preserve"> </w:t>
            </w:r>
            <w:r>
              <w:rPr>
                <w:rFonts w:ascii="Times New Roman" w:hAnsi="Times New Roman"/>
                <w:color w:val="000000"/>
                <w:kern w:val="0"/>
                <w:szCs w:val="21"/>
                <w:lang w:bidi="ar"/>
              </w:rPr>
              <w:t>nm；</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2.4 测试波长范围:185～900</w:t>
            </w:r>
            <w:r>
              <w:rPr>
                <w:rFonts w:hint="eastAsia" w:ascii="Times New Roman" w:hAnsi="Times New Roman"/>
                <w:color w:val="000000"/>
                <w:kern w:val="0"/>
                <w:szCs w:val="21"/>
                <w:lang w:bidi="ar"/>
              </w:rPr>
              <w:t xml:space="preserve"> </w:t>
            </w:r>
            <w:r>
              <w:rPr>
                <w:rFonts w:ascii="Times New Roman" w:hAnsi="Times New Roman"/>
                <w:color w:val="000000"/>
                <w:kern w:val="0"/>
                <w:szCs w:val="21"/>
                <w:lang w:bidi="ar"/>
              </w:rPr>
              <w:t>nm</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2.5 衍射光栅刻线数:1300</w:t>
            </w:r>
            <w:r>
              <w:rPr>
                <w:rFonts w:hint="eastAsia" w:ascii="Times New Roman" w:hAnsi="Times New Roman"/>
                <w:color w:val="000000"/>
                <w:kern w:val="0"/>
                <w:szCs w:val="21"/>
                <w:lang w:bidi="ar"/>
              </w:rPr>
              <w:t xml:space="preserve"> </w:t>
            </w:r>
            <w:r>
              <w:rPr>
                <w:rFonts w:ascii="Times New Roman" w:hAnsi="Times New Roman"/>
                <w:color w:val="000000"/>
                <w:kern w:val="0"/>
                <w:szCs w:val="21"/>
                <w:lang w:bidi="ar"/>
              </w:rPr>
              <w:t>lines/mm；</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2.6 波长准确性:±0.1</w:t>
            </w:r>
            <w:r>
              <w:rPr>
                <w:rFonts w:hint="eastAsia" w:ascii="Times New Roman" w:hAnsi="Times New Roman"/>
                <w:color w:val="000000"/>
                <w:kern w:val="0"/>
                <w:szCs w:val="21"/>
                <w:lang w:bidi="ar"/>
              </w:rPr>
              <w:t xml:space="preserve"> </w:t>
            </w:r>
            <w:r>
              <w:rPr>
                <w:rFonts w:ascii="Times New Roman" w:hAnsi="Times New Roman"/>
                <w:color w:val="000000"/>
                <w:kern w:val="0"/>
                <w:szCs w:val="21"/>
                <w:lang w:bidi="ar"/>
              </w:rPr>
              <w:t>nm（656.1nm），±0.3</w:t>
            </w:r>
            <w:r>
              <w:rPr>
                <w:rFonts w:hint="eastAsia" w:ascii="Times New Roman" w:hAnsi="Times New Roman"/>
                <w:color w:val="000000"/>
                <w:kern w:val="0"/>
                <w:szCs w:val="21"/>
                <w:lang w:bidi="ar"/>
              </w:rPr>
              <w:t xml:space="preserve"> </w:t>
            </w:r>
            <w:r>
              <w:rPr>
                <w:rFonts w:ascii="Times New Roman" w:hAnsi="Times New Roman"/>
                <w:color w:val="000000"/>
                <w:kern w:val="0"/>
                <w:szCs w:val="21"/>
                <w:lang w:bidi="ar"/>
              </w:rPr>
              <w:t>nm(全波段)；</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2.7 波长重复精度:±0.05</w:t>
            </w:r>
            <w:r>
              <w:rPr>
                <w:rFonts w:hint="eastAsia" w:ascii="Times New Roman" w:hAnsi="Times New Roman"/>
                <w:color w:val="000000"/>
                <w:kern w:val="0"/>
                <w:szCs w:val="21"/>
                <w:lang w:bidi="ar"/>
              </w:rPr>
              <w:t xml:space="preserve"> </w:t>
            </w:r>
            <w:r>
              <w:rPr>
                <w:rFonts w:ascii="Times New Roman" w:hAnsi="Times New Roman"/>
                <w:color w:val="000000"/>
                <w:kern w:val="0"/>
                <w:szCs w:val="21"/>
                <w:lang w:bidi="ar"/>
              </w:rPr>
              <w:t>nm；</w:t>
            </w:r>
          </w:p>
          <w:p>
            <w:pPr>
              <w:widowControl/>
              <w:rPr>
                <w:rFonts w:ascii="Times New Roman" w:hAnsi="Times New Roman"/>
                <w:color w:val="000000"/>
                <w:kern w:val="0"/>
                <w:szCs w:val="21"/>
                <w:lang w:bidi="ar"/>
              </w:rPr>
            </w:pPr>
            <w:r>
              <w:rPr>
                <w:rFonts w:ascii="Segoe UI Symbol" w:hAnsi="Segoe UI Symbol" w:cs="Segoe UI Symbol"/>
                <w:color w:val="000000"/>
                <w:kern w:val="0"/>
                <w:szCs w:val="21"/>
                <w:lang w:bidi="ar"/>
              </w:rPr>
              <w:t>★</w:t>
            </w:r>
            <w:r>
              <w:rPr>
                <w:rFonts w:ascii="Times New Roman" w:hAnsi="Times New Roman"/>
                <w:color w:val="000000"/>
                <w:kern w:val="0"/>
                <w:szCs w:val="21"/>
                <w:lang w:bidi="ar"/>
              </w:rPr>
              <w:t>2.8 波长扫描速度:波长移动速度14000</w:t>
            </w:r>
            <w:r>
              <w:rPr>
                <w:rFonts w:hint="eastAsia" w:ascii="Times New Roman" w:hAnsi="Times New Roman"/>
                <w:color w:val="000000"/>
                <w:kern w:val="0"/>
                <w:szCs w:val="21"/>
                <w:lang w:bidi="ar"/>
              </w:rPr>
              <w:t xml:space="preserve"> </w:t>
            </w:r>
            <w:r>
              <w:rPr>
                <w:rFonts w:ascii="Times New Roman" w:hAnsi="Times New Roman"/>
                <w:color w:val="000000"/>
                <w:kern w:val="0"/>
                <w:szCs w:val="21"/>
                <w:lang w:bidi="ar"/>
              </w:rPr>
              <w:t>nm/min;最大扫描速度4000</w:t>
            </w:r>
            <w:r>
              <w:rPr>
                <w:rFonts w:hint="eastAsia" w:ascii="Times New Roman" w:hAnsi="Times New Roman"/>
                <w:color w:val="000000"/>
                <w:kern w:val="0"/>
                <w:szCs w:val="21"/>
                <w:lang w:bidi="ar"/>
              </w:rPr>
              <w:t xml:space="preserve"> </w:t>
            </w:r>
            <w:r>
              <w:rPr>
                <w:rFonts w:ascii="Times New Roman" w:hAnsi="Times New Roman"/>
                <w:color w:val="000000"/>
                <w:kern w:val="0"/>
                <w:szCs w:val="21"/>
                <w:lang w:bidi="ar"/>
              </w:rPr>
              <w:t>nm/min;</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2.9 波长设定:扫描开始波长和扫描结束能够以1</w:t>
            </w:r>
            <w:r>
              <w:rPr>
                <w:rFonts w:hint="eastAsia" w:ascii="Times New Roman" w:hAnsi="Times New Roman"/>
                <w:color w:val="000000"/>
                <w:kern w:val="0"/>
                <w:szCs w:val="21"/>
                <w:lang w:bidi="ar"/>
              </w:rPr>
              <w:t xml:space="preserve"> </w:t>
            </w:r>
            <w:r>
              <w:rPr>
                <w:rFonts w:ascii="Times New Roman" w:hAnsi="Times New Roman"/>
                <w:color w:val="000000"/>
                <w:kern w:val="0"/>
                <w:szCs w:val="21"/>
                <w:lang w:bidi="ar"/>
              </w:rPr>
              <w:t>nm单位设置，其它为0.1</w:t>
            </w:r>
            <w:r>
              <w:rPr>
                <w:rFonts w:hint="eastAsia" w:ascii="Times New Roman" w:hAnsi="Times New Roman"/>
                <w:color w:val="000000"/>
                <w:kern w:val="0"/>
                <w:szCs w:val="21"/>
                <w:lang w:bidi="ar"/>
              </w:rPr>
              <w:t xml:space="preserve"> </w:t>
            </w:r>
            <w:r>
              <w:rPr>
                <w:rFonts w:ascii="Times New Roman" w:hAnsi="Times New Roman"/>
                <w:color w:val="000000"/>
                <w:kern w:val="0"/>
                <w:szCs w:val="21"/>
                <w:lang w:bidi="ar"/>
              </w:rPr>
              <w:t>nm单位；</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2.10 光源切换波长:和波长同步自动切换290.0</w:t>
            </w:r>
            <w:r>
              <w:rPr>
                <w:rFonts w:hint="eastAsia" w:ascii="Times New Roman" w:hAnsi="Times New Roman"/>
                <w:color w:val="000000"/>
                <w:kern w:val="0"/>
                <w:szCs w:val="21"/>
                <w:lang w:bidi="ar"/>
              </w:rPr>
              <w:t xml:space="preserve"> </w:t>
            </w:r>
            <w:r>
              <w:rPr>
                <w:rFonts w:ascii="Times New Roman" w:hAnsi="Times New Roman"/>
                <w:color w:val="000000"/>
                <w:kern w:val="0"/>
                <w:szCs w:val="21"/>
                <w:lang w:bidi="ar"/>
              </w:rPr>
              <w:t>nm～370.0</w:t>
            </w:r>
            <w:r>
              <w:rPr>
                <w:rFonts w:hint="eastAsia" w:ascii="Times New Roman" w:hAnsi="Times New Roman"/>
                <w:color w:val="000000"/>
                <w:kern w:val="0"/>
                <w:szCs w:val="21"/>
                <w:lang w:bidi="ar"/>
              </w:rPr>
              <w:t xml:space="preserve"> </w:t>
            </w:r>
            <w:r>
              <w:rPr>
                <w:rFonts w:ascii="Times New Roman" w:hAnsi="Times New Roman"/>
                <w:color w:val="000000"/>
                <w:kern w:val="0"/>
                <w:szCs w:val="21"/>
                <w:lang w:bidi="ar"/>
              </w:rPr>
              <w:t>nm；</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2.11 谱带宽度:0.1/0.2/0.5/1/2/5nm，L2/L5（低杂散光模式）；</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2.12 分辨率:0.1nm；</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2.13 杂散光:KCI&lt;1% T（198nm)；</w:t>
            </w:r>
          </w:p>
          <w:p>
            <w:pPr>
              <w:widowControl/>
              <w:rPr>
                <w:rFonts w:ascii="Times New Roman" w:hAnsi="Times New Roman"/>
                <w:color w:val="000000"/>
                <w:kern w:val="0"/>
                <w:szCs w:val="21"/>
                <w:lang w:bidi="ar"/>
              </w:rPr>
            </w:pPr>
            <w:r>
              <w:rPr>
                <w:rFonts w:ascii="Times New Roman" w:hAnsi="Times New Roman"/>
                <w:color w:val="000000"/>
                <w:kern w:val="0"/>
                <w:szCs w:val="21"/>
                <w:lang w:bidi="ar"/>
              </w:rPr>
              <w:t>NaI&lt;0.00005%T（220nm)；</w:t>
            </w:r>
          </w:p>
          <w:p>
            <w:pPr>
              <w:widowControl/>
              <w:rPr>
                <w:rFonts w:ascii="Times New Roman" w:hAnsi="Times New Roman"/>
                <w:color w:val="000000"/>
                <w:kern w:val="0"/>
                <w:szCs w:val="21"/>
                <w:lang w:bidi="ar"/>
              </w:rPr>
            </w:pPr>
            <w:r>
              <w:rPr>
                <w:rFonts w:ascii="Times New Roman" w:hAnsi="Times New Roman"/>
                <w:color w:val="000000"/>
                <w:kern w:val="0"/>
                <w:szCs w:val="21"/>
                <w:lang w:bidi="ar"/>
              </w:rPr>
              <w:t>NaNO2&lt;0.00002%T（340nm)；</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2.14 测光方式:双光束测光方式；</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2.15 测光类型:吸光度（Abs）;透射率（％）;反射率;能量（E）；</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2.16 测定范围:吸光度为-8.5～8.5Abs；</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2.17 吸光度准确性:±0.002Abs(0.5Abs)；</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2.18 吸光度重现性:±0.001Abs(0.5Abs)；</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2.19 噪音:0.00005Abs RMS(500nm)；</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2.20基线稳定性:&lt;0.0003Abs/hour；</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2.21基线平直度:±0.0004Abs(200～860nm)；</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2.22 记录范围:吸光度为-10～10 Abs；</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2.23 漂移:小于0.0003Abs/h；</w:t>
            </w:r>
          </w:p>
          <w:p>
            <w:pPr>
              <w:widowControl/>
              <w:rPr>
                <w:rFonts w:ascii="Times New Roman" w:hAnsi="Times New Roman"/>
                <w:color w:val="000000"/>
                <w:kern w:val="0"/>
                <w:szCs w:val="21"/>
                <w:lang w:bidi="ar"/>
              </w:rPr>
            </w:pPr>
            <w:r>
              <w:rPr>
                <w:rFonts w:ascii="Times New Roman" w:hAnsi="Times New Roman"/>
                <w:color w:val="000000"/>
                <w:kern w:val="0"/>
                <w:szCs w:val="21"/>
                <w:lang w:bidi="ar"/>
              </w:rPr>
              <w:t>2.24 基线校正:计算机自动校正（电源启动时，自动存储备份的基线，可以再校正）；</w:t>
            </w:r>
          </w:p>
          <w:p>
            <w:pPr>
              <w:widowControl/>
              <w:rPr>
                <w:rFonts w:ascii="Times New Roman" w:hAnsi="Times New Roman"/>
                <w:color w:val="000000"/>
                <w:kern w:val="0"/>
                <w:szCs w:val="21"/>
                <w:lang w:bidi="ar"/>
              </w:rPr>
            </w:pPr>
            <w:r>
              <w:rPr>
                <w:rFonts w:ascii="Times New Roman" w:hAnsi="Times New Roman"/>
                <w:color w:val="000000"/>
                <w:kern w:val="0"/>
                <w:szCs w:val="21"/>
                <w:lang w:bidi="ar"/>
              </w:rPr>
              <w:t>3.光源:50W卤素灯和氘灯（插座型）；</w:t>
            </w:r>
          </w:p>
          <w:p>
            <w:pPr>
              <w:widowControl/>
              <w:rPr>
                <w:rFonts w:ascii="Times New Roman" w:hAnsi="Times New Roman"/>
                <w:color w:val="000000"/>
                <w:kern w:val="0"/>
                <w:szCs w:val="21"/>
                <w:lang w:bidi="ar"/>
              </w:rPr>
            </w:pPr>
            <w:r>
              <w:rPr>
                <w:rFonts w:ascii="Times New Roman" w:hAnsi="Times New Roman"/>
                <w:color w:val="000000"/>
                <w:kern w:val="0"/>
                <w:szCs w:val="21"/>
                <w:lang w:bidi="ar"/>
              </w:rPr>
              <w:t>4. 检测器:光电倍增管；</w:t>
            </w:r>
          </w:p>
          <w:p>
            <w:pPr>
              <w:widowControl/>
              <w:rPr>
                <w:rFonts w:ascii="Times New Roman" w:hAnsi="Times New Roman"/>
                <w:color w:val="000000"/>
                <w:kern w:val="0"/>
                <w:szCs w:val="21"/>
                <w:lang w:bidi="ar"/>
              </w:rPr>
            </w:pPr>
            <w:r>
              <w:rPr>
                <w:rFonts w:ascii="Segoe UI Symbol" w:hAnsi="Segoe UI Symbol" w:cs="Segoe UI Symbol"/>
                <w:color w:val="000000"/>
                <w:kern w:val="0"/>
                <w:szCs w:val="21"/>
                <w:lang w:bidi="ar"/>
              </w:rPr>
              <w:t>★</w:t>
            </w:r>
            <w:r>
              <w:rPr>
                <w:rFonts w:ascii="Times New Roman" w:hAnsi="Times New Roman"/>
                <w:color w:val="000000"/>
                <w:kern w:val="0"/>
                <w:szCs w:val="21"/>
                <w:lang w:bidi="ar"/>
              </w:rPr>
              <w:t>5. 软件:智能网络版系统操作软件，可执行自动光谱评价，实时导出Excel数据；</w:t>
            </w:r>
          </w:p>
          <w:p>
            <w:pPr>
              <w:widowControl/>
              <w:rPr>
                <w:rFonts w:ascii="Times New Roman" w:hAnsi="Times New Roman"/>
                <w:color w:val="000000"/>
                <w:kern w:val="0"/>
                <w:szCs w:val="21"/>
                <w:lang w:bidi="ar"/>
              </w:rPr>
            </w:pPr>
            <w:r>
              <w:rPr>
                <w:rFonts w:ascii="Times New Roman" w:hAnsi="Times New Roman"/>
                <w:color w:val="000000"/>
                <w:kern w:val="0"/>
                <w:szCs w:val="21"/>
                <w:lang w:bidi="ar"/>
              </w:rPr>
              <w:t>6. 控制与数据处理系统：</w:t>
            </w:r>
          </w:p>
          <w:p>
            <w:pPr>
              <w:widowControl/>
              <w:rPr>
                <w:rFonts w:ascii="Times New Roman" w:hAnsi="Times New Roman"/>
                <w:color w:val="000000"/>
                <w:kern w:val="0"/>
                <w:szCs w:val="21"/>
                <w:lang w:bidi="ar"/>
              </w:rPr>
            </w:pPr>
            <w:r>
              <w:rPr>
                <w:rFonts w:ascii="Segoe UI Symbol" w:hAnsi="Segoe UI Symbol" w:cs="Segoe UI Symbol"/>
                <w:color w:val="000000"/>
                <w:kern w:val="0"/>
                <w:szCs w:val="21"/>
                <w:lang w:bidi="ar"/>
              </w:rPr>
              <w:t>★</w:t>
            </w:r>
            <w:r>
              <w:rPr>
                <w:rFonts w:ascii="Times New Roman" w:hAnsi="Times New Roman"/>
                <w:color w:val="000000"/>
                <w:kern w:val="0"/>
                <w:szCs w:val="21"/>
                <w:lang w:bidi="ar"/>
              </w:rPr>
              <w:t xml:space="preserve">6.1主流品牌计算机1台，黑白激光打印一体机1台，计算机系统不低于以下配置：主流品牌计算机，WINDOWS 10正版操作系统; INTEL i5  CPU，16GB 内存，128G SSD，采用减震设计并出具证书，500G硬盘，20英寸LED彩显屏；鼠标，键盘，USB接口，网卡； </w:t>
            </w:r>
          </w:p>
          <w:p>
            <w:pPr>
              <w:widowControl/>
              <w:rPr>
                <w:rFonts w:ascii="Times New Roman" w:hAnsi="Times New Roman"/>
                <w:color w:val="000000"/>
                <w:kern w:val="0"/>
                <w:szCs w:val="21"/>
                <w:lang w:bidi="ar"/>
              </w:rPr>
            </w:pPr>
            <w:r>
              <w:rPr>
                <w:rFonts w:ascii="Times New Roman" w:hAnsi="Times New Roman"/>
                <w:color w:val="000000"/>
                <w:kern w:val="0"/>
                <w:szCs w:val="21"/>
                <w:lang w:bidi="ar"/>
              </w:rPr>
              <w:t>6.2 薄膜厚度计算软件：具有使用干涉间隔或者傅立叶变换的方法计算所测光谱的薄膜厚度；</w:t>
            </w:r>
          </w:p>
          <w:p>
            <w:pPr>
              <w:widowControl/>
              <w:rPr>
                <w:rFonts w:ascii="Times New Roman" w:hAnsi="Times New Roman"/>
                <w:color w:val="000000"/>
                <w:kern w:val="0"/>
                <w:szCs w:val="21"/>
                <w:lang w:bidi="ar"/>
              </w:rPr>
            </w:pPr>
            <w:r>
              <w:rPr>
                <w:rFonts w:ascii="Times New Roman" w:hAnsi="Times New Roman"/>
                <w:color w:val="000000"/>
                <w:kern w:val="0"/>
                <w:szCs w:val="21"/>
                <w:lang w:bidi="ar"/>
              </w:rPr>
              <w:t>6.3 安全保护：具有突然断电、断水、真空状态不良保护措施；</w:t>
            </w:r>
          </w:p>
          <w:p>
            <w:pPr>
              <w:widowControl/>
              <w:rPr>
                <w:rFonts w:ascii="Times New Roman" w:hAnsi="Times New Roman"/>
                <w:color w:val="000000"/>
                <w:kern w:val="0"/>
                <w:szCs w:val="21"/>
                <w:lang w:bidi="ar"/>
              </w:rPr>
            </w:pPr>
            <w:r>
              <w:rPr>
                <w:rFonts w:ascii="Times New Roman" w:hAnsi="Times New Roman"/>
                <w:color w:val="000000"/>
                <w:kern w:val="0"/>
                <w:szCs w:val="21"/>
                <w:lang w:bidi="ar"/>
              </w:rPr>
              <w:t>7. 设备配置清单：</w:t>
            </w:r>
          </w:p>
          <w:p>
            <w:pPr>
              <w:widowControl/>
              <w:rPr>
                <w:rFonts w:ascii="Times New Roman" w:hAnsi="Times New Roman"/>
                <w:color w:val="000000"/>
                <w:kern w:val="0"/>
                <w:szCs w:val="21"/>
                <w:lang w:bidi="ar"/>
              </w:rPr>
            </w:pPr>
            <w:r>
              <w:rPr>
                <w:rFonts w:ascii="Times New Roman" w:hAnsi="Times New Roman"/>
                <w:color w:val="000000"/>
                <w:kern w:val="0"/>
                <w:szCs w:val="21"/>
                <w:lang w:bidi="ar"/>
              </w:rPr>
              <w:t>7.1 双波长紫外分光光度计1台；</w:t>
            </w:r>
          </w:p>
          <w:p>
            <w:pPr>
              <w:widowControl/>
              <w:rPr>
                <w:rFonts w:ascii="Times New Roman" w:hAnsi="Times New Roman"/>
                <w:color w:val="000000"/>
                <w:kern w:val="0"/>
                <w:szCs w:val="21"/>
                <w:lang w:bidi="ar"/>
              </w:rPr>
            </w:pPr>
            <w:r>
              <w:rPr>
                <w:rFonts w:ascii="Times New Roman" w:hAnsi="Times New Roman"/>
                <w:color w:val="000000"/>
                <w:kern w:val="0"/>
                <w:szCs w:val="21"/>
                <w:lang w:bidi="ar"/>
              </w:rPr>
              <w:t>7.2 智能操作软件1套；</w:t>
            </w:r>
          </w:p>
          <w:p>
            <w:pPr>
              <w:widowControl/>
              <w:rPr>
                <w:rFonts w:ascii="Times New Roman" w:hAnsi="Times New Roman"/>
                <w:color w:val="000000"/>
                <w:kern w:val="0"/>
                <w:szCs w:val="21"/>
                <w:lang w:bidi="ar"/>
              </w:rPr>
            </w:pPr>
            <w:r>
              <w:rPr>
                <w:rFonts w:ascii="Times New Roman" w:hAnsi="Times New Roman"/>
                <w:color w:val="000000"/>
                <w:kern w:val="0"/>
                <w:szCs w:val="21"/>
                <w:lang w:bidi="ar"/>
              </w:rPr>
              <w:t>7.3 主机电源线组件1套；</w:t>
            </w:r>
          </w:p>
          <w:p>
            <w:pPr>
              <w:widowControl/>
              <w:rPr>
                <w:rFonts w:ascii="Times New Roman" w:hAnsi="Times New Roman"/>
                <w:color w:val="000000"/>
                <w:kern w:val="0"/>
                <w:szCs w:val="21"/>
                <w:lang w:bidi="ar"/>
              </w:rPr>
            </w:pPr>
            <w:r>
              <w:rPr>
                <w:rFonts w:ascii="Times New Roman" w:hAnsi="Times New Roman"/>
                <w:color w:val="000000"/>
                <w:kern w:val="0"/>
                <w:szCs w:val="21"/>
                <w:lang w:bidi="ar"/>
              </w:rPr>
              <w:t>7.4 10mm方形石英比色皿7个；</w:t>
            </w:r>
          </w:p>
          <w:p>
            <w:pPr>
              <w:widowControl/>
              <w:rPr>
                <w:rFonts w:ascii="Times New Roman" w:hAnsi="Times New Roman"/>
                <w:color w:val="000000"/>
                <w:kern w:val="0"/>
                <w:szCs w:val="21"/>
                <w:lang w:bidi="ar"/>
              </w:rPr>
            </w:pPr>
            <w:r>
              <w:rPr>
                <w:rFonts w:ascii="Times New Roman" w:hAnsi="Times New Roman"/>
                <w:color w:val="000000"/>
                <w:kern w:val="0"/>
                <w:szCs w:val="21"/>
                <w:lang w:bidi="ar"/>
              </w:rPr>
              <w:t>7.5 氘灯和卤素灯各1个</w:t>
            </w:r>
          </w:p>
          <w:p>
            <w:pPr>
              <w:widowControl/>
              <w:rPr>
                <w:rFonts w:ascii="Times New Roman" w:hAnsi="Times New Roman"/>
                <w:color w:val="000000"/>
                <w:kern w:val="0"/>
                <w:szCs w:val="21"/>
                <w:lang w:bidi="ar"/>
              </w:rPr>
            </w:pPr>
            <w:r>
              <w:rPr>
                <w:rFonts w:ascii="Times New Roman" w:hAnsi="Times New Roman"/>
                <w:color w:val="000000"/>
                <w:kern w:val="0"/>
                <w:szCs w:val="21"/>
                <w:lang w:bidi="ar"/>
              </w:rPr>
              <w:t>7.6 薄膜支架1个；</w:t>
            </w:r>
          </w:p>
          <w:p>
            <w:pPr>
              <w:widowControl/>
              <w:rPr>
                <w:rFonts w:ascii="Times New Roman" w:hAnsi="Times New Roman"/>
                <w:color w:val="000000"/>
                <w:kern w:val="0"/>
                <w:szCs w:val="21"/>
                <w:lang w:bidi="ar"/>
              </w:rPr>
            </w:pPr>
            <w:r>
              <w:rPr>
                <w:rFonts w:ascii="Times New Roman" w:hAnsi="Times New Roman"/>
                <w:color w:val="000000"/>
                <w:kern w:val="0"/>
                <w:szCs w:val="21"/>
                <w:lang w:bidi="ar"/>
              </w:rPr>
              <w:t>7.7 60mm积分球1个</w:t>
            </w:r>
          </w:p>
          <w:p>
            <w:pPr>
              <w:widowControl/>
              <w:rPr>
                <w:rFonts w:ascii="Times New Roman" w:hAnsi="Times New Roman"/>
                <w:color w:val="000000"/>
                <w:kern w:val="0"/>
                <w:szCs w:val="21"/>
                <w:lang w:bidi="ar"/>
              </w:rPr>
            </w:pPr>
            <w:r>
              <w:rPr>
                <w:rFonts w:ascii="Times New Roman" w:hAnsi="Times New Roman"/>
                <w:color w:val="000000"/>
                <w:kern w:val="0"/>
                <w:szCs w:val="21"/>
                <w:lang w:bidi="ar"/>
              </w:rPr>
              <w:t>7.8 粉末样品支架1个；</w:t>
            </w:r>
          </w:p>
          <w:p>
            <w:pPr>
              <w:widowControl/>
              <w:rPr>
                <w:rFonts w:ascii="Times New Roman" w:hAnsi="Times New Roman"/>
                <w:color w:val="000000"/>
                <w:kern w:val="0"/>
                <w:szCs w:val="21"/>
                <w:lang w:bidi="ar"/>
              </w:rPr>
            </w:pPr>
            <w:r>
              <w:rPr>
                <w:rFonts w:ascii="Times New Roman" w:hAnsi="Times New Roman"/>
                <w:color w:val="000000"/>
                <w:kern w:val="0"/>
                <w:szCs w:val="21"/>
                <w:lang w:bidi="ar"/>
              </w:rPr>
              <w:t>7.9膜厚测量软件1套；</w:t>
            </w:r>
          </w:p>
          <w:p>
            <w:pPr>
              <w:spacing w:line="240" w:lineRule="auto"/>
              <w:rPr>
                <w:rFonts w:hint="eastAsia"/>
                <w:lang w:val="en-US" w:eastAsia="zh-CN"/>
              </w:rPr>
            </w:pPr>
            <w:r>
              <w:rPr>
                <w:rFonts w:ascii="Times New Roman" w:hAnsi="Times New Roman"/>
                <w:color w:val="000000"/>
                <w:kern w:val="0"/>
                <w:szCs w:val="21"/>
                <w:lang w:bidi="ar"/>
              </w:rPr>
              <w:t>7.10品牌电脑和打印机各1台</w:t>
            </w:r>
          </w:p>
        </w:tc>
      </w:tr>
    </w:tbl>
    <w:p>
      <w:pPr>
        <w:rPr>
          <w:rFonts w:hint="eastAsia" w:ascii="宋体" w:hAnsi="宋体" w:eastAsia="宋体" w:cs="宋体"/>
          <w:b/>
          <w:bCs/>
          <w:color w:val="000000"/>
          <w:sz w:val="22"/>
          <w:szCs w:val="21"/>
        </w:rPr>
      </w:pPr>
      <w:r>
        <w:rPr>
          <w:rFonts w:hint="eastAsia" w:ascii="宋体" w:hAnsi="宋体" w:eastAsia="宋体" w:cs="宋体"/>
          <w:b/>
          <w:bCs/>
          <w:color w:val="000000"/>
          <w:sz w:val="22"/>
          <w:szCs w:val="21"/>
        </w:rPr>
        <w:t>包</w:t>
      </w:r>
      <w:r>
        <w:rPr>
          <w:rFonts w:hint="eastAsia" w:ascii="宋体" w:hAnsi="宋体" w:cs="宋体"/>
          <w:b/>
          <w:bCs/>
          <w:color w:val="000000"/>
          <w:sz w:val="22"/>
          <w:szCs w:val="21"/>
          <w:lang w:val="en-US" w:eastAsia="zh-CN"/>
        </w:rPr>
        <w:t>6</w:t>
      </w:r>
      <w:r>
        <w:rPr>
          <w:rFonts w:hint="eastAsia" w:ascii="宋体" w:hAnsi="宋体" w:eastAsia="宋体" w:cs="宋体"/>
          <w:b/>
          <w:bCs/>
          <w:color w:val="000000"/>
          <w:sz w:val="22"/>
          <w:szCs w:val="21"/>
        </w:rPr>
        <w:t xml:space="preserve">    是否接受进口产品：是</w:t>
      </w:r>
    </w:p>
    <w:tbl>
      <w:tblPr>
        <w:tblStyle w:val="48"/>
        <w:tblW w:w="8858"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76"/>
        <w:gridCol w:w="1064"/>
        <w:gridCol w:w="654"/>
        <w:gridCol w:w="505"/>
        <w:gridCol w:w="485"/>
        <w:gridCol w:w="5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476"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06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货物名称</w:t>
            </w:r>
          </w:p>
        </w:tc>
        <w:tc>
          <w:tcPr>
            <w:tcW w:w="65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是否进口</w:t>
            </w:r>
          </w:p>
        </w:tc>
        <w:tc>
          <w:tcPr>
            <w:tcW w:w="505"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485"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67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闪射法导热仪</w:t>
            </w:r>
          </w:p>
        </w:tc>
        <w:tc>
          <w:tcPr>
            <w:tcW w:w="654"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是</w:t>
            </w:r>
          </w:p>
        </w:tc>
        <w:tc>
          <w:tcPr>
            <w:tcW w:w="50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674" w:type="dxa"/>
            <w:shd w:val="clear" w:color="auto" w:fill="auto"/>
            <w:vAlign w:val="center"/>
          </w:tcPr>
          <w:p>
            <w:pPr>
              <w:spacing w:line="240" w:lineRule="auto"/>
              <w:ind w:firstLine="210" w:firstLineChars="100"/>
              <w:rPr>
                <w:rFonts w:hint="eastAsia" w:ascii="Times New Roman" w:hAnsi="Times New Roman"/>
                <w:szCs w:val="21"/>
              </w:rPr>
            </w:pPr>
            <w:r>
              <w:rPr>
                <w:rFonts w:hint="eastAsia" w:ascii="Times New Roman" w:hAnsi="Times New Roman"/>
                <w:szCs w:val="21"/>
              </w:rPr>
              <w:t>1.温度范围：RT～1250℃</w:t>
            </w:r>
          </w:p>
          <w:p>
            <w:pPr>
              <w:spacing w:line="240" w:lineRule="auto"/>
              <w:ind w:firstLine="210" w:firstLineChars="100"/>
              <w:rPr>
                <w:rFonts w:hint="eastAsia" w:ascii="Times New Roman" w:hAnsi="Times New Roman"/>
                <w:szCs w:val="21"/>
              </w:rPr>
            </w:pPr>
            <w:r>
              <w:rPr>
                <w:rFonts w:hint="eastAsia" w:ascii="Times New Roman" w:hAnsi="Times New Roman"/>
                <w:szCs w:val="21"/>
              </w:rPr>
              <w:t>2.数据采样速率：2MHz</w:t>
            </w:r>
          </w:p>
          <w:p>
            <w:pPr>
              <w:spacing w:line="240" w:lineRule="auto"/>
              <w:ind w:firstLine="210" w:firstLineChars="100"/>
              <w:rPr>
                <w:rFonts w:hint="eastAsia" w:ascii="Times New Roman" w:hAnsi="Times New Roman"/>
                <w:szCs w:val="21"/>
              </w:rPr>
            </w:pPr>
            <w:r>
              <w:rPr>
                <w:rFonts w:hint="eastAsia" w:ascii="Times New Roman" w:hAnsi="Times New Roman"/>
                <w:szCs w:val="21"/>
              </w:rPr>
              <w:t>3.激光能量校正：Pulse Mapping校正功能</w:t>
            </w:r>
          </w:p>
          <w:p>
            <w:pPr>
              <w:spacing w:line="240" w:lineRule="auto"/>
              <w:ind w:firstLine="210" w:firstLineChars="100"/>
              <w:rPr>
                <w:rFonts w:hint="eastAsia" w:ascii="Times New Roman" w:hAnsi="Times New Roman"/>
                <w:szCs w:val="21"/>
              </w:rPr>
            </w:pPr>
            <w:r>
              <w:rPr>
                <w:rFonts w:hint="eastAsia" w:ascii="Times New Roman" w:hAnsi="Times New Roman"/>
                <w:szCs w:val="21"/>
              </w:rPr>
              <w:t>4.具备Zoom Optics检测优化功能</w:t>
            </w:r>
          </w:p>
          <w:p>
            <w:pPr>
              <w:spacing w:line="240" w:lineRule="auto"/>
              <w:ind w:firstLine="210" w:firstLineChars="100"/>
              <w:rPr>
                <w:rFonts w:hint="eastAsia" w:ascii="Times New Roman" w:hAnsi="Times New Roman"/>
                <w:szCs w:val="21"/>
              </w:rPr>
            </w:pPr>
            <w:r>
              <w:rPr>
                <w:rFonts w:hint="eastAsia" w:ascii="Times New Roman" w:hAnsi="Times New Roman"/>
                <w:szCs w:val="21"/>
              </w:rPr>
              <w:t>5.自动样品进样器：最大可达4位</w:t>
            </w:r>
          </w:p>
          <w:p>
            <w:pPr>
              <w:spacing w:line="240" w:lineRule="auto"/>
              <w:ind w:firstLine="210" w:firstLineChars="100"/>
              <w:rPr>
                <w:rFonts w:hint="eastAsia" w:ascii="Times New Roman" w:hAnsi="Times New Roman"/>
                <w:szCs w:val="21"/>
              </w:rPr>
            </w:pPr>
            <w:r>
              <w:rPr>
                <w:rFonts w:hint="eastAsia" w:ascii="Times New Roman" w:hAnsi="Times New Roman"/>
                <w:szCs w:val="21"/>
              </w:rPr>
              <w:t>6.导热系数范围：0.1～ 4000 W/mK</w:t>
            </w:r>
          </w:p>
          <w:p>
            <w:pPr>
              <w:spacing w:line="240" w:lineRule="auto"/>
              <w:ind w:firstLine="210" w:firstLineChars="100"/>
              <w:rPr>
                <w:rFonts w:hint="eastAsia" w:ascii="Times New Roman" w:hAnsi="Times New Roman"/>
                <w:szCs w:val="21"/>
              </w:rPr>
            </w:pPr>
            <w:r>
              <w:rPr>
                <w:rFonts w:hint="eastAsia" w:ascii="Times New Roman" w:hAnsi="Times New Roman"/>
                <w:szCs w:val="21"/>
              </w:rPr>
              <w:t>7.热扩散系数范围：0.01～2000mm2/s</w:t>
            </w:r>
          </w:p>
          <w:p>
            <w:pPr>
              <w:spacing w:line="240" w:lineRule="auto"/>
              <w:ind w:firstLine="210" w:firstLineChars="100"/>
              <w:rPr>
                <w:rFonts w:hint="eastAsia" w:ascii="Times New Roman" w:hAnsi="Times New Roman"/>
                <w:szCs w:val="21"/>
              </w:rPr>
            </w:pPr>
            <w:r>
              <w:rPr>
                <w:rFonts w:hint="eastAsia" w:ascii="Times New Roman" w:hAnsi="Times New Roman"/>
                <w:szCs w:val="21"/>
              </w:rPr>
              <w:t>8.升温速率：0～50K/min</w:t>
            </w:r>
          </w:p>
          <w:p>
            <w:pPr>
              <w:spacing w:line="240" w:lineRule="auto"/>
              <w:ind w:firstLine="210" w:firstLineChars="100"/>
              <w:rPr>
                <w:rFonts w:hint="eastAsia" w:ascii="Times New Roman" w:hAnsi="Times New Roman"/>
                <w:szCs w:val="21"/>
              </w:rPr>
            </w:pPr>
            <w:r>
              <w:rPr>
                <w:rFonts w:hint="eastAsia" w:ascii="Times New Roman" w:hAnsi="Times New Roman"/>
                <w:szCs w:val="21"/>
              </w:rPr>
              <w:t>9.准确度：3％</w:t>
            </w:r>
          </w:p>
          <w:p>
            <w:pPr>
              <w:spacing w:line="240" w:lineRule="auto"/>
              <w:ind w:firstLine="210" w:firstLineChars="100"/>
              <w:rPr>
                <w:rFonts w:hint="eastAsia" w:ascii="Times New Roman" w:hAnsi="Times New Roman"/>
                <w:szCs w:val="21"/>
              </w:rPr>
            </w:pPr>
            <w:r>
              <w:rPr>
                <w:rFonts w:hint="eastAsia" w:ascii="Times New Roman" w:hAnsi="Times New Roman"/>
                <w:szCs w:val="21"/>
              </w:rPr>
              <w:t>10.精确度：2％</w:t>
            </w:r>
          </w:p>
          <w:p>
            <w:pPr>
              <w:spacing w:line="240" w:lineRule="auto"/>
              <w:ind w:firstLine="210" w:firstLineChars="100"/>
              <w:rPr>
                <w:rFonts w:hint="eastAsia" w:ascii="Times New Roman" w:hAnsi="Times New Roman"/>
                <w:szCs w:val="21"/>
              </w:rPr>
            </w:pPr>
            <w:r>
              <w:rPr>
                <w:rFonts w:hint="eastAsia" w:ascii="Times New Roman" w:hAnsi="Times New Roman"/>
                <w:szCs w:val="21"/>
              </w:rPr>
              <w:t>11.比热测定精度：3％</w:t>
            </w:r>
          </w:p>
          <w:p>
            <w:pPr>
              <w:spacing w:line="240" w:lineRule="auto"/>
              <w:ind w:firstLine="210" w:firstLineChars="100"/>
              <w:rPr>
                <w:rFonts w:hint="eastAsia" w:ascii="Times New Roman" w:hAnsi="Times New Roman"/>
                <w:szCs w:val="21"/>
              </w:rPr>
            </w:pPr>
            <w:r>
              <w:rPr>
                <w:rFonts w:hint="eastAsia" w:ascii="Times New Roman" w:hAnsi="Times New Roman"/>
                <w:szCs w:val="21"/>
              </w:rPr>
              <w:t>12.样品直径： 6～12.7 mm</w:t>
            </w:r>
          </w:p>
          <w:p>
            <w:pPr>
              <w:spacing w:line="240" w:lineRule="auto"/>
              <w:ind w:firstLine="210" w:firstLineChars="100"/>
              <w:rPr>
                <w:rFonts w:hint="eastAsia" w:ascii="Times New Roman" w:hAnsi="Times New Roman"/>
                <w:szCs w:val="21"/>
              </w:rPr>
            </w:pPr>
            <w:r>
              <w:rPr>
                <w:rFonts w:hint="eastAsia" w:ascii="Times New Roman" w:hAnsi="Times New Roman"/>
                <w:szCs w:val="21"/>
              </w:rPr>
              <w:t>13.样品厚度： 0.01～6 mm</w:t>
            </w:r>
          </w:p>
          <w:p>
            <w:pPr>
              <w:spacing w:line="240" w:lineRule="auto"/>
              <w:ind w:firstLine="210" w:firstLineChars="100"/>
              <w:rPr>
                <w:rFonts w:hint="eastAsia" w:ascii="Times New Roman" w:hAnsi="Times New Roman"/>
                <w:szCs w:val="21"/>
              </w:rPr>
            </w:pPr>
            <w:r>
              <w:rPr>
                <w:rFonts w:hint="eastAsia" w:ascii="Times New Roman" w:hAnsi="Times New Roman"/>
                <w:szCs w:val="21"/>
              </w:rPr>
              <w:t>14.中英文软件: 中英文操作、分析软件。提供全功能导热分析软件，包含16种数学拟合模型，可以校正所有的热损耗。</w:t>
            </w:r>
          </w:p>
          <w:p>
            <w:pPr>
              <w:spacing w:line="240" w:lineRule="auto"/>
              <w:ind w:firstLine="210" w:firstLineChars="100"/>
              <w:rPr>
                <w:rFonts w:hint="eastAsia" w:ascii="Times New Roman" w:hAnsi="Times New Roman"/>
                <w:szCs w:val="21"/>
              </w:rPr>
            </w:pPr>
            <w:r>
              <w:rPr>
                <w:rFonts w:hint="eastAsia" w:ascii="Times New Roman" w:hAnsi="Times New Roman"/>
                <w:szCs w:val="21"/>
              </w:rPr>
              <w:t>15.附件</w:t>
            </w:r>
          </w:p>
          <w:p>
            <w:pPr>
              <w:spacing w:line="240" w:lineRule="auto"/>
              <w:ind w:firstLine="210" w:firstLineChars="100"/>
              <w:rPr>
                <w:rFonts w:hint="eastAsia" w:ascii="Times New Roman" w:hAnsi="Times New Roman"/>
                <w:szCs w:val="21"/>
              </w:rPr>
            </w:pPr>
            <w:r>
              <w:rPr>
                <w:rFonts w:hint="eastAsia" w:ascii="Times New Roman" w:hAnsi="Times New Roman"/>
                <w:szCs w:val="21"/>
              </w:rPr>
              <w:t xml:space="preserve">1）激光导热仪基本单元:：包含炉体、光源、红外检测器。 </w:t>
            </w:r>
          </w:p>
          <w:p>
            <w:pPr>
              <w:spacing w:line="240" w:lineRule="auto"/>
              <w:ind w:firstLine="210" w:firstLineChars="100"/>
              <w:rPr>
                <w:rFonts w:hint="eastAsia" w:ascii="Times New Roman" w:hAnsi="Times New Roman"/>
                <w:szCs w:val="21"/>
              </w:rPr>
            </w:pPr>
            <w:r>
              <w:rPr>
                <w:rFonts w:hint="eastAsia" w:ascii="Times New Roman" w:hAnsi="Times New Roman"/>
                <w:szCs w:val="21"/>
              </w:rPr>
              <w:t>2）软件：中文测试、分析软件，包含16种数学校正模型。</w:t>
            </w:r>
          </w:p>
          <w:p>
            <w:pPr>
              <w:spacing w:line="240" w:lineRule="auto"/>
              <w:ind w:firstLine="210" w:firstLineChars="100"/>
              <w:rPr>
                <w:rFonts w:hint="eastAsia" w:ascii="Times New Roman" w:hAnsi="Times New Roman"/>
                <w:szCs w:val="21"/>
              </w:rPr>
            </w:pPr>
            <w:r>
              <w:rPr>
                <w:rFonts w:hint="eastAsia" w:ascii="Times New Roman" w:hAnsi="Times New Roman"/>
                <w:szCs w:val="21"/>
              </w:rPr>
              <w:t>3）附件：方形/圆形支架</w:t>
            </w:r>
          </w:p>
          <w:p>
            <w:pPr>
              <w:spacing w:line="240" w:lineRule="auto"/>
              <w:ind w:firstLine="210" w:firstLineChars="100"/>
              <w:rPr>
                <w:rFonts w:hint="eastAsia" w:ascii="宋体" w:hAnsi="宋体" w:eastAsia="宋体" w:cs="宋体"/>
                <w:i w:val="0"/>
                <w:iCs w:val="0"/>
                <w:color w:val="auto"/>
                <w:sz w:val="21"/>
                <w:szCs w:val="21"/>
                <w:highlight w:val="none"/>
                <w:u w:val="none"/>
              </w:rPr>
            </w:pPr>
            <w:r>
              <w:rPr>
                <w:rFonts w:hint="eastAsia" w:ascii="Times New Roman" w:hAnsi="Times New Roman"/>
                <w:szCs w:val="21"/>
              </w:rPr>
              <w:t>4）石墨喷灌3套</w:t>
            </w:r>
          </w:p>
        </w:tc>
      </w:tr>
    </w:tbl>
    <w:p>
      <w:pPr>
        <w:rPr>
          <w:rFonts w:hint="eastAsia" w:ascii="宋体" w:hAnsi="宋体" w:eastAsia="宋体" w:cs="宋体"/>
          <w:b/>
          <w:bCs/>
          <w:color w:val="000000"/>
          <w:sz w:val="22"/>
          <w:szCs w:val="21"/>
        </w:rPr>
      </w:pPr>
      <w:r>
        <w:rPr>
          <w:rFonts w:hint="eastAsia" w:ascii="宋体" w:hAnsi="宋体" w:eastAsia="宋体" w:cs="宋体"/>
          <w:b/>
          <w:bCs/>
          <w:color w:val="000000"/>
          <w:sz w:val="22"/>
          <w:szCs w:val="21"/>
        </w:rPr>
        <w:t>包</w:t>
      </w:r>
      <w:r>
        <w:rPr>
          <w:rFonts w:hint="eastAsia" w:ascii="宋体" w:hAnsi="宋体" w:cs="宋体"/>
          <w:b/>
          <w:bCs/>
          <w:color w:val="000000"/>
          <w:sz w:val="22"/>
          <w:szCs w:val="21"/>
          <w:lang w:val="en-US" w:eastAsia="zh-CN"/>
        </w:rPr>
        <w:t>7</w:t>
      </w:r>
      <w:r>
        <w:rPr>
          <w:rFonts w:hint="eastAsia" w:ascii="宋体" w:hAnsi="宋体" w:eastAsia="宋体" w:cs="宋体"/>
          <w:b/>
          <w:bCs/>
          <w:color w:val="000000"/>
          <w:sz w:val="22"/>
          <w:szCs w:val="21"/>
        </w:rPr>
        <w:t xml:space="preserve">    是否接受进口产品：是</w:t>
      </w:r>
    </w:p>
    <w:tbl>
      <w:tblPr>
        <w:tblStyle w:val="48"/>
        <w:tblW w:w="8858"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76"/>
        <w:gridCol w:w="1064"/>
        <w:gridCol w:w="654"/>
        <w:gridCol w:w="505"/>
        <w:gridCol w:w="485"/>
        <w:gridCol w:w="5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476"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06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货物名称</w:t>
            </w:r>
          </w:p>
        </w:tc>
        <w:tc>
          <w:tcPr>
            <w:tcW w:w="65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是否进口</w:t>
            </w:r>
          </w:p>
        </w:tc>
        <w:tc>
          <w:tcPr>
            <w:tcW w:w="505"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485"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c>
          <w:tcPr>
            <w:tcW w:w="5674" w:type="dxa"/>
            <w:shd w:val="clear" w:color="auto" w:fill="auto"/>
            <w:vAlign w:val="top"/>
          </w:tcPr>
          <w:p>
            <w:pPr>
              <w:keepNext w:val="0"/>
              <w:keepLines w:val="0"/>
              <w:widowControl/>
              <w:suppressLineNumbers w:val="0"/>
              <w:jc w:val="both"/>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22" w:hRule="atLeast"/>
        </w:trPr>
        <w:tc>
          <w:tcPr>
            <w:tcW w:w="476"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1064"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200KV透射电子显微镜</w:t>
            </w:r>
          </w:p>
        </w:tc>
        <w:tc>
          <w:tcPr>
            <w:tcW w:w="654"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是</w:t>
            </w:r>
          </w:p>
        </w:tc>
        <w:tc>
          <w:tcPr>
            <w:tcW w:w="50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套</w:t>
            </w:r>
          </w:p>
        </w:tc>
        <w:tc>
          <w:tcPr>
            <w:tcW w:w="485" w:type="dxa"/>
            <w:shd w:val="clear" w:color="auto" w:fill="auto"/>
            <w:vAlign w:val="center"/>
          </w:tcPr>
          <w:p>
            <w:pPr>
              <w:keepNext w:val="0"/>
              <w:keepLines w:val="0"/>
              <w:widowControl/>
              <w:suppressLineNumbers w:val="0"/>
              <w:jc w:val="center"/>
              <w:textAlignment w:val="top"/>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674" w:type="dxa"/>
            <w:shd w:val="clear" w:color="auto" w:fill="auto"/>
            <w:vAlign w:val="center"/>
          </w:tcPr>
          <w:p>
            <w:pPr>
              <w:spacing w:line="240" w:lineRule="auto"/>
              <w:ind w:firstLine="210" w:firstLineChars="100"/>
              <w:rPr>
                <w:rFonts w:hint="eastAsia" w:ascii="Times New Roman" w:hAnsi="Times New Roman"/>
                <w:szCs w:val="21"/>
              </w:rPr>
            </w:pPr>
            <w:r>
              <w:rPr>
                <w:rFonts w:hint="eastAsia" w:ascii="Times New Roman" w:hAnsi="Times New Roman"/>
                <w:szCs w:val="21"/>
              </w:rPr>
              <w:t>1. 工作条件：</w:t>
            </w:r>
          </w:p>
          <w:p>
            <w:pPr>
              <w:spacing w:line="240" w:lineRule="auto"/>
              <w:ind w:firstLine="210" w:firstLineChars="100"/>
              <w:rPr>
                <w:rFonts w:hint="eastAsia" w:ascii="Times New Roman" w:hAnsi="Times New Roman"/>
                <w:szCs w:val="21"/>
              </w:rPr>
            </w:pPr>
            <w:r>
              <w:rPr>
                <w:rFonts w:hint="eastAsia" w:ascii="Times New Roman" w:hAnsi="Times New Roman"/>
                <w:szCs w:val="21"/>
              </w:rPr>
              <w:t>1.1 电力供应：220V（10%），50Hz，单相；380V（10%），50Hz，三相</w:t>
            </w:r>
          </w:p>
          <w:p>
            <w:pPr>
              <w:spacing w:line="240" w:lineRule="auto"/>
              <w:ind w:firstLine="210" w:firstLineChars="100"/>
              <w:rPr>
                <w:rFonts w:hint="eastAsia" w:ascii="Times New Roman" w:hAnsi="Times New Roman"/>
                <w:szCs w:val="21"/>
              </w:rPr>
            </w:pPr>
            <w:r>
              <w:rPr>
                <w:rFonts w:hint="eastAsia" w:ascii="Times New Roman" w:hAnsi="Times New Roman"/>
                <w:szCs w:val="21"/>
              </w:rPr>
              <w:t>1.2 工作温度：15C-25C</w:t>
            </w:r>
          </w:p>
          <w:p>
            <w:pPr>
              <w:spacing w:line="240" w:lineRule="auto"/>
              <w:ind w:firstLine="210" w:firstLineChars="100"/>
              <w:rPr>
                <w:rFonts w:hint="eastAsia" w:ascii="Times New Roman" w:hAnsi="Times New Roman"/>
                <w:szCs w:val="21"/>
              </w:rPr>
            </w:pPr>
            <w:r>
              <w:rPr>
                <w:rFonts w:hint="eastAsia" w:ascii="Times New Roman" w:hAnsi="Times New Roman"/>
                <w:szCs w:val="21"/>
              </w:rPr>
              <w:t>1.3 工作湿度：&lt; 60%</w:t>
            </w:r>
          </w:p>
          <w:p>
            <w:pPr>
              <w:spacing w:line="240" w:lineRule="auto"/>
              <w:ind w:firstLine="210" w:firstLineChars="100"/>
              <w:rPr>
                <w:rFonts w:hint="eastAsia" w:ascii="Times New Roman" w:hAnsi="Times New Roman"/>
                <w:szCs w:val="21"/>
              </w:rPr>
            </w:pPr>
            <w:r>
              <w:rPr>
                <w:rFonts w:hint="eastAsia" w:ascii="Times New Roman" w:hAnsi="Times New Roman"/>
                <w:szCs w:val="21"/>
              </w:rPr>
              <w:t>1.4 仪器运行的持久性：连续使用</w:t>
            </w:r>
          </w:p>
          <w:p>
            <w:pPr>
              <w:spacing w:line="240" w:lineRule="auto"/>
              <w:ind w:firstLine="210" w:firstLineChars="100"/>
              <w:rPr>
                <w:rFonts w:hint="eastAsia" w:ascii="Times New Roman" w:hAnsi="Times New Roman"/>
                <w:szCs w:val="21"/>
              </w:rPr>
            </w:pPr>
            <w:r>
              <w:rPr>
                <w:rFonts w:hint="eastAsia" w:ascii="Times New Roman" w:hAnsi="Times New Roman"/>
                <w:szCs w:val="21"/>
              </w:rPr>
              <w:t>1.5 独立地线：≤100欧姆</w:t>
            </w:r>
          </w:p>
          <w:p>
            <w:pPr>
              <w:spacing w:line="240" w:lineRule="auto"/>
              <w:ind w:firstLine="210" w:firstLineChars="100"/>
              <w:rPr>
                <w:rFonts w:hint="eastAsia" w:ascii="Times New Roman" w:hAnsi="Times New Roman"/>
                <w:szCs w:val="21"/>
              </w:rPr>
            </w:pPr>
            <w:r>
              <w:rPr>
                <w:rFonts w:hint="eastAsia" w:ascii="Times New Roman" w:hAnsi="Times New Roman"/>
                <w:szCs w:val="21"/>
              </w:rPr>
              <w:t>2. 设备用途：透射电镜可用来金属材料、无机非金属材料、生物材料、化工材料、高分子材料等材料的微观精细结构观察、衍射花样、高分辨成像等。</w:t>
            </w:r>
          </w:p>
          <w:p>
            <w:pPr>
              <w:spacing w:line="240" w:lineRule="auto"/>
              <w:ind w:firstLine="210" w:firstLineChars="100"/>
              <w:rPr>
                <w:rFonts w:hint="eastAsia" w:ascii="Times New Roman" w:hAnsi="Times New Roman"/>
                <w:szCs w:val="21"/>
              </w:rPr>
            </w:pPr>
            <w:r>
              <w:rPr>
                <w:rFonts w:hint="eastAsia" w:ascii="Times New Roman" w:hAnsi="Times New Roman"/>
                <w:szCs w:val="21"/>
              </w:rPr>
              <w:t>3. 技术规格：</w:t>
            </w:r>
          </w:p>
          <w:p>
            <w:pPr>
              <w:spacing w:line="240" w:lineRule="auto"/>
              <w:ind w:firstLine="210" w:firstLineChars="100"/>
              <w:rPr>
                <w:rFonts w:hint="eastAsia" w:ascii="Times New Roman" w:hAnsi="Times New Roman"/>
                <w:szCs w:val="21"/>
              </w:rPr>
            </w:pPr>
            <w:r>
              <w:rPr>
                <w:rFonts w:hint="eastAsia" w:ascii="Times New Roman" w:hAnsi="Times New Roman"/>
                <w:szCs w:val="21"/>
              </w:rPr>
              <w:t>3.1 六硼化镧透射电镜基本单元</w:t>
            </w:r>
          </w:p>
          <w:p>
            <w:pPr>
              <w:spacing w:line="240" w:lineRule="auto"/>
              <w:ind w:firstLine="210" w:firstLineChars="100"/>
              <w:rPr>
                <w:rFonts w:hint="eastAsia" w:ascii="Times New Roman" w:hAnsi="Times New Roman"/>
                <w:szCs w:val="21"/>
              </w:rPr>
            </w:pPr>
            <w:r>
              <w:rPr>
                <w:rFonts w:hint="eastAsia" w:ascii="Times New Roman" w:hAnsi="Times New Roman"/>
                <w:szCs w:val="21"/>
              </w:rPr>
              <w:t>3.1.1 电子枪：六硼化镧型</w:t>
            </w:r>
          </w:p>
          <w:p>
            <w:pPr>
              <w:spacing w:line="240" w:lineRule="auto"/>
              <w:ind w:firstLine="210" w:firstLineChars="100"/>
              <w:rPr>
                <w:rFonts w:hint="eastAsia" w:ascii="Times New Roman" w:hAnsi="Times New Roman"/>
                <w:szCs w:val="21"/>
              </w:rPr>
            </w:pPr>
            <w:r>
              <w:rPr>
                <w:rFonts w:hint="eastAsia" w:ascii="Times New Roman" w:hAnsi="Times New Roman"/>
                <w:szCs w:val="21"/>
              </w:rPr>
              <w:t>★3.1.2 分辨率</w:t>
            </w:r>
          </w:p>
          <w:p>
            <w:pPr>
              <w:spacing w:line="240" w:lineRule="auto"/>
              <w:ind w:firstLine="210" w:firstLineChars="100"/>
              <w:rPr>
                <w:rFonts w:hint="eastAsia" w:ascii="Times New Roman" w:hAnsi="Times New Roman"/>
                <w:szCs w:val="21"/>
              </w:rPr>
            </w:pPr>
            <w:r>
              <w:rPr>
                <w:rFonts w:hint="eastAsia" w:ascii="Times New Roman" w:hAnsi="Times New Roman"/>
                <w:szCs w:val="21"/>
              </w:rPr>
              <w:t>点分辨率：≤0.23nm</w:t>
            </w:r>
            <w:r>
              <w:rPr>
                <w:rFonts w:hint="eastAsia" w:ascii="Times New Roman" w:hAnsi="Times New Roman"/>
                <w:szCs w:val="21"/>
              </w:rPr>
              <w:tab/>
            </w:r>
            <w:r>
              <w:rPr>
                <w:rFonts w:hint="eastAsia" w:ascii="Times New Roman" w:hAnsi="Times New Roman"/>
                <w:szCs w:val="21"/>
              </w:rPr>
              <w:tab/>
            </w:r>
            <w:r>
              <w:rPr>
                <w:rFonts w:hint="eastAsia" w:ascii="Times New Roman" w:hAnsi="Times New Roman"/>
                <w:szCs w:val="21"/>
              </w:rPr>
              <w:tab/>
            </w:r>
            <w:r>
              <w:rPr>
                <w:rFonts w:hint="eastAsia" w:ascii="Times New Roman" w:hAnsi="Times New Roman"/>
                <w:szCs w:val="21"/>
              </w:rPr>
              <w:tab/>
            </w:r>
          </w:p>
          <w:p>
            <w:pPr>
              <w:spacing w:line="240" w:lineRule="auto"/>
              <w:ind w:firstLine="210" w:firstLineChars="100"/>
              <w:rPr>
                <w:rFonts w:hint="eastAsia" w:ascii="Times New Roman" w:hAnsi="Times New Roman"/>
                <w:szCs w:val="21"/>
              </w:rPr>
            </w:pPr>
            <w:r>
              <w:rPr>
                <w:rFonts w:hint="eastAsia" w:ascii="Times New Roman" w:hAnsi="Times New Roman"/>
                <w:szCs w:val="21"/>
              </w:rPr>
              <w:t>线分辨率：≤0.14nm</w:t>
            </w:r>
          </w:p>
          <w:p>
            <w:pPr>
              <w:spacing w:line="240" w:lineRule="auto"/>
              <w:ind w:firstLine="210" w:firstLineChars="100"/>
              <w:rPr>
                <w:rFonts w:hint="eastAsia" w:ascii="Times New Roman" w:hAnsi="Times New Roman"/>
                <w:szCs w:val="21"/>
              </w:rPr>
            </w:pPr>
            <w:r>
              <w:rPr>
                <w:rFonts w:hint="eastAsia" w:ascii="Times New Roman" w:hAnsi="Times New Roman"/>
                <w:szCs w:val="21"/>
              </w:rPr>
              <w:t>STEM分辨率：≤1nm</w:t>
            </w:r>
            <w:r>
              <w:rPr>
                <w:rFonts w:hint="eastAsia" w:ascii="Times New Roman" w:hAnsi="Times New Roman"/>
                <w:szCs w:val="21"/>
              </w:rPr>
              <w:tab/>
            </w:r>
            <w:r>
              <w:rPr>
                <w:rFonts w:hint="eastAsia" w:ascii="Times New Roman" w:hAnsi="Times New Roman"/>
                <w:szCs w:val="21"/>
              </w:rPr>
              <w:tab/>
            </w:r>
            <w:r>
              <w:rPr>
                <w:rFonts w:hint="eastAsia" w:ascii="Times New Roman" w:hAnsi="Times New Roman"/>
                <w:szCs w:val="21"/>
              </w:rPr>
              <w:tab/>
            </w:r>
            <w:r>
              <w:rPr>
                <w:rFonts w:hint="eastAsia" w:ascii="Times New Roman" w:hAnsi="Times New Roman"/>
                <w:szCs w:val="21"/>
              </w:rPr>
              <w:tab/>
            </w:r>
          </w:p>
          <w:p>
            <w:pPr>
              <w:spacing w:line="240" w:lineRule="auto"/>
              <w:ind w:firstLine="210" w:firstLineChars="100"/>
              <w:rPr>
                <w:rFonts w:hint="eastAsia" w:ascii="Times New Roman" w:hAnsi="Times New Roman"/>
                <w:szCs w:val="21"/>
              </w:rPr>
            </w:pPr>
            <w:r>
              <w:rPr>
                <w:rFonts w:hint="eastAsia" w:ascii="Times New Roman" w:hAnsi="Times New Roman"/>
                <w:szCs w:val="21"/>
              </w:rPr>
              <w:t>3.1.3 加速电压</w:t>
            </w:r>
          </w:p>
          <w:p>
            <w:pPr>
              <w:spacing w:line="240" w:lineRule="auto"/>
              <w:ind w:firstLine="210" w:firstLineChars="100"/>
              <w:rPr>
                <w:rFonts w:hint="eastAsia" w:ascii="Times New Roman" w:hAnsi="Times New Roman"/>
                <w:szCs w:val="21"/>
              </w:rPr>
            </w:pPr>
            <w:r>
              <w:rPr>
                <w:rFonts w:hint="eastAsia" w:ascii="Times New Roman" w:hAnsi="Times New Roman"/>
                <w:szCs w:val="21"/>
              </w:rPr>
              <w:t>最高加速电压: 200kV</w:t>
            </w:r>
            <w:r>
              <w:rPr>
                <w:rFonts w:hint="eastAsia" w:ascii="Times New Roman" w:hAnsi="Times New Roman"/>
                <w:szCs w:val="21"/>
              </w:rPr>
              <w:tab/>
            </w:r>
            <w:r>
              <w:rPr>
                <w:rFonts w:hint="eastAsia" w:ascii="Times New Roman" w:hAnsi="Times New Roman"/>
                <w:szCs w:val="21"/>
              </w:rPr>
              <w:tab/>
            </w:r>
            <w:r>
              <w:rPr>
                <w:rFonts w:hint="eastAsia" w:ascii="Times New Roman" w:hAnsi="Times New Roman"/>
                <w:szCs w:val="21"/>
              </w:rPr>
              <w:tab/>
            </w:r>
            <w:r>
              <w:rPr>
                <w:rFonts w:hint="eastAsia" w:ascii="Times New Roman" w:hAnsi="Times New Roman"/>
                <w:szCs w:val="21"/>
              </w:rPr>
              <w:tab/>
            </w:r>
          </w:p>
          <w:p>
            <w:pPr>
              <w:spacing w:line="240" w:lineRule="auto"/>
              <w:ind w:firstLine="210" w:firstLineChars="100"/>
              <w:rPr>
                <w:rFonts w:hint="eastAsia" w:ascii="Times New Roman" w:hAnsi="Times New Roman"/>
                <w:szCs w:val="21"/>
              </w:rPr>
            </w:pPr>
            <w:r>
              <w:rPr>
                <w:rFonts w:hint="eastAsia" w:ascii="Times New Roman" w:hAnsi="Times New Roman"/>
                <w:szCs w:val="21"/>
              </w:rPr>
              <w:t>3.1.4 稳定度</w:t>
            </w:r>
          </w:p>
          <w:p>
            <w:pPr>
              <w:spacing w:line="240" w:lineRule="auto"/>
              <w:ind w:firstLine="210" w:firstLineChars="100"/>
              <w:rPr>
                <w:rFonts w:hint="eastAsia" w:ascii="Times New Roman" w:hAnsi="Times New Roman"/>
                <w:szCs w:val="21"/>
              </w:rPr>
            </w:pPr>
            <w:r>
              <w:rPr>
                <w:rFonts w:hint="eastAsia" w:ascii="Times New Roman" w:hAnsi="Times New Roman"/>
                <w:szCs w:val="21"/>
              </w:rPr>
              <w:t>加速电压稳定性：≤2 ppm/min（PP）</w:t>
            </w:r>
            <w:r>
              <w:rPr>
                <w:rFonts w:hint="eastAsia" w:ascii="Times New Roman" w:hAnsi="Times New Roman"/>
                <w:szCs w:val="21"/>
              </w:rPr>
              <w:tab/>
            </w:r>
          </w:p>
          <w:p>
            <w:pPr>
              <w:spacing w:line="240" w:lineRule="auto"/>
              <w:ind w:firstLine="210" w:firstLineChars="100"/>
              <w:rPr>
                <w:rFonts w:hint="eastAsia" w:ascii="Times New Roman" w:hAnsi="Times New Roman"/>
                <w:szCs w:val="21"/>
              </w:rPr>
            </w:pPr>
            <w:r>
              <w:rPr>
                <w:rFonts w:hint="eastAsia" w:ascii="Times New Roman" w:hAnsi="Times New Roman"/>
                <w:szCs w:val="21"/>
              </w:rPr>
              <w:t>物镜电流稳定性：≤1 ppm/min（pp）</w:t>
            </w:r>
          </w:p>
          <w:p>
            <w:pPr>
              <w:spacing w:line="240" w:lineRule="auto"/>
              <w:ind w:firstLine="210" w:firstLineChars="100"/>
              <w:rPr>
                <w:rFonts w:hint="eastAsia" w:ascii="Times New Roman" w:hAnsi="Times New Roman"/>
                <w:szCs w:val="21"/>
              </w:rPr>
            </w:pPr>
            <w:r>
              <w:rPr>
                <w:rFonts w:hint="eastAsia" w:ascii="Times New Roman" w:hAnsi="Times New Roman"/>
                <w:szCs w:val="21"/>
              </w:rPr>
              <w:t>3.1.5放大倍数</w:t>
            </w:r>
          </w:p>
          <w:p>
            <w:pPr>
              <w:spacing w:line="240" w:lineRule="auto"/>
              <w:ind w:firstLine="210" w:firstLineChars="100"/>
              <w:rPr>
                <w:rFonts w:hint="eastAsia" w:ascii="Times New Roman" w:hAnsi="Times New Roman"/>
                <w:szCs w:val="21"/>
              </w:rPr>
            </w:pPr>
            <w:r>
              <w:rPr>
                <w:rFonts w:hint="eastAsia" w:ascii="Times New Roman" w:hAnsi="Times New Roman"/>
                <w:szCs w:val="21"/>
              </w:rPr>
              <w:t>TEM 模式：30× —1,500,000×</w:t>
            </w:r>
            <w:r>
              <w:rPr>
                <w:rFonts w:hint="eastAsia" w:ascii="Times New Roman" w:hAnsi="Times New Roman"/>
                <w:szCs w:val="21"/>
              </w:rPr>
              <w:tab/>
            </w:r>
          </w:p>
          <w:p>
            <w:pPr>
              <w:spacing w:line="240" w:lineRule="auto"/>
              <w:ind w:firstLine="210" w:firstLineChars="100"/>
              <w:rPr>
                <w:rFonts w:hint="eastAsia" w:ascii="Times New Roman" w:hAnsi="Times New Roman"/>
                <w:szCs w:val="21"/>
              </w:rPr>
            </w:pPr>
            <w:r>
              <w:rPr>
                <w:rFonts w:hint="eastAsia" w:ascii="Times New Roman" w:hAnsi="Times New Roman"/>
                <w:szCs w:val="21"/>
              </w:rPr>
              <w:t>STEM模式：100—2,000,000×</w:t>
            </w:r>
          </w:p>
          <w:p>
            <w:pPr>
              <w:spacing w:line="240" w:lineRule="auto"/>
              <w:ind w:firstLine="210" w:firstLineChars="100"/>
              <w:rPr>
                <w:rFonts w:hint="eastAsia" w:ascii="Times New Roman" w:hAnsi="Times New Roman"/>
                <w:szCs w:val="21"/>
              </w:rPr>
            </w:pPr>
            <w:r>
              <w:rPr>
                <w:rFonts w:hint="eastAsia" w:ascii="Times New Roman" w:hAnsi="Times New Roman"/>
                <w:szCs w:val="21"/>
              </w:rPr>
              <w:t>★3.1.6 物镜</w:t>
            </w:r>
          </w:p>
          <w:p>
            <w:pPr>
              <w:spacing w:line="240" w:lineRule="auto"/>
              <w:ind w:firstLine="210" w:firstLineChars="100"/>
              <w:rPr>
                <w:rFonts w:hint="eastAsia" w:ascii="Times New Roman" w:hAnsi="Times New Roman"/>
                <w:szCs w:val="21"/>
              </w:rPr>
            </w:pPr>
            <w:r>
              <w:rPr>
                <w:rFonts w:hint="eastAsia" w:ascii="Times New Roman" w:hAnsi="Times New Roman"/>
                <w:szCs w:val="21"/>
              </w:rPr>
              <w:t>球差系数：≤1.0mm</w:t>
            </w:r>
          </w:p>
          <w:p>
            <w:pPr>
              <w:spacing w:line="240" w:lineRule="auto"/>
              <w:ind w:firstLine="210" w:firstLineChars="100"/>
              <w:rPr>
                <w:rFonts w:hint="eastAsia" w:ascii="Times New Roman" w:hAnsi="Times New Roman"/>
                <w:szCs w:val="21"/>
              </w:rPr>
            </w:pPr>
            <w:r>
              <w:rPr>
                <w:rFonts w:hint="eastAsia" w:ascii="Times New Roman" w:hAnsi="Times New Roman"/>
                <w:szCs w:val="21"/>
              </w:rPr>
              <w:t>色差系数：≤1.4mm</w:t>
            </w:r>
          </w:p>
          <w:p>
            <w:pPr>
              <w:spacing w:line="240" w:lineRule="auto"/>
              <w:ind w:firstLine="210" w:firstLineChars="100"/>
              <w:rPr>
                <w:rFonts w:hint="eastAsia" w:ascii="Times New Roman" w:hAnsi="Times New Roman"/>
                <w:szCs w:val="21"/>
              </w:rPr>
            </w:pPr>
            <w:r>
              <w:rPr>
                <w:rFonts w:hint="eastAsia" w:ascii="Times New Roman" w:hAnsi="Times New Roman"/>
                <w:szCs w:val="21"/>
              </w:rPr>
              <w:t>最小聚焦步长：≤1.5nm</w:t>
            </w:r>
          </w:p>
          <w:p>
            <w:pPr>
              <w:spacing w:line="240" w:lineRule="auto"/>
              <w:ind w:firstLine="210" w:firstLineChars="100"/>
              <w:rPr>
                <w:rFonts w:hint="eastAsia" w:ascii="Times New Roman" w:hAnsi="Times New Roman"/>
                <w:szCs w:val="21"/>
              </w:rPr>
            </w:pPr>
            <w:r>
              <w:rPr>
                <w:rFonts w:hint="eastAsia" w:ascii="Times New Roman" w:hAnsi="Times New Roman"/>
                <w:szCs w:val="21"/>
              </w:rPr>
              <w:t>3.1.7束斑尺寸</w:t>
            </w:r>
          </w:p>
          <w:p>
            <w:pPr>
              <w:spacing w:line="240" w:lineRule="auto"/>
              <w:ind w:firstLine="210" w:firstLineChars="100"/>
              <w:rPr>
                <w:rFonts w:hint="eastAsia" w:ascii="Times New Roman" w:hAnsi="Times New Roman"/>
                <w:szCs w:val="21"/>
              </w:rPr>
            </w:pPr>
            <w:r>
              <w:rPr>
                <w:rFonts w:hint="eastAsia" w:ascii="Times New Roman" w:hAnsi="Times New Roman"/>
                <w:szCs w:val="21"/>
              </w:rPr>
              <w:t>TEM模式：≥20nm</w:t>
            </w:r>
            <w:r>
              <w:rPr>
                <w:rFonts w:hint="eastAsia" w:ascii="Times New Roman" w:hAnsi="Times New Roman"/>
                <w:szCs w:val="21"/>
              </w:rPr>
              <w:tab/>
            </w:r>
            <w:r>
              <w:rPr>
                <w:rFonts w:hint="eastAsia" w:ascii="Times New Roman" w:hAnsi="Times New Roman"/>
                <w:szCs w:val="21"/>
              </w:rPr>
              <w:tab/>
            </w:r>
            <w:r>
              <w:rPr>
                <w:rFonts w:hint="eastAsia" w:ascii="Times New Roman" w:hAnsi="Times New Roman"/>
                <w:szCs w:val="21"/>
              </w:rPr>
              <w:tab/>
            </w:r>
            <w:r>
              <w:rPr>
                <w:rFonts w:hint="eastAsia" w:ascii="Times New Roman" w:hAnsi="Times New Roman"/>
                <w:szCs w:val="21"/>
              </w:rPr>
              <w:tab/>
            </w:r>
          </w:p>
          <w:p>
            <w:pPr>
              <w:spacing w:line="240" w:lineRule="auto"/>
              <w:ind w:firstLine="210" w:firstLineChars="100"/>
              <w:rPr>
                <w:rFonts w:hint="eastAsia" w:ascii="Times New Roman" w:hAnsi="Times New Roman"/>
                <w:szCs w:val="21"/>
              </w:rPr>
            </w:pPr>
            <w:r>
              <w:rPr>
                <w:rFonts w:hint="eastAsia" w:ascii="Times New Roman" w:hAnsi="Times New Roman"/>
                <w:szCs w:val="21"/>
              </w:rPr>
              <w:t>EDS/NBD/CBD模式：≤1.0nm</w:t>
            </w:r>
          </w:p>
          <w:p>
            <w:pPr>
              <w:spacing w:line="240" w:lineRule="auto"/>
              <w:ind w:firstLine="210" w:firstLineChars="100"/>
              <w:rPr>
                <w:rFonts w:hint="eastAsia" w:ascii="Times New Roman" w:hAnsi="Times New Roman"/>
                <w:szCs w:val="21"/>
              </w:rPr>
            </w:pPr>
            <w:r>
              <w:rPr>
                <w:rFonts w:hint="eastAsia" w:ascii="Times New Roman" w:hAnsi="Times New Roman"/>
                <w:szCs w:val="21"/>
              </w:rPr>
              <w:t>3.1.8相机长度: 80~4300mm</w:t>
            </w:r>
          </w:p>
          <w:p>
            <w:pPr>
              <w:spacing w:line="240" w:lineRule="auto"/>
              <w:ind w:firstLine="210" w:firstLineChars="100"/>
              <w:rPr>
                <w:rFonts w:hint="eastAsia" w:ascii="Times New Roman" w:hAnsi="Times New Roman"/>
                <w:szCs w:val="21"/>
              </w:rPr>
            </w:pPr>
            <w:r>
              <w:rPr>
                <w:rFonts w:hint="eastAsia" w:ascii="Times New Roman" w:hAnsi="Times New Roman"/>
                <w:szCs w:val="21"/>
              </w:rPr>
              <w:t>3.1.9 样品移动：X: ≤2mm ； Y: ≤2mm；Z：≤0.4mm</w:t>
            </w:r>
          </w:p>
          <w:p>
            <w:pPr>
              <w:spacing w:line="240" w:lineRule="auto"/>
              <w:ind w:firstLine="210" w:firstLineChars="100"/>
              <w:rPr>
                <w:rFonts w:hint="eastAsia" w:ascii="Times New Roman" w:hAnsi="Times New Roman"/>
                <w:szCs w:val="21"/>
              </w:rPr>
            </w:pPr>
            <w:r>
              <w:rPr>
                <w:rFonts w:hint="eastAsia" w:ascii="Times New Roman" w:hAnsi="Times New Roman"/>
                <w:szCs w:val="21"/>
              </w:rPr>
              <w:t>3.1.10 最大倾斜角：≥+35°</w:t>
            </w:r>
            <w:r>
              <w:rPr>
                <w:rFonts w:hint="eastAsia" w:ascii="Times New Roman" w:hAnsi="Times New Roman"/>
                <w:szCs w:val="21"/>
              </w:rPr>
              <w:tab/>
            </w:r>
          </w:p>
          <w:p>
            <w:pPr>
              <w:spacing w:line="240" w:lineRule="auto"/>
              <w:ind w:firstLine="210" w:firstLineChars="100"/>
              <w:rPr>
                <w:rFonts w:hint="eastAsia" w:ascii="Times New Roman" w:hAnsi="Times New Roman"/>
                <w:szCs w:val="21"/>
              </w:rPr>
            </w:pPr>
            <w:r>
              <w:rPr>
                <w:rFonts w:hint="eastAsia" w:ascii="Times New Roman" w:hAnsi="Times New Roman"/>
                <w:szCs w:val="21"/>
              </w:rPr>
              <w:t>3.1.11 X射线能谱分析固体角：≥0.13sr</w:t>
            </w:r>
          </w:p>
          <w:p>
            <w:pPr>
              <w:spacing w:line="240" w:lineRule="auto"/>
              <w:ind w:firstLine="210" w:firstLineChars="100"/>
              <w:rPr>
                <w:rFonts w:hint="eastAsia" w:ascii="Times New Roman" w:hAnsi="Times New Roman"/>
                <w:szCs w:val="21"/>
              </w:rPr>
            </w:pPr>
            <w:r>
              <w:rPr>
                <w:rFonts w:hint="eastAsia" w:ascii="Times New Roman" w:hAnsi="Times New Roman"/>
                <w:szCs w:val="21"/>
              </w:rPr>
              <w:t>★3.1.12 取出角：≥25°</w:t>
            </w:r>
          </w:p>
          <w:p>
            <w:pPr>
              <w:spacing w:line="240" w:lineRule="auto"/>
              <w:ind w:firstLine="210" w:firstLineChars="100"/>
              <w:rPr>
                <w:rFonts w:hint="eastAsia" w:ascii="Times New Roman" w:hAnsi="Times New Roman"/>
                <w:szCs w:val="21"/>
              </w:rPr>
            </w:pPr>
            <w:r>
              <w:rPr>
                <w:rFonts w:hint="eastAsia" w:ascii="Times New Roman" w:hAnsi="Times New Roman"/>
                <w:szCs w:val="21"/>
              </w:rPr>
              <w:t>3.1.13 计算机控制系统</w:t>
            </w:r>
          </w:p>
          <w:p>
            <w:pPr>
              <w:spacing w:line="240" w:lineRule="auto"/>
              <w:ind w:firstLine="210" w:firstLineChars="100"/>
              <w:rPr>
                <w:rFonts w:hint="eastAsia" w:ascii="Times New Roman" w:hAnsi="Times New Roman"/>
                <w:szCs w:val="21"/>
              </w:rPr>
            </w:pPr>
            <w:r>
              <w:rPr>
                <w:rFonts w:hint="eastAsia" w:ascii="Times New Roman" w:hAnsi="Times New Roman"/>
                <w:szCs w:val="21"/>
              </w:rPr>
              <w:t>操作系统：Windows 10及以上，控制系统采用分级分块方式控制，即使计算机死机，高压系统、真空系统、操作面板系统仍能正常工作。实验状态（电子光学状态）记忆功能：可多用户储存各自的实验状态并随时恢复样品位置记忆功能：</w:t>
            </w:r>
          </w:p>
          <w:p>
            <w:pPr>
              <w:spacing w:line="240" w:lineRule="auto"/>
              <w:ind w:firstLine="210" w:firstLineChars="100"/>
              <w:rPr>
                <w:rFonts w:hint="eastAsia" w:ascii="Times New Roman" w:hAnsi="Times New Roman"/>
                <w:szCs w:val="21"/>
              </w:rPr>
            </w:pPr>
            <w:r>
              <w:rPr>
                <w:rFonts w:hint="eastAsia" w:ascii="Times New Roman" w:hAnsi="Times New Roman"/>
                <w:szCs w:val="21"/>
              </w:rPr>
              <w:t>3.1.14 真空系统: 机械泵+扩散泵+离子泵，自动控制</w:t>
            </w:r>
          </w:p>
          <w:p>
            <w:pPr>
              <w:spacing w:line="240" w:lineRule="auto"/>
              <w:ind w:firstLine="210" w:firstLineChars="100"/>
              <w:rPr>
                <w:rFonts w:hint="eastAsia" w:ascii="Times New Roman" w:hAnsi="Times New Roman"/>
                <w:szCs w:val="21"/>
              </w:rPr>
            </w:pPr>
            <w:r>
              <w:rPr>
                <w:rFonts w:hint="eastAsia" w:ascii="Times New Roman" w:hAnsi="Times New Roman"/>
                <w:szCs w:val="21"/>
              </w:rPr>
              <w:t xml:space="preserve">样品室真空度：好于2.7 × 10-5Pa </w:t>
            </w:r>
            <w:r>
              <w:rPr>
                <w:rFonts w:hint="eastAsia" w:ascii="Times New Roman" w:hAnsi="Times New Roman"/>
                <w:szCs w:val="21"/>
              </w:rPr>
              <w:tab/>
            </w:r>
          </w:p>
          <w:p>
            <w:pPr>
              <w:spacing w:line="240" w:lineRule="auto"/>
              <w:ind w:firstLine="210" w:firstLineChars="100"/>
              <w:rPr>
                <w:rFonts w:hint="eastAsia" w:ascii="Times New Roman" w:hAnsi="Times New Roman"/>
                <w:szCs w:val="21"/>
              </w:rPr>
            </w:pPr>
            <w:r>
              <w:rPr>
                <w:rFonts w:hint="eastAsia" w:ascii="Times New Roman" w:hAnsi="Times New Roman"/>
                <w:szCs w:val="21"/>
              </w:rPr>
              <w:t>3.1.15 透射电镜具备自动断电、断水保护功能，具备自动诊断功能</w:t>
            </w:r>
          </w:p>
          <w:p>
            <w:pPr>
              <w:spacing w:line="240" w:lineRule="auto"/>
              <w:ind w:firstLine="210" w:firstLineChars="100"/>
              <w:rPr>
                <w:rFonts w:hint="eastAsia" w:ascii="Times New Roman" w:hAnsi="Times New Roman"/>
                <w:szCs w:val="21"/>
              </w:rPr>
            </w:pPr>
            <w:r>
              <w:rPr>
                <w:rFonts w:hint="eastAsia" w:ascii="Times New Roman" w:hAnsi="Times New Roman"/>
                <w:szCs w:val="21"/>
              </w:rPr>
              <w:t>3.1.16 透射电镜具备自动烘烤功能</w:t>
            </w:r>
          </w:p>
          <w:p>
            <w:pPr>
              <w:spacing w:line="240" w:lineRule="auto"/>
              <w:ind w:firstLine="210" w:firstLineChars="100"/>
              <w:rPr>
                <w:rFonts w:hint="eastAsia" w:ascii="Times New Roman" w:hAnsi="Times New Roman"/>
                <w:szCs w:val="21"/>
              </w:rPr>
            </w:pPr>
            <w:r>
              <w:rPr>
                <w:rFonts w:hint="eastAsia" w:ascii="Times New Roman" w:hAnsi="Times New Roman"/>
                <w:szCs w:val="21"/>
              </w:rPr>
              <w:t>3.2 能谱仪(EDS)的技术规格</w:t>
            </w:r>
          </w:p>
          <w:p>
            <w:pPr>
              <w:spacing w:line="240" w:lineRule="auto"/>
              <w:ind w:firstLine="210" w:firstLineChars="100"/>
              <w:rPr>
                <w:rFonts w:hint="eastAsia" w:ascii="Times New Roman" w:hAnsi="Times New Roman"/>
                <w:szCs w:val="21"/>
              </w:rPr>
            </w:pPr>
            <w:r>
              <w:rPr>
                <w:rFonts w:hint="eastAsia" w:ascii="Times New Roman" w:hAnsi="Times New Roman"/>
                <w:szCs w:val="21"/>
              </w:rPr>
              <w:t>3.2.1 功能：该附件是透射电镜的必要附件，用于材料微区的定性、定量成份分析</w:t>
            </w:r>
          </w:p>
          <w:p>
            <w:pPr>
              <w:spacing w:line="240" w:lineRule="auto"/>
              <w:ind w:firstLine="210" w:firstLineChars="100"/>
              <w:rPr>
                <w:rFonts w:hint="eastAsia" w:ascii="Times New Roman" w:hAnsi="Times New Roman"/>
                <w:szCs w:val="21"/>
              </w:rPr>
            </w:pPr>
            <w:r>
              <w:rPr>
                <w:rFonts w:hint="eastAsia" w:ascii="Times New Roman" w:hAnsi="Times New Roman"/>
                <w:szCs w:val="21"/>
              </w:rPr>
              <w:t>3.2.2探测器：电制冷</w:t>
            </w:r>
          </w:p>
          <w:p>
            <w:pPr>
              <w:spacing w:line="240" w:lineRule="auto"/>
              <w:ind w:firstLine="210" w:firstLineChars="100"/>
              <w:rPr>
                <w:rFonts w:hint="eastAsia" w:ascii="Times New Roman" w:hAnsi="Times New Roman"/>
                <w:szCs w:val="21"/>
              </w:rPr>
            </w:pPr>
            <w:r>
              <w:rPr>
                <w:rFonts w:hint="eastAsia" w:ascii="Times New Roman" w:hAnsi="Times New Roman"/>
                <w:szCs w:val="21"/>
              </w:rPr>
              <w:t xml:space="preserve">3.2.3 探测器面积：≥80mm2 </w:t>
            </w:r>
          </w:p>
          <w:p>
            <w:pPr>
              <w:spacing w:line="240" w:lineRule="auto"/>
              <w:ind w:firstLine="210" w:firstLineChars="100"/>
              <w:rPr>
                <w:rFonts w:hint="eastAsia" w:ascii="Times New Roman" w:hAnsi="Times New Roman"/>
                <w:szCs w:val="21"/>
              </w:rPr>
            </w:pPr>
            <w:r>
              <w:rPr>
                <w:rFonts w:hint="eastAsia" w:ascii="Times New Roman" w:hAnsi="Times New Roman"/>
                <w:szCs w:val="21"/>
              </w:rPr>
              <w:t xml:space="preserve">3.2.4 分辨率：≤133eV（Mn K线） </w:t>
            </w:r>
          </w:p>
          <w:p>
            <w:pPr>
              <w:spacing w:line="240" w:lineRule="auto"/>
              <w:ind w:firstLine="210" w:firstLineChars="100"/>
              <w:rPr>
                <w:rFonts w:hint="eastAsia" w:ascii="Times New Roman" w:hAnsi="Times New Roman"/>
                <w:szCs w:val="21"/>
              </w:rPr>
            </w:pPr>
            <w:r>
              <w:rPr>
                <w:rFonts w:hint="eastAsia" w:ascii="Times New Roman" w:hAnsi="Times New Roman"/>
                <w:szCs w:val="21"/>
              </w:rPr>
              <w:t>3.2.5 分辨元素范围：5B -U92</w:t>
            </w:r>
          </w:p>
          <w:p>
            <w:pPr>
              <w:spacing w:line="240" w:lineRule="auto"/>
              <w:ind w:firstLine="210" w:firstLineChars="100"/>
              <w:rPr>
                <w:rFonts w:hint="eastAsia" w:ascii="Times New Roman" w:hAnsi="Times New Roman"/>
                <w:szCs w:val="21"/>
              </w:rPr>
            </w:pPr>
            <w:r>
              <w:rPr>
                <w:rFonts w:hint="eastAsia" w:ascii="Times New Roman" w:hAnsi="Times New Roman"/>
                <w:szCs w:val="21"/>
              </w:rPr>
              <w:t>3.2.6 峰背比：≥4,000:1</w:t>
            </w:r>
          </w:p>
          <w:p>
            <w:pPr>
              <w:spacing w:line="240" w:lineRule="auto"/>
              <w:ind w:firstLine="210" w:firstLineChars="100"/>
              <w:rPr>
                <w:rFonts w:hint="eastAsia" w:ascii="Times New Roman" w:hAnsi="Times New Roman"/>
                <w:szCs w:val="21"/>
              </w:rPr>
            </w:pPr>
            <w:r>
              <w:rPr>
                <w:rFonts w:hint="eastAsia" w:ascii="Times New Roman" w:hAnsi="Times New Roman"/>
                <w:szCs w:val="21"/>
              </w:rPr>
              <w:t>3.2.</w:t>
            </w:r>
            <w:r>
              <w:rPr>
                <w:rFonts w:hint="eastAsia"/>
                <w:szCs w:val="21"/>
                <w:lang w:val="en-US" w:eastAsia="zh-CN"/>
              </w:rPr>
              <w:t>7</w:t>
            </w:r>
            <w:r>
              <w:rPr>
                <w:rFonts w:hint="eastAsia" w:ascii="Times New Roman" w:hAnsi="Times New Roman"/>
                <w:szCs w:val="21"/>
              </w:rPr>
              <w:t xml:space="preserve"> 软件： 导航分析器，全英文或者中文软件操作界面及帮助系统，实时帮助系统，信息管理系统， 实验报告系统等</w:t>
            </w:r>
          </w:p>
          <w:p>
            <w:pPr>
              <w:spacing w:line="240" w:lineRule="auto"/>
              <w:ind w:firstLine="210" w:firstLineChars="100"/>
              <w:rPr>
                <w:rFonts w:hint="eastAsia" w:ascii="Times New Roman" w:hAnsi="Times New Roman"/>
                <w:szCs w:val="21"/>
              </w:rPr>
            </w:pPr>
            <w:r>
              <w:rPr>
                <w:rFonts w:hint="eastAsia" w:ascii="Times New Roman" w:hAnsi="Times New Roman"/>
                <w:szCs w:val="21"/>
              </w:rPr>
              <w:t>3.3 底插CMOS相机技术规格</w:t>
            </w:r>
          </w:p>
          <w:p>
            <w:pPr>
              <w:spacing w:line="240" w:lineRule="auto"/>
              <w:ind w:firstLine="210" w:firstLineChars="100"/>
              <w:rPr>
                <w:rFonts w:hint="eastAsia" w:ascii="Times New Roman" w:hAnsi="Times New Roman"/>
                <w:szCs w:val="21"/>
              </w:rPr>
            </w:pPr>
            <w:r>
              <w:rPr>
                <w:rFonts w:hint="eastAsia" w:ascii="Times New Roman" w:hAnsi="Times New Roman"/>
                <w:szCs w:val="21"/>
              </w:rPr>
              <w:t>3.3.1 功能：该附件是透射电镜的必要附件，用于透射电镜形貌像和电子衍射花样的数字化图像的记录，具有数字化图像处理的功能</w:t>
            </w:r>
          </w:p>
          <w:p>
            <w:pPr>
              <w:spacing w:line="240" w:lineRule="auto"/>
              <w:ind w:firstLine="210" w:firstLineChars="100"/>
              <w:rPr>
                <w:rFonts w:hint="eastAsia" w:ascii="Times New Roman" w:hAnsi="Times New Roman"/>
                <w:szCs w:val="21"/>
              </w:rPr>
            </w:pPr>
            <w:r>
              <w:rPr>
                <w:rFonts w:hint="eastAsia" w:ascii="Times New Roman" w:hAnsi="Times New Roman"/>
                <w:szCs w:val="21"/>
              </w:rPr>
              <w:t xml:space="preserve">3.3.2 CMOS相机最大像素：≥400万像素 </w:t>
            </w:r>
          </w:p>
          <w:p>
            <w:pPr>
              <w:spacing w:line="240" w:lineRule="auto"/>
              <w:ind w:firstLine="210" w:firstLineChars="100"/>
              <w:rPr>
                <w:rFonts w:hint="eastAsia" w:ascii="Times New Roman" w:hAnsi="Times New Roman"/>
                <w:szCs w:val="21"/>
              </w:rPr>
            </w:pPr>
            <w:r>
              <w:rPr>
                <w:rFonts w:hint="eastAsia" w:ascii="Times New Roman" w:hAnsi="Times New Roman"/>
                <w:szCs w:val="21"/>
              </w:rPr>
              <w:t>3.3.3 具有超高的读取速度，速度应不小于30fps@400万像素</w:t>
            </w:r>
          </w:p>
          <w:p>
            <w:pPr>
              <w:spacing w:line="240" w:lineRule="auto"/>
              <w:ind w:firstLine="210" w:firstLineChars="100"/>
              <w:rPr>
                <w:rFonts w:hint="eastAsia" w:ascii="Times New Roman" w:hAnsi="Times New Roman"/>
                <w:szCs w:val="21"/>
              </w:rPr>
            </w:pPr>
            <w:r>
              <w:rPr>
                <w:rFonts w:hint="eastAsia" w:ascii="Times New Roman" w:hAnsi="Times New Roman"/>
                <w:szCs w:val="21"/>
              </w:rPr>
              <w:t>3.3.4具有大的动态范围，高达16bit，可以快速直接拍摄衍射花样和低剂量图像</w:t>
            </w:r>
          </w:p>
          <w:p>
            <w:pPr>
              <w:spacing w:line="240" w:lineRule="auto"/>
              <w:ind w:firstLine="210" w:firstLineChars="100"/>
              <w:rPr>
                <w:rFonts w:hint="eastAsia" w:ascii="Times New Roman" w:hAnsi="Times New Roman"/>
                <w:szCs w:val="21"/>
              </w:rPr>
            </w:pPr>
            <w:r>
              <w:rPr>
                <w:rFonts w:hint="eastAsia" w:ascii="Times New Roman" w:hAnsi="Times New Roman"/>
                <w:szCs w:val="21"/>
              </w:rPr>
              <w:t>3.3.5 防漂移等高级功能：自动漂移校正</w:t>
            </w:r>
          </w:p>
          <w:p>
            <w:pPr>
              <w:spacing w:line="240" w:lineRule="auto"/>
              <w:ind w:firstLine="210" w:firstLineChars="100"/>
              <w:rPr>
                <w:rFonts w:hint="eastAsia" w:ascii="Times New Roman" w:hAnsi="Times New Roman"/>
                <w:szCs w:val="21"/>
              </w:rPr>
            </w:pPr>
            <w:r>
              <w:rPr>
                <w:rFonts w:hint="eastAsia" w:ascii="Times New Roman" w:hAnsi="Times New Roman"/>
                <w:szCs w:val="21"/>
              </w:rPr>
              <w:t>4. 产品配置要求：</w:t>
            </w:r>
          </w:p>
          <w:p>
            <w:pPr>
              <w:spacing w:line="240" w:lineRule="auto"/>
              <w:ind w:firstLine="210" w:firstLineChars="100"/>
              <w:rPr>
                <w:rFonts w:hint="eastAsia" w:ascii="Times New Roman" w:hAnsi="Times New Roman"/>
                <w:szCs w:val="21"/>
              </w:rPr>
            </w:pPr>
            <w:r>
              <w:rPr>
                <w:rFonts w:hint="eastAsia" w:ascii="Times New Roman" w:hAnsi="Times New Roman"/>
                <w:szCs w:val="21"/>
              </w:rPr>
              <w:t>4.1 200kV六硼化斓透射电子显微镜配置要求如下：</w:t>
            </w:r>
          </w:p>
          <w:p>
            <w:pPr>
              <w:spacing w:line="240" w:lineRule="auto"/>
              <w:ind w:firstLine="210" w:firstLineChars="100"/>
              <w:rPr>
                <w:rFonts w:hint="eastAsia" w:ascii="Times New Roman" w:hAnsi="Times New Roman"/>
                <w:szCs w:val="21"/>
              </w:rPr>
            </w:pPr>
            <w:r>
              <w:rPr>
                <w:rFonts w:hint="eastAsia" w:ascii="Times New Roman" w:hAnsi="Times New Roman"/>
                <w:szCs w:val="21"/>
              </w:rPr>
              <w:t>4.1.1透射电子显微镜基本单元完整 1套</w:t>
            </w:r>
          </w:p>
          <w:p>
            <w:pPr>
              <w:spacing w:line="240" w:lineRule="auto"/>
              <w:ind w:firstLine="210" w:firstLineChars="100"/>
              <w:rPr>
                <w:rFonts w:hint="eastAsia" w:ascii="Times New Roman" w:hAnsi="Times New Roman"/>
                <w:szCs w:val="21"/>
              </w:rPr>
            </w:pPr>
            <w:r>
              <w:rPr>
                <w:rFonts w:hint="eastAsia" w:ascii="Times New Roman" w:hAnsi="Times New Roman"/>
                <w:szCs w:val="21"/>
              </w:rPr>
              <w:t>4.1.2 电镜正常工作所需的稳压电源、循环冷却水系、SF6气体统等完整1套</w:t>
            </w:r>
          </w:p>
          <w:p>
            <w:pPr>
              <w:spacing w:line="240" w:lineRule="auto"/>
              <w:ind w:firstLine="210" w:firstLineChars="100"/>
              <w:rPr>
                <w:rFonts w:hint="eastAsia" w:ascii="Times New Roman" w:hAnsi="Times New Roman"/>
                <w:szCs w:val="21"/>
              </w:rPr>
            </w:pPr>
            <w:r>
              <w:rPr>
                <w:rFonts w:hint="eastAsia" w:ascii="Times New Roman" w:hAnsi="Times New Roman"/>
                <w:szCs w:val="21"/>
              </w:rPr>
              <w:t>4.1.3普通单倾台</w:t>
            </w:r>
            <w:r>
              <w:rPr>
                <w:rFonts w:hint="eastAsia" w:ascii="Times New Roman" w:hAnsi="Times New Roman"/>
                <w:szCs w:val="21"/>
              </w:rPr>
              <w:tab/>
            </w:r>
            <w:r>
              <w:rPr>
                <w:rFonts w:hint="eastAsia" w:ascii="Times New Roman" w:hAnsi="Times New Roman"/>
                <w:szCs w:val="21"/>
              </w:rPr>
              <w:t>1只</w:t>
            </w:r>
          </w:p>
          <w:p>
            <w:pPr>
              <w:spacing w:line="240" w:lineRule="auto"/>
              <w:ind w:firstLine="210" w:firstLineChars="100"/>
              <w:rPr>
                <w:rFonts w:hint="eastAsia" w:ascii="Times New Roman" w:hAnsi="Times New Roman"/>
                <w:szCs w:val="21"/>
              </w:rPr>
            </w:pPr>
            <w:r>
              <w:rPr>
                <w:rFonts w:hint="eastAsia" w:ascii="Times New Roman" w:hAnsi="Times New Roman"/>
                <w:szCs w:val="21"/>
              </w:rPr>
              <w:t>4.1.4 双倾样品台1只</w:t>
            </w:r>
          </w:p>
          <w:p>
            <w:pPr>
              <w:spacing w:line="240" w:lineRule="auto"/>
              <w:ind w:firstLine="210" w:firstLineChars="100"/>
              <w:rPr>
                <w:rFonts w:hint="eastAsia" w:ascii="Times New Roman" w:hAnsi="Times New Roman"/>
                <w:szCs w:val="21"/>
              </w:rPr>
            </w:pPr>
            <w:r>
              <w:rPr>
                <w:rFonts w:hint="eastAsia" w:ascii="Times New Roman" w:hAnsi="Times New Roman"/>
                <w:szCs w:val="21"/>
              </w:rPr>
              <w:t>4.1.5 单晶LaB6灯丝2只</w:t>
            </w:r>
          </w:p>
          <w:p>
            <w:pPr>
              <w:spacing w:line="240" w:lineRule="auto"/>
              <w:ind w:firstLine="210" w:firstLineChars="100"/>
              <w:rPr>
                <w:rFonts w:hint="eastAsia" w:ascii="Times New Roman" w:hAnsi="Times New Roman"/>
                <w:szCs w:val="21"/>
              </w:rPr>
            </w:pPr>
            <w:r>
              <w:rPr>
                <w:rFonts w:hint="eastAsia" w:ascii="Times New Roman" w:hAnsi="Times New Roman"/>
                <w:szCs w:val="21"/>
              </w:rPr>
              <w:t>4.1.6 透射电镜长期使用所需要的备品备件、专用工具1套</w:t>
            </w:r>
            <w:r>
              <w:rPr>
                <w:rFonts w:hint="eastAsia" w:ascii="Times New Roman" w:hAnsi="Times New Roman"/>
                <w:szCs w:val="21"/>
              </w:rPr>
              <w:tab/>
            </w:r>
          </w:p>
          <w:p>
            <w:pPr>
              <w:spacing w:line="240" w:lineRule="auto"/>
              <w:ind w:firstLine="210" w:firstLineChars="100"/>
              <w:rPr>
                <w:rFonts w:hint="eastAsia" w:ascii="Times New Roman" w:hAnsi="Times New Roman"/>
                <w:szCs w:val="21"/>
              </w:rPr>
            </w:pPr>
            <w:r>
              <w:rPr>
                <w:rFonts w:hint="eastAsia" w:ascii="Times New Roman" w:hAnsi="Times New Roman"/>
                <w:szCs w:val="21"/>
              </w:rPr>
              <w:t>4.2能谱分析仪(EDS)配置要求：严格满足上述3.2技术规格要求的配置完整1套</w:t>
            </w:r>
          </w:p>
          <w:p>
            <w:pPr>
              <w:spacing w:line="240" w:lineRule="auto"/>
              <w:ind w:firstLine="210" w:firstLineChars="100"/>
              <w:rPr>
                <w:rFonts w:hint="eastAsia" w:ascii="Times New Roman" w:hAnsi="Times New Roman"/>
                <w:szCs w:val="21"/>
              </w:rPr>
            </w:pPr>
            <w:r>
              <w:rPr>
                <w:rFonts w:hint="eastAsia" w:ascii="Times New Roman" w:hAnsi="Times New Roman"/>
                <w:szCs w:val="21"/>
              </w:rPr>
              <w:t>4.3 CCD相机的配置要求：严格满足上述3.3技术规格要求的配置完整1套</w:t>
            </w:r>
          </w:p>
          <w:p>
            <w:pPr>
              <w:spacing w:line="240" w:lineRule="auto"/>
              <w:ind w:firstLine="210" w:firstLineChars="100"/>
              <w:rPr>
                <w:rFonts w:hint="eastAsia" w:ascii="Times New Roman" w:hAnsi="Times New Roman"/>
                <w:szCs w:val="21"/>
              </w:rPr>
            </w:pPr>
            <w:r>
              <w:rPr>
                <w:rFonts w:hint="eastAsia" w:ascii="Times New Roman" w:hAnsi="Times New Roman"/>
                <w:szCs w:val="21"/>
              </w:rPr>
              <w:t>4.4 满足3.6技术规格的制样设备完整一套</w:t>
            </w:r>
          </w:p>
          <w:p>
            <w:pPr>
              <w:spacing w:line="240" w:lineRule="auto"/>
              <w:ind w:firstLine="210" w:firstLineChars="100"/>
              <w:rPr>
                <w:rFonts w:hint="eastAsia" w:ascii="宋体" w:hAnsi="宋体" w:eastAsia="宋体" w:cs="宋体"/>
                <w:i w:val="0"/>
                <w:iCs w:val="0"/>
                <w:color w:val="auto"/>
                <w:sz w:val="21"/>
                <w:szCs w:val="21"/>
                <w:highlight w:val="none"/>
                <w:u w:val="none"/>
              </w:rPr>
            </w:pPr>
            <w:r>
              <w:rPr>
                <w:rFonts w:hint="eastAsia" w:ascii="Times New Roman" w:hAnsi="Times New Roman"/>
                <w:szCs w:val="21"/>
              </w:rPr>
              <w:t>5．安装、调试和验收</w:t>
            </w:r>
          </w:p>
        </w:tc>
      </w:tr>
    </w:tbl>
    <w:p>
      <w:pPr>
        <w:pStyle w:val="2"/>
      </w:pPr>
    </w:p>
    <w:p>
      <w:pPr>
        <w:pStyle w:val="2"/>
        <w:rPr>
          <w:rFonts w:hint="eastAsia"/>
        </w:rPr>
      </w:pPr>
    </w:p>
    <w:p>
      <w:pPr>
        <w:pStyle w:val="2"/>
        <w:rPr>
          <w:rFonts w:hint="eastAsia"/>
          <w:lang w:eastAsia="zh-CN"/>
        </w:rPr>
        <w:sectPr>
          <w:footerReference r:id="rId10" w:type="default"/>
          <w:pgSz w:w="11906" w:h="16838"/>
          <w:pgMar w:top="1423" w:right="1423" w:bottom="1423" w:left="1423" w:header="851" w:footer="850" w:gutter="0"/>
          <w:cols w:space="0" w:num="1"/>
          <w:docGrid w:type="lines" w:linePitch="312" w:charSpace="0"/>
        </w:sectPr>
      </w:pPr>
    </w:p>
    <w:bookmarkEnd w:id="451"/>
    <w:bookmarkEnd w:id="452"/>
    <w:bookmarkEnd w:id="453"/>
    <w:p>
      <w:pPr>
        <w:bidi w:val="0"/>
        <w:jc w:val="center"/>
        <w:rPr>
          <w:b/>
          <w:bCs/>
          <w:sz w:val="44"/>
          <w:szCs w:val="44"/>
        </w:rPr>
      </w:pPr>
      <w:bookmarkStart w:id="454" w:name="_Toc19603587"/>
      <w:bookmarkStart w:id="455" w:name="_Toc26985"/>
      <w:bookmarkStart w:id="456" w:name="_Toc12875"/>
      <w:bookmarkStart w:id="457" w:name="_Toc24586"/>
      <w:bookmarkStart w:id="458" w:name="_Toc30367"/>
      <w:bookmarkStart w:id="459" w:name="_Toc14702"/>
      <w:bookmarkStart w:id="460" w:name="_Toc39851949"/>
      <w:bookmarkStart w:id="461" w:name="_Toc11008"/>
      <w:bookmarkStart w:id="462" w:name="_Toc19690"/>
      <w:r>
        <w:rPr>
          <w:rFonts w:hint="eastAsia"/>
          <w:b/>
          <w:bCs/>
          <w:sz w:val="44"/>
          <w:szCs w:val="44"/>
        </w:rPr>
        <w:t>投标文件格式</w:t>
      </w:r>
      <w:bookmarkEnd w:id="454"/>
      <w:bookmarkEnd w:id="455"/>
      <w:bookmarkEnd w:id="456"/>
      <w:bookmarkEnd w:id="457"/>
      <w:bookmarkEnd w:id="458"/>
      <w:bookmarkEnd w:id="459"/>
      <w:bookmarkEnd w:id="460"/>
      <w:bookmarkEnd w:id="461"/>
      <w:bookmarkEnd w:id="462"/>
    </w:p>
    <w:p>
      <w:pPr>
        <w:adjustRightInd w:val="0"/>
        <w:snapToGrid w:val="0"/>
        <w:spacing w:line="440" w:lineRule="exact"/>
        <w:rPr>
          <w:rFonts w:ascii="宋体" w:hAnsi="宋体" w:cs="宋体"/>
          <w:b/>
          <w:bCs/>
          <w:color w:val="auto"/>
          <w:highlight w:val="none"/>
        </w:rPr>
      </w:pPr>
    </w:p>
    <w:p>
      <w:pPr>
        <w:adjustRightInd w:val="0"/>
        <w:snapToGrid w:val="0"/>
        <w:spacing w:line="440" w:lineRule="exact"/>
        <w:rPr>
          <w:rFonts w:ascii="宋体" w:hAnsi="宋体" w:cs="宋体"/>
          <w:b/>
          <w:bCs/>
          <w:color w:val="auto"/>
          <w:highlight w:val="none"/>
        </w:rPr>
      </w:pPr>
      <w:r>
        <w:rPr>
          <w:rFonts w:hint="eastAsia" w:ascii="宋体" w:hAnsi="宋体" w:cs="宋体"/>
          <w:b/>
          <w:bCs/>
          <w:color w:val="auto"/>
          <w:highlight w:val="none"/>
        </w:rPr>
        <w:t>说明：</w:t>
      </w:r>
    </w:p>
    <w:p>
      <w:pPr>
        <w:adjustRightInd w:val="0"/>
        <w:snapToGrid w:val="0"/>
        <w:spacing w:line="440" w:lineRule="exact"/>
        <w:ind w:firstLine="413" w:firstLineChars="196"/>
        <w:rPr>
          <w:rFonts w:ascii="宋体" w:hAnsi="宋体" w:cs="宋体"/>
          <w:b/>
          <w:bCs/>
          <w:color w:val="auto"/>
          <w:highlight w:val="none"/>
        </w:rPr>
      </w:pPr>
      <w:r>
        <w:rPr>
          <w:rFonts w:hint="eastAsia" w:ascii="宋体" w:hAnsi="宋体" w:cs="宋体"/>
          <w:b/>
          <w:bCs/>
          <w:color w:val="auto"/>
          <w:highlight w:val="none"/>
        </w:rPr>
        <w:t>本招标文件第六章中所提供的表格、文件格式仅供投标人在制作投标文件时的参考，不作为废标条件。投标文件应编制目录，本章中要求的盖单位公章的地方即盖企业电子签章，法定代表人或授权代理人签字或盖章可以为签字后的扫描件，也可以以CA锁直接签字盖章。</w:t>
      </w:r>
    </w:p>
    <w:p>
      <w:pPr>
        <w:widowControl/>
        <w:jc w:val="center"/>
        <w:outlineLvl w:val="0"/>
        <w:rPr>
          <w:rStyle w:val="65"/>
          <w:rFonts w:ascii="宋体" w:hAnsi="宋体" w:cs="宋体"/>
          <w:color w:val="auto"/>
          <w:sz w:val="32"/>
          <w:szCs w:val="32"/>
          <w:highlight w:val="none"/>
        </w:rPr>
        <w:sectPr>
          <w:pgSz w:w="11906" w:h="16838"/>
          <w:pgMar w:top="1650" w:right="1650" w:bottom="1650" w:left="1650" w:header="851" w:footer="850" w:gutter="0"/>
          <w:cols w:space="0" w:num="1"/>
          <w:docGrid w:type="lines" w:linePitch="312" w:charSpace="0"/>
        </w:sectPr>
      </w:pPr>
    </w:p>
    <w:p>
      <w:pPr>
        <w:widowControl/>
        <w:jc w:val="center"/>
        <w:outlineLvl w:val="0"/>
        <w:rPr>
          <w:rFonts w:ascii="宋体" w:hAnsi="宋体" w:cs="宋体"/>
          <w:color w:val="auto"/>
          <w:sz w:val="32"/>
          <w:szCs w:val="32"/>
          <w:highlight w:val="none"/>
        </w:rPr>
      </w:pPr>
      <w:bookmarkStart w:id="463" w:name="_Toc21039"/>
      <w:r>
        <w:rPr>
          <w:rStyle w:val="65"/>
          <w:rFonts w:hint="eastAsia" w:ascii="宋体" w:hAnsi="宋体" w:cs="宋体"/>
          <w:color w:val="auto"/>
          <w:sz w:val="32"/>
          <w:szCs w:val="32"/>
          <w:highlight w:val="none"/>
        </w:rPr>
        <w:t>第六章 投标文件格式</w:t>
      </w:r>
      <w:bookmarkEnd w:id="463"/>
    </w:p>
    <w:p>
      <w:pPr>
        <w:tabs>
          <w:tab w:val="left" w:pos="825"/>
        </w:tabs>
        <w:spacing w:line="360" w:lineRule="auto"/>
        <w:jc w:val="center"/>
        <w:rPr>
          <w:rFonts w:ascii="宋体" w:hAnsi="宋体" w:cs="宋体"/>
          <w:color w:val="auto"/>
          <w:sz w:val="24"/>
          <w:szCs w:val="24"/>
          <w:highlight w:val="none"/>
        </w:rPr>
      </w:pPr>
    </w:p>
    <w:p>
      <w:pPr>
        <w:tabs>
          <w:tab w:val="left" w:pos="825"/>
        </w:tabs>
        <w:spacing w:line="360" w:lineRule="auto"/>
        <w:jc w:val="center"/>
        <w:rPr>
          <w:rFonts w:ascii="宋体" w:hAnsi="宋体" w:cs="宋体"/>
          <w:color w:val="auto"/>
          <w:sz w:val="24"/>
          <w:szCs w:val="24"/>
          <w:highlight w:val="none"/>
        </w:rPr>
      </w:pPr>
    </w:p>
    <w:p>
      <w:pPr>
        <w:pStyle w:val="46"/>
        <w:ind w:firstLine="0"/>
        <w:jc w:val="center"/>
        <w:rPr>
          <w:rFonts w:hint="eastAsia" w:ascii="宋体" w:hAnsi="宋体" w:eastAsia="宋体"/>
          <w:b/>
          <w:bCs/>
          <w:color w:val="auto"/>
          <w:sz w:val="44"/>
          <w:szCs w:val="44"/>
          <w:highlight w:val="none"/>
          <w:lang w:eastAsia="zh-CN"/>
        </w:rPr>
      </w:pPr>
      <w:r>
        <w:rPr>
          <w:rFonts w:hint="eastAsia" w:ascii="宋体" w:hAnsi="宋体" w:eastAsia="宋体"/>
          <w:b/>
          <w:bCs/>
          <w:color w:val="auto"/>
          <w:sz w:val="44"/>
          <w:szCs w:val="44"/>
          <w:highlight w:val="none"/>
          <w:lang w:eastAsia="zh-CN"/>
        </w:rPr>
        <w:t>尧山实验室2024年陶瓷基复合材料实验设备采购项目</w:t>
      </w:r>
    </w:p>
    <w:p>
      <w:pPr>
        <w:pStyle w:val="47"/>
        <w:rPr>
          <w:color w:val="auto"/>
          <w:highlight w:val="none"/>
        </w:rPr>
      </w:pPr>
    </w:p>
    <w:p>
      <w:pPr>
        <w:spacing w:line="360" w:lineRule="auto"/>
        <w:rPr>
          <w:rFonts w:ascii="宋体" w:hAnsi="宋体"/>
          <w:b/>
          <w:color w:val="auto"/>
          <w:sz w:val="52"/>
          <w:szCs w:val="52"/>
          <w:highlight w:val="none"/>
        </w:rPr>
      </w:pPr>
    </w:p>
    <w:p>
      <w:pPr>
        <w:spacing w:line="360" w:lineRule="auto"/>
        <w:rPr>
          <w:rFonts w:ascii="宋体" w:hAnsi="宋体"/>
          <w:b/>
          <w:color w:val="auto"/>
          <w:sz w:val="52"/>
          <w:szCs w:val="52"/>
          <w:highlight w:val="none"/>
        </w:rPr>
      </w:pPr>
    </w:p>
    <w:p>
      <w:pPr>
        <w:spacing w:line="360" w:lineRule="auto"/>
        <w:jc w:val="center"/>
        <w:rPr>
          <w:rFonts w:ascii="宋体" w:hAnsi="宋体"/>
          <w:b/>
          <w:color w:val="auto"/>
          <w:sz w:val="100"/>
          <w:szCs w:val="100"/>
          <w:highlight w:val="none"/>
        </w:rPr>
      </w:pPr>
      <w:r>
        <w:rPr>
          <w:rFonts w:hint="eastAsia" w:ascii="宋体" w:hAnsi="宋体"/>
          <w:b/>
          <w:color w:val="auto"/>
          <w:sz w:val="100"/>
          <w:szCs w:val="100"/>
          <w:highlight w:val="none"/>
        </w:rPr>
        <w:t>投标文件</w:t>
      </w:r>
    </w:p>
    <w:p>
      <w:pPr>
        <w:spacing w:line="360" w:lineRule="auto"/>
        <w:jc w:val="center"/>
        <w:rPr>
          <w:rFonts w:ascii="宋体" w:hAnsi="宋体"/>
          <w:b/>
          <w:color w:val="auto"/>
          <w:sz w:val="100"/>
          <w:szCs w:val="100"/>
          <w:highlight w:val="none"/>
        </w:rPr>
      </w:pPr>
      <w:r>
        <w:rPr>
          <w:rFonts w:hint="eastAsia" w:ascii="宋体" w:hAnsi="宋体"/>
          <w:color w:val="auto"/>
          <w:sz w:val="32"/>
          <w:szCs w:val="32"/>
          <w:highlight w:val="none"/>
        </w:rPr>
        <w:t>项目编号：</w:t>
      </w:r>
    </w:p>
    <w:p>
      <w:pPr>
        <w:rPr>
          <w:rFonts w:ascii="宋体" w:hAnsi="宋体"/>
          <w:color w:val="auto"/>
          <w:sz w:val="28"/>
          <w:szCs w:val="28"/>
          <w:highlight w:val="none"/>
        </w:rPr>
      </w:pPr>
    </w:p>
    <w:p>
      <w:pPr>
        <w:rPr>
          <w:rFonts w:ascii="宋体" w:hAnsi="宋体"/>
          <w:color w:val="auto"/>
          <w:sz w:val="28"/>
          <w:szCs w:val="28"/>
          <w:highlight w:val="none"/>
        </w:rPr>
      </w:pPr>
    </w:p>
    <w:p>
      <w:pPr>
        <w:tabs>
          <w:tab w:val="left" w:pos="360"/>
        </w:tabs>
        <w:jc w:val="center"/>
        <w:rPr>
          <w:rFonts w:ascii="宋体" w:hAnsi="宋体"/>
          <w:b/>
          <w:color w:val="auto"/>
          <w:sz w:val="28"/>
          <w:szCs w:val="28"/>
          <w:highlight w:val="none"/>
        </w:rPr>
      </w:pPr>
      <w:r>
        <w:rPr>
          <w:rFonts w:hint="eastAsia" w:ascii="宋体" w:hAnsi="宋体"/>
          <w:b/>
          <w:color w:val="auto"/>
          <w:sz w:val="28"/>
          <w:szCs w:val="28"/>
          <w:highlight w:val="none"/>
        </w:rPr>
        <w:t>投 标 人：（企业电子签章）</w:t>
      </w:r>
    </w:p>
    <w:p>
      <w:pPr>
        <w:tabs>
          <w:tab w:val="left" w:pos="360"/>
        </w:tabs>
        <w:jc w:val="center"/>
        <w:rPr>
          <w:rFonts w:ascii="宋体" w:hAnsi="宋体"/>
          <w:b/>
          <w:color w:val="auto"/>
          <w:sz w:val="28"/>
          <w:szCs w:val="28"/>
          <w:highlight w:val="none"/>
        </w:rPr>
      </w:pPr>
    </w:p>
    <w:p>
      <w:pPr>
        <w:tabs>
          <w:tab w:val="left" w:pos="360"/>
        </w:tabs>
        <w:jc w:val="center"/>
        <w:rPr>
          <w:rFonts w:ascii="宋体" w:hAnsi="宋体"/>
          <w:b/>
          <w:color w:val="auto"/>
          <w:sz w:val="28"/>
          <w:szCs w:val="28"/>
          <w:highlight w:val="none"/>
        </w:rPr>
      </w:pPr>
      <w:r>
        <w:rPr>
          <w:rFonts w:hint="eastAsia" w:ascii="宋体" w:hAnsi="宋体"/>
          <w:b/>
          <w:color w:val="auto"/>
          <w:sz w:val="28"/>
          <w:szCs w:val="28"/>
          <w:highlight w:val="none"/>
        </w:rPr>
        <w:t>法定代表人或其委托代理人：（个人电子签章或签字）</w:t>
      </w:r>
    </w:p>
    <w:p>
      <w:pPr>
        <w:rPr>
          <w:rFonts w:ascii="宋体" w:hAnsi="宋体"/>
          <w:color w:val="auto"/>
          <w:sz w:val="28"/>
          <w:szCs w:val="28"/>
          <w:highlight w:val="none"/>
        </w:rPr>
      </w:pPr>
    </w:p>
    <w:p>
      <w:pPr>
        <w:rPr>
          <w:rFonts w:ascii="宋体" w:hAnsi="宋体"/>
          <w:color w:val="auto"/>
          <w:highlight w:val="none"/>
        </w:rPr>
      </w:pPr>
    </w:p>
    <w:p>
      <w:pPr>
        <w:pStyle w:val="46"/>
        <w:rPr>
          <w:rFonts w:ascii="宋体" w:hAnsi="宋体" w:eastAsia="宋体"/>
          <w:color w:val="auto"/>
          <w:highlight w:val="none"/>
        </w:rPr>
      </w:pPr>
    </w:p>
    <w:p>
      <w:pPr>
        <w:jc w:val="center"/>
        <w:rPr>
          <w:rFonts w:ascii="宋体" w:hAnsi="宋体"/>
          <w:b/>
          <w:color w:val="auto"/>
          <w:sz w:val="36"/>
          <w:szCs w:val="36"/>
          <w:highlight w:val="none"/>
        </w:rPr>
      </w:pPr>
      <w:r>
        <w:rPr>
          <w:rFonts w:hint="eastAsia" w:ascii="宋体" w:hAnsi="宋体"/>
          <w:b/>
          <w:color w:val="auto"/>
          <w:sz w:val="36"/>
          <w:szCs w:val="36"/>
          <w:highlight w:val="none"/>
        </w:rPr>
        <w:t xml:space="preserve"> 年  月  日</w:t>
      </w:r>
    </w:p>
    <w:p>
      <w:pPr>
        <w:autoSpaceDE w:val="0"/>
        <w:autoSpaceDN w:val="0"/>
        <w:adjustRightInd w:val="0"/>
        <w:spacing w:line="440" w:lineRule="exact"/>
        <w:jc w:val="left"/>
        <w:rPr>
          <w:rFonts w:ascii="宋体" w:hAnsi="宋体" w:cs="宋体"/>
          <w:color w:val="auto"/>
          <w:kern w:val="0"/>
          <w:highlight w:val="none"/>
        </w:rPr>
      </w:pPr>
    </w:p>
    <w:p>
      <w:pPr>
        <w:pStyle w:val="4"/>
        <w:ind w:left="0" w:firstLine="0"/>
        <w:rPr>
          <w:rFonts w:ascii="宋体" w:hAnsi="宋体"/>
          <w:color w:val="auto"/>
          <w:sz w:val="24"/>
          <w:szCs w:val="24"/>
          <w:highlight w:val="none"/>
        </w:rPr>
      </w:pPr>
      <w:r>
        <w:rPr>
          <w:rFonts w:hint="eastAsia" w:ascii="宋体" w:hAnsi="宋体" w:cs="宋体"/>
          <w:color w:val="auto"/>
          <w:sz w:val="28"/>
          <w:szCs w:val="28"/>
          <w:highlight w:val="none"/>
        </w:rPr>
        <w:br w:type="page"/>
      </w:r>
      <w:bookmarkStart w:id="464" w:name="_Toc1104"/>
      <w:bookmarkStart w:id="465" w:name="_Toc13061"/>
      <w:r>
        <w:rPr>
          <w:rFonts w:hint="eastAsia" w:ascii="宋体" w:hAnsi="宋体" w:cs="宋体"/>
          <w:color w:val="auto"/>
          <w:sz w:val="28"/>
          <w:szCs w:val="28"/>
          <w:highlight w:val="none"/>
        </w:rPr>
        <w:t>一、投标函</w:t>
      </w:r>
      <w:bookmarkEnd w:id="464"/>
      <w:bookmarkEnd w:id="465"/>
    </w:p>
    <w:p>
      <w:pPr>
        <w:pStyle w:val="2"/>
        <w:snapToGrid w:val="0"/>
        <w:spacing w:line="42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xml:space="preserve">               （采购人）</w:t>
      </w:r>
    </w:p>
    <w:p>
      <w:pPr>
        <w:adjustRightInd w:val="0"/>
        <w:snapToGrid w:val="0"/>
        <w:spacing w:line="420" w:lineRule="exact"/>
        <w:ind w:firstLine="420" w:firstLineChars="200"/>
        <w:rPr>
          <w:rFonts w:ascii="宋体" w:hAnsi="宋体" w:cs="宋体"/>
          <w:color w:val="auto"/>
          <w:highlight w:val="none"/>
        </w:rPr>
      </w:pPr>
      <w:r>
        <w:rPr>
          <w:rFonts w:hint="eastAsia" w:ascii="宋体" w:hAnsi="宋体" w:cs="宋体"/>
          <w:color w:val="auto"/>
          <w:highlight w:val="none"/>
        </w:rPr>
        <w:t>我方已仔细阅读并研究了</w:t>
      </w:r>
      <w:r>
        <w:rPr>
          <w:rFonts w:hint="eastAsia" w:ascii="宋体" w:hAnsi="宋体" w:cs="宋体"/>
          <w:color w:val="auto"/>
          <w:highlight w:val="none"/>
          <w:u w:val="single"/>
        </w:rPr>
        <w:t xml:space="preserve">                    （项目名称）</w:t>
      </w:r>
      <w:r>
        <w:rPr>
          <w:rFonts w:hint="eastAsia" w:ascii="宋体" w:hAnsi="宋体" w:cs="宋体"/>
          <w:color w:val="auto"/>
          <w:highlight w:val="none"/>
        </w:rPr>
        <w:t>招标文件的全部内容（包含本项目的所有补遗、澄清和变更资料），我们完全熟悉其中的要求、条款和条件。愿意以</w:t>
      </w:r>
      <w:r>
        <w:rPr>
          <w:rFonts w:hint="eastAsia" w:ascii="宋体" w:hAnsi="宋体" w:cs="宋体"/>
          <w:color w:val="auto"/>
          <w:highlight w:val="none"/>
          <w:u w:val="single"/>
        </w:rPr>
        <w:t xml:space="preserve">（大写：              ）（小写：        </w:t>
      </w:r>
      <w:r>
        <w:rPr>
          <w:rFonts w:hint="eastAsia" w:ascii="宋体" w:hAnsi="宋体" w:cs="宋体"/>
          <w:color w:val="auto"/>
          <w:highlight w:val="none"/>
        </w:rPr>
        <w:t>）的投标价格，按招标文件要求对完成本项目全周期内的相应工作。同时做出以下声明：</w:t>
      </w:r>
    </w:p>
    <w:p>
      <w:pPr>
        <w:adjustRightInd w:val="0"/>
        <w:snapToGrid w:val="0"/>
        <w:spacing w:line="420" w:lineRule="exact"/>
        <w:ind w:firstLine="420" w:firstLineChars="200"/>
        <w:rPr>
          <w:rFonts w:ascii="宋体" w:hAnsi="宋体" w:cs="宋体"/>
          <w:color w:val="auto"/>
          <w:highlight w:val="none"/>
        </w:rPr>
      </w:pPr>
      <w:r>
        <w:rPr>
          <w:rFonts w:hint="eastAsia" w:ascii="宋体" w:hAnsi="宋体" w:cs="宋体"/>
          <w:color w:val="auto"/>
          <w:highlight w:val="none"/>
        </w:rPr>
        <w:t>1.我方按招标文件的要求编制投标文件。</w:t>
      </w:r>
    </w:p>
    <w:p>
      <w:pPr>
        <w:adjustRightInd w:val="0"/>
        <w:snapToGrid w:val="0"/>
        <w:spacing w:line="420" w:lineRule="exact"/>
        <w:ind w:firstLine="420" w:firstLineChars="200"/>
        <w:rPr>
          <w:rFonts w:ascii="宋体" w:hAnsi="宋体" w:cs="宋体"/>
          <w:color w:val="auto"/>
          <w:highlight w:val="none"/>
        </w:rPr>
      </w:pPr>
      <w:r>
        <w:rPr>
          <w:rFonts w:hint="eastAsia" w:ascii="宋体" w:hAnsi="宋体" w:cs="宋体"/>
          <w:color w:val="auto"/>
          <w:highlight w:val="none"/>
        </w:rPr>
        <w:t>2.我方投标有效期为递交投标文件的截止之日起</w:t>
      </w:r>
      <w:r>
        <w:rPr>
          <w:rFonts w:hint="eastAsia" w:ascii="宋体" w:hAnsi="宋体" w:cs="宋体"/>
          <w:color w:val="auto"/>
          <w:highlight w:val="none"/>
          <w:u w:val="single"/>
        </w:rPr>
        <w:t xml:space="preserve">   </w:t>
      </w:r>
      <w:r>
        <w:rPr>
          <w:rFonts w:hint="eastAsia" w:ascii="宋体" w:hAnsi="宋体" w:cs="宋体"/>
          <w:color w:val="auto"/>
          <w:highlight w:val="none"/>
        </w:rPr>
        <w:t>日历天。</w:t>
      </w:r>
    </w:p>
    <w:p>
      <w:pPr>
        <w:adjustRightInd w:val="0"/>
        <w:snapToGrid w:val="0"/>
        <w:spacing w:line="420" w:lineRule="exact"/>
        <w:ind w:firstLine="420" w:firstLineChars="200"/>
        <w:rPr>
          <w:rFonts w:ascii="宋体" w:hAnsi="宋体" w:cs="宋体"/>
          <w:color w:val="auto"/>
          <w:highlight w:val="none"/>
        </w:rPr>
      </w:pPr>
      <w:r>
        <w:rPr>
          <w:rFonts w:hint="eastAsia" w:ascii="宋体" w:hAnsi="宋体" w:cs="宋体"/>
          <w:color w:val="auto"/>
          <w:highlight w:val="none"/>
        </w:rPr>
        <w:t>3.我方承诺与采购人聘请的为此项目提供咨询服务的公司及任何附属机构均无关联，我方不是采购人的附属机构。</w:t>
      </w:r>
    </w:p>
    <w:p>
      <w:pPr>
        <w:adjustRightInd w:val="0"/>
        <w:snapToGrid w:val="0"/>
        <w:spacing w:line="420" w:lineRule="exact"/>
        <w:ind w:firstLine="420" w:firstLineChars="200"/>
        <w:rPr>
          <w:rFonts w:ascii="宋体" w:hAnsi="宋体" w:cs="宋体"/>
          <w:color w:val="auto"/>
          <w:highlight w:val="none"/>
        </w:rPr>
      </w:pPr>
      <w:r>
        <w:rPr>
          <w:rFonts w:hint="eastAsia" w:ascii="宋体" w:hAnsi="宋体" w:cs="宋体"/>
          <w:color w:val="auto"/>
          <w:highlight w:val="none"/>
        </w:rPr>
        <w:t>4.我方将按招标文件的规定履行合同责任和义务。</w:t>
      </w:r>
    </w:p>
    <w:p>
      <w:pPr>
        <w:adjustRightInd w:val="0"/>
        <w:snapToGrid w:val="0"/>
        <w:spacing w:line="420" w:lineRule="exact"/>
        <w:ind w:firstLine="420" w:firstLineChars="200"/>
        <w:rPr>
          <w:rFonts w:ascii="宋体" w:hAnsi="宋体" w:cs="宋体"/>
          <w:color w:val="auto"/>
          <w:highlight w:val="none"/>
        </w:rPr>
      </w:pPr>
      <w:r>
        <w:rPr>
          <w:rFonts w:hint="eastAsia" w:ascii="宋体" w:hAnsi="宋体" w:cs="宋体"/>
          <w:color w:val="auto"/>
          <w:highlight w:val="none"/>
        </w:rPr>
        <w:t>5.我方同意提供贵方可能要求的与其投标有关的一切数据或资料。</w:t>
      </w:r>
    </w:p>
    <w:p>
      <w:pPr>
        <w:adjustRightInd w:val="0"/>
        <w:snapToGrid w:val="0"/>
        <w:spacing w:line="420" w:lineRule="exact"/>
        <w:ind w:firstLine="420" w:firstLineChars="200"/>
        <w:rPr>
          <w:rFonts w:ascii="宋体" w:hAnsi="宋体" w:cs="宋体"/>
          <w:color w:val="auto"/>
          <w:highlight w:val="none"/>
        </w:rPr>
      </w:pPr>
      <w:r>
        <w:rPr>
          <w:rFonts w:hint="eastAsia" w:ascii="宋体" w:hAnsi="宋体" w:cs="宋体"/>
          <w:color w:val="auto"/>
          <w:highlight w:val="none"/>
        </w:rPr>
        <w:t>6.我方完全理解贵方不一定接受最低价的响应或收到的任何响应。</w:t>
      </w:r>
    </w:p>
    <w:p>
      <w:pPr>
        <w:adjustRightInd w:val="0"/>
        <w:snapToGrid w:val="0"/>
        <w:spacing w:line="420" w:lineRule="exact"/>
        <w:ind w:firstLine="420" w:firstLineChars="200"/>
        <w:rPr>
          <w:rFonts w:ascii="宋体" w:hAnsi="宋体" w:cs="宋体"/>
          <w:color w:val="auto"/>
          <w:highlight w:val="none"/>
        </w:rPr>
      </w:pPr>
      <w:r>
        <w:rPr>
          <w:rFonts w:hint="eastAsia" w:ascii="宋体" w:hAnsi="宋体" w:cs="宋体"/>
          <w:color w:val="auto"/>
          <w:highlight w:val="none"/>
        </w:rPr>
        <w:t>7.我方承诺不泄露投标活动中获取的项目信息、商业秘密。</w:t>
      </w:r>
    </w:p>
    <w:p>
      <w:pPr>
        <w:adjustRightInd w:val="0"/>
        <w:snapToGrid w:val="0"/>
        <w:spacing w:line="420" w:lineRule="exact"/>
        <w:ind w:firstLine="420" w:firstLineChars="200"/>
        <w:rPr>
          <w:rFonts w:ascii="宋体" w:hAnsi="宋体" w:cs="宋体"/>
          <w:color w:val="auto"/>
          <w:highlight w:val="none"/>
        </w:rPr>
      </w:pPr>
      <w:r>
        <w:rPr>
          <w:rFonts w:hint="eastAsia" w:ascii="宋体" w:hAnsi="宋体" w:cs="宋体"/>
          <w:color w:val="auto"/>
          <w:highlight w:val="none"/>
        </w:rPr>
        <w:t>8.我方在此声明，所递交的投标文件及有关资料内容完整、真实和准确。</w:t>
      </w:r>
    </w:p>
    <w:p>
      <w:pPr>
        <w:pStyle w:val="2"/>
        <w:tabs>
          <w:tab w:val="left" w:pos="4475"/>
          <w:tab w:val="left" w:pos="4706"/>
          <w:tab w:val="left" w:pos="5392"/>
          <w:tab w:val="left" w:pos="8498"/>
        </w:tabs>
        <w:snapToGrid w:val="0"/>
        <w:spacing w:line="420" w:lineRule="exact"/>
        <w:ind w:firstLine="2446" w:firstLineChars="1176"/>
        <w:rPr>
          <w:rFonts w:ascii="宋体" w:hAnsi="宋体" w:eastAsia="宋体" w:cs="宋体"/>
          <w:color w:val="auto"/>
          <w:spacing w:val="-1"/>
          <w:sz w:val="21"/>
          <w:szCs w:val="21"/>
          <w:highlight w:val="none"/>
        </w:rPr>
      </w:pPr>
    </w:p>
    <w:p>
      <w:pPr>
        <w:pStyle w:val="2"/>
        <w:tabs>
          <w:tab w:val="left" w:pos="4475"/>
          <w:tab w:val="left" w:pos="4706"/>
          <w:tab w:val="left" w:pos="5392"/>
          <w:tab w:val="left" w:pos="8498"/>
        </w:tabs>
        <w:snapToGrid w:val="0"/>
        <w:spacing w:line="420" w:lineRule="exact"/>
        <w:ind w:firstLine="2446" w:firstLineChars="1176"/>
        <w:rPr>
          <w:rFonts w:ascii="宋体" w:hAnsi="宋体" w:eastAsia="宋体" w:cs="宋体"/>
          <w:color w:val="auto"/>
          <w:spacing w:val="-1"/>
          <w:sz w:val="21"/>
          <w:szCs w:val="21"/>
          <w:highlight w:val="none"/>
        </w:rPr>
      </w:pPr>
    </w:p>
    <w:p>
      <w:pPr>
        <w:pStyle w:val="2"/>
        <w:tabs>
          <w:tab w:val="left" w:pos="4475"/>
          <w:tab w:val="left" w:pos="8647"/>
        </w:tabs>
        <w:snapToGrid w:val="0"/>
        <w:spacing w:line="420" w:lineRule="exact"/>
        <w:ind w:right="-40" w:firstLine="4160" w:firstLineChars="2000"/>
        <w:jc w:val="both"/>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 投标人：</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rPr>
        <w:t>（电子印章）</w:t>
      </w:r>
    </w:p>
    <w:p>
      <w:pPr>
        <w:pStyle w:val="2"/>
        <w:tabs>
          <w:tab w:val="left" w:pos="4475"/>
          <w:tab w:val="left" w:pos="8647"/>
        </w:tabs>
        <w:snapToGrid w:val="0"/>
        <w:spacing w:line="420" w:lineRule="exact"/>
        <w:ind w:right="-40" w:firstLine="2704" w:firstLineChars="1300"/>
        <w:jc w:val="both"/>
        <w:rPr>
          <w:rFonts w:hint="eastAsia" w:ascii="宋体" w:hAnsi="宋体" w:eastAsia="宋体" w:cs="宋体"/>
          <w:color w:val="auto"/>
          <w:spacing w:val="-1"/>
          <w:sz w:val="21"/>
          <w:szCs w:val="21"/>
          <w:highlight w:val="none"/>
        </w:rPr>
      </w:pPr>
    </w:p>
    <w:p>
      <w:pPr>
        <w:pStyle w:val="2"/>
        <w:tabs>
          <w:tab w:val="left" w:pos="4475"/>
          <w:tab w:val="left" w:pos="8647"/>
        </w:tabs>
        <w:snapToGrid w:val="0"/>
        <w:spacing w:line="420" w:lineRule="exact"/>
        <w:ind w:right="-40" w:firstLine="2704" w:firstLineChars="1300"/>
        <w:jc w:val="both"/>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 xml:space="preserve">         日  期：</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rPr>
        <w:t xml:space="preserve"> 年</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rPr>
        <w:t>月</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rPr>
        <w:t xml:space="preserve"> 日</w:t>
      </w:r>
    </w:p>
    <w:p>
      <w:pPr>
        <w:pStyle w:val="4"/>
        <w:ind w:left="0" w:firstLine="0"/>
        <w:jc w:val="center"/>
        <w:rPr>
          <w:color w:val="auto"/>
          <w:sz w:val="21"/>
          <w:szCs w:val="21"/>
          <w:highlight w:val="none"/>
        </w:rPr>
      </w:pPr>
      <w:r>
        <w:rPr>
          <w:rFonts w:hint="eastAsia" w:ascii="宋体" w:hAnsi="宋体"/>
          <w:color w:val="auto"/>
          <w:sz w:val="24"/>
          <w:szCs w:val="24"/>
          <w:highlight w:val="none"/>
        </w:rPr>
        <w:br w:type="page"/>
      </w:r>
      <w:bookmarkStart w:id="466" w:name="_Toc24748"/>
      <w:bookmarkStart w:id="467" w:name="_Toc30441"/>
      <w:r>
        <w:rPr>
          <w:rFonts w:hint="eastAsia" w:ascii="宋体" w:hAnsi="宋体" w:cs="宋体"/>
          <w:color w:val="auto"/>
          <w:sz w:val="28"/>
          <w:szCs w:val="28"/>
          <w:highlight w:val="none"/>
        </w:rPr>
        <w:t>二、开标一览表</w:t>
      </w:r>
      <w:bookmarkEnd w:id="466"/>
      <w:bookmarkEnd w:id="467"/>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8"/>
        <w:gridCol w:w="5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2988" w:type="dxa"/>
            <w:vAlign w:val="center"/>
          </w:tcPr>
          <w:p>
            <w:pPr>
              <w:spacing w:line="360" w:lineRule="auto"/>
              <w:jc w:val="center"/>
              <w:rPr>
                <w:rFonts w:ascii="宋体" w:hAnsi="宋体" w:cs="宋体"/>
                <w:color w:val="auto"/>
                <w:highlight w:val="none"/>
              </w:rPr>
            </w:pPr>
            <w:r>
              <w:rPr>
                <w:rFonts w:hint="eastAsia" w:ascii="宋体" w:hAnsi="宋体" w:cs="宋体"/>
                <w:color w:val="auto"/>
                <w:highlight w:val="none"/>
              </w:rPr>
              <w:t>项目名称</w:t>
            </w:r>
          </w:p>
        </w:tc>
        <w:tc>
          <w:tcPr>
            <w:tcW w:w="5072" w:type="dxa"/>
            <w:vAlign w:val="center"/>
          </w:tcPr>
          <w:p>
            <w:pPr>
              <w:spacing w:line="360" w:lineRule="auto"/>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2988" w:type="dxa"/>
            <w:vAlign w:val="center"/>
          </w:tcPr>
          <w:p>
            <w:pPr>
              <w:spacing w:line="360" w:lineRule="auto"/>
              <w:jc w:val="center"/>
              <w:rPr>
                <w:rFonts w:ascii="宋体" w:hAnsi="宋体" w:cs="宋体"/>
                <w:color w:val="auto"/>
                <w:highlight w:val="none"/>
              </w:rPr>
            </w:pPr>
            <w:r>
              <w:rPr>
                <w:rFonts w:hint="eastAsia" w:ascii="宋体" w:hAnsi="宋体" w:cs="宋体"/>
                <w:color w:val="auto"/>
                <w:highlight w:val="none"/>
              </w:rPr>
              <w:t>投标人名称</w:t>
            </w:r>
          </w:p>
        </w:tc>
        <w:tc>
          <w:tcPr>
            <w:tcW w:w="5072" w:type="dxa"/>
            <w:vAlign w:val="center"/>
          </w:tcPr>
          <w:p>
            <w:pPr>
              <w:spacing w:line="360" w:lineRule="auto"/>
              <w:ind w:firstLine="435"/>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2988" w:type="dxa"/>
            <w:vAlign w:val="center"/>
          </w:tcPr>
          <w:p>
            <w:pPr>
              <w:spacing w:line="360" w:lineRule="auto"/>
              <w:jc w:val="center"/>
              <w:rPr>
                <w:rFonts w:ascii="宋体" w:hAnsi="宋体" w:cs="宋体"/>
                <w:color w:val="auto"/>
                <w:highlight w:val="none"/>
              </w:rPr>
            </w:pPr>
            <w:r>
              <w:rPr>
                <w:rFonts w:hint="eastAsia" w:ascii="宋体" w:hAnsi="宋体" w:cs="宋体"/>
                <w:color w:val="auto"/>
                <w:highlight w:val="none"/>
              </w:rPr>
              <w:t>投标报价（元）</w:t>
            </w:r>
          </w:p>
        </w:tc>
        <w:tc>
          <w:tcPr>
            <w:tcW w:w="5072" w:type="dxa"/>
            <w:vAlign w:val="center"/>
          </w:tcPr>
          <w:p>
            <w:pPr>
              <w:spacing w:line="360" w:lineRule="auto"/>
              <w:rPr>
                <w:rFonts w:ascii="宋体" w:hAnsi="宋体"/>
                <w:bCs/>
                <w:color w:val="auto"/>
                <w:highlight w:val="none"/>
              </w:rPr>
            </w:pPr>
            <w:r>
              <w:rPr>
                <w:rFonts w:hint="eastAsia" w:ascii="宋体" w:hAnsi="宋体"/>
                <w:bCs/>
                <w:color w:val="auto"/>
                <w:highlight w:val="none"/>
              </w:rPr>
              <w:t>大写：</w:t>
            </w:r>
          </w:p>
          <w:p>
            <w:pPr>
              <w:spacing w:line="360" w:lineRule="auto"/>
              <w:rPr>
                <w:rFonts w:ascii="宋体" w:hAnsi="宋体"/>
                <w:bCs/>
                <w:color w:val="auto"/>
                <w:highlight w:val="none"/>
              </w:rPr>
            </w:pPr>
            <w:r>
              <w:rPr>
                <w:rFonts w:hint="eastAsia" w:ascii="宋体" w:hAnsi="宋体"/>
                <w:bCs/>
                <w:color w:val="auto"/>
                <w:highlight w:val="none"/>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2988" w:type="dxa"/>
            <w:vAlign w:val="center"/>
          </w:tcPr>
          <w:p>
            <w:pPr>
              <w:jc w:val="center"/>
              <w:rPr>
                <w:rFonts w:ascii="宋体" w:hAnsi="宋体" w:cs="宋体"/>
                <w:color w:val="auto"/>
                <w:highlight w:val="none"/>
              </w:rPr>
            </w:pPr>
            <w:r>
              <w:rPr>
                <w:rFonts w:hint="eastAsia" w:ascii="宋体" w:hAnsi="宋体" w:cs="宋体"/>
                <w:color w:val="auto"/>
                <w:highlight w:val="none"/>
              </w:rPr>
              <w:t>投标有效期</w:t>
            </w:r>
          </w:p>
        </w:tc>
        <w:tc>
          <w:tcPr>
            <w:tcW w:w="5072" w:type="dxa"/>
            <w:vAlign w:val="center"/>
          </w:tcPr>
          <w:p>
            <w:pPr>
              <w:spacing w:line="360" w:lineRule="auto"/>
              <w:jc w:val="center"/>
              <w:rPr>
                <w:rFonts w:ascii="宋体" w:hAnsi="宋体" w:cs="宋体"/>
                <w:color w:val="auto"/>
                <w:highlight w:val="none"/>
                <w:u w:val="single"/>
              </w:rPr>
            </w:pPr>
            <w:r>
              <w:rPr>
                <w:rFonts w:hint="eastAsia" w:ascii="宋体" w:hAnsi="宋体" w:cs="宋体"/>
                <w:color w:val="auto"/>
                <w:highlight w:val="none"/>
              </w:rPr>
              <w:t>递交投标文件的截止之日起60日历天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2988" w:type="dxa"/>
            <w:vAlign w:val="center"/>
          </w:tcPr>
          <w:p>
            <w:pPr>
              <w:jc w:val="center"/>
              <w:rPr>
                <w:rFonts w:ascii="宋体" w:hAnsi="宋体" w:cs="宋体"/>
                <w:color w:val="auto"/>
                <w:highlight w:val="none"/>
              </w:rPr>
            </w:pPr>
            <w:r>
              <w:rPr>
                <w:rFonts w:hint="eastAsia" w:ascii="宋体" w:hAnsi="宋体" w:cs="宋体"/>
                <w:color w:val="auto"/>
                <w:highlight w:val="none"/>
                <w:lang w:val="en-US" w:eastAsia="zh-CN"/>
              </w:rPr>
              <w:t>供</w:t>
            </w:r>
            <w:r>
              <w:rPr>
                <w:rFonts w:hint="eastAsia" w:ascii="宋体" w:hAnsi="宋体" w:cs="宋体"/>
                <w:color w:val="auto"/>
                <w:highlight w:val="none"/>
              </w:rPr>
              <w:t>货期</w:t>
            </w:r>
          </w:p>
        </w:tc>
        <w:tc>
          <w:tcPr>
            <w:tcW w:w="5072" w:type="dxa"/>
            <w:vAlign w:val="center"/>
          </w:tcPr>
          <w:p>
            <w:pPr>
              <w:spacing w:line="360" w:lineRule="auto"/>
              <w:ind w:firstLine="2009" w:firstLineChars="957"/>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2988" w:type="dxa"/>
            <w:vAlign w:val="center"/>
          </w:tcPr>
          <w:p>
            <w:pPr>
              <w:jc w:val="center"/>
              <w:rPr>
                <w:rFonts w:ascii="宋体" w:hAnsi="宋体" w:cs="宋体"/>
                <w:color w:val="auto"/>
                <w:highlight w:val="none"/>
              </w:rPr>
            </w:pPr>
            <w:r>
              <w:rPr>
                <w:rFonts w:hint="eastAsia" w:ascii="宋体" w:hAnsi="宋体" w:cs="宋体"/>
                <w:color w:val="auto"/>
                <w:highlight w:val="none"/>
              </w:rPr>
              <w:t>交货地点</w:t>
            </w:r>
          </w:p>
        </w:tc>
        <w:tc>
          <w:tcPr>
            <w:tcW w:w="5072" w:type="dxa"/>
            <w:vAlign w:val="center"/>
          </w:tcPr>
          <w:p>
            <w:pPr>
              <w:spacing w:line="360" w:lineRule="auto"/>
              <w:ind w:firstLine="2009" w:firstLineChars="957"/>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2988" w:type="dxa"/>
            <w:vAlign w:val="center"/>
          </w:tcPr>
          <w:p>
            <w:pPr>
              <w:jc w:val="center"/>
              <w:rPr>
                <w:rFonts w:ascii="宋体" w:hAnsi="宋体" w:cs="宋体"/>
                <w:color w:val="auto"/>
                <w:highlight w:val="none"/>
              </w:rPr>
            </w:pPr>
            <w:r>
              <w:rPr>
                <w:rFonts w:hint="eastAsia" w:ascii="宋体" w:hAnsi="宋体" w:cs="宋体"/>
                <w:color w:val="auto"/>
                <w:highlight w:val="none"/>
              </w:rPr>
              <w:t>质量标准</w:t>
            </w:r>
          </w:p>
        </w:tc>
        <w:tc>
          <w:tcPr>
            <w:tcW w:w="5072" w:type="dxa"/>
            <w:vAlign w:val="center"/>
          </w:tcPr>
          <w:p>
            <w:pPr>
              <w:spacing w:line="360" w:lineRule="auto"/>
              <w:ind w:firstLine="2009" w:firstLineChars="957"/>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2988" w:type="dxa"/>
            <w:vAlign w:val="center"/>
          </w:tcPr>
          <w:p>
            <w:pPr>
              <w:jc w:val="center"/>
              <w:rPr>
                <w:rFonts w:ascii="宋体" w:hAnsi="宋体" w:cs="宋体"/>
                <w:color w:val="auto"/>
                <w:highlight w:val="none"/>
              </w:rPr>
            </w:pPr>
            <w:r>
              <w:rPr>
                <w:rFonts w:hint="eastAsia" w:ascii="宋体" w:hAnsi="宋体" w:cs="宋体"/>
                <w:color w:val="auto"/>
                <w:highlight w:val="none"/>
              </w:rPr>
              <w:t>质保期</w:t>
            </w:r>
          </w:p>
        </w:tc>
        <w:tc>
          <w:tcPr>
            <w:tcW w:w="5072" w:type="dxa"/>
            <w:vAlign w:val="center"/>
          </w:tcPr>
          <w:p>
            <w:pPr>
              <w:spacing w:line="360" w:lineRule="auto"/>
              <w:ind w:firstLine="2009" w:firstLineChars="957"/>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2988" w:type="dxa"/>
            <w:vAlign w:val="center"/>
          </w:tcPr>
          <w:p>
            <w:pPr>
              <w:spacing w:line="360" w:lineRule="auto"/>
              <w:jc w:val="center"/>
              <w:rPr>
                <w:rFonts w:ascii="宋体" w:hAnsi="宋体" w:cs="宋体"/>
                <w:color w:val="auto"/>
                <w:highlight w:val="none"/>
              </w:rPr>
            </w:pPr>
            <w:r>
              <w:rPr>
                <w:rFonts w:hint="eastAsia" w:ascii="宋体" w:hAnsi="宋体" w:cs="宋体"/>
                <w:color w:val="auto"/>
                <w:highlight w:val="none"/>
              </w:rPr>
              <w:t>备注</w:t>
            </w:r>
          </w:p>
        </w:tc>
        <w:tc>
          <w:tcPr>
            <w:tcW w:w="5072" w:type="dxa"/>
            <w:vAlign w:val="center"/>
          </w:tcPr>
          <w:p>
            <w:pPr>
              <w:spacing w:line="360" w:lineRule="auto"/>
              <w:jc w:val="center"/>
              <w:rPr>
                <w:rFonts w:ascii="宋体" w:hAnsi="宋体" w:cs="宋体"/>
                <w:color w:val="auto"/>
                <w:highlight w:val="none"/>
              </w:rPr>
            </w:pPr>
          </w:p>
        </w:tc>
      </w:tr>
    </w:tbl>
    <w:p>
      <w:pPr>
        <w:pStyle w:val="2"/>
        <w:spacing w:line="362" w:lineRule="auto"/>
        <w:rPr>
          <w:color w:val="auto"/>
          <w:highlight w:val="none"/>
        </w:rPr>
      </w:pPr>
    </w:p>
    <w:p>
      <w:pPr>
        <w:pStyle w:val="2"/>
        <w:spacing w:line="362" w:lineRule="auto"/>
        <w:rPr>
          <w:rFonts w:ascii="宋体" w:hAnsi="宋体" w:eastAsia="宋体" w:cs="宋体"/>
          <w:color w:val="auto"/>
          <w:highlight w:val="none"/>
        </w:rPr>
      </w:pPr>
    </w:p>
    <w:p>
      <w:pPr>
        <w:pStyle w:val="2"/>
        <w:tabs>
          <w:tab w:val="left" w:pos="4881"/>
        </w:tabs>
        <w:spacing w:line="360" w:lineRule="auto"/>
        <w:ind w:firstLine="832" w:firstLineChars="400"/>
        <w:rPr>
          <w:rFonts w:ascii="宋体" w:hAnsi="宋体" w:eastAsia="宋体" w:cs="宋体"/>
          <w:color w:val="auto"/>
          <w:spacing w:val="-1"/>
          <w:sz w:val="21"/>
          <w:szCs w:val="21"/>
          <w:highlight w:val="none"/>
        </w:rPr>
      </w:pPr>
      <w:bookmarkStart w:id="468" w:name="_Toc443895891"/>
      <w:r>
        <w:rPr>
          <w:rFonts w:hint="eastAsia" w:ascii="宋体" w:hAnsi="宋体" w:eastAsia="宋体" w:cs="宋体"/>
          <w:color w:val="auto"/>
          <w:spacing w:val="-1"/>
          <w:sz w:val="21"/>
          <w:szCs w:val="21"/>
          <w:highlight w:val="none"/>
        </w:rPr>
        <w:t>投标人名称（电子签章）：</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rPr>
        <w:t xml:space="preserve"> </w:t>
      </w:r>
    </w:p>
    <w:p>
      <w:pPr>
        <w:pStyle w:val="2"/>
        <w:tabs>
          <w:tab w:val="left" w:pos="4881"/>
        </w:tabs>
        <w:spacing w:line="360" w:lineRule="auto"/>
        <w:ind w:firstLine="832" w:firstLineChars="400"/>
        <w:rPr>
          <w:rFonts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投标人法定代表人或授权代表（签字或签章）：</w:t>
      </w:r>
      <w:r>
        <w:rPr>
          <w:rFonts w:hint="eastAsia" w:ascii="宋体" w:hAnsi="宋体" w:eastAsia="宋体" w:cs="宋体"/>
          <w:color w:val="auto"/>
          <w:spacing w:val="-1"/>
          <w:sz w:val="21"/>
          <w:szCs w:val="21"/>
          <w:highlight w:val="none"/>
          <w:u w:val="single"/>
        </w:rPr>
        <w:t xml:space="preserve">                     </w:t>
      </w:r>
    </w:p>
    <w:p>
      <w:pPr>
        <w:pStyle w:val="2"/>
        <w:tabs>
          <w:tab w:val="left" w:pos="4881"/>
        </w:tabs>
        <w:spacing w:line="360" w:lineRule="auto"/>
        <w:ind w:firstLine="832" w:firstLineChars="400"/>
        <w:rPr>
          <w:rFonts w:ascii="宋体" w:hAnsi="宋体" w:eastAsia="宋体" w:cs="宋体"/>
          <w:color w:val="auto"/>
          <w:spacing w:val="-1"/>
          <w:sz w:val="21"/>
          <w:szCs w:val="21"/>
          <w:highlight w:val="none"/>
          <w:u w:val="single"/>
        </w:rPr>
      </w:pPr>
      <w:r>
        <w:rPr>
          <w:rFonts w:hint="eastAsia" w:ascii="宋体" w:hAnsi="宋体" w:eastAsia="宋体" w:cs="宋体"/>
          <w:color w:val="auto"/>
          <w:spacing w:val="-1"/>
          <w:sz w:val="21"/>
          <w:szCs w:val="21"/>
          <w:highlight w:val="none"/>
        </w:rPr>
        <w:t>日期：</w:t>
      </w:r>
      <w:r>
        <w:rPr>
          <w:rFonts w:hint="eastAsia" w:ascii="宋体" w:hAnsi="宋体" w:eastAsia="宋体" w:cs="宋体"/>
          <w:color w:val="auto"/>
          <w:spacing w:val="-1"/>
          <w:sz w:val="21"/>
          <w:szCs w:val="21"/>
          <w:highlight w:val="none"/>
          <w:u w:val="single"/>
        </w:rPr>
        <w:t xml:space="preserve">                </w:t>
      </w:r>
    </w:p>
    <w:bookmarkEnd w:id="468"/>
    <w:p>
      <w:pPr>
        <w:spacing w:line="440" w:lineRule="exact"/>
        <w:ind w:firstLine="420" w:firstLineChars="200"/>
        <w:rPr>
          <w:rFonts w:ascii="宋体" w:hAnsi="宋体"/>
          <w:color w:val="auto"/>
          <w:highlight w:val="none"/>
        </w:rPr>
      </w:pPr>
    </w:p>
    <w:p>
      <w:pPr>
        <w:pStyle w:val="4"/>
        <w:ind w:left="0" w:firstLine="0"/>
        <w:rPr>
          <w:rFonts w:ascii="宋体" w:hAnsi="宋体" w:cs="宋体"/>
          <w:color w:val="auto"/>
          <w:sz w:val="28"/>
          <w:szCs w:val="28"/>
          <w:highlight w:val="none"/>
        </w:rPr>
      </w:pPr>
      <w:bookmarkStart w:id="469" w:name="_Toc198518874"/>
      <w:bookmarkStart w:id="470" w:name="_Toc517690440"/>
      <w:r>
        <w:rPr>
          <w:rFonts w:hint="eastAsia" w:ascii="宋体" w:hAnsi="宋体" w:cs="宋体"/>
          <w:color w:val="auto"/>
          <w:sz w:val="28"/>
          <w:szCs w:val="28"/>
          <w:highlight w:val="none"/>
        </w:rPr>
        <w:br w:type="page"/>
      </w:r>
      <w:bookmarkStart w:id="471" w:name="_Toc16429"/>
      <w:bookmarkStart w:id="472" w:name="_Toc13231"/>
      <w:r>
        <w:rPr>
          <w:rFonts w:hint="eastAsia" w:ascii="宋体" w:hAnsi="宋体" w:cs="宋体"/>
          <w:color w:val="auto"/>
          <w:sz w:val="28"/>
          <w:szCs w:val="28"/>
          <w:highlight w:val="none"/>
        </w:rPr>
        <w:t>三、法定代表人身份证明</w:t>
      </w:r>
      <w:bookmarkEnd w:id="469"/>
      <w:bookmarkEnd w:id="470"/>
      <w:bookmarkEnd w:id="471"/>
      <w:bookmarkEnd w:id="472"/>
    </w:p>
    <w:p>
      <w:pPr>
        <w:spacing w:line="360" w:lineRule="auto"/>
        <w:ind w:firstLine="420" w:firstLineChars="200"/>
        <w:rPr>
          <w:rFonts w:ascii="宋体" w:hAnsi="宋体" w:cs="宋体"/>
          <w:color w:val="auto"/>
          <w:kern w:val="0"/>
          <w:highlight w:val="none"/>
        </w:rPr>
      </w:pPr>
    </w:p>
    <w:p>
      <w:pPr>
        <w:spacing w:line="360" w:lineRule="auto"/>
        <w:ind w:firstLine="420" w:firstLineChars="200"/>
        <w:rPr>
          <w:rFonts w:ascii="宋体" w:hAnsi="宋体" w:cs="宋体"/>
          <w:color w:val="auto"/>
          <w:kern w:val="0"/>
          <w:highlight w:val="none"/>
        </w:rPr>
      </w:pPr>
      <w:r>
        <w:rPr>
          <w:rFonts w:hint="eastAsia" w:ascii="宋体" w:hAnsi="宋体" w:cs="宋体"/>
          <w:color w:val="auto"/>
          <w:kern w:val="0"/>
          <w:highlight w:val="none"/>
        </w:rPr>
        <w:t>投标人名称：</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 xml:space="preserve"> </w:t>
      </w:r>
    </w:p>
    <w:p>
      <w:pPr>
        <w:spacing w:line="360" w:lineRule="auto"/>
        <w:ind w:firstLine="420" w:firstLineChars="200"/>
        <w:rPr>
          <w:rFonts w:ascii="宋体" w:hAnsi="宋体" w:cs="宋体"/>
          <w:color w:val="auto"/>
          <w:kern w:val="0"/>
          <w:highlight w:val="none"/>
        </w:rPr>
      </w:pPr>
      <w:r>
        <w:rPr>
          <w:rFonts w:hint="eastAsia" w:ascii="宋体" w:hAnsi="宋体" w:cs="宋体"/>
          <w:color w:val="auto"/>
          <w:kern w:val="0"/>
          <w:highlight w:val="none"/>
        </w:rPr>
        <w:t>单位性质：</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 xml:space="preserve"> </w:t>
      </w:r>
    </w:p>
    <w:p>
      <w:pPr>
        <w:spacing w:line="360" w:lineRule="auto"/>
        <w:ind w:firstLine="420" w:firstLineChars="200"/>
        <w:rPr>
          <w:rFonts w:ascii="宋体" w:hAnsi="宋体" w:cs="宋体"/>
          <w:color w:val="auto"/>
          <w:kern w:val="0"/>
          <w:highlight w:val="none"/>
        </w:rPr>
      </w:pPr>
      <w:r>
        <w:rPr>
          <w:rFonts w:hint="eastAsia" w:ascii="宋体" w:hAnsi="宋体" w:cs="宋体"/>
          <w:color w:val="auto"/>
          <w:kern w:val="0"/>
          <w:highlight w:val="none"/>
        </w:rPr>
        <w:t>地址：</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 xml:space="preserve"> </w:t>
      </w:r>
    </w:p>
    <w:p>
      <w:pPr>
        <w:spacing w:line="360" w:lineRule="auto"/>
        <w:ind w:firstLine="420" w:firstLineChars="200"/>
        <w:rPr>
          <w:rFonts w:ascii="宋体" w:hAnsi="宋体" w:cs="宋体"/>
          <w:color w:val="auto"/>
          <w:kern w:val="0"/>
          <w:highlight w:val="none"/>
        </w:rPr>
      </w:pPr>
      <w:r>
        <w:rPr>
          <w:rFonts w:hint="eastAsia" w:ascii="宋体" w:hAnsi="宋体" w:cs="宋体"/>
          <w:color w:val="auto"/>
          <w:kern w:val="0"/>
          <w:highlight w:val="none"/>
        </w:rPr>
        <w:t>成立时间：</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年</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月</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日</w:t>
      </w:r>
    </w:p>
    <w:p>
      <w:pPr>
        <w:spacing w:line="360" w:lineRule="auto"/>
        <w:ind w:firstLine="420" w:firstLineChars="200"/>
        <w:rPr>
          <w:rFonts w:ascii="宋体" w:hAnsi="宋体" w:cs="宋体"/>
          <w:color w:val="auto"/>
          <w:kern w:val="0"/>
          <w:highlight w:val="none"/>
        </w:rPr>
      </w:pPr>
      <w:r>
        <w:rPr>
          <w:rFonts w:hint="eastAsia" w:ascii="宋体" w:hAnsi="宋体" w:cs="宋体"/>
          <w:color w:val="auto"/>
          <w:kern w:val="0"/>
          <w:highlight w:val="none"/>
        </w:rPr>
        <w:t>经营期限：</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 xml:space="preserve"> </w:t>
      </w:r>
    </w:p>
    <w:p>
      <w:pPr>
        <w:spacing w:line="360" w:lineRule="auto"/>
        <w:ind w:firstLine="420" w:firstLineChars="200"/>
        <w:rPr>
          <w:rFonts w:ascii="宋体" w:hAnsi="宋体" w:cs="宋体"/>
          <w:color w:val="auto"/>
          <w:kern w:val="0"/>
          <w:highlight w:val="none"/>
        </w:rPr>
      </w:pPr>
      <w:r>
        <w:rPr>
          <w:rFonts w:hint="eastAsia" w:ascii="宋体" w:hAnsi="宋体" w:cs="宋体"/>
          <w:color w:val="auto"/>
          <w:kern w:val="0"/>
          <w:highlight w:val="none"/>
        </w:rPr>
        <w:t>姓名：</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性别：</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年龄：</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职务：</w:t>
      </w:r>
      <w:r>
        <w:rPr>
          <w:rFonts w:hint="eastAsia" w:ascii="宋体" w:hAnsi="宋体" w:cs="宋体"/>
          <w:color w:val="auto"/>
          <w:kern w:val="0"/>
          <w:highlight w:val="none"/>
          <w:u w:val="single"/>
        </w:rPr>
        <w:t xml:space="preserve">       </w:t>
      </w:r>
    </w:p>
    <w:p>
      <w:pPr>
        <w:spacing w:line="360" w:lineRule="auto"/>
        <w:ind w:firstLine="420" w:firstLineChars="200"/>
        <w:rPr>
          <w:rFonts w:ascii="宋体" w:hAnsi="宋体" w:cs="宋体"/>
          <w:color w:val="auto"/>
          <w:kern w:val="0"/>
          <w:highlight w:val="none"/>
        </w:rPr>
      </w:pPr>
      <w:r>
        <w:rPr>
          <w:rFonts w:hint="eastAsia" w:ascii="宋体" w:hAnsi="宋体" w:cs="宋体"/>
          <w:color w:val="auto"/>
          <w:kern w:val="0"/>
          <w:highlight w:val="none"/>
        </w:rPr>
        <w:t>系</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（投标人名称）的法定代表人。</w:t>
      </w:r>
    </w:p>
    <w:p>
      <w:pPr>
        <w:spacing w:line="360" w:lineRule="auto"/>
        <w:ind w:firstLine="840" w:firstLineChars="400"/>
        <w:rPr>
          <w:rFonts w:ascii="宋体" w:hAnsi="宋体" w:cs="宋体"/>
          <w:color w:val="auto"/>
          <w:kern w:val="0"/>
          <w:highlight w:val="none"/>
        </w:rPr>
      </w:pPr>
    </w:p>
    <w:p>
      <w:pPr>
        <w:spacing w:line="360" w:lineRule="auto"/>
        <w:ind w:firstLine="840" w:firstLineChars="400"/>
        <w:rPr>
          <w:rFonts w:ascii="宋体" w:hAnsi="宋体" w:cs="宋体"/>
          <w:color w:val="auto"/>
          <w:kern w:val="0"/>
          <w:highlight w:val="none"/>
        </w:rPr>
      </w:pPr>
      <w:r>
        <w:rPr>
          <w:rFonts w:hint="eastAsia" w:ascii="宋体" w:hAnsi="宋体" w:cs="宋体"/>
          <w:color w:val="auto"/>
          <w:kern w:val="0"/>
          <w:highlight w:val="none"/>
        </w:rPr>
        <w:t>附：法定代表人身份证</w:t>
      </w:r>
    </w:p>
    <w:p>
      <w:pPr>
        <w:spacing w:line="360" w:lineRule="auto"/>
        <w:ind w:firstLine="840" w:firstLineChars="400"/>
        <w:rPr>
          <w:rFonts w:ascii="宋体" w:hAnsi="宋体" w:cs="宋体"/>
          <w:color w:val="auto"/>
          <w:kern w:val="0"/>
          <w:highlight w:val="none"/>
        </w:rPr>
      </w:pPr>
    </w:p>
    <w:p>
      <w:pPr>
        <w:spacing w:line="360" w:lineRule="auto"/>
        <w:ind w:firstLine="840" w:firstLineChars="400"/>
        <w:rPr>
          <w:rFonts w:ascii="宋体" w:hAnsi="宋体" w:cs="宋体"/>
          <w:color w:val="auto"/>
          <w:kern w:val="0"/>
          <w:highlight w:val="none"/>
        </w:rPr>
      </w:pPr>
    </w:p>
    <w:p>
      <w:pPr>
        <w:spacing w:line="360" w:lineRule="auto"/>
        <w:ind w:firstLine="840" w:firstLineChars="400"/>
        <w:rPr>
          <w:rFonts w:ascii="宋体" w:hAnsi="宋体" w:cs="宋体"/>
          <w:color w:val="auto"/>
          <w:kern w:val="0"/>
          <w:highlight w:val="none"/>
        </w:rPr>
      </w:pPr>
      <w:r>
        <w:rPr>
          <w:rFonts w:hint="eastAsia" w:ascii="宋体" w:hAnsi="宋体" w:cs="宋体"/>
          <w:color w:val="auto"/>
          <w:kern w:val="0"/>
          <w:highlight w:val="none"/>
        </w:rPr>
        <w:t>特此证明。</w:t>
      </w:r>
    </w:p>
    <w:p>
      <w:pPr>
        <w:spacing w:line="360" w:lineRule="auto"/>
        <w:rPr>
          <w:rFonts w:ascii="宋体" w:hAnsi="宋体" w:cs="宋体"/>
          <w:color w:val="auto"/>
          <w:kern w:val="0"/>
          <w:highlight w:val="none"/>
        </w:rPr>
      </w:pPr>
    </w:p>
    <w:p>
      <w:pPr>
        <w:spacing w:line="360" w:lineRule="auto"/>
        <w:ind w:firstLine="2520" w:firstLineChars="1200"/>
        <w:rPr>
          <w:rFonts w:ascii="宋体" w:hAnsi="宋体" w:cs="宋体"/>
          <w:color w:val="auto"/>
          <w:kern w:val="0"/>
          <w:highlight w:val="none"/>
        </w:rPr>
      </w:pPr>
      <w:r>
        <w:rPr>
          <w:rFonts w:hint="eastAsia" w:ascii="宋体" w:hAnsi="宋体" w:cs="宋体"/>
          <w:color w:val="auto"/>
          <w:kern w:val="0"/>
          <w:highlight w:val="none"/>
        </w:rPr>
        <w:t>投标人：</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（电子签章）</w:t>
      </w:r>
    </w:p>
    <w:p>
      <w:pPr>
        <w:spacing w:line="360" w:lineRule="auto"/>
        <w:ind w:firstLine="4515" w:firstLineChars="2150"/>
        <w:rPr>
          <w:rFonts w:ascii="宋体" w:hAnsi="宋体" w:cs="宋体"/>
          <w:color w:val="auto"/>
          <w:kern w:val="0"/>
          <w:highlight w:val="none"/>
          <w:u w:val="single"/>
        </w:rPr>
      </w:pPr>
    </w:p>
    <w:p>
      <w:pPr>
        <w:spacing w:line="360" w:lineRule="auto"/>
        <w:ind w:firstLine="4515" w:firstLineChars="2150"/>
        <w:rPr>
          <w:rFonts w:ascii="宋体" w:hAnsi="宋体" w:cs="宋体"/>
          <w:color w:val="auto"/>
          <w:kern w:val="0"/>
          <w:highlight w:val="none"/>
        </w:rPr>
      </w:pP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年</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月</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日</w:t>
      </w:r>
    </w:p>
    <w:p>
      <w:pPr>
        <w:pStyle w:val="4"/>
        <w:ind w:left="0" w:firstLine="0"/>
        <w:rPr>
          <w:rFonts w:ascii="宋体" w:hAnsi="宋体" w:cs="宋体"/>
          <w:color w:val="auto"/>
          <w:sz w:val="28"/>
          <w:szCs w:val="28"/>
          <w:highlight w:val="none"/>
        </w:rPr>
      </w:pPr>
      <w:r>
        <w:rPr>
          <w:rFonts w:ascii="宋体" w:hAnsi="宋体"/>
          <w:color w:val="auto"/>
          <w:highlight w:val="none"/>
        </w:rPr>
        <w:br w:type="page"/>
      </w:r>
      <w:bookmarkStart w:id="473" w:name="_Toc26022"/>
      <w:bookmarkStart w:id="474" w:name="_Toc517690441"/>
      <w:bookmarkStart w:id="475" w:name="_Toc371"/>
      <w:bookmarkStart w:id="476" w:name="_Toc198518875"/>
      <w:r>
        <w:rPr>
          <w:rFonts w:hint="eastAsia" w:ascii="宋体" w:hAnsi="宋体" w:cs="宋体"/>
          <w:color w:val="auto"/>
          <w:sz w:val="28"/>
          <w:szCs w:val="28"/>
          <w:highlight w:val="none"/>
        </w:rPr>
        <w:t>四、授权委托书</w:t>
      </w:r>
      <w:bookmarkEnd w:id="473"/>
      <w:bookmarkEnd w:id="474"/>
      <w:bookmarkEnd w:id="475"/>
      <w:bookmarkEnd w:id="476"/>
    </w:p>
    <w:p>
      <w:pPr>
        <w:spacing w:line="360" w:lineRule="auto"/>
        <w:ind w:firstLine="420" w:firstLineChars="200"/>
        <w:rPr>
          <w:rFonts w:ascii="宋体" w:hAnsi="宋体" w:cs="宋体"/>
          <w:color w:val="auto"/>
          <w:kern w:val="0"/>
          <w:highlight w:val="none"/>
        </w:rPr>
      </w:pPr>
    </w:p>
    <w:p>
      <w:pPr>
        <w:spacing w:line="360" w:lineRule="auto"/>
        <w:ind w:firstLine="420" w:firstLineChars="200"/>
        <w:rPr>
          <w:rFonts w:ascii="宋体" w:hAnsi="宋体" w:cs="宋体"/>
          <w:color w:val="auto"/>
          <w:kern w:val="0"/>
          <w:highlight w:val="none"/>
        </w:rPr>
      </w:pPr>
      <w:r>
        <w:rPr>
          <w:rFonts w:hint="eastAsia" w:ascii="宋体" w:hAnsi="宋体" w:cs="宋体"/>
          <w:color w:val="auto"/>
          <w:kern w:val="0"/>
          <w:highlight w:val="none"/>
        </w:rPr>
        <w:t>本人</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（姓名）系</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（投标人名称）的法定代表人，现委托</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（姓名）为我方代理人。代理人根据授权，以我方名义签署、澄清、说明、补正、递交、撤回、修改</w:t>
      </w:r>
      <w:r>
        <w:rPr>
          <w:rFonts w:hint="eastAsia" w:ascii="宋体" w:hAnsi="宋体" w:cs="宋体"/>
          <w:color w:val="auto"/>
          <w:kern w:val="0"/>
          <w:highlight w:val="none"/>
          <w:u w:val="single"/>
        </w:rPr>
        <w:t xml:space="preserve">       （项目名称）            </w:t>
      </w:r>
      <w:r>
        <w:rPr>
          <w:rFonts w:hint="eastAsia" w:ascii="宋体" w:hAnsi="宋体" w:cs="宋体"/>
          <w:color w:val="auto"/>
          <w:kern w:val="0"/>
          <w:highlight w:val="none"/>
        </w:rPr>
        <w:t>投标文件、签订合同和处理有关事宜，其法律后果由我方承担。</w:t>
      </w:r>
    </w:p>
    <w:p>
      <w:pPr>
        <w:spacing w:line="360" w:lineRule="auto"/>
        <w:ind w:firstLine="420" w:firstLineChars="200"/>
        <w:rPr>
          <w:rFonts w:ascii="宋体" w:hAnsi="宋体" w:cs="宋体"/>
          <w:color w:val="auto"/>
          <w:kern w:val="0"/>
          <w:highlight w:val="none"/>
        </w:rPr>
      </w:pPr>
      <w:r>
        <w:rPr>
          <w:rFonts w:hint="eastAsia" w:ascii="宋体" w:hAnsi="宋体" w:cs="宋体"/>
          <w:color w:val="auto"/>
          <w:kern w:val="0"/>
          <w:highlight w:val="none"/>
        </w:rPr>
        <w:t>代理人无转委托权。</w:t>
      </w:r>
    </w:p>
    <w:p>
      <w:pPr>
        <w:spacing w:after="240" w:afterLines="100" w:line="500" w:lineRule="exact"/>
        <w:ind w:firstLine="420" w:firstLineChars="200"/>
        <w:rPr>
          <w:rFonts w:ascii="宋体" w:hAnsi="宋体"/>
          <w:color w:val="auto"/>
          <w:highlight w:val="none"/>
        </w:rPr>
      </w:pPr>
      <w:r>
        <w:rPr>
          <w:rFonts w:hint="eastAsia" w:ascii="宋体" w:hAnsi="宋体"/>
          <w:color w:val="auto"/>
          <w:highlight w:val="none"/>
        </w:rPr>
        <w:t>附：法定代表人身份证复印件和被授权人身份证复印件</w:t>
      </w:r>
    </w:p>
    <w:p>
      <w:pPr>
        <w:spacing w:line="360" w:lineRule="auto"/>
        <w:rPr>
          <w:rFonts w:ascii="宋体" w:hAnsi="宋体" w:cs="宋体"/>
          <w:color w:val="auto"/>
          <w:kern w:val="0"/>
          <w:highlight w:val="none"/>
        </w:rPr>
      </w:pPr>
    </w:p>
    <w:p>
      <w:pPr>
        <w:spacing w:line="360" w:lineRule="auto"/>
        <w:ind w:firstLine="420" w:firstLineChars="200"/>
        <w:rPr>
          <w:rFonts w:ascii="宋体" w:hAnsi="宋体" w:cs="宋体"/>
          <w:color w:val="auto"/>
          <w:kern w:val="0"/>
          <w:highlight w:val="none"/>
        </w:rPr>
      </w:pPr>
    </w:p>
    <w:p>
      <w:pPr>
        <w:spacing w:line="580" w:lineRule="exact"/>
        <w:ind w:firstLine="2415" w:firstLineChars="1150"/>
        <w:rPr>
          <w:rFonts w:ascii="宋体" w:hAnsi="宋体" w:cs="宋体"/>
          <w:color w:val="auto"/>
          <w:kern w:val="0"/>
          <w:highlight w:val="none"/>
        </w:rPr>
      </w:pPr>
      <w:r>
        <w:rPr>
          <w:rFonts w:hint="eastAsia" w:ascii="宋体" w:hAnsi="宋体" w:cs="宋体"/>
          <w:color w:val="auto"/>
          <w:kern w:val="0"/>
          <w:highlight w:val="none"/>
        </w:rPr>
        <w:t>投标人：</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（电子签章）</w:t>
      </w:r>
    </w:p>
    <w:p>
      <w:pPr>
        <w:spacing w:line="580" w:lineRule="exact"/>
        <w:ind w:firstLine="2415" w:firstLineChars="1150"/>
        <w:rPr>
          <w:rFonts w:ascii="宋体" w:hAnsi="宋体" w:cs="宋体"/>
          <w:color w:val="auto"/>
          <w:kern w:val="0"/>
          <w:highlight w:val="none"/>
        </w:rPr>
      </w:pPr>
      <w:r>
        <w:rPr>
          <w:rFonts w:hint="eastAsia" w:ascii="宋体" w:hAnsi="宋体" w:cs="宋体"/>
          <w:color w:val="auto"/>
          <w:kern w:val="0"/>
          <w:highlight w:val="none"/>
        </w:rPr>
        <w:t>法定代表人：</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（签字或签章）</w:t>
      </w:r>
    </w:p>
    <w:p>
      <w:pPr>
        <w:spacing w:line="580" w:lineRule="exact"/>
        <w:ind w:firstLine="2415" w:firstLineChars="1150"/>
        <w:rPr>
          <w:rFonts w:ascii="宋体" w:hAnsi="宋体" w:cs="宋体"/>
          <w:color w:val="auto"/>
          <w:kern w:val="0"/>
          <w:highlight w:val="none"/>
        </w:rPr>
      </w:pPr>
      <w:r>
        <w:rPr>
          <w:rFonts w:hint="eastAsia" w:ascii="宋体" w:hAnsi="宋体" w:cs="宋体"/>
          <w:color w:val="auto"/>
          <w:kern w:val="0"/>
          <w:highlight w:val="none"/>
        </w:rPr>
        <w:t>身份证号码：</w:t>
      </w:r>
      <w:r>
        <w:rPr>
          <w:rFonts w:hint="eastAsia" w:ascii="宋体" w:hAnsi="宋体" w:cs="宋体"/>
          <w:color w:val="auto"/>
          <w:kern w:val="0"/>
          <w:highlight w:val="none"/>
          <w:u w:val="single"/>
        </w:rPr>
        <w:t xml:space="preserve">                                 </w:t>
      </w:r>
    </w:p>
    <w:p>
      <w:pPr>
        <w:spacing w:line="580" w:lineRule="exact"/>
        <w:ind w:firstLine="2415" w:firstLineChars="1150"/>
        <w:rPr>
          <w:rFonts w:ascii="宋体" w:hAnsi="宋体" w:cs="宋体"/>
          <w:color w:val="auto"/>
          <w:kern w:val="0"/>
          <w:highlight w:val="none"/>
        </w:rPr>
      </w:pPr>
      <w:r>
        <w:rPr>
          <w:rFonts w:hint="eastAsia" w:ascii="宋体" w:hAnsi="宋体" w:cs="宋体"/>
          <w:color w:val="auto"/>
          <w:kern w:val="0"/>
          <w:highlight w:val="none"/>
        </w:rPr>
        <w:t>委托代理人：</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（签字或签章）</w:t>
      </w:r>
    </w:p>
    <w:p>
      <w:pPr>
        <w:spacing w:line="580" w:lineRule="exact"/>
        <w:ind w:firstLine="2415" w:firstLineChars="1150"/>
        <w:rPr>
          <w:rFonts w:ascii="宋体" w:hAnsi="宋体" w:cs="宋体"/>
          <w:color w:val="auto"/>
          <w:kern w:val="0"/>
          <w:highlight w:val="none"/>
        </w:rPr>
      </w:pPr>
      <w:r>
        <w:rPr>
          <w:rFonts w:hint="eastAsia" w:ascii="宋体" w:hAnsi="宋体" w:cs="宋体"/>
          <w:color w:val="auto"/>
          <w:kern w:val="0"/>
          <w:highlight w:val="none"/>
        </w:rPr>
        <w:t>身份证号码：</w:t>
      </w:r>
      <w:r>
        <w:rPr>
          <w:rFonts w:hint="eastAsia" w:ascii="宋体" w:hAnsi="宋体" w:cs="宋体"/>
          <w:color w:val="auto"/>
          <w:kern w:val="0"/>
          <w:highlight w:val="none"/>
          <w:u w:val="single"/>
        </w:rPr>
        <w:t xml:space="preserve">                                 </w:t>
      </w:r>
    </w:p>
    <w:p>
      <w:pPr>
        <w:spacing w:line="580" w:lineRule="exact"/>
        <w:ind w:firstLine="4620" w:firstLineChars="2200"/>
        <w:rPr>
          <w:rFonts w:ascii="宋体" w:hAnsi="宋体" w:cs="宋体"/>
          <w:color w:val="auto"/>
          <w:kern w:val="0"/>
          <w:highlight w:val="none"/>
          <w:u w:val="single"/>
        </w:rPr>
      </w:pPr>
    </w:p>
    <w:p>
      <w:pPr>
        <w:spacing w:line="580" w:lineRule="exact"/>
        <w:ind w:firstLine="4620" w:firstLineChars="2200"/>
        <w:rPr>
          <w:rFonts w:ascii="宋体" w:hAnsi="宋体" w:cs="宋体"/>
          <w:color w:val="auto"/>
          <w:kern w:val="0"/>
          <w:highlight w:val="none"/>
        </w:rPr>
      </w:pP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年</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月</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日</w:t>
      </w:r>
    </w:p>
    <w:p>
      <w:pPr>
        <w:pStyle w:val="4"/>
        <w:ind w:left="0" w:firstLine="0"/>
        <w:rPr>
          <w:rFonts w:ascii="宋体" w:hAnsi="宋体" w:cs="宋体"/>
          <w:b w:val="0"/>
          <w:color w:val="auto"/>
          <w:szCs w:val="21"/>
          <w:highlight w:val="none"/>
        </w:rPr>
      </w:pPr>
      <w:r>
        <w:rPr>
          <w:rFonts w:ascii="宋体" w:hAnsi="宋体"/>
          <w:color w:val="auto"/>
          <w:highlight w:val="none"/>
        </w:rPr>
        <w:br w:type="page"/>
      </w:r>
      <w:bookmarkStart w:id="477" w:name="_Toc1051"/>
      <w:bookmarkStart w:id="478" w:name="_Toc29621"/>
      <w:r>
        <w:rPr>
          <w:rFonts w:hint="eastAsia" w:ascii="宋体" w:hAnsi="宋体" w:cs="宋体"/>
          <w:color w:val="auto"/>
          <w:sz w:val="28"/>
          <w:szCs w:val="28"/>
          <w:highlight w:val="none"/>
        </w:rPr>
        <w:t>五、投标承诺函</w:t>
      </w:r>
      <w:bookmarkEnd w:id="477"/>
      <w:bookmarkEnd w:id="478"/>
    </w:p>
    <w:p>
      <w:pPr>
        <w:pStyle w:val="43"/>
        <w:spacing w:before="0" w:beforeAutospacing="0" w:after="0" w:afterAutospacing="0" w:line="400" w:lineRule="exact"/>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致</w:t>
      </w:r>
      <w:r>
        <w:rPr>
          <w:rFonts w:hint="eastAsia" w:ascii="宋体" w:hAnsi="宋体" w:cs="宋体"/>
          <w:color w:val="auto"/>
          <w:spacing w:val="8"/>
          <w:sz w:val="21"/>
          <w:szCs w:val="21"/>
          <w:highlight w:val="none"/>
          <w:u w:val="single"/>
        </w:rPr>
        <w:t xml:space="preserve">           </w:t>
      </w:r>
      <w:r>
        <w:rPr>
          <w:rFonts w:hint="eastAsia" w:ascii="宋体" w:hAnsi="宋体" w:cs="宋体"/>
          <w:color w:val="auto"/>
          <w:spacing w:val="8"/>
          <w:sz w:val="21"/>
          <w:szCs w:val="21"/>
          <w:highlight w:val="none"/>
        </w:rPr>
        <w:t>（采购人及采购代理机构）：</w:t>
      </w:r>
    </w:p>
    <w:p>
      <w:pPr>
        <w:pStyle w:val="43"/>
        <w:spacing w:before="0" w:beforeAutospacing="0" w:after="0" w:afterAutospacing="0" w:line="400" w:lineRule="exact"/>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我公司作为本次采购项目的投标人，根据招标文件要求，现郑重承诺如下：</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一、具备《中华人民共和国政府采购法》第二十二条规定的条件。</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二、完全接受和满足招标文件中规定的实质性要求，如对招标文件有异议，已经在投标截止时间届满前依法进行维权救济，不存在对招标文件有异议的同时又参加投标以求侥幸中标或者为实现其他非法目的的行为。</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三、参加本次招标采购活动，不存在与单位负责人为同一人或者存在直接控股、管理关系的其他投标人参与同一合同项下的政府采购活动的行为。</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四、参加本次招标采购活动，不存在和其他投标人在同一合同项下的采购项目中，同时委托同一个自然人、同一家庭的人员、同一单位的人员作为代理人的行为。</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五、招标文件中提供的能够给予我公司带来优惠、好处的任何材料资料和技术、服务、商务等响应承诺情况都是真实的、有效的、合法的。</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六、存在以下行为之一的愿意接受相关部门的处理：</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（一）投标有效期内撤销投标文件的；</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（二）在采购人确定中标人以前放弃中标候选资格的；</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（三）由于中标人的原因未能按照招标文件的规定与采购人签订合同；</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（四）由于中标人的原因未能按照招标文件的规定交纳履约保证金；</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（五）在投标文件中提供虚假材料谋取中标；</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（六）与采购人、其他投标人或者采购代理机构恶意串通的；</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（七）投标有效期内，投标人在政府采购活动中有违法、违规、违纪行为。</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由此产生的一切法律后果和责任由我公司承担。我公司声明放弃对此提出任何异议和追索的权利。</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本公司对上述承诺的内容事项真实性负责。如经查实上述承诺的内容事项存在虚假，我公司愿意接受以提供虚假材料谋取中标追究法律责任。     </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投标人名称：</w:t>
      </w:r>
      <w:r>
        <w:rPr>
          <w:rFonts w:hint="eastAsia" w:ascii="宋体" w:hAnsi="宋体" w:cs="宋体"/>
          <w:color w:val="auto"/>
          <w:spacing w:val="8"/>
          <w:sz w:val="21"/>
          <w:szCs w:val="21"/>
          <w:highlight w:val="none"/>
          <w:u w:val="single"/>
        </w:rPr>
        <w:t>                  </w:t>
      </w:r>
      <w:r>
        <w:rPr>
          <w:rFonts w:hint="eastAsia" w:ascii="宋体" w:hAnsi="宋体" w:cs="宋体"/>
          <w:color w:val="auto"/>
          <w:spacing w:val="8"/>
          <w:sz w:val="21"/>
          <w:szCs w:val="21"/>
          <w:highlight w:val="none"/>
        </w:rPr>
        <w:t>（电子签章）</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rPr>
      </w:pPr>
      <w:r>
        <w:rPr>
          <w:rFonts w:hint="eastAsia" w:ascii="宋体" w:hAnsi="宋体" w:cs="宋体"/>
          <w:color w:val="auto"/>
          <w:spacing w:val="8"/>
          <w:sz w:val="21"/>
          <w:szCs w:val="21"/>
          <w:highlight w:val="none"/>
        </w:rPr>
        <w:t>法定代表人或授权代表：</w:t>
      </w:r>
      <w:r>
        <w:rPr>
          <w:rFonts w:hint="eastAsia" w:ascii="宋体" w:hAnsi="宋体" w:cs="宋体"/>
          <w:color w:val="auto"/>
          <w:spacing w:val="8"/>
          <w:sz w:val="21"/>
          <w:szCs w:val="21"/>
          <w:highlight w:val="none"/>
          <w:u w:val="single"/>
        </w:rPr>
        <w:t>                </w:t>
      </w:r>
      <w:r>
        <w:rPr>
          <w:rFonts w:hint="eastAsia" w:ascii="宋体" w:hAnsi="宋体" w:cs="宋体"/>
          <w:color w:val="auto"/>
          <w:spacing w:val="8"/>
          <w:sz w:val="21"/>
          <w:szCs w:val="21"/>
          <w:highlight w:val="none"/>
        </w:rPr>
        <w:t>（签字或签章）</w:t>
      </w:r>
    </w:p>
    <w:p>
      <w:pPr>
        <w:pStyle w:val="43"/>
        <w:spacing w:before="0" w:beforeAutospacing="0" w:after="0" w:afterAutospacing="0" w:line="400" w:lineRule="exact"/>
        <w:ind w:firstLine="452" w:firstLineChars="200"/>
        <w:jc w:val="both"/>
        <w:rPr>
          <w:rFonts w:ascii="宋体" w:hAnsi="宋体" w:cs="宋体"/>
          <w:color w:val="auto"/>
          <w:spacing w:val="8"/>
          <w:sz w:val="21"/>
          <w:szCs w:val="21"/>
          <w:highlight w:val="none"/>
          <w:u w:val="single"/>
        </w:rPr>
      </w:pPr>
      <w:r>
        <w:rPr>
          <w:rFonts w:hint="eastAsia" w:ascii="宋体" w:hAnsi="宋体" w:cs="宋体"/>
          <w:color w:val="auto"/>
          <w:spacing w:val="8"/>
          <w:sz w:val="21"/>
          <w:szCs w:val="21"/>
          <w:highlight w:val="none"/>
        </w:rPr>
        <w:t>日期：</w:t>
      </w:r>
      <w:r>
        <w:rPr>
          <w:rFonts w:hint="eastAsia" w:ascii="宋体" w:hAnsi="宋体" w:cs="宋体"/>
          <w:color w:val="auto"/>
          <w:spacing w:val="8"/>
          <w:sz w:val="21"/>
          <w:szCs w:val="21"/>
          <w:highlight w:val="none"/>
          <w:u w:val="single"/>
        </w:rPr>
        <w:t>              </w:t>
      </w:r>
    </w:p>
    <w:p>
      <w:pPr>
        <w:pStyle w:val="43"/>
        <w:spacing w:before="0" w:beforeAutospacing="0" w:after="0" w:afterAutospacing="0" w:line="440" w:lineRule="exact"/>
        <w:ind w:firstLine="454" w:firstLineChars="200"/>
        <w:jc w:val="both"/>
        <w:rPr>
          <w:b/>
          <w:color w:val="auto"/>
          <w:spacing w:val="8"/>
          <w:sz w:val="21"/>
          <w:szCs w:val="21"/>
          <w:highlight w:val="none"/>
        </w:rPr>
      </w:pPr>
      <w:r>
        <w:rPr>
          <w:rFonts w:hint="eastAsia"/>
          <w:b/>
          <w:color w:val="auto"/>
          <w:spacing w:val="8"/>
          <w:sz w:val="21"/>
          <w:szCs w:val="21"/>
          <w:highlight w:val="none"/>
        </w:rPr>
        <w:t>注：河南省财政厅发布关于优化政府采购营商环境有关问题的通知规定，自2019年8月1日起，在河南省全省政府采购货物和服务招投标活动中，不再向供应商收取投标保证金。非招标采购方式采购货物、工程和服务的，也不再向供应商收取投标保证金。</w:t>
      </w:r>
    </w:p>
    <w:p>
      <w:pPr>
        <w:pStyle w:val="4"/>
        <w:ind w:left="0" w:firstLine="0"/>
        <w:rPr>
          <w:rFonts w:ascii="宋体" w:hAnsi="宋体" w:cs="宋体"/>
          <w:color w:val="auto"/>
          <w:sz w:val="28"/>
          <w:szCs w:val="28"/>
          <w:highlight w:val="none"/>
        </w:rPr>
      </w:pPr>
      <w:r>
        <w:rPr>
          <w:rFonts w:hint="eastAsia" w:ascii="宋体" w:hAnsi="宋体" w:cs="宋体"/>
          <w:color w:val="auto"/>
          <w:sz w:val="28"/>
          <w:szCs w:val="28"/>
          <w:highlight w:val="none"/>
        </w:rPr>
        <w:br w:type="page"/>
      </w:r>
      <w:bookmarkStart w:id="479" w:name="_Toc14964"/>
      <w:bookmarkStart w:id="480" w:name="_Toc1033"/>
      <w:r>
        <w:rPr>
          <w:rFonts w:hint="eastAsia" w:ascii="宋体" w:hAnsi="宋体" w:cs="宋体"/>
          <w:color w:val="auto"/>
          <w:sz w:val="28"/>
          <w:szCs w:val="28"/>
          <w:highlight w:val="none"/>
        </w:rPr>
        <w:t>六、分项报价明细表</w:t>
      </w:r>
      <w:bookmarkEnd w:id="479"/>
      <w:bookmarkEnd w:id="480"/>
    </w:p>
    <w:p>
      <w:pPr>
        <w:jc w:val="right"/>
        <w:rPr>
          <w:rFonts w:ascii="宋体" w:hAnsi="宋体" w:cs="宋体"/>
          <w:color w:val="auto"/>
          <w:kern w:val="0"/>
          <w:highlight w:val="none"/>
        </w:rPr>
      </w:pPr>
      <w:r>
        <w:rPr>
          <w:rFonts w:hint="eastAsia" w:ascii="宋体" w:hAnsi="宋体" w:cs="宋体"/>
          <w:color w:val="auto"/>
          <w:kern w:val="0"/>
          <w:highlight w:val="none"/>
        </w:rPr>
        <w:t>单</w:t>
      </w:r>
      <w:r>
        <w:rPr>
          <w:rFonts w:hint="eastAsia" w:ascii="宋体" w:hAnsi="宋体" w:cs="MS Mincho"/>
          <w:color w:val="auto"/>
          <w:kern w:val="0"/>
          <w:highlight w:val="none"/>
        </w:rPr>
        <w:t>位：人民</w:t>
      </w:r>
      <w:r>
        <w:rPr>
          <w:rFonts w:hint="eastAsia" w:ascii="宋体" w:hAnsi="宋体" w:cs="宋体"/>
          <w:color w:val="auto"/>
          <w:kern w:val="0"/>
          <w:highlight w:val="none"/>
        </w:rPr>
        <w:t>币</w:t>
      </w:r>
      <w:r>
        <w:rPr>
          <w:rFonts w:ascii="宋体" w:hAnsi="宋体" w:cs="宋体"/>
          <w:color w:val="auto"/>
          <w:kern w:val="0"/>
          <w:highlight w:val="none"/>
        </w:rPr>
        <w:t>/</w:t>
      </w:r>
      <w:r>
        <w:rPr>
          <w:rFonts w:hint="eastAsia" w:ascii="宋体" w:hAnsi="宋体" w:cs="宋体"/>
          <w:color w:val="auto"/>
          <w:kern w:val="0"/>
          <w:highlight w:val="none"/>
        </w:rPr>
        <w:t>元</w:t>
      </w:r>
    </w:p>
    <w:tbl>
      <w:tblPr>
        <w:tblStyle w:val="48"/>
        <w:tblW w:w="93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1094"/>
        <w:gridCol w:w="1163"/>
        <w:gridCol w:w="1105"/>
        <w:gridCol w:w="1236"/>
        <w:gridCol w:w="743"/>
        <w:gridCol w:w="701"/>
        <w:gridCol w:w="768"/>
        <w:gridCol w:w="932"/>
        <w:gridCol w:w="9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641" w:type="dxa"/>
            <w:vAlign w:val="center"/>
          </w:tcPr>
          <w:p>
            <w:pPr>
              <w:jc w:val="center"/>
              <w:rPr>
                <w:rFonts w:ascii="宋体" w:hAnsi="宋体" w:cs="宋体"/>
                <w:color w:val="auto"/>
                <w:kern w:val="0"/>
                <w:highlight w:val="none"/>
              </w:rPr>
            </w:pPr>
            <w:r>
              <w:rPr>
                <w:rFonts w:hint="eastAsia" w:ascii="宋体" w:hAnsi="宋体" w:cs="宋体"/>
                <w:color w:val="auto"/>
                <w:kern w:val="0"/>
                <w:highlight w:val="none"/>
              </w:rPr>
              <w:t>序号</w:t>
            </w:r>
          </w:p>
        </w:tc>
        <w:tc>
          <w:tcPr>
            <w:tcW w:w="1094" w:type="dxa"/>
            <w:vAlign w:val="center"/>
          </w:tcPr>
          <w:p>
            <w:pPr>
              <w:spacing w:line="300" w:lineRule="exact"/>
              <w:jc w:val="center"/>
              <w:rPr>
                <w:rFonts w:ascii="宋体" w:hAnsi="宋体" w:cs="宋体"/>
                <w:b w:val="0"/>
                <w:bCs w:val="0"/>
                <w:color w:val="auto"/>
                <w:kern w:val="0"/>
                <w:highlight w:val="none"/>
              </w:rPr>
            </w:pPr>
            <w:r>
              <w:rPr>
                <w:rFonts w:hint="eastAsia" w:ascii="宋体" w:hAnsi="宋体" w:cs="宋体"/>
                <w:b w:val="0"/>
                <w:bCs w:val="0"/>
                <w:color w:val="auto"/>
                <w:highlight w:val="none"/>
              </w:rPr>
              <w:t>设备名称</w:t>
            </w:r>
          </w:p>
        </w:tc>
        <w:tc>
          <w:tcPr>
            <w:tcW w:w="1163" w:type="dxa"/>
            <w:vAlign w:val="center"/>
          </w:tcPr>
          <w:p>
            <w:pPr>
              <w:spacing w:line="300" w:lineRule="exact"/>
              <w:jc w:val="center"/>
              <w:rPr>
                <w:rFonts w:ascii="宋体" w:hAnsi="宋体" w:cs="宋体"/>
                <w:b w:val="0"/>
                <w:bCs w:val="0"/>
                <w:color w:val="auto"/>
                <w:kern w:val="0"/>
                <w:highlight w:val="none"/>
              </w:rPr>
            </w:pPr>
            <w:r>
              <w:rPr>
                <w:rFonts w:hint="eastAsia" w:ascii="宋体" w:hAnsi="宋体" w:cs="宋体"/>
                <w:b w:val="0"/>
                <w:bCs w:val="0"/>
                <w:color w:val="auto"/>
                <w:highlight w:val="none"/>
              </w:rPr>
              <w:t>品牌型号</w:t>
            </w:r>
          </w:p>
        </w:tc>
        <w:tc>
          <w:tcPr>
            <w:tcW w:w="1105" w:type="dxa"/>
            <w:vAlign w:val="center"/>
          </w:tcPr>
          <w:p>
            <w:pPr>
              <w:spacing w:line="300" w:lineRule="exact"/>
              <w:jc w:val="center"/>
              <w:rPr>
                <w:rFonts w:ascii="宋体" w:hAnsi="宋体" w:cs="宋体"/>
                <w:b w:val="0"/>
                <w:bCs w:val="0"/>
                <w:color w:val="auto"/>
                <w:kern w:val="0"/>
                <w:highlight w:val="none"/>
              </w:rPr>
            </w:pPr>
            <w:r>
              <w:rPr>
                <w:rFonts w:hint="eastAsia" w:ascii="宋体" w:hAnsi="宋体" w:cs="宋体"/>
                <w:b w:val="0"/>
                <w:bCs w:val="0"/>
                <w:color w:val="auto"/>
                <w:highlight w:val="none"/>
              </w:rPr>
              <w:t>制造厂（商）</w:t>
            </w:r>
          </w:p>
        </w:tc>
        <w:tc>
          <w:tcPr>
            <w:tcW w:w="1236" w:type="dxa"/>
            <w:vAlign w:val="center"/>
          </w:tcPr>
          <w:p>
            <w:pPr>
              <w:spacing w:line="300" w:lineRule="exact"/>
              <w:jc w:val="center"/>
              <w:rPr>
                <w:rFonts w:ascii="宋体" w:hAnsi="宋体" w:cs="宋体"/>
                <w:b w:val="0"/>
                <w:bCs w:val="0"/>
                <w:color w:val="auto"/>
                <w:kern w:val="0"/>
                <w:highlight w:val="none"/>
              </w:rPr>
            </w:pPr>
            <w:r>
              <w:rPr>
                <w:rFonts w:hint="eastAsia" w:ascii="宋体" w:hAnsi="宋体" w:cs="宋体"/>
                <w:b w:val="0"/>
                <w:bCs w:val="0"/>
                <w:color w:val="auto"/>
                <w:highlight w:val="none"/>
              </w:rPr>
              <w:t>原产地（国）</w:t>
            </w:r>
          </w:p>
        </w:tc>
        <w:tc>
          <w:tcPr>
            <w:tcW w:w="743" w:type="dxa"/>
            <w:vAlign w:val="center"/>
          </w:tcPr>
          <w:p>
            <w:pPr>
              <w:spacing w:line="300" w:lineRule="exact"/>
              <w:jc w:val="center"/>
              <w:rPr>
                <w:rFonts w:ascii="宋体" w:hAnsi="宋体" w:cs="宋体"/>
                <w:b w:val="0"/>
                <w:bCs w:val="0"/>
                <w:color w:val="auto"/>
                <w:kern w:val="0"/>
                <w:highlight w:val="none"/>
              </w:rPr>
            </w:pPr>
            <w:r>
              <w:rPr>
                <w:rFonts w:hint="eastAsia" w:ascii="宋体" w:hAnsi="宋体" w:cs="宋体"/>
                <w:b w:val="0"/>
                <w:bCs w:val="0"/>
                <w:color w:val="auto"/>
                <w:highlight w:val="none"/>
              </w:rPr>
              <w:t>数量</w:t>
            </w:r>
          </w:p>
        </w:tc>
        <w:tc>
          <w:tcPr>
            <w:tcW w:w="701" w:type="dxa"/>
            <w:vAlign w:val="center"/>
          </w:tcPr>
          <w:p>
            <w:pPr>
              <w:spacing w:line="300" w:lineRule="exact"/>
              <w:jc w:val="center"/>
              <w:rPr>
                <w:rFonts w:ascii="宋体" w:hAnsi="宋体" w:cs="宋体"/>
                <w:b w:val="0"/>
                <w:bCs w:val="0"/>
                <w:color w:val="auto"/>
                <w:kern w:val="0"/>
                <w:highlight w:val="none"/>
              </w:rPr>
            </w:pPr>
            <w:r>
              <w:rPr>
                <w:rFonts w:hint="eastAsia" w:ascii="宋体" w:hAnsi="宋体" w:cs="宋体"/>
                <w:b w:val="0"/>
                <w:bCs w:val="0"/>
                <w:color w:val="auto"/>
                <w:highlight w:val="none"/>
              </w:rPr>
              <w:t>单位</w:t>
            </w:r>
          </w:p>
        </w:tc>
        <w:tc>
          <w:tcPr>
            <w:tcW w:w="768" w:type="dxa"/>
            <w:vAlign w:val="center"/>
          </w:tcPr>
          <w:p>
            <w:pPr>
              <w:spacing w:line="300" w:lineRule="exact"/>
              <w:jc w:val="center"/>
              <w:rPr>
                <w:rFonts w:ascii="宋体" w:hAnsi="宋体" w:cs="宋体"/>
                <w:b w:val="0"/>
                <w:bCs w:val="0"/>
                <w:color w:val="auto"/>
                <w:kern w:val="0"/>
                <w:highlight w:val="none"/>
              </w:rPr>
            </w:pPr>
            <w:r>
              <w:rPr>
                <w:rFonts w:hint="eastAsia" w:ascii="宋体" w:hAnsi="宋体" w:cs="宋体"/>
                <w:b w:val="0"/>
                <w:bCs w:val="0"/>
                <w:color w:val="auto"/>
                <w:highlight w:val="none"/>
              </w:rPr>
              <w:t>单价</w:t>
            </w:r>
          </w:p>
        </w:tc>
        <w:tc>
          <w:tcPr>
            <w:tcW w:w="932" w:type="dxa"/>
            <w:vAlign w:val="center"/>
          </w:tcPr>
          <w:p>
            <w:pPr>
              <w:spacing w:line="300" w:lineRule="exact"/>
              <w:jc w:val="center"/>
              <w:rPr>
                <w:rFonts w:ascii="宋体" w:hAnsi="宋体" w:cs="宋体"/>
                <w:b w:val="0"/>
                <w:bCs w:val="0"/>
                <w:color w:val="auto"/>
                <w:kern w:val="0"/>
                <w:highlight w:val="none"/>
              </w:rPr>
            </w:pPr>
            <w:r>
              <w:rPr>
                <w:rFonts w:hint="eastAsia" w:ascii="宋体" w:hAnsi="宋体" w:cs="宋体"/>
                <w:b w:val="0"/>
                <w:bCs w:val="0"/>
                <w:color w:val="auto"/>
                <w:highlight w:val="none"/>
              </w:rPr>
              <w:t>合价</w:t>
            </w:r>
          </w:p>
        </w:tc>
        <w:tc>
          <w:tcPr>
            <w:tcW w:w="932" w:type="dxa"/>
            <w:vAlign w:val="center"/>
          </w:tcPr>
          <w:p>
            <w:pPr>
              <w:spacing w:line="300" w:lineRule="exact"/>
              <w:jc w:val="center"/>
              <w:rPr>
                <w:rFonts w:hint="eastAsia"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641" w:type="dxa"/>
          </w:tcPr>
          <w:p>
            <w:pPr>
              <w:jc w:val="right"/>
              <w:rPr>
                <w:rFonts w:ascii="宋体" w:hAnsi="宋体"/>
                <w:b/>
                <w:color w:val="auto"/>
                <w:sz w:val="24"/>
                <w:highlight w:val="none"/>
              </w:rPr>
            </w:pPr>
          </w:p>
        </w:tc>
        <w:tc>
          <w:tcPr>
            <w:tcW w:w="1094" w:type="dxa"/>
          </w:tcPr>
          <w:p>
            <w:pPr>
              <w:jc w:val="right"/>
              <w:rPr>
                <w:rFonts w:ascii="宋体" w:hAnsi="宋体"/>
                <w:b/>
                <w:color w:val="auto"/>
                <w:sz w:val="24"/>
                <w:highlight w:val="none"/>
              </w:rPr>
            </w:pPr>
          </w:p>
        </w:tc>
        <w:tc>
          <w:tcPr>
            <w:tcW w:w="1163" w:type="dxa"/>
          </w:tcPr>
          <w:p>
            <w:pPr>
              <w:jc w:val="right"/>
              <w:rPr>
                <w:rFonts w:ascii="宋体" w:hAnsi="宋体"/>
                <w:b/>
                <w:color w:val="auto"/>
                <w:sz w:val="24"/>
                <w:highlight w:val="none"/>
              </w:rPr>
            </w:pPr>
          </w:p>
        </w:tc>
        <w:tc>
          <w:tcPr>
            <w:tcW w:w="1105" w:type="dxa"/>
          </w:tcPr>
          <w:p>
            <w:pPr>
              <w:jc w:val="right"/>
              <w:rPr>
                <w:rFonts w:ascii="宋体" w:hAnsi="宋体"/>
                <w:b/>
                <w:color w:val="auto"/>
                <w:sz w:val="24"/>
                <w:highlight w:val="none"/>
              </w:rPr>
            </w:pPr>
          </w:p>
        </w:tc>
        <w:tc>
          <w:tcPr>
            <w:tcW w:w="1236" w:type="dxa"/>
          </w:tcPr>
          <w:p>
            <w:pPr>
              <w:jc w:val="right"/>
              <w:rPr>
                <w:rFonts w:ascii="宋体" w:hAnsi="宋体"/>
                <w:b/>
                <w:color w:val="auto"/>
                <w:sz w:val="24"/>
                <w:highlight w:val="none"/>
              </w:rPr>
            </w:pPr>
          </w:p>
        </w:tc>
        <w:tc>
          <w:tcPr>
            <w:tcW w:w="743" w:type="dxa"/>
          </w:tcPr>
          <w:p>
            <w:pPr>
              <w:jc w:val="right"/>
              <w:rPr>
                <w:rFonts w:ascii="宋体" w:hAnsi="宋体"/>
                <w:b/>
                <w:color w:val="auto"/>
                <w:sz w:val="24"/>
                <w:highlight w:val="none"/>
              </w:rPr>
            </w:pPr>
          </w:p>
        </w:tc>
        <w:tc>
          <w:tcPr>
            <w:tcW w:w="701" w:type="dxa"/>
          </w:tcPr>
          <w:p>
            <w:pPr>
              <w:jc w:val="right"/>
              <w:rPr>
                <w:rFonts w:ascii="宋体" w:hAnsi="宋体"/>
                <w:b/>
                <w:color w:val="auto"/>
                <w:sz w:val="24"/>
                <w:highlight w:val="none"/>
              </w:rPr>
            </w:pPr>
          </w:p>
        </w:tc>
        <w:tc>
          <w:tcPr>
            <w:tcW w:w="768" w:type="dxa"/>
          </w:tcPr>
          <w:p>
            <w:pPr>
              <w:jc w:val="right"/>
              <w:rPr>
                <w:rFonts w:ascii="宋体" w:hAnsi="宋体"/>
                <w:b/>
                <w:color w:val="auto"/>
                <w:sz w:val="24"/>
                <w:highlight w:val="none"/>
              </w:rPr>
            </w:pPr>
          </w:p>
        </w:tc>
        <w:tc>
          <w:tcPr>
            <w:tcW w:w="932" w:type="dxa"/>
          </w:tcPr>
          <w:p>
            <w:pPr>
              <w:jc w:val="right"/>
              <w:rPr>
                <w:rFonts w:ascii="宋体" w:hAnsi="宋体"/>
                <w:b/>
                <w:color w:val="auto"/>
                <w:sz w:val="24"/>
                <w:highlight w:val="none"/>
              </w:rPr>
            </w:pPr>
          </w:p>
        </w:tc>
        <w:tc>
          <w:tcPr>
            <w:tcW w:w="932" w:type="dxa"/>
          </w:tcPr>
          <w:p>
            <w:pPr>
              <w:jc w:val="right"/>
              <w:rPr>
                <w:rFonts w:ascii="宋体" w:hAnsi="宋体"/>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1735" w:type="dxa"/>
            <w:gridSpan w:val="2"/>
          </w:tcPr>
          <w:p>
            <w:pPr>
              <w:jc w:val="center"/>
              <w:rPr>
                <w:rFonts w:ascii="宋体" w:hAnsi="宋体"/>
                <w:b/>
                <w:color w:val="auto"/>
                <w:sz w:val="24"/>
                <w:highlight w:val="none"/>
              </w:rPr>
            </w:pPr>
            <w:r>
              <w:rPr>
                <w:rFonts w:hint="eastAsia" w:ascii="宋体" w:hAnsi="宋体" w:cs="宋体"/>
                <w:color w:val="auto"/>
                <w:kern w:val="0"/>
                <w:highlight w:val="none"/>
              </w:rPr>
              <w:t>合计</w:t>
            </w:r>
            <w:r>
              <w:rPr>
                <w:rFonts w:hint="eastAsia" w:ascii="宋体" w:hAnsi="宋体" w:cs="MS Mincho"/>
                <w:color w:val="auto"/>
                <w:kern w:val="0"/>
                <w:highlight w:val="none"/>
              </w:rPr>
              <w:t>金</w:t>
            </w:r>
            <w:r>
              <w:rPr>
                <w:rFonts w:hint="eastAsia" w:ascii="宋体" w:hAnsi="宋体" w:cs="宋体"/>
                <w:color w:val="auto"/>
                <w:kern w:val="0"/>
                <w:highlight w:val="none"/>
              </w:rPr>
              <w:t>额</w:t>
            </w:r>
          </w:p>
        </w:tc>
        <w:tc>
          <w:tcPr>
            <w:tcW w:w="7580" w:type="dxa"/>
            <w:gridSpan w:val="8"/>
          </w:tcPr>
          <w:p>
            <w:pPr>
              <w:autoSpaceDE w:val="0"/>
              <w:autoSpaceDN w:val="0"/>
              <w:adjustRightInd w:val="0"/>
              <w:jc w:val="left"/>
              <w:rPr>
                <w:rFonts w:ascii="宋体" w:hAnsi="宋体" w:cs="宋体"/>
                <w:color w:val="auto"/>
                <w:kern w:val="0"/>
                <w:highlight w:val="none"/>
              </w:rPr>
            </w:pPr>
            <w:r>
              <w:rPr>
                <w:rFonts w:hint="eastAsia" w:ascii="宋体" w:hAnsi="宋体" w:cs="宋体"/>
                <w:color w:val="auto"/>
                <w:kern w:val="0"/>
                <w:highlight w:val="none"/>
              </w:rPr>
              <w:t>大写：</w:t>
            </w:r>
            <w:r>
              <w:rPr>
                <w:rFonts w:ascii="宋体" w:hAnsi="宋体" w:cs="宋体"/>
                <w:color w:val="auto"/>
                <w:kern w:val="0"/>
                <w:highlight w:val="none"/>
              </w:rPr>
              <w:t xml:space="preserve"> </w:t>
            </w:r>
          </w:p>
          <w:p>
            <w:pPr>
              <w:autoSpaceDE w:val="0"/>
              <w:autoSpaceDN w:val="0"/>
              <w:adjustRightInd w:val="0"/>
              <w:jc w:val="left"/>
              <w:rPr>
                <w:rFonts w:ascii="宋体" w:hAnsi="宋体" w:cs="宋体"/>
                <w:color w:val="auto"/>
                <w:kern w:val="0"/>
                <w:highlight w:val="none"/>
              </w:rPr>
            </w:pPr>
            <w:r>
              <w:rPr>
                <w:rFonts w:hint="eastAsia" w:ascii="宋体" w:hAnsi="宋体" w:cs="宋体"/>
                <w:color w:val="auto"/>
                <w:kern w:val="0"/>
                <w:highlight w:val="none"/>
              </w:rPr>
              <w:t>小写：（￥           ）</w:t>
            </w:r>
          </w:p>
        </w:tc>
      </w:tr>
    </w:tbl>
    <w:p>
      <w:pPr>
        <w:spacing w:line="440" w:lineRule="exact"/>
        <w:jc w:val="left"/>
        <w:rPr>
          <w:rFonts w:ascii="宋体" w:hAnsi="宋体" w:cs="MS Mincho"/>
          <w:color w:val="auto"/>
          <w:kern w:val="0"/>
          <w:highlight w:val="none"/>
        </w:rPr>
      </w:pPr>
      <w:r>
        <w:rPr>
          <w:rFonts w:hint="eastAsia" w:ascii="宋体" w:hAnsi="宋体" w:cs="宋体"/>
          <w:color w:val="auto"/>
          <w:kern w:val="0"/>
          <w:highlight w:val="none"/>
        </w:rPr>
        <w:t>说</w:t>
      </w:r>
      <w:r>
        <w:rPr>
          <w:rFonts w:hint="eastAsia" w:ascii="宋体" w:hAnsi="宋体" w:cs="MS Mincho"/>
          <w:color w:val="auto"/>
          <w:kern w:val="0"/>
          <w:highlight w:val="none"/>
        </w:rPr>
        <w:t>明：</w:t>
      </w:r>
      <w:r>
        <w:rPr>
          <w:rFonts w:ascii="宋体" w:hAnsi="宋体" w:cs="宋体"/>
          <w:color w:val="auto"/>
          <w:kern w:val="0"/>
          <w:highlight w:val="none"/>
        </w:rPr>
        <w:t>1</w:t>
      </w:r>
      <w:r>
        <w:rPr>
          <w:rFonts w:hint="eastAsia" w:ascii="宋体" w:hAnsi="宋体" w:cs="宋体"/>
          <w:color w:val="auto"/>
          <w:kern w:val="0"/>
          <w:highlight w:val="none"/>
        </w:rPr>
        <w:t>、货</w:t>
      </w:r>
      <w:r>
        <w:rPr>
          <w:rFonts w:hint="eastAsia" w:ascii="宋体" w:hAnsi="宋体" w:cs="MS Mincho"/>
          <w:color w:val="auto"/>
          <w:kern w:val="0"/>
          <w:highlight w:val="none"/>
        </w:rPr>
        <w:t>物名称及分</w:t>
      </w:r>
      <w:r>
        <w:rPr>
          <w:rFonts w:hint="eastAsia" w:ascii="宋体" w:hAnsi="宋体" w:cs="宋体"/>
          <w:color w:val="auto"/>
          <w:kern w:val="0"/>
          <w:highlight w:val="none"/>
        </w:rPr>
        <w:t>项需</w:t>
      </w:r>
      <w:r>
        <w:rPr>
          <w:rFonts w:hint="eastAsia" w:ascii="宋体" w:hAnsi="宋体" w:cs="MS Mincho"/>
          <w:color w:val="auto"/>
          <w:kern w:val="0"/>
          <w:highlight w:val="none"/>
        </w:rPr>
        <w:t>与第五章“技术标准和要求</w:t>
      </w:r>
      <w:r>
        <w:rPr>
          <w:rFonts w:hint="eastAsia" w:ascii="宋体" w:hAnsi="宋体" w:cs="宋体"/>
          <w:color w:val="auto"/>
          <w:kern w:val="0"/>
          <w:highlight w:val="none"/>
        </w:rPr>
        <w:t>”相对应</w:t>
      </w:r>
      <w:r>
        <w:rPr>
          <w:rFonts w:hint="eastAsia" w:ascii="宋体" w:hAnsi="宋体" w:cs="MS Mincho"/>
          <w:color w:val="auto"/>
          <w:kern w:val="0"/>
          <w:highlight w:val="none"/>
        </w:rPr>
        <w:t>。</w:t>
      </w:r>
    </w:p>
    <w:p>
      <w:pPr>
        <w:numPr>
          <w:ilvl w:val="0"/>
          <w:numId w:val="45"/>
        </w:numPr>
        <w:autoSpaceDE w:val="0"/>
        <w:autoSpaceDN w:val="0"/>
        <w:adjustRightInd w:val="0"/>
        <w:spacing w:line="440" w:lineRule="exact"/>
        <w:ind w:firstLine="630" w:firstLineChars="300"/>
        <w:jc w:val="left"/>
        <w:rPr>
          <w:rFonts w:ascii="宋体" w:hAnsi="宋体" w:cs="MS Mincho"/>
          <w:color w:val="auto"/>
          <w:kern w:val="0"/>
          <w:highlight w:val="none"/>
        </w:rPr>
      </w:pPr>
      <w:r>
        <w:rPr>
          <w:rFonts w:hint="eastAsia" w:ascii="宋体" w:hAnsi="宋体" w:cs="MS Mincho"/>
          <w:color w:val="auto"/>
          <w:kern w:val="0"/>
          <w:highlight w:val="none"/>
        </w:rPr>
        <w:t>投标人可根据实际情况对表格进行扩展。</w:t>
      </w:r>
    </w:p>
    <w:p>
      <w:pPr>
        <w:numPr>
          <w:ilvl w:val="0"/>
          <w:numId w:val="45"/>
        </w:numPr>
        <w:autoSpaceDE w:val="0"/>
        <w:autoSpaceDN w:val="0"/>
        <w:adjustRightInd w:val="0"/>
        <w:spacing w:line="440" w:lineRule="exact"/>
        <w:ind w:firstLine="630" w:firstLineChars="300"/>
        <w:jc w:val="left"/>
        <w:rPr>
          <w:rFonts w:ascii="宋体" w:hAnsi="宋体" w:cs="宋体"/>
          <w:color w:val="auto"/>
          <w:kern w:val="0"/>
          <w:highlight w:val="none"/>
        </w:rPr>
      </w:pPr>
      <w:r>
        <w:rPr>
          <w:rFonts w:hint="eastAsia" w:ascii="宋体" w:hAnsi="宋体" w:cs="MS Mincho"/>
          <w:color w:val="auto"/>
          <w:kern w:val="0"/>
          <w:highlight w:val="none"/>
        </w:rPr>
        <w:t>报价应</w:t>
      </w:r>
      <w:r>
        <w:rPr>
          <w:rFonts w:hint="eastAsia" w:ascii="宋体" w:hAnsi="宋体" w:cs="宋体"/>
          <w:color w:val="auto"/>
          <w:highlight w:val="none"/>
        </w:rPr>
        <w:t>包括但不限于货物价款、包装、运输、装卸、保险费、安装及相关材料费、调试费、软件费、检验费、培训费等各种伴随服务的费用以及税金等</w:t>
      </w:r>
      <w:r>
        <w:rPr>
          <w:rFonts w:hint="eastAsia" w:ascii="宋体" w:hAnsi="宋体" w:cs="MS Mincho"/>
          <w:color w:val="auto"/>
          <w:kern w:val="0"/>
          <w:highlight w:val="none"/>
        </w:rPr>
        <w:t>。</w:t>
      </w:r>
    </w:p>
    <w:p>
      <w:pPr>
        <w:autoSpaceDE w:val="0"/>
        <w:autoSpaceDN w:val="0"/>
        <w:adjustRightInd w:val="0"/>
        <w:spacing w:line="440" w:lineRule="exact"/>
        <w:ind w:firstLine="630" w:firstLineChars="300"/>
        <w:jc w:val="left"/>
        <w:rPr>
          <w:rFonts w:ascii="宋体" w:hAnsi="宋体" w:cs="宋体"/>
          <w:color w:val="auto"/>
          <w:kern w:val="0"/>
          <w:highlight w:val="none"/>
        </w:rPr>
      </w:pPr>
    </w:p>
    <w:p>
      <w:pPr>
        <w:autoSpaceDE w:val="0"/>
        <w:autoSpaceDN w:val="0"/>
        <w:adjustRightInd w:val="0"/>
        <w:spacing w:line="440" w:lineRule="exact"/>
        <w:jc w:val="left"/>
        <w:rPr>
          <w:rFonts w:ascii="宋体" w:hAnsi="宋体" w:cs="宋体"/>
          <w:color w:val="auto"/>
          <w:kern w:val="0"/>
          <w:highlight w:val="none"/>
        </w:rPr>
      </w:pPr>
    </w:p>
    <w:p>
      <w:pPr>
        <w:autoSpaceDE w:val="0"/>
        <w:autoSpaceDN w:val="0"/>
        <w:adjustRightInd w:val="0"/>
        <w:spacing w:line="440" w:lineRule="exact"/>
        <w:ind w:firstLine="2975" w:firstLineChars="1417"/>
        <w:jc w:val="left"/>
        <w:rPr>
          <w:rFonts w:ascii="宋体" w:hAnsi="宋体" w:cs="宋体"/>
          <w:color w:val="auto"/>
          <w:kern w:val="0"/>
          <w:highlight w:val="none"/>
        </w:rPr>
      </w:pPr>
      <w:r>
        <w:rPr>
          <w:rFonts w:hint="eastAsia" w:ascii="宋体" w:hAnsi="宋体" w:cs="宋体"/>
          <w:color w:val="auto"/>
          <w:kern w:val="0"/>
          <w:highlight w:val="none"/>
        </w:rPr>
        <w:t>投标人</w:t>
      </w:r>
      <w:r>
        <w:rPr>
          <w:rFonts w:hint="eastAsia" w:ascii="宋体" w:hAnsi="宋体" w:cs="MS Mincho"/>
          <w:color w:val="auto"/>
          <w:kern w:val="0"/>
          <w:highlight w:val="none"/>
        </w:rPr>
        <w:t>：</w:t>
      </w:r>
      <w:r>
        <w:rPr>
          <w:rFonts w:hint="eastAsia" w:ascii="宋体" w:hAnsi="宋体" w:cs="MS Mincho"/>
          <w:color w:val="auto"/>
          <w:kern w:val="0"/>
          <w:highlight w:val="none"/>
          <w:u w:val="single"/>
        </w:rPr>
        <w:t xml:space="preserve">                             </w:t>
      </w:r>
      <w:r>
        <w:rPr>
          <w:rFonts w:ascii="宋体" w:hAnsi="宋体" w:cs="宋体"/>
          <w:color w:val="auto"/>
          <w:kern w:val="0"/>
          <w:highlight w:val="none"/>
        </w:rPr>
        <w:t xml:space="preserve"> </w:t>
      </w:r>
      <w:r>
        <w:rPr>
          <w:rFonts w:hint="eastAsia" w:ascii="宋体" w:hAnsi="宋体" w:cs="宋体"/>
          <w:color w:val="auto"/>
          <w:kern w:val="0"/>
          <w:highlight w:val="none"/>
        </w:rPr>
        <w:t>（</w:t>
      </w:r>
      <w:r>
        <w:rPr>
          <w:rFonts w:hint="eastAsia"/>
          <w:color w:val="auto"/>
          <w:spacing w:val="8"/>
          <w:highlight w:val="none"/>
        </w:rPr>
        <w:t>电子签章</w:t>
      </w:r>
      <w:r>
        <w:rPr>
          <w:rFonts w:hint="eastAsia" w:ascii="宋体" w:hAnsi="宋体" w:cs="MS Mincho"/>
          <w:color w:val="auto"/>
          <w:kern w:val="0"/>
          <w:highlight w:val="none"/>
        </w:rPr>
        <w:t>）</w:t>
      </w:r>
    </w:p>
    <w:p>
      <w:pPr>
        <w:autoSpaceDE w:val="0"/>
        <w:autoSpaceDN w:val="0"/>
        <w:adjustRightInd w:val="0"/>
        <w:spacing w:line="440" w:lineRule="exact"/>
        <w:ind w:firstLine="2975" w:firstLineChars="1417"/>
        <w:jc w:val="left"/>
        <w:rPr>
          <w:rFonts w:ascii="宋体" w:hAnsi="宋体" w:cs="宋体"/>
          <w:color w:val="auto"/>
          <w:kern w:val="0"/>
          <w:highlight w:val="none"/>
        </w:rPr>
      </w:pPr>
      <w:r>
        <w:rPr>
          <w:rFonts w:hint="eastAsia" w:ascii="宋体" w:hAnsi="宋体" w:cs="宋体"/>
          <w:color w:val="auto"/>
          <w:kern w:val="0"/>
          <w:highlight w:val="none"/>
        </w:rPr>
        <w:t>法定代表人或其委托代理人：</w:t>
      </w:r>
      <w:r>
        <w:rPr>
          <w:rFonts w:hint="eastAsia" w:ascii="宋体" w:hAnsi="宋体" w:cs="宋体"/>
          <w:color w:val="auto"/>
          <w:kern w:val="0"/>
          <w:highlight w:val="none"/>
          <w:u w:val="single"/>
        </w:rPr>
        <w:t xml:space="preserve">           </w:t>
      </w:r>
      <w:r>
        <w:rPr>
          <w:rFonts w:ascii="宋体" w:hAnsi="宋体" w:cs="宋体"/>
          <w:color w:val="auto"/>
          <w:kern w:val="0"/>
          <w:highlight w:val="none"/>
        </w:rPr>
        <w:t xml:space="preserve"> </w:t>
      </w:r>
      <w:r>
        <w:rPr>
          <w:rFonts w:hint="eastAsia" w:ascii="宋体" w:hAnsi="宋体" w:cs="宋体"/>
          <w:color w:val="auto"/>
          <w:kern w:val="0"/>
          <w:highlight w:val="none"/>
        </w:rPr>
        <w:t>（签</w:t>
      </w:r>
      <w:r>
        <w:rPr>
          <w:rFonts w:hint="eastAsia" w:ascii="宋体" w:hAnsi="宋体" w:cs="MS Mincho"/>
          <w:color w:val="auto"/>
          <w:kern w:val="0"/>
          <w:highlight w:val="none"/>
        </w:rPr>
        <w:t>字或签章）</w:t>
      </w:r>
    </w:p>
    <w:p>
      <w:pPr>
        <w:spacing w:line="440" w:lineRule="exact"/>
        <w:ind w:firstLine="2975" w:firstLineChars="1417"/>
        <w:jc w:val="left"/>
        <w:rPr>
          <w:rFonts w:ascii="宋体" w:hAnsi="宋体" w:cs="宋体"/>
          <w:color w:val="auto"/>
          <w:kern w:val="0"/>
          <w:highlight w:val="none"/>
        </w:rPr>
      </w:pPr>
      <w:r>
        <w:rPr>
          <w:rFonts w:hint="eastAsia" w:ascii="宋体" w:hAnsi="宋体" w:cs="宋体"/>
          <w:color w:val="auto"/>
          <w:kern w:val="0"/>
          <w:highlight w:val="none"/>
        </w:rPr>
        <w:t>日期：</w:t>
      </w:r>
      <w:r>
        <w:rPr>
          <w:rFonts w:ascii="宋体" w:hAnsi="宋体" w:cs="宋体"/>
          <w:color w:val="auto"/>
          <w:kern w:val="0"/>
          <w:highlight w:val="none"/>
        </w:rPr>
        <w:t xml:space="preserve"> </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年</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月</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日</w:t>
      </w:r>
    </w:p>
    <w:p>
      <w:pPr>
        <w:pStyle w:val="15"/>
        <w:spacing w:line="400" w:lineRule="exact"/>
        <w:rPr>
          <w:rFonts w:ascii="宋体" w:hAnsi="宋体" w:cs="宋体"/>
          <w:color w:val="auto"/>
          <w:sz w:val="21"/>
          <w:szCs w:val="21"/>
          <w:highlight w:val="none"/>
        </w:rPr>
      </w:pPr>
      <w:r>
        <w:rPr>
          <w:rFonts w:ascii="宋体" w:hAnsi="宋体"/>
          <w:color w:val="auto"/>
          <w:highlight w:val="none"/>
        </w:rPr>
        <w:br w:type="page"/>
      </w:r>
    </w:p>
    <w:p>
      <w:pPr>
        <w:pStyle w:val="4"/>
        <w:ind w:left="0" w:firstLine="0"/>
        <w:rPr>
          <w:rFonts w:ascii="宋体" w:hAnsi="宋体"/>
          <w:color w:val="auto"/>
          <w:sz w:val="28"/>
          <w:szCs w:val="28"/>
          <w:highlight w:val="none"/>
        </w:rPr>
      </w:pPr>
      <w:bookmarkStart w:id="481" w:name="_Toc15639"/>
      <w:bookmarkStart w:id="482" w:name="_Toc23442"/>
      <w:r>
        <w:rPr>
          <w:rFonts w:hint="eastAsia" w:ascii="宋体" w:hAnsi="宋体"/>
          <w:color w:val="auto"/>
          <w:sz w:val="28"/>
          <w:szCs w:val="28"/>
          <w:highlight w:val="none"/>
          <w:lang w:val="en-US" w:eastAsia="zh-CN"/>
        </w:rPr>
        <w:t>七</w:t>
      </w:r>
      <w:r>
        <w:rPr>
          <w:rFonts w:hint="eastAsia" w:ascii="宋体" w:hAnsi="宋体"/>
          <w:color w:val="auto"/>
          <w:sz w:val="28"/>
          <w:szCs w:val="28"/>
          <w:highlight w:val="none"/>
        </w:rPr>
        <w:t>、资格证明文件</w:t>
      </w:r>
      <w:bookmarkEnd w:id="481"/>
      <w:bookmarkEnd w:id="482"/>
    </w:p>
    <w:p>
      <w:pPr>
        <w:spacing w:line="360" w:lineRule="auto"/>
        <w:rPr>
          <w:rFonts w:ascii="宋体" w:hAnsi="宋体" w:cs="宋体"/>
          <w:b/>
          <w:color w:val="auto"/>
          <w:sz w:val="24"/>
          <w:highlight w:val="none"/>
        </w:rPr>
      </w:pPr>
      <w:r>
        <w:rPr>
          <w:rFonts w:hint="eastAsia" w:ascii="宋体" w:hAnsi="宋体" w:cs="宋体"/>
          <w:b/>
          <w:color w:val="auto"/>
          <w:sz w:val="24"/>
          <w:highlight w:val="none"/>
        </w:rPr>
        <w:t>1.投标人基本情况表</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04"/>
        <w:gridCol w:w="1468"/>
        <w:gridCol w:w="2556"/>
        <w:gridCol w:w="1111"/>
        <w:gridCol w:w="19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2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投标人名称</w:t>
            </w:r>
          </w:p>
        </w:tc>
        <w:tc>
          <w:tcPr>
            <w:tcW w:w="7087"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2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注册资金</w:t>
            </w:r>
          </w:p>
        </w:tc>
        <w:tc>
          <w:tcPr>
            <w:tcW w:w="4024"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p>
        </w:tc>
        <w:tc>
          <w:tcPr>
            <w:tcW w:w="11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成立时间</w:t>
            </w:r>
          </w:p>
        </w:tc>
        <w:tc>
          <w:tcPr>
            <w:tcW w:w="195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2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注册地址</w:t>
            </w:r>
          </w:p>
        </w:tc>
        <w:tc>
          <w:tcPr>
            <w:tcW w:w="7087" w:type="dxa"/>
            <w:gridSpan w:val="4"/>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2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邮政编码</w:t>
            </w:r>
          </w:p>
        </w:tc>
        <w:tc>
          <w:tcPr>
            <w:tcW w:w="4024"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p>
        </w:tc>
        <w:tc>
          <w:tcPr>
            <w:tcW w:w="11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员工总数</w:t>
            </w:r>
          </w:p>
        </w:tc>
        <w:tc>
          <w:tcPr>
            <w:tcW w:w="195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2204"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联系方式</w:t>
            </w:r>
          </w:p>
        </w:tc>
        <w:tc>
          <w:tcPr>
            <w:tcW w:w="146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联系人</w:t>
            </w:r>
          </w:p>
        </w:tc>
        <w:tc>
          <w:tcPr>
            <w:tcW w:w="255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p>
        </w:tc>
        <w:tc>
          <w:tcPr>
            <w:tcW w:w="11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电话</w:t>
            </w:r>
          </w:p>
        </w:tc>
        <w:tc>
          <w:tcPr>
            <w:tcW w:w="195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220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highlight w:val="none"/>
              </w:rPr>
            </w:pPr>
          </w:p>
        </w:tc>
        <w:tc>
          <w:tcPr>
            <w:tcW w:w="146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传真</w:t>
            </w:r>
          </w:p>
        </w:tc>
        <w:tc>
          <w:tcPr>
            <w:tcW w:w="255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p>
        </w:tc>
        <w:tc>
          <w:tcPr>
            <w:tcW w:w="11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网址</w:t>
            </w:r>
          </w:p>
        </w:tc>
        <w:tc>
          <w:tcPr>
            <w:tcW w:w="195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2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法定代表人</w:t>
            </w:r>
          </w:p>
        </w:tc>
        <w:tc>
          <w:tcPr>
            <w:tcW w:w="146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姓名</w:t>
            </w:r>
          </w:p>
        </w:tc>
        <w:tc>
          <w:tcPr>
            <w:tcW w:w="255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p>
        </w:tc>
        <w:tc>
          <w:tcPr>
            <w:tcW w:w="111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电话</w:t>
            </w:r>
          </w:p>
        </w:tc>
        <w:tc>
          <w:tcPr>
            <w:tcW w:w="195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2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基本账户开户银行</w:t>
            </w:r>
          </w:p>
        </w:tc>
        <w:tc>
          <w:tcPr>
            <w:tcW w:w="7087" w:type="dxa"/>
            <w:gridSpan w:val="4"/>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2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基本账户银行账号</w:t>
            </w:r>
          </w:p>
        </w:tc>
        <w:tc>
          <w:tcPr>
            <w:tcW w:w="7087" w:type="dxa"/>
            <w:gridSpan w:val="4"/>
            <w:tcBorders>
              <w:top w:val="single" w:color="auto" w:sz="4" w:space="0"/>
              <w:left w:val="single" w:color="auto" w:sz="4" w:space="0"/>
              <w:bottom w:val="single" w:color="auto" w:sz="4" w:space="0"/>
              <w:right w:val="single" w:color="auto" w:sz="4" w:space="0"/>
            </w:tcBorders>
            <w:vAlign w:val="center"/>
          </w:tcPr>
          <w:p>
            <w:pPr>
              <w:jc w:val="left"/>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2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其他</w:t>
            </w:r>
          </w:p>
        </w:tc>
        <w:tc>
          <w:tcPr>
            <w:tcW w:w="7087" w:type="dxa"/>
            <w:gridSpan w:val="4"/>
            <w:tcBorders>
              <w:top w:val="single" w:color="auto" w:sz="4" w:space="0"/>
              <w:left w:val="single" w:color="auto" w:sz="4" w:space="0"/>
              <w:bottom w:val="single" w:color="auto" w:sz="4" w:space="0"/>
              <w:right w:val="single" w:color="auto" w:sz="4" w:space="0"/>
            </w:tcBorders>
            <w:vAlign w:val="center"/>
          </w:tcPr>
          <w:p>
            <w:pPr>
              <w:ind w:firstLine="420" w:firstLineChars="200"/>
              <w:jc w:val="left"/>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220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highlight w:val="none"/>
              </w:rPr>
            </w:pPr>
            <w:r>
              <w:rPr>
                <w:rFonts w:hint="eastAsia" w:ascii="宋体" w:hAnsi="宋体" w:cs="宋体"/>
                <w:color w:val="auto"/>
                <w:highlight w:val="none"/>
              </w:rPr>
              <w:t>备注</w:t>
            </w:r>
          </w:p>
        </w:tc>
        <w:tc>
          <w:tcPr>
            <w:tcW w:w="7087" w:type="dxa"/>
            <w:gridSpan w:val="4"/>
            <w:tcBorders>
              <w:top w:val="single" w:color="auto" w:sz="4" w:space="0"/>
              <w:left w:val="single" w:color="auto" w:sz="4" w:space="0"/>
              <w:bottom w:val="single" w:color="auto" w:sz="4" w:space="0"/>
              <w:right w:val="single" w:color="auto" w:sz="4" w:space="0"/>
            </w:tcBorders>
            <w:vAlign w:val="center"/>
          </w:tcPr>
          <w:p>
            <w:pPr>
              <w:ind w:firstLine="420" w:firstLineChars="200"/>
              <w:jc w:val="left"/>
              <w:rPr>
                <w:rFonts w:ascii="宋体" w:hAnsi="宋体" w:cs="宋体"/>
                <w:color w:val="auto"/>
                <w:highlight w:val="none"/>
              </w:rPr>
            </w:pPr>
          </w:p>
        </w:tc>
      </w:tr>
    </w:tbl>
    <w:p>
      <w:pPr>
        <w:spacing w:line="360" w:lineRule="auto"/>
        <w:rPr>
          <w:rFonts w:ascii="宋体" w:hAnsi="宋体" w:cs="宋体"/>
          <w:b/>
          <w:color w:val="auto"/>
          <w:highlight w:val="none"/>
        </w:rPr>
      </w:pPr>
      <w:r>
        <w:rPr>
          <w:rFonts w:hint="eastAsia" w:ascii="宋体" w:hAnsi="宋体" w:cs="宋体"/>
          <w:b/>
          <w:color w:val="auto"/>
          <w:sz w:val="24"/>
          <w:highlight w:val="none"/>
        </w:rPr>
        <w:br w:type="page"/>
      </w:r>
      <w:r>
        <w:rPr>
          <w:rFonts w:hint="eastAsia" w:ascii="宋体" w:hAnsi="宋体" w:cs="宋体"/>
          <w:b/>
          <w:color w:val="auto"/>
          <w:sz w:val="24"/>
          <w:highlight w:val="none"/>
        </w:rPr>
        <w:t>2.具有独立承担民事责任的能力(提供有效的营业执照、税务登记证、组织机构代码证或三证合一营业执照或电子营业执照)</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如供应商是企业（包括合伙企业），应提供在工商部门注册的有效“企业法人营业执照”或“营业执照”；</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如供应商是事业单位，应提供有效的“事业单位法人证书”；</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如供应商是个体工商户，应提供有效的“个体工商户营业执照”；</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如供应商是自然人（仅限中国公民），应提供有效的自然人身份证明；</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如供应商是其他组织的，应提供组织机构代码证或与营业执照同等效力的证明材料。</w:t>
      </w:r>
    </w:p>
    <w:p>
      <w:pPr>
        <w:spacing w:line="360" w:lineRule="auto"/>
        <w:jc w:val="left"/>
        <w:rPr>
          <w:rFonts w:ascii="宋体" w:hAnsi="宋体" w:cs="宋体"/>
          <w:b/>
          <w:color w:val="auto"/>
          <w:highlight w:val="none"/>
        </w:rPr>
      </w:pPr>
    </w:p>
    <w:p>
      <w:pPr>
        <w:spacing w:line="360" w:lineRule="auto"/>
        <w:jc w:val="left"/>
        <w:rPr>
          <w:rFonts w:ascii="宋体" w:hAnsi="宋体" w:cs="宋体"/>
          <w:b/>
          <w:color w:val="auto"/>
          <w:sz w:val="24"/>
          <w:highlight w:val="none"/>
        </w:rPr>
      </w:pPr>
      <w:r>
        <w:rPr>
          <w:rFonts w:hint="eastAsia" w:ascii="宋体" w:hAnsi="宋体" w:cs="宋体"/>
          <w:b/>
          <w:color w:val="auto"/>
          <w:sz w:val="24"/>
          <w:highlight w:val="none"/>
        </w:rPr>
        <w:t>3.具有良好的商业信誉和健全的财务会计制度(提供承诺函)</w:t>
      </w:r>
    </w:p>
    <w:p>
      <w:pPr>
        <w:spacing w:line="360" w:lineRule="auto"/>
        <w:jc w:val="left"/>
        <w:rPr>
          <w:rFonts w:hint="eastAsia" w:ascii="宋体" w:hAnsi="宋体" w:cs="宋体"/>
          <w:b/>
          <w:color w:val="auto"/>
          <w:sz w:val="24"/>
          <w:highlight w:val="none"/>
        </w:rPr>
      </w:pPr>
    </w:p>
    <w:p>
      <w:pPr>
        <w:spacing w:line="360" w:lineRule="auto"/>
        <w:jc w:val="left"/>
        <w:rPr>
          <w:rFonts w:hint="eastAsia" w:ascii="宋体" w:hAnsi="宋体" w:cs="宋体"/>
          <w:b/>
          <w:color w:val="auto"/>
          <w:sz w:val="24"/>
          <w:highlight w:val="none"/>
        </w:rPr>
      </w:pPr>
    </w:p>
    <w:p>
      <w:pPr>
        <w:spacing w:line="360" w:lineRule="auto"/>
        <w:jc w:val="left"/>
        <w:rPr>
          <w:rFonts w:ascii="宋体" w:hAnsi="宋体" w:cs="宋体"/>
          <w:b/>
          <w:color w:val="auto"/>
          <w:sz w:val="24"/>
          <w:highlight w:val="none"/>
        </w:rPr>
      </w:pPr>
      <w:r>
        <w:rPr>
          <w:rFonts w:hint="eastAsia" w:ascii="宋体" w:hAnsi="宋体" w:cs="宋体"/>
          <w:b/>
          <w:color w:val="auto"/>
          <w:sz w:val="24"/>
          <w:highlight w:val="none"/>
        </w:rPr>
        <w:t>4.有依法缴纳税收和社会保障资金的良好记录(提供承诺函)</w:t>
      </w:r>
    </w:p>
    <w:p>
      <w:pPr>
        <w:spacing w:line="360" w:lineRule="auto"/>
        <w:rPr>
          <w:rFonts w:ascii="宋体" w:hAnsi="宋体" w:cs="宋体"/>
          <w:b/>
          <w:color w:val="auto"/>
          <w:sz w:val="24"/>
          <w:highlight w:val="none"/>
        </w:rPr>
      </w:pPr>
    </w:p>
    <w:p>
      <w:pPr>
        <w:pStyle w:val="47"/>
        <w:rPr>
          <w:color w:val="auto"/>
          <w:highlight w:val="none"/>
        </w:rPr>
      </w:pPr>
    </w:p>
    <w:p>
      <w:pPr>
        <w:rPr>
          <w:rFonts w:ascii="宋体" w:hAnsi="宋体" w:cs="宋体"/>
          <w:b/>
          <w:color w:val="auto"/>
          <w:sz w:val="24"/>
          <w:highlight w:val="none"/>
        </w:rPr>
      </w:pPr>
    </w:p>
    <w:p>
      <w:pPr>
        <w:spacing w:line="360" w:lineRule="auto"/>
        <w:rPr>
          <w:rFonts w:ascii="宋体" w:hAnsi="宋体" w:cs="宋体"/>
          <w:b/>
          <w:color w:val="auto"/>
          <w:highlight w:val="none"/>
        </w:rPr>
      </w:pPr>
      <w:r>
        <w:rPr>
          <w:rFonts w:hint="eastAsia" w:ascii="宋体" w:hAnsi="宋体" w:cs="宋体"/>
          <w:b/>
          <w:color w:val="auto"/>
          <w:sz w:val="24"/>
          <w:highlight w:val="none"/>
          <w:lang w:val="en-US" w:eastAsia="zh-CN"/>
        </w:rPr>
        <w:t>5</w:t>
      </w:r>
      <w:r>
        <w:rPr>
          <w:rFonts w:hint="eastAsia" w:ascii="宋体" w:hAnsi="宋体" w:cs="宋体"/>
          <w:b/>
          <w:color w:val="auto"/>
          <w:sz w:val="24"/>
          <w:highlight w:val="none"/>
        </w:rPr>
        <w:t>.具备履行合同所必需的设备和专业技术能力的书面声明（格式如下，可补充）</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致</w:t>
      </w:r>
      <w:r>
        <w:rPr>
          <w:rFonts w:hint="eastAsia" w:ascii="宋体" w:hAnsi="宋体" w:cs="宋体"/>
          <w:color w:val="auto"/>
          <w:highlight w:val="none"/>
          <w:u w:val="single"/>
        </w:rPr>
        <w:t xml:space="preserve">          </w:t>
      </w:r>
      <w:r>
        <w:rPr>
          <w:rFonts w:hint="eastAsia" w:ascii="宋体" w:hAnsi="宋体"/>
          <w:bCs/>
          <w:color w:val="auto"/>
          <w:highlight w:val="none"/>
          <w:u w:val="single"/>
        </w:rPr>
        <w:t>（采购人）</w:t>
      </w:r>
      <w:r>
        <w:rPr>
          <w:rFonts w:hint="eastAsia" w:ascii="宋体" w:hAnsi="宋体" w:cs="宋体"/>
          <w:color w:val="auto"/>
          <w:highlight w:val="none"/>
        </w:rPr>
        <w:t>：</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我公司在参加</w:t>
      </w:r>
      <w:r>
        <w:rPr>
          <w:rFonts w:hint="eastAsia"/>
          <w:color w:val="auto"/>
          <w:highlight w:val="none"/>
          <w:u w:val="single"/>
        </w:rPr>
        <w:t xml:space="preserve">       （项目名称）            </w:t>
      </w:r>
      <w:r>
        <w:rPr>
          <w:rFonts w:hint="eastAsia"/>
          <w:color w:val="auto"/>
          <w:highlight w:val="none"/>
        </w:rPr>
        <w:t>采购</w:t>
      </w:r>
      <w:r>
        <w:rPr>
          <w:rFonts w:hint="eastAsia" w:ascii="宋体" w:hAnsi="宋体" w:cs="宋体"/>
          <w:color w:val="auto"/>
          <w:highlight w:val="none"/>
        </w:rPr>
        <w:t>活动中，作出如下声明：</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我方具有履行合同所必须的设备和专业技术能力，我方对上述声明的真实性负责。如有虚假，将依法承担相应责任。</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特此声明。</w:t>
      </w:r>
    </w:p>
    <w:p>
      <w:pPr>
        <w:spacing w:line="360" w:lineRule="auto"/>
        <w:ind w:firstLine="420" w:firstLineChars="200"/>
        <w:rPr>
          <w:rFonts w:ascii="宋体" w:hAnsi="宋体" w:cs="宋体"/>
          <w:color w:val="auto"/>
          <w:highlight w:val="none"/>
        </w:rPr>
      </w:pP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投标人：</w:t>
      </w:r>
      <w:r>
        <w:rPr>
          <w:rFonts w:hint="eastAsia" w:ascii="宋体" w:hAnsi="宋体" w:cs="宋体"/>
          <w:color w:val="auto"/>
          <w:highlight w:val="none"/>
          <w:u w:val="single"/>
        </w:rPr>
        <w:t xml:space="preserve">                  </w:t>
      </w:r>
      <w:r>
        <w:rPr>
          <w:rFonts w:hint="eastAsia" w:ascii="宋体" w:hAnsi="宋体" w:cs="宋体"/>
          <w:color w:val="auto"/>
          <w:highlight w:val="none"/>
        </w:rPr>
        <w:t>（电子签章）</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法定代表人或其委托代理人：</w:t>
      </w:r>
      <w:r>
        <w:rPr>
          <w:rFonts w:hint="eastAsia" w:ascii="宋体" w:hAnsi="宋体" w:cs="宋体"/>
          <w:color w:val="auto"/>
          <w:highlight w:val="none"/>
          <w:u w:val="single"/>
        </w:rPr>
        <w:t xml:space="preserve">          </w:t>
      </w:r>
      <w:r>
        <w:rPr>
          <w:rFonts w:hint="eastAsia" w:ascii="宋体" w:hAnsi="宋体" w:cs="宋体"/>
          <w:color w:val="auto"/>
          <w:highlight w:val="none"/>
        </w:rPr>
        <w:t>（签字或签章）</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日期：</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p>
    <w:p>
      <w:pPr>
        <w:rPr>
          <w:rFonts w:ascii="宋体" w:hAnsi="宋体" w:cs="宋体"/>
          <w:b/>
          <w:color w:val="auto"/>
          <w:sz w:val="24"/>
          <w:highlight w:val="none"/>
        </w:rPr>
      </w:pPr>
    </w:p>
    <w:p>
      <w:pPr>
        <w:spacing w:line="360" w:lineRule="auto"/>
        <w:jc w:val="left"/>
        <w:rPr>
          <w:rFonts w:ascii="宋体" w:hAnsi="宋体" w:cs="宋体"/>
          <w:b/>
          <w:color w:val="auto"/>
          <w:highlight w:val="none"/>
        </w:rPr>
      </w:pPr>
      <w:r>
        <w:rPr>
          <w:rFonts w:hint="eastAsia" w:ascii="宋体" w:hAnsi="宋体" w:cs="宋体"/>
          <w:b/>
          <w:color w:val="auto"/>
          <w:sz w:val="24"/>
          <w:highlight w:val="none"/>
        </w:rPr>
        <w:br w:type="page"/>
      </w:r>
      <w:r>
        <w:rPr>
          <w:rFonts w:hint="eastAsia" w:ascii="宋体" w:hAnsi="宋体" w:cs="宋体"/>
          <w:b/>
          <w:color w:val="auto"/>
          <w:sz w:val="24"/>
          <w:highlight w:val="none"/>
          <w:lang w:val="en-US" w:eastAsia="zh-CN"/>
        </w:rPr>
        <w:t>6</w:t>
      </w:r>
      <w:r>
        <w:rPr>
          <w:rFonts w:hint="eastAsia" w:ascii="宋体" w:hAnsi="宋体" w:cs="宋体"/>
          <w:b/>
          <w:color w:val="auto"/>
          <w:sz w:val="24"/>
          <w:highlight w:val="none"/>
        </w:rPr>
        <w:t>.参加政府采购活动前3年内在经营活动中没有重大违法记录的书面声明（格式如下，可补充）</w:t>
      </w:r>
    </w:p>
    <w:p>
      <w:pPr>
        <w:spacing w:line="360" w:lineRule="auto"/>
        <w:ind w:firstLine="420" w:firstLineChars="200"/>
        <w:rPr>
          <w:color w:val="auto"/>
          <w:highlight w:val="none"/>
        </w:rPr>
      </w:pPr>
      <w:r>
        <w:rPr>
          <w:rFonts w:hint="eastAsia" w:ascii="宋体" w:hAnsi="宋体" w:cs="宋体"/>
          <w:color w:val="auto"/>
          <w:highlight w:val="none"/>
        </w:rPr>
        <w:t>致</w:t>
      </w:r>
      <w:r>
        <w:rPr>
          <w:rFonts w:hint="eastAsia" w:ascii="宋体" w:hAnsi="宋体" w:cs="宋体"/>
          <w:color w:val="auto"/>
          <w:highlight w:val="none"/>
          <w:u w:val="single"/>
        </w:rPr>
        <w:t xml:space="preserve">          </w:t>
      </w:r>
      <w:r>
        <w:rPr>
          <w:rFonts w:hint="eastAsia" w:ascii="宋体" w:hAnsi="宋体"/>
          <w:bCs/>
          <w:color w:val="auto"/>
          <w:highlight w:val="none"/>
          <w:u w:val="single"/>
        </w:rPr>
        <w:t>（采购人）</w:t>
      </w:r>
      <w:r>
        <w:rPr>
          <w:rFonts w:hint="eastAsia" w:ascii="宋体" w:hAnsi="宋体" w:cs="宋体"/>
          <w:color w:val="auto"/>
          <w:highlight w:val="none"/>
        </w:rPr>
        <w:t>：</w:t>
      </w:r>
    </w:p>
    <w:p>
      <w:pPr>
        <w:spacing w:line="360" w:lineRule="auto"/>
        <w:ind w:firstLine="420" w:firstLineChars="200"/>
        <w:rPr>
          <w:color w:val="auto"/>
          <w:highlight w:val="none"/>
        </w:rPr>
      </w:pPr>
      <w:r>
        <w:rPr>
          <w:rFonts w:hint="eastAsia"/>
          <w:color w:val="auto"/>
          <w:highlight w:val="none"/>
        </w:rPr>
        <w:t>我方在此声明，在参加本次政府采购活动前三年内，在经营活动中没有重大违法记录。</w:t>
      </w:r>
    </w:p>
    <w:p>
      <w:pPr>
        <w:spacing w:line="360" w:lineRule="auto"/>
        <w:ind w:firstLine="420" w:firstLineChars="200"/>
        <w:rPr>
          <w:color w:val="auto"/>
          <w:highlight w:val="none"/>
        </w:rPr>
      </w:pPr>
      <w:r>
        <w:rPr>
          <w:rFonts w:hint="eastAsia"/>
          <w:color w:val="auto"/>
          <w:highlight w:val="none"/>
        </w:rPr>
        <w:t>我方保证上述信息的真实和准确，并愿意承担因我方就此弄虚作假所引起的一切法律后果。</w:t>
      </w:r>
    </w:p>
    <w:p>
      <w:pPr>
        <w:spacing w:line="360" w:lineRule="auto"/>
        <w:ind w:firstLine="420" w:firstLineChars="200"/>
        <w:rPr>
          <w:color w:val="auto"/>
          <w:highlight w:val="none"/>
        </w:rPr>
      </w:pPr>
    </w:p>
    <w:p>
      <w:pPr>
        <w:spacing w:line="360" w:lineRule="auto"/>
        <w:ind w:firstLine="420" w:firstLineChars="200"/>
        <w:rPr>
          <w:color w:val="auto"/>
          <w:highlight w:val="none"/>
        </w:rPr>
      </w:pPr>
      <w:r>
        <w:rPr>
          <w:rFonts w:hint="eastAsia"/>
          <w:color w:val="auto"/>
          <w:highlight w:val="none"/>
        </w:rPr>
        <w:t>特此承诺。</w:t>
      </w:r>
    </w:p>
    <w:p>
      <w:pPr>
        <w:rPr>
          <w:color w:val="auto"/>
          <w:highlight w:val="none"/>
        </w:rPr>
      </w:pPr>
    </w:p>
    <w:p>
      <w:pPr>
        <w:rPr>
          <w:color w:val="auto"/>
          <w:highlight w:val="none"/>
        </w:rPr>
      </w:pP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投标人：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（电子签章）    </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法定代表人或其委托代理人：</w:t>
      </w:r>
      <w:r>
        <w:rPr>
          <w:rFonts w:hint="eastAsia" w:ascii="宋体" w:hAnsi="宋体" w:cs="宋体"/>
          <w:color w:val="auto"/>
          <w:highlight w:val="none"/>
          <w:u w:val="single"/>
        </w:rPr>
        <w:t xml:space="preserve">          </w:t>
      </w:r>
      <w:r>
        <w:rPr>
          <w:rFonts w:hint="eastAsia" w:ascii="宋体" w:hAnsi="宋体" w:cs="宋体"/>
          <w:color w:val="auto"/>
          <w:highlight w:val="none"/>
        </w:rPr>
        <w:t>（签字或签章）</w:t>
      </w:r>
    </w:p>
    <w:p>
      <w:pPr>
        <w:spacing w:line="360" w:lineRule="auto"/>
        <w:ind w:firstLine="420" w:firstLineChars="200"/>
        <w:rPr>
          <w:color w:val="auto"/>
          <w:highlight w:val="none"/>
        </w:rPr>
      </w:pPr>
      <w:r>
        <w:rPr>
          <w:rFonts w:hint="eastAsia" w:ascii="宋体" w:hAnsi="宋体" w:cs="宋体"/>
          <w:color w:val="auto"/>
          <w:highlight w:val="none"/>
        </w:rPr>
        <w:t>日期：</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p>
    <w:p>
      <w:pPr>
        <w:spacing w:line="360" w:lineRule="auto"/>
        <w:jc w:val="left"/>
        <w:rPr>
          <w:rFonts w:ascii="宋体" w:hAnsi="宋体" w:cs="宋体"/>
          <w:b/>
          <w:color w:val="auto"/>
          <w:sz w:val="24"/>
          <w:highlight w:val="none"/>
        </w:rPr>
      </w:pPr>
    </w:p>
    <w:p>
      <w:pPr>
        <w:spacing w:line="360" w:lineRule="auto"/>
        <w:jc w:val="left"/>
        <w:rPr>
          <w:rFonts w:ascii="宋体" w:hAnsi="宋体" w:cs="宋体"/>
          <w:b/>
          <w:color w:val="auto"/>
          <w:sz w:val="24"/>
          <w:highlight w:val="none"/>
        </w:rPr>
      </w:pPr>
    </w:p>
    <w:p>
      <w:pPr>
        <w:spacing w:line="360" w:lineRule="auto"/>
        <w:jc w:val="left"/>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7.若投标人所投设备为进口设备，需提供制造商或国内总代理商对于本项目的授权和售后服务承诺函</w:t>
      </w:r>
    </w:p>
    <w:p>
      <w:pPr>
        <w:spacing w:line="360" w:lineRule="auto"/>
        <w:jc w:val="left"/>
        <w:rPr>
          <w:rFonts w:hint="eastAsia" w:ascii="宋体" w:hAnsi="宋体" w:cs="宋体"/>
          <w:b/>
          <w:color w:val="auto"/>
          <w:sz w:val="24"/>
          <w:highlight w:val="none"/>
          <w:lang w:val="en-US" w:eastAsia="zh-CN"/>
        </w:rPr>
      </w:pPr>
    </w:p>
    <w:p>
      <w:pPr>
        <w:spacing w:line="360" w:lineRule="auto"/>
        <w:jc w:val="left"/>
        <w:rPr>
          <w:rFonts w:hint="eastAsia" w:ascii="宋体" w:hAnsi="宋体" w:cs="宋体"/>
          <w:b/>
          <w:color w:val="auto"/>
          <w:sz w:val="24"/>
          <w:highlight w:val="none"/>
          <w:lang w:val="en-US" w:eastAsia="zh-CN"/>
        </w:rPr>
      </w:pPr>
    </w:p>
    <w:p>
      <w:pPr>
        <w:spacing w:line="360" w:lineRule="auto"/>
        <w:jc w:val="left"/>
        <w:rPr>
          <w:rFonts w:hint="eastAsia" w:ascii="宋体" w:hAnsi="宋体" w:cs="宋体"/>
          <w:b/>
          <w:color w:val="auto"/>
          <w:sz w:val="24"/>
          <w:highlight w:val="none"/>
          <w:lang w:val="en-US" w:eastAsia="zh-CN"/>
        </w:rPr>
      </w:pPr>
    </w:p>
    <w:p>
      <w:pPr>
        <w:spacing w:line="360" w:lineRule="auto"/>
        <w:jc w:val="left"/>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8.</w:t>
      </w:r>
      <w:r>
        <w:rPr>
          <w:rFonts w:hint="eastAsia" w:ascii="宋体" w:hAnsi="宋体" w:cs="宋体"/>
          <w:b/>
          <w:color w:val="auto"/>
          <w:sz w:val="24"/>
          <w:highlight w:val="none"/>
        </w:rPr>
        <w:t>投标人关联单位的说明</w:t>
      </w:r>
    </w:p>
    <w:p>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致</w:t>
      </w:r>
      <w:r>
        <w:rPr>
          <w:rFonts w:hint="eastAsia" w:ascii="宋体" w:hAnsi="宋体" w:cs="宋体"/>
          <w:color w:val="auto"/>
          <w:highlight w:val="none"/>
          <w:u w:val="single"/>
        </w:rPr>
        <w:t xml:space="preserve">          </w:t>
      </w:r>
      <w:r>
        <w:rPr>
          <w:rFonts w:hint="eastAsia" w:ascii="宋体" w:hAnsi="宋体"/>
          <w:bCs/>
          <w:color w:val="auto"/>
          <w:highlight w:val="none"/>
          <w:u w:val="single"/>
        </w:rPr>
        <w:t>（采购人）</w:t>
      </w:r>
      <w:r>
        <w:rPr>
          <w:rFonts w:hint="eastAsia" w:ascii="宋体" w:hAnsi="宋体" w:cs="宋体"/>
          <w:color w:val="auto"/>
          <w:highlight w:val="none"/>
        </w:rPr>
        <w:t>：</w:t>
      </w:r>
    </w:p>
    <w:p>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我</w:t>
      </w:r>
      <w:r>
        <w:rPr>
          <w:rFonts w:hint="eastAsia" w:ascii="宋体" w:hAnsi="宋体" w:cs="宋体"/>
          <w:color w:val="auto"/>
          <w:highlight w:val="none"/>
          <w:lang w:val="en-US" w:eastAsia="zh-CN"/>
        </w:rPr>
        <w:t>公司</w:t>
      </w:r>
      <w:r>
        <w:rPr>
          <w:rFonts w:hint="eastAsia" w:ascii="宋体" w:hAnsi="宋体" w:cs="宋体"/>
          <w:color w:val="auto"/>
          <w:highlight w:val="none"/>
        </w:rPr>
        <w:t>作为本次采购项目的投标人，根据招标文件要求，现郑重承诺如下：</w:t>
      </w:r>
    </w:p>
    <w:p>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我</w:t>
      </w:r>
      <w:r>
        <w:rPr>
          <w:rFonts w:hint="eastAsia" w:ascii="宋体" w:hAnsi="宋体" w:cs="宋体"/>
          <w:color w:val="auto"/>
          <w:highlight w:val="none"/>
          <w:lang w:val="en-US" w:eastAsia="zh-CN"/>
        </w:rPr>
        <w:t>公司</w:t>
      </w:r>
      <w:r>
        <w:rPr>
          <w:rFonts w:hint="eastAsia" w:ascii="宋体" w:hAnsi="宋体" w:cs="宋体"/>
          <w:color w:val="auto"/>
          <w:highlight w:val="none"/>
        </w:rPr>
        <w:t>参加本次招标采购活动，</w:t>
      </w:r>
      <w:r>
        <w:rPr>
          <w:rFonts w:hint="eastAsia" w:ascii="宋体" w:hAnsi="宋体" w:cs="宋体"/>
          <w:color w:val="auto"/>
          <w:highlight w:val="none"/>
          <w:u w:val="single"/>
        </w:rPr>
        <w:t xml:space="preserve">       </w:t>
      </w:r>
      <w:r>
        <w:rPr>
          <w:rFonts w:hint="eastAsia" w:ascii="宋体" w:hAnsi="宋体" w:cs="宋体"/>
          <w:color w:val="auto"/>
          <w:highlight w:val="none"/>
        </w:rPr>
        <w:t>（填写“存在”或“不存在”）与单位负责人为同一人或者存在直接控股、管理关系的其他投标人参与同一合同项下的投标活动行为。</w:t>
      </w:r>
    </w:p>
    <w:p>
      <w:pPr>
        <w:spacing w:line="360" w:lineRule="auto"/>
        <w:ind w:firstLine="420" w:firstLineChars="200"/>
        <w:rPr>
          <w:rFonts w:hint="eastAsia" w:ascii="宋体" w:hAnsi="宋体" w:cs="宋体"/>
          <w:color w:val="auto"/>
          <w:highlight w:val="none"/>
        </w:rPr>
      </w:pPr>
    </w:p>
    <w:p>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说明：投标人应当如实披露与本单位存在关联关系的单位名称。</w:t>
      </w:r>
    </w:p>
    <w:p>
      <w:pPr>
        <w:spacing w:line="360" w:lineRule="auto"/>
        <w:ind w:firstLine="420" w:firstLineChars="200"/>
        <w:rPr>
          <w:rFonts w:hint="eastAsia" w:ascii="宋体" w:hAnsi="宋体" w:cs="宋体"/>
          <w:color w:val="auto"/>
          <w:highlight w:val="none"/>
        </w:rPr>
      </w:pPr>
    </w:p>
    <w:p>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投标人：</w:t>
      </w:r>
      <w:r>
        <w:rPr>
          <w:rFonts w:hint="eastAsia" w:ascii="宋体" w:hAnsi="宋体" w:cs="宋体"/>
          <w:color w:val="auto"/>
          <w:highlight w:val="none"/>
          <w:u w:val="single"/>
        </w:rPr>
        <w:t xml:space="preserve">                  </w:t>
      </w:r>
      <w:r>
        <w:rPr>
          <w:rFonts w:hint="eastAsia" w:ascii="宋体" w:hAnsi="宋体" w:cs="宋体"/>
          <w:color w:val="auto"/>
          <w:highlight w:val="none"/>
        </w:rPr>
        <w:t>（电子签章）</w:t>
      </w:r>
    </w:p>
    <w:p>
      <w:pPr>
        <w:spacing w:line="360" w:lineRule="auto"/>
        <w:ind w:firstLine="420" w:firstLineChars="200"/>
        <w:rPr>
          <w:rFonts w:hint="eastAsia" w:ascii="宋体" w:hAnsi="宋体" w:cs="宋体"/>
          <w:b/>
          <w:color w:val="auto"/>
          <w:sz w:val="24"/>
          <w:highlight w:val="none"/>
          <w:lang w:val="en-US" w:eastAsia="zh-CN"/>
        </w:rPr>
      </w:pPr>
      <w:r>
        <w:rPr>
          <w:rFonts w:hint="eastAsia" w:ascii="宋体" w:hAnsi="宋体" w:cs="宋体"/>
          <w:color w:val="auto"/>
          <w:highlight w:val="none"/>
        </w:rPr>
        <w:t>日期：</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p>
    <w:p>
      <w:pPr>
        <w:spacing w:line="360" w:lineRule="auto"/>
        <w:rPr>
          <w:rFonts w:ascii="宋体" w:hAnsi="宋体"/>
          <w:color w:val="auto"/>
          <w:highlight w:val="none"/>
        </w:rPr>
      </w:pPr>
      <w:r>
        <w:rPr>
          <w:rFonts w:ascii="宋体" w:hAnsi="宋体"/>
          <w:color w:val="auto"/>
          <w:highlight w:val="none"/>
        </w:rPr>
        <w:br w:type="page"/>
      </w:r>
    </w:p>
    <w:p>
      <w:pPr>
        <w:pStyle w:val="4"/>
        <w:ind w:left="0" w:firstLine="0"/>
        <w:rPr>
          <w:rFonts w:ascii="宋体" w:hAnsi="宋体" w:cs="MS Mincho"/>
          <w:color w:val="auto"/>
          <w:szCs w:val="21"/>
          <w:highlight w:val="none"/>
        </w:rPr>
      </w:pPr>
      <w:bookmarkStart w:id="483" w:name="_Toc25147"/>
      <w:bookmarkStart w:id="484" w:name="_Toc6795"/>
      <w:bookmarkStart w:id="485" w:name="_Toc29826"/>
      <w:r>
        <w:rPr>
          <w:rFonts w:hint="eastAsia" w:ascii="宋体" w:hAnsi="宋体" w:cs="宋体"/>
          <w:color w:val="auto"/>
          <w:sz w:val="28"/>
          <w:szCs w:val="28"/>
          <w:highlight w:val="none"/>
          <w:lang w:val="en-US" w:eastAsia="zh-CN"/>
        </w:rPr>
        <w:t>八</w:t>
      </w:r>
      <w:r>
        <w:rPr>
          <w:rFonts w:hint="eastAsia" w:ascii="宋体" w:hAnsi="宋体" w:cs="宋体"/>
          <w:color w:val="auto"/>
          <w:sz w:val="28"/>
          <w:szCs w:val="28"/>
          <w:highlight w:val="none"/>
        </w:rPr>
        <w:t>、商务及技术要求偏离表</w:t>
      </w:r>
      <w:bookmarkEnd w:id="483"/>
      <w:bookmarkEnd w:id="484"/>
    </w:p>
    <w:p>
      <w:pPr>
        <w:pStyle w:val="5"/>
        <w:numPr>
          <w:ilvl w:val="2"/>
          <w:numId w:val="0"/>
        </w:numPr>
        <w:jc w:val="center"/>
        <w:rPr>
          <w:rFonts w:ascii="宋体"/>
          <w:color w:val="auto"/>
          <w:sz w:val="24"/>
          <w:szCs w:val="24"/>
          <w:highlight w:val="none"/>
        </w:rPr>
      </w:pPr>
      <w:r>
        <w:rPr>
          <w:rFonts w:hint="eastAsia" w:ascii="宋体"/>
          <w:color w:val="auto"/>
          <w:sz w:val="24"/>
          <w:szCs w:val="24"/>
          <w:highlight w:val="none"/>
          <w:lang w:val="en-US" w:eastAsia="zh-CN"/>
        </w:rPr>
        <w:t>8</w:t>
      </w:r>
      <w:r>
        <w:rPr>
          <w:rFonts w:hint="eastAsia" w:ascii="宋体"/>
          <w:color w:val="auto"/>
          <w:sz w:val="24"/>
          <w:szCs w:val="24"/>
          <w:highlight w:val="none"/>
        </w:rPr>
        <w:t>.1商务条款偏离表</w:t>
      </w:r>
    </w:p>
    <w:tbl>
      <w:tblPr>
        <w:tblStyle w:val="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89"/>
        <w:gridCol w:w="3369"/>
        <w:gridCol w:w="2209"/>
        <w:gridCol w:w="20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exact"/>
          <w:jc w:val="center"/>
        </w:trPr>
        <w:tc>
          <w:tcPr>
            <w:tcW w:w="889" w:type="dxa"/>
          </w:tcPr>
          <w:p>
            <w:pPr>
              <w:spacing w:before="72"/>
              <w:ind w:left="221" w:right="223"/>
              <w:jc w:val="center"/>
              <w:rPr>
                <w:rFonts w:ascii="宋体" w:hAnsi="宋体" w:cs="宋体"/>
                <w:b/>
                <w:color w:val="auto"/>
                <w:kern w:val="0"/>
                <w:highlight w:val="none"/>
              </w:rPr>
            </w:pPr>
            <w:r>
              <w:rPr>
                <w:rFonts w:hint="eastAsia" w:ascii="宋体" w:hAnsi="宋体" w:cs="宋体"/>
                <w:color w:val="auto"/>
                <w:kern w:val="0"/>
                <w:highlight w:val="none"/>
              </w:rPr>
              <w:t>序号</w:t>
            </w:r>
          </w:p>
        </w:tc>
        <w:tc>
          <w:tcPr>
            <w:tcW w:w="3369" w:type="dxa"/>
            <w:vAlign w:val="center"/>
          </w:tcPr>
          <w:p>
            <w:pPr>
              <w:jc w:val="center"/>
              <w:rPr>
                <w:rFonts w:ascii="宋体" w:hAnsi="宋体" w:cs="宋体"/>
                <w:b/>
                <w:color w:val="auto"/>
                <w:kern w:val="0"/>
                <w:highlight w:val="none"/>
              </w:rPr>
            </w:pPr>
            <w:r>
              <w:rPr>
                <w:rFonts w:hint="eastAsia" w:ascii="宋体" w:hAnsi="宋体" w:cs="宋体"/>
                <w:color w:val="auto"/>
                <w:kern w:val="0"/>
                <w:highlight w:val="none"/>
              </w:rPr>
              <w:t>商务条款要求</w:t>
            </w:r>
          </w:p>
        </w:tc>
        <w:tc>
          <w:tcPr>
            <w:tcW w:w="2209" w:type="dxa"/>
            <w:vAlign w:val="center"/>
          </w:tcPr>
          <w:p>
            <w:pPr>
              <w:jc w:val="center"/>
              <w:rPr>
                <w:rFonts w:ascii="宋体" w:hAnsi="宋体" w:cs="宋体"/>
                <w:b/>
                <w:color w:val="auto"/>
                <w:kern w:val="0"/>
                <w:highlight w:val="none"/>
              </w:rPr>
            </w:pPr>
            <w:r>
              <w:rPr>
                <w:rFonts w:hint="eastAsia" w:ascii="宋体" w:hAnsi="宋体" w:cs="宋体"/>
                <w:color w:val="auto"/>
                <w:kern w:val="0"/>
                <w:highlight w:val="none"/>
              </w:rPr>
              <w:t>是否响应</w:t>
            </w:r>
          </w:p>
        </w:tc>
        <w:tc>
          <w:tcPr>
            <w:tcW w:w="2045" w:type="dxa"/>
            <w:vAlign w:val="center"/>
          </w:tcPr>
          <w:p>
            <w:pPr>
              <w:jc w:val="center"/>
              <w:rPr>
                <w:rFonts w:ascii="宋体" w:hAnsi="宋体" w:cs="宋体"/>
                <w:b/>
                <w:color w:val="auto"/>
                <w:kern w:val="0"/>
                <w:highlight w:val="none"/>
              </w:rPr>
            </w:pPr>
            <w:r>
              <w:rPr>
                <w:rFonts w:hint="eastAsia" w:ascii="宋体" w:hAnsi="宋体" w:cs="宋体"/>
                <w:color w:val="auto"/>
                <w:kern w:val="0"/>
                <w:highlight w:val="none"/>
              </w:rPr>
              <w:t>偏离说明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jc w:val="center"/>
        </w:trPr>
        <w:tc>
          <w:tcPr>
            <w:tcW w:w="889" w:type="dxa"/>
          </w:tcPr>
          <w:p>
            <w:pPr>
              <w:spacing w:before="6"/>
              <w:rPr>
                <w:rFonts w:ascii="宋体" w:hAnsi="宋体" w:cs="宋体"/>
                <w:b/>
                <w:color w:val="auto"/>
                <w:kern w:val="0"/>
                <w:highlight w:val="none"/>
              </w:rPr>
            </w:pPr>
          </w:p>
          <w:p>
            <w:pPr>
              <w:ind w:right="2"/>
              <w:jc w:val="center"/>
              <w:rPr>
                <w:rFonts w:ascii="宋体" w:hAnsi="宋体" w:cs="宋体"/>
                <w:color w:val="auto"/>
                <w:kern w:val="0"/>
                <w:highlight w:val="none"/>
              </w:rPr>
            </w:pPr>
            <w:r>
              <w:rPr>
                <w:rFonts w:hint="eastAsia" w:ascii="宋体" w:hAnsi="宋体" w:cs="宋体"/>
                <w:color w:val="auto"/>
                <w:kern w:val="0"/>
                <w:highlight w:val="none"/>
              </w:rPr>
              <w:t>1</w:t>
            </w:r>
          </w:p>
        </w:tc>
        <w:tc>
          <w:tcPr>
            <w:tcW w:w="3369" w:type="dxa"/>
            <w:vAlign w:val="center"/>
          </w:tcPr>
          <w:p>
            <w:pPr>
              <w:ind w:left="105" w:leftChars="50" w:right="105" w:rightChars="50"/>
              <w:rPr>
                <w:rFonts w:ascii="宋体" w:hAnsi="宋体" w:cs="宋体"/>
                <w:color w:val="auto"/>
                <w:kern w:val="0"/>
                <w:highlight w:val="none"/>
              </w:rPr>
            </w:pPr>
          </w:p>
        </w:tc>
        <w:tc>
          <w:tcPr>
            <w:tcW w:w="2209" w:type="dxa"/>
          </w:tcPr>
          <w:p>
            <w:pPr>
              <w:rPr>
                <w:rFonts w:ascii="宋体" w:hAnsi="宋体" w:cs="宋体"/>
                <w:color w:val="auto"/>
                <w:kern w:val="0"/>
                <w:highlight w:val="none"/>
              </w:rPr>
            </w:pPr>
          </w:p>
        </w:tc>
        <w:tc>
          <w:tcPr>
            <w:tcW w:w="2045" w:type="dxa"/>
          </w:tcPr>
          <w:p>
            <w:pPr>
              <w:rPr>
                <w:rFonts w:ascii="宋体" w:hAnsi="宋体" w:cs="宋体"/>
                <w:color w:val="auto"/>
                <w:ker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jc w:val="center"/>
        </w:trPr>
        <w:tc>
          <w:tcPr>
            <w:tcW w:w="889" w:type="dxa"/>
          </w:tcPr>
          <w:p>
            <w:pPr>
              <w:spacing w:before="3"/>
              <w:rPr>
                <w:rFonts w:ascii="宋体" w:hAnsi="宋体" w:cs="宋体"/>
                <w:b/>
                <w:color w:val="auto"/>
                <w:kern w:val="0"/>
                <w:highlight w:val="none"/>
              </w:rPr>
            </w:pPr>
          </w:p>
          <w:p>
            <w:pPr>
              <w:ind w:right="2"/>
              <w:jc w:val="center"/>
              <w:rPr>
                <w:rFonts w:ascii="宋体" w:hAnsi="宋体" w:cs="宋体"/>
                <w:color w:val="auto"/>
                <w:kern w:val="0"/>
                <w:highlight w:val="none"/>
              </w:rPr>
            </w:pPr>
            <w:r>
              <w:rPr>
                <w:rFonts w:hint="eastAsia" w:ascii="宋体" w:hAnsi="宋体" w:cs="宋体"/>
                <w:color w:val="auto"/>
                <w:kern w:val="0"/>
                <w:highlight w:val="none"/>
              </w:rPr>
              <w:t>2</w:t>
            </w:r>
          </w:p>
        </w:tc>
        <w:tc>
          <w:tcPr>
            <w:tcW w:w="3369" w:type="dxa"/>
            <w:vAlign w:val="center"/>
          </w:tcPr>
          <w:p>
            <w:pPr>
              <w:ind w:left="105" w:leftChars="50" w:right="105" w:rightChars="50"/>
              <w:rPr>
                <w:rFonts w:ascii="宋体" w:hAnsi="宋体" w:cs="宋体"/>
                <w:color w:val="auto"/>
                <w:kern w:val="0"/>
                <w:highlight w:val="none"/>
              </w:rPr>
            </w:pPr>
          </w:p>
        </w:tc>
        <w:tc>
          <w:tcPr>
            <w:tcW w:w="2209" w:type="dxa"/>
          </w:tcPr>
          <w:p>
            <w:pPr>
              <w:rPr>
                <w:rFonts w:ascii="宋体" w:hAnsi="宋体" w:cs="宋体"/>
                <w:color w:val="auto"/>
                <w:kern w:val="0"/>
                <w:highlight w:val="none"/>
              </w:rPr>
            </w:pPr>
          </w:p>
        </w:tc>
        <w:tc>
          <w:tcPr>
            <w:tcW w:w="2045" w:type="dxa"/>
          </w:tcPr>
          <w:p>
            <w:pPr>
              <w:rPr>
                <w:rFonts w:ascii="宋体" w:hAnsi="宋体" w:cs="宋体"/>
                <w:color w:val="auto"/>
                <w:ker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jc w:val="center"/>
        </w:trPr>
        <w:tc>
          <w:tcPr>
            <w:tcW w:w="889" w:type="dxa"/>
          </w:tcPr>
          <w:p>
            <w:pPr>
              <w:spacing w:before="3"/>
              <w:rPr>
                <w:rFonts w:ascii="宋体" w:hAnsi="宋体" w:cs="宋体"/>
                <w:b/>
                <w:color w:val="auto"/>
                <w:kern w:val="0"/>
                <w:highlight w:val="none"/>
              </w:rPr>
            </w:pPr>
          </w:p>
          <w:p>
            <w:pPr>
              <w:ind w:right="2"/>
              <w:jc w:val="center"/>
              <w:rPr>
                <w:rFonts w:ascii="宋体" w:hAnsi="宋体" w:cs="宋体"/>
                <w:color w:val="auto"/>
                <w:kern w:val="0"/>
                <w:highlight w:val="none"/>
              </w:rPr>
            </w:pPr>
            <w:r>
              <w:rPr>
                <w:rFonts w:hint="eastAsia" w:ascii="宋体" w:hAnsi="宋体" w:cs="宋体"/>
                <w:color w:val="auto"/>
                <w:kern w:val="0"/>
                <w:highlight w:val="none"/>
              </w:rPr>
              <w:t>3</w:t>
            </w:r>
          </w:p>
        </w:tc>
        <w:tc>
          <w:tcPr>
            <w:tcW w:w="3369" w:type="dxa"/>
            <w:vAlign w:val="center"/>
          </w:tcPr>
          <w:p>
            <w:pPr>
              <w:ind w:left="105" w:leftChars="50" w:right="105" w:rightChars="50"/>
              <w:rPr>
                <w:rFonts w:ascii="宋体" w:hAnsi="宋体" w:cs="宋体"/>
                <w:color w:val="auto"/>
                <w:kern w:val="0"/>
                <w:highlight w:val="none"/>
              </w:rPr>
            </w:pPr>
          </w:p>
        </w:tc>
        <w:tc>
          <w:tcPr>
            <w:tcW w:w="2209" w:type="dxa"/>
          </w:tcPr>
          <w:p>
            <w:pPr>
              <w:rPr>
                <w:rFonts w:ascii="宋体" w:hAnsi="宋体" w:cs="宋体"/>
                <w:color w:val="auto"/>
                <w:kern w:val="0"/>
                <w:highlight w:val="none"/>
              </w:rPr>
            </w:pPr>
          </w:p>
        </w:tc>
        <w:tc>
          <w:tcPr>
            <w:tcW w:w="2045" w:type="dxa"/>
          </w:tcPr>
          <w:p>
            <w:pPr>
              <w:rPr>
                <w:rFonts w:ascii="宋体" w:hAnsi="宋体" w:cs="宋体"/>
                <w:color w:val="auto"/>
                <w:ker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jc w:val="center"/>
        </w:trPr>
        <w:tc>
          <w:tcPr>
            <w:tcW w:w="889" w:type="dxa"/>
          </w:tcPr>
          <w:p>
            <w:pPr>
              <w:spacing w:before="4"/>
              <w:rPr>
                <w:rFonts w:ascii="宋体" w:hAnsi="宋体" w:cs="宋体"/>
                <w:b/>
                <w:color w:val="auto"/>
                <w:kern w:val="0"/>
                <w:highlight w:val="none"/>
              </w:rPr>
            </w:pPr>
          </w:p>
          <w:p>
            <w:pPr>
              <w:ind w:right="2"/>
              <w:jc w:val="center"/>
              <w:rPr>
                <w:rFonts w:ascii="宋体" w:hAnsi="宋体" w:cs="宋体"/>
                <w:color w:val="auto"/>
                <w:kern w:val="0"/>
                <w:highlight w:val="none"/>
              </w:rPr>
            </w:pPr>
            <w:r>
              <w:rPr>
                <w:rFonts w:hint="eastAsia" w:ascii="宋体" w:hAnsi="宋体" w:cs="宋体"/>
                <w:color w:val="auto"/>
                <w:kern w:val="0"/>
                <w:highlight w:val="none"/>
              </w:rPr>
              <w:t>4</w:t>
            </w:r>
          </w:p>
        </w:tc>
        <w:tc>
          <w:tcPr>
            <w:tcW w:w="3369" w:type="dxa"/>
            <w:vAlign w:val="center"/>
          </w:tcPr>
          <w:p>
            <w:pPr>
              <w:ind w:left="105" w:leftChars="50" w:right="105" w:rightChars="50"/>
              <w:rPr>
                <w:rFonts w:ascii="宋体" w:hAnsi="宋体" w:cs="宋体"/>
                <w:color w:val="auto"/>
                <w:kern w:val="0"/>
                <w:highlight w:val="none"/>
              </w:rPr>
            </w:pPr>
          </w:p>
        </w:tc>
        <w:tc>
          <w:tcPr>
            <w:tcW w:w="2209" w:type="dxa"/>
          </w:tcPr>
          <w:p>
            <w:pPr>
              <w:rPr>
                <w:rFonts w:ascii="宋体" w:hAnsi="宋体" w:cs="宋体"/>
                <w:color w:val="auto"/>
                <w:kern w:val="0"/>
                <w:highlight w:val="none"/>
              </w:rPr>
            </w:pPr>
          </w:p>
        </w:tc>
        <w:tc>
          <w:tcPr>
            <w:tcW w:w="2045" w:type="dxa"/>
          </w:tcPr>
          <w:p>
            <w:pPr>
              <w:rPr>
                <w:rFonts w:ascii="宋体" w:hAnsi="宋体" w:cs="宋体"/>
                <w:color w:val="auto"/>
                <w:ker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jc w:val="center"/>
        </w:trPr>
        <w:tc>
          <w:tcPr>
            <w:tcW w:w="889" w:type="dxa"/>
          </w:tcPr>
          <w:p>
            <w:pPr>
              <w:spacing w:before="6"/>
              <w:rPr>
                <w:rFonts w:ascii="宋体" w:hAnsi="宋体" w:cs="宋体"/>
                <w:b/>
                <w:color w:val="auto"/>
                <w:kern w:val="0"/>
                <w:highlight w:val="none"/>
              </w:rPr>
            </w:pPr>
          </w:p>
          <w:p>
            <w:pPr>
              <w:ind w:right="2"/>
              <w:jc w:val="center"/>
              <w:rPr>
                <w:rFonts w:ascii="宋体" w:hAnsi="宋体" w:cs="宋体"/>
                <w:color w:val="auto"/>
                <w:kern w:val="0"/>
                <w:highlight w:val="none"/>
              </w:rPr>
            </w:pPr>
            <w:r>
              <w:rPr>
                <w:rFonts w:hint="eastAsia" w:ascii="宋体" w:hAnsi="宋体" w:cs="宋体"/>
                <w:color w:val="auto"/>
                <w:kern w:val="0"/>
                <w:highlight w:val="none"/>
              </w:rPr>
              <w:t>5</w:t>
            </w:r>
          </w:p>
        </w:tc>
        <w:tc>
          <w:tcPr>
            <w:tcW w:w="3369" w:type="dxa"/>
            <w:vAlign w:val="center"/>
          </w:tcPr>
          <w:p>
            <w:pPr>
              <w:ind w:left="105" w:leftChars="50" w:right="105" w:rightChars="50"/>
              <w:rPr>
                <w:rFonts w:ascii="宋体" w:hAnsi="宋体" w:cs="宋体"/>
                <w:color w:val="auto"/>
                <w:kern w:val="0"/>
                <w:highlight w:val="none"/>
              </w:rPr>
            </w:pPr>
          </w:p>
        </w:tc>
        <w:tc>
          <w:tcPr>
            <w:tcW w:w="2209" w:type="dxa"/>
          </w:tcPr>
          <w:p>
            <w:pPr>
              <w:rPr>
                <w:rFonts w:ascii="宋体" w:hAnsi="宋体" w:cs="宋体"/>
                <w:color w:val="auto"/>
                <w:kern w:val="0"/>
                <w:highlight w:val="none"/>
              </w:rPr>
            </w:pPr>
          </w:p>
        </w:tc>
        <w:tc>
          <w:tcPr>
            <w:tcW w:w="2045" w:type="dxa"/>
          </w:tcPr>
          <w:p>
            <w:pPr>
              <w:rPr>
                <w:rFonts w:ascii="宋体" w:hAnsi="宋体" w:cs="宋体"/>
                <w:color w:val="auto"/>
                <w:kern w:val="0"/>
                <w:highlight w:val="none"/>
              </w:rPr>
            </w:pPr>
          </w:p>
        </w:tc>
      </w:tr>
    </w:tbl>
    <w:p>
      <w:pPr>
        <w:autoSpaceDE w:val="0"/>
        <w:autoSpaceDN w:val="0"/>
        <w:adjustRightInd w:val="0"/>
        <w:jc w:val="left"/>
        <w:rPr>
          <w:rFonts w:ascii="宋体" w:hAnsi="宋体"/>
          <w:color w:val="auto"/>
          <w:highlight w:val="none"/>
        </w:rPr>
      </w:pPr>
    </w:p>
    <w:p>
      <w:pPr>
        <w:autoSpaceDE w:val="0"/>
        <w:autoSpaceDN w:val="0"/>
        <w:adjustRightInd w:val="0"/>
        <w:ind w:firstLine="210" w:firstLineChars="100"/>
        <w:jc w:val="left"/>
        <w:rPr>
          <w:rFonts w:ascii="宋体" w:hAnsi="宋体" w:cs="宋体"/>
          <w:color w:val="auto"/>
          <w:kern w:val="0"/>
          <w:highlight w:val="none"/>
        </w:rPr>
      </w:pPr>
      <w:r>
        <w:rPr>
          <w:rFonts w:hint="eastAsia" w:ascii="宋体" w:hAnsi="宋体"/>
          <w:color w:val="auto"/>
          <w:highlight w:val="none"/>
        </w:rPr>
        <w:t>投标人承诺响应招标文件的全部要求。</w:t>
      </w:r>
    </w:p>
    <w:p>
      <w:pPr>
        <w:autoSpaceDE w:val="0"/>
        <w:autoSpaceDN w:val="0"/>
        <w:adjustRightInd w:val="0"/>
        <w:spacing w:line="440" w:lineRule="exact"/>
        <w:ind w:firstLine="3402" w:firstLineChars="1620"/>
        <w:jc w:val="left"/>
        <w:rPr>
          <w:rFonts w:ascii="宋体" w:hAnsi="宋体" w:cs="宋体"/>
          <w:color w:val="auto"/>
          <w:kern w:val="0"/>
          <w:highlight w:val="none"/>
        </w:rPr>
      </w:pPr>
    </w:p>
    <w:p>
      <w:pPr>
        <w:autoSpaceDE w:val="0"/>
        <w:autoSpaceDN w:val="0"/>
        <w:adjustRightInd w:val="0"/>
        <w:spacing w:line="440" w:lineRule="exact"/>
        <w:ind w:firstLine="3402" w:firstLineChars="1620"/>
        <w:jc w:val="left"/>
        <w:rPr>
          <w:rFonts w:ascii="宋体" w:hAnsi="宋体" w:cs="宋体"/>
          <w:color w:val="auto"/>
          <w:kern w:val="0"/>
          <w:highlight w:val="none"/>
        </w:rPr>
      </w:pPr>
    </w:p>
    <w:p>
      <w:pPr>
        <w:autoSpaceDE w:val="0"/>
        <w:autoSpaceDN w:val="0"/>
        <w:adjustRightInd w:val="0"/>
        <w:spacing w:line="440" w:lineRule="exact"/>
        <w:ind w:firstLine="3402" w:firstLineChars="1620"/>
        <w:jc w:val="left"/>
        <w:rPr>
          <w:rFonts w:ascii="宋体" w:hAnsi="宋体" w:cs="宋体"/>
          <w:color w:val="auto"/>
          <w:kern w:val="0"/>
          <w:highlight w:val="none"/>
        </w:rPr>
      </w:pPr>
      <w:r>
        <w:rPr>
          <w:rFonts w:hint="eastAsia" w:ascii="宋体" w:hAnsi="宋体" w:cs="宋体"/>
          <w:color w:val="auto"/>
          <w:kern w:val="0"/>
          <w:highlight w:val="none"/>
        </w:rPr>
        <w:t>投标人</w:t>
      </w:r>
      <w:r>
        <w:rPr>
          <w:rFonts w:hint="eastAsia" w:ascii="宋体" w:hAnsi="宋体" w:cs="MS Mincho"/>
          <w:color w:val="auto"/>
          <w:kern w:val="0"/>
          <w:highlight w:val="none"/>
        </w:rPr>
        <w:t>：</w:t>
      </w:r>
      <w:r>
        <w:rPr>
          <w:rFonts w:ascii="宋体" w:hAnsi="宋体" w:cs="宋体"/>
          <w:color w:val="auto"/>
          <w:kern w:val="0"/>
          <w:highlight w:val="none"/>
        </w:rPr>
        <w:t xml:space="preserve"> </w:t>
      </w:r>
      <w:r>
        <w:rPr>
          <w:rFonts w:hint="eastAsia" w:ascii="宋体" w:hAnsi="宋体" w:cs="宋体"/>
          <w:color w:val="auto"/>
          <w:kern w:val="0"/>
          <w:highlight w:val="none"/>
          <w:u w:val="single"/>
        </w:rPr>
        <w:t xml:space="preserve">                 （电子签章</w:t>
      </w:r>
      <w:r>
        <w:rPr>
          <w:rFonts w:hint="eastAsia" w:ascii="宋体" w:hAnsi="宋体" w:cs="MS Mincho"/>
          <w:color w:val="auto"/>
          <w:kern w:val="0"/>
          <w:highlight w:val="none"/>
          <w:u w:val="single"/>
        </w:rPr>
        <w:t xml:space="preserve">）   </w:t>
      </w:r>
      <w:r>
        <w:rPr>
          <w:rFonts w:hint="eastAsia" w:ascii="宋体" w:hAnsi="宋体" w:cs="宋体"/>
          <w:color w:val="auto"/>
          <w:kern w:val="0"/>
          <w:highlight w:val="none"/>
          <w:u w:val="single"/>
        </w:rPr>
        <w:t xml:space="preserve"> </w:t>
      </w:r>
    </w:p>
    <w:p>
      <w:pPr>
        <w:autoSpaceDE w:val="0"/>
        <w:autoSpaceDN w:val="0"/>
        <w:adjustRightInd w:val="0"/>
        <w:spacing w:line="440" w:lineRule="exact"/>
        <w:ind w:firstLine="3402" w:firstLineChars="1620"/>
        <w:jc w:val="left"/>
        <w:rPr>
          <w:rFonts w:ascii="宋体" w:hAnsi="宋体" w:cs="宋体"/>
          <w:color w:val="auto"/>
          <w:kern w:val="0"/>
          <w:highlight w:val="none"/>
        </w:rPr>
      </w:pPr>
      <w:r>
        <w:rPr>
          <w:rFonts w:hint="eastAsia" w:ascii="宋体" w:hAnsi="宋体" w:cs="宋体"/>
          <w:color w:val="auto"/>
          <w:kern w:val="0"/>
          <w:highlight w:val="none"/>
        </w:rPr>
        <w:t>法定代表人或其委托代理人：</w:t>
      </w:r>
      <w:r>
        <w:rPr>
          <w:rFonts w:hint="eastAsia" w:ascii="宋体" w:hAnsi="宋体" w:cs="宋体"/>
          <w:color w:val="auto"/>
          <w:kern w:val="0"/>
          <w:highlight w:val="none"/>
          <w:u w:val="single"/>
        </w:rPr>
        <w:t xml:space="preserve">          （签</w:t>
      </w:r>
      <w:r>
        <w:rPr>
          <w:rFonts w:hint="eastAsia" w:ascii="宋体" w:hAnsi="宋体" w:cs="MS Mincho"/>
          <w:color w:val="auto"/>
          <w:kern w:val="0"/>
          <w:highlight w:val="none"/>
          <w:u w:val="single"/>
        </w:rPr>
        <w:t>字或签章）</w:t>
      </w:r>
    </w:p>
    <w:p>
      <w:pPr>
        <w:autoSpaceDE w:val="0"/>
        <w:autoSpaceDN w:val="0"/>
        <w:adjustRightInd w:val="0"/>
        <w:spacing w:line="440" w:lineRule="exact"/>
        <w:ind w:firstLine="3402" w:firstLineChars="1620"/>
        <w:jc w:val="left"/>
        <w:rPr>
          <w:rFonts w:ascii="宋体" w:hAnsi="宋体" w:cs="宋体"/>
          <w:color w:val="auto"/>
          <w:kern w:val="0"/>
          <w:highlight w:val="none"/>
        </w:rPr>
      </w:pPr>
      <w:r>
        <w:rPr>
          <w:rFonts w:hint="eastAsia" w:ascii="宋体" w:hAnsi="宋体" w:cs="宋体"/>
          <w:color w:val="auto"/>
          <w:kern w:val="0"/>
          <w:highlight w:val="none"/>
        </w:rPr>
        <w:t>日期：</w:t>
      </w:r>
      <w:r>
        <w:rPr>
          <w:rFonts w:hint="eastAsia" w:ascii="宋体" w:hAnsi="宋体" w:cs="宋体"/>
          <w:color w:val="auto"/>
          <w:kern w:val="0"/>
          <w:highlight w:val="none"/>
          <w:u w:val="single"/>
        </w:rPr>
        <w:t xml:space="preserve">         </w:t>
      </w:r>
      <w:r>
        <w:rPr>
          <w:rFonts w:ascii="宋体" w:hAnsi="宋体" w:cs="宋体"/>
          <w:color w:val="auto"/>
          <w:kern w:val="0"/>
          <w:highlight w:val="none"/>
        </w:rPr>
        <w:t xml:space="preserve"> </w:t>
      </w:r>
      <w:r>
        <w:rPr>
          <w:rFonts w:hint="eastAsia" w:ascii="宋体" w:hAnsi="宋体" w:cs="宋体"/>
          <w:color w:val="auto"/>
          <w:kern w:val="0"/>
          <w:highlight w:val="none"/>
        </w:rPr>
        <w:t>年</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月</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日</w:t>
      </w:r>
    </w:p>
    <w:p>
      <w:pPr>
        <w:rPr>
          <w:rFonts w:ascii="宋体" w:hAnsi="宋体"/>
          <w:color w:val="auto"/>
          <w:highlight w:val="none"/>
        </w:rPr>
      </w:pPr>
      <w:r>
        <w:rPr>
          <w:rFonts w:ascii="宋体" w:hAnsi="宋体"/>
          <w:color w:val="auto"/>
          <w:highlight w:val="none"/>
        </w:rPr>
        <w:br w:type="page"/>
      </w:r>
    </w:p>
    <w:p>
      <w:pPr>
        <w:pStyle w:val="5"/>
        <w:jc w:val="center"/>
        <w:rPr>
          <w:rFonts w:ascii="宋体"/>
          <w:color w:val="auto"/>
          <w:sz w:val="24"/>
          <w:szCs w:val="24"/>
          <w:highlight w:val="none"/>
        </w:rPr>
      </w:pPr>
      <w:r>
        <w:rPr>
          <w:rFonts w:hint="eastAsia" w:ascii="宋体"/>
          <w:color w:val="auto"/>
          <w:sz w:val="24"/>
          <w:szCs w:val="24"/>
          <w:highlight w:val="none"/>
          <w:lang w:val="en-US" w:eastAsia="zh-CN"/>
        </w:rPr>
        <w:t>8</w:t>
      </w:r>
      <w:r>
        <w:rPr>
          <w:rFonts w:hint="eastAsia" w:ascii="宋体"/>
          <w:color w:val="auto"/>
          <w:sz w:val="24"/>
          <w:szCs w:val="24"/>
          <w:highlight w:val="none"/>
        </w:rPr>
        <w:t>.2技术性能偏离表</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62"/>
        <w:gridCol w:w="2753"/>
        <w:gridCol w:w="2633"/>
        <w:gridCol w:w="1394"/>
        <w:gridCol w:w="18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66" w:hRule="exact"/>
          <w:jc w:val="center"/>
        </w:trPr>
        <w:tc>
          <w:tcPr>
            <w:tcW w:w="862" w:type="dxa"/>
            <w:vAlign w:val="center"/>
          </w:tcPr>
          <w:p>
            <w:pPr>
              <w:jc w:val="center"/>
              <w:rPr>
                <w:rFonts w:ascii="宋体" w:hAnsi="宋体" w:cs="宋体"/>
                <w:color w:val="auto"/>
                <w:highlight w:val="none"/>
              </w:rPr>
            </w:pPr>
            <w:r>
              <w:rPr>
                <w:rFonts w:hint="eastAsia" w:ascii="宋体" w:hAnsi="宋体" w:cs="宋体"/>
                <w:color w:val="auto"/>
                <w:highlight w:val="none"/>
              </w:rPr>
              <w:t>序号</w:t>
            </w:r>
          </w:p>
        </w:tc>
        <w:tc>
          <w:tcPr>
            <w:tcW w:w="2753" w:type="dxa"/>
            <w:vAlign w:val="center"/>
          </w:tcPr>
          <w:p>
            <w:pPr>
              <w:jc w:val="center"/>
              <w:rPr>
                <w:rFonts w:ascii="宋体" w:hAnsi="宋体" w:cs="宋体"/>
                <w:color w:val="auto"/>
                <w:highlight w:val="none"/>
              </w:rPr>
            </w:pPr>
            <w:r>
              <w:rPr>
                <w:rFonts w:hint="eastAsia" w:ascii="宋体" w:hAnsi="宋体" w:cs="宋体"/>
                <w:color w:val="auto"/>
                <w:highlight w:val="none"/>
              </w:rPr>
              <w:t>招标规格</w:t>
            </w:r>
          </w:p>
        </w:tc>
        <w:tc>
          <w:tcPr>
            <w:tcW w:w="2633" w:type="dxa"/>
            <w:vAlign w:val="center"/>
          </w:tcPr>
          <w:p>
            <w:pPr>
              <w:jc w:val="center"/>
              <w:rPr>
                <w:rFonts w:ascii="宋体" w:hAnsi="宋体" w:cs="宋体"/>
                <w:color w:val="auto"/>
                <w:highlight w:val="none"/>
              </w:rPr>
            </w:pPr>
            <w:r>
              <w:rPr>
                <w:rFonts w:hint="eastAsia" w:ascii="宋体" w:hAnsi="宋体" w:cs="宋体"/>
                <w:color w:val="auto"/>
                <w:highlight w:val="none"/>
              </w:rPr>
              <w:t>投标规格</w:t>
            </w:r>
          </w:p>
        </w:tc>
        <w:tc>
          <w:tcPr>
            <w:tcW w:w="1394" w:type="dxa"/>
            <w:vAlign w:val="center"/>
          </w:tcPr>
          <w:p>
            <w:pPr>
              <w:jc w:val="center"/>
              <w:rPr>
                <w:rFonts w:ascii="宋体" w:hAnsi="宋体" w:cs="宋体"/>
                <w:color w:val="auto"/>
                <w:highlight w:val="none"/>
              </w:rPr>
            </w:pPr>
            <w:r>
              <w:rPr>
                <w:rFonts w:hint="eastAsia" w:ascii="宋体" w:hAnsi="宋体" w:cs="宋体"/>
                <w:color w:val="auto"/>
                <w:highlight w:val="none"/>
              </w:rPr>
              <w:t>偏离说明</w:t>
            </w:r>
          </w:p>
        </w:tc>
        <w:tc>
          <w:tcPr>
            <w:tcW w:w="1858" w:type="dxa"/>
            <w:vAlign w:val="center"/>
          </w:tcPr>
          <w:p>
            <w:pPr>
              <w:jc w:val="center"/>
              <w:rPr>
                <w:rFonts w:ascii="宋体" w:hAnsi="宋体" w:cs="宋体"/>
                <w:color w:val="auto"/>
                <w:highlight w:val="none"/>
              </w:rPr>
            </w:pPr>
            <w:r>
              <w:rPr>
                <w:rFonts w:hint="eastAsia" w:ascii="宋体" w:hAnsi="宋体" w:cs="宋体"/>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66" w:hRule="exact"/>
          <w:jc w:val="center"/>
        </w:trPr>
        <w:tc>
          <w:tcPr>
            <w:tcW w:w="862" w:type="dxa"/>
            <w:vAlign w:val="center"/>
          </w:tcPr>
          <w:p>
            <w:pPr>
              <w:jc w:val="center"/>
              <w:rPr>
                <w:color w:val="auto"/>
                <w:highlight w:val="none"/>
              </w:rPr>
            </w:pPr>
          </w:p>
        </w:tc>
        <w:tc>
          <w:tcPr>
            <w:tcW w:w="2753" w:type="dxa"/>
            <w:vAlign w:val="center"/>
          </w:tcPr>
          <w:p>
            <w:pPr>
              <w:jc w:val="center"/>
              <w:rPr>
                <w:rFonts w:ascii="宋体" w:hAnsi="宋体" w:cs="宋体"/>
                <w:color w:val="auto"/>
                <w:highlight w:val="none"/>
              </w:rPr>
            </w:pPr>
          </w:p>
        </w:tc>
        <w:tc>
          <w:tcPr>
            <w:tcW w:w="2633" w:type="dxa"/>
            <w:vAlign w:val="center"/>
          </w:tcPr>
          <w:p>
            <w:pPr>
              <w:jc w:val="center"/>
              <w:rPr>
                <w:rFonts w:ascii="宋体" w:hAnsi="宋体" w:cs="宋体"/>
                <w:color w:val="auto"/>
                <w:highlight w:val="none"/>
              </w:rPr>
            </w:pPr>
          </w:p>
        </w:tc>
        <w:tc>
          <w:tcPr>
            <w:tcW w:w="1394" w:type="dxa"/>
            <w:vAlign w:val="center"/>
          </w:tcPr>
          <w:p>
            <w:pPr>
              <w:jc w:val="center"/>
              <w:rPr>
                <w:rFonts w:ascii="宋体" w:hAnsi="宋体" w:cs="宋体"/>
                <w:color w:val="auto"/>
                <w:highlight w:val="none"/>
              </w:rPr>
            </w:pPr>
          </w:p>
        </w:tc>
        <w:tc>
          <w:tcPr>
            <w:tcW w:w="1858" w:type="dxa"/>
            <w:vAlign w:val="center"/>
          </w:tcPr>
          <w:p>
            <w:pPr>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66" w:hRule="exact"/>
          <w:jc w:val="center"/>
        </w:trPr>
        <w:tc>
          <w:tcPr>
            <w:tcW w:w="862" w:type="dxa"/>
            <w:vAlign w:val="center"/>
          </w:tcPr>
          <w:p>
            <w:pPr>
              <w:pStyle w:val="2"/>
              <w:jc w:val="center"/>
              <w:rPr>
                <w:rFonts w:ascii="宋体" w:hAnsi="宋体"/>
                <w:color w:val="auto"/>
                <w:kern w:val="2"/>
                <w:highlight w:val="none"/>
              </w:rPr>
            </w:pPr>
          </w:p>
        </w:tc>
        <w:tc>
          <w:tcPr>
            <w:tcW w:w="2753" w:type="dxa"/>
            <w:vAlign w:val="center"/>
          </w:tcPr>
          <w:p>
            <w:pPr>
              <w:jc w:val="center"/>
              <w:rPr>
                <w:rFonts w:ascii="宋体" w:hAnsi="宋体" w:cs="宋体"/>
                <w:color w:val="auto"/>
                <w:highlight w:val="none"/>
              </w:rPr>
            </w:pPr>
          </w:p>
        </w:tc>
        <w:tc>
          <w:tcPr>
            <w:tcW w:w="2633" w:type="dxa"/>
            <w:vAlign w:val="center"/>
          </w:tcPr>
          <w:p>
            <w:pPr>
              <w:jc w:val="center"/>
              <w:rPr>
                <w:rFonts w:ascii="宋体" w:hAnsi="宋体" w:cs="宋体"/>
                <w:color w:val="auto"/>
                <w:highlight w:val="none"/>
              </w:rPr>
            </w:pPr>
          </w:p>
        </w:tc>
        <w:tc>
          <w:tcPr>
            <w:tcW w:w="1394" w:type="dxa"/>
            <w:vAlign w:val="center"/>
          </w:tcPr>
          <w:p>
            <w:pPr>
              <w:jc w:val="center"/>
              <w:rPr>
                <w:rFonts w:ascii="宋体" w:hAnsi="宋体" w:cs="宋体"/>
                <w:color w:val="auto"/>
                <w:highlight w:val="none"/>
              </w:rPr>
            </w:pPr>
          </w:p>
        </w:tc>
        <w:tc>
          <w:tcPr>
            <w:tcW w:w="1858" w:type="dxa"/>
            <w:vAlign w:val="center"/>
          </w:tcPr>
          <w:p>
            <w:pPr>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66" w:hRule="exact"/>
          <w:jc w:val="center"/>
        </w:trPr>
        <w:tc>
          <w:tcPr>
            <w:tcW w:w="862" w:type="dxa"/>
            <w:vAlign w:val="center"/>
          </w:tcPr>
          <w:p>
            <w:pPr>
              <w:pStyle w:val="2"/>
              <w:jc w:val="center"/>
              <w:rPr>
                <w:rFonts w:ascii="宋体" w:hAnsi="宋体"/>
                <w:color w:val="auto"/>
                <w:kern w:val="2"/>
                <w:highlight w:val="none"/>
              </w:rPr>
            </w:pPr>
          </w:p>
        </w:tc>
        <w:tc>
          <w:tcPr>
            <w:tcW w:w="2753" w:type="dxa"/>
            <w:vAlign w:val="center"/>
          </w:tcPr>
          <w:p>
            <w:pPr>
              <w:jc w:val="center"/>
              <w:rPr>
                <w:rFonts w:ascii="宋体" w:hAnsi="宋体" w:cs="宋体"/>
                <w:color w:val="auto"/>
                <w:highlight w:val="none"/>
              </w:rPr>
            </w:pPr>
          </w:p>
        </w:tc>
        <w:tc>
          <w:tcPr>
            <w:tcW w:w="2633" w:type="dxa"/>
            <w:vAlign w:val="center"/>
          </w:tcPr>
          <w:p>
            <w:pPr>
              <w:jc w:val="center"/>
              <w:rPr>
                <w:rFonts w:ascii="宋体" w:hAnsi="宋体" w:cs="宋体"/>
                <w:color w:val="auto"/>
                <w:highlight w:val="none"/>
              </w:rPr>
            </w:pPr>
          </w:p>
        </w:tc>
        <w:tc>
          <w:tcPr>
            <w:tcW w:w="1394" w:type="dxa"/>
            <w:vAlign w:val="center"/>
          </w:tcPr>
          <w:p>
            <w:pPr>
              <w:jc w:val="center"/>
              <w:rPr>
                <w:rFonts w:ascii="宋体" w:hAnsi="宋体" w:cs="宋体"/>
                <w:color w:val="auto"/>
                <w:highlight w:val="none"/>
              </w:rPr>
            </w:pPr>
          </w:p>
        </w:tc>
        <w:tc>
          <w:tcPr>
            <w:tcW w:w="1858" w:type="dxa"/>
            <w:vAlign w:val="center"/>
          </w:tcPr>
          <w:p>
            <w:pPr>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66" w:hRule="exact"/>
          <w:jc w:val="center"/>
        </w:trPr>
        <w:tc>
          <w:tcPr>
            <w:tcW w:w="862" w:type="dxa"/>
            <w:vAlign w:val="center"/>
          </w:tcPr>
          <w:p>
            <w:pPr>
              <w:jc w:val="center"/>
              <w:rPr>
                <w:rFonts w:ascii="宋体" w:hAnsi="宋体" w:cs="宋体"/>
                <w:color w:val="auto"/>
                <w:highlight w:val="none"/>
              </w:rPr>
            </w:pPr>
          </w:p>
        </w:tc>
        <w:tc>
          <w:tcPr>
            <w:tcW w:w="2753" w:type="dxa"/>
            <w:vAlign w:val="center"/>
          </w:tcPr>
          <w:p>
            <w:pPr>
              <w:jc w:val="center"/>
              <w:rPr>
                <w:rFonts w:ascii="宋体" w:hAnsi="宋体" w:cs="宋体"/>
                <w:color w:val="auto"/>
                <w:highlight w:val="none"/>
              </w:rPr>
            </w:pPr>
          </w:p>
        </w:tc>
        <w:tc>
          <w:tcPr>
            <w:tcW w:w="2633" w:type="dxa"/>
            <w:vAlign w:val="center"/>
          </w:tcPr>
          <w:p>
            <w:pPr>
              <w:jc w:val="center"/>
              <w:rPr>
                <w:rFonts w:ascii="宋体" w:hAnsi="宋体" w:cs="宋体"/>
                <w:color w:val="auto"/>
                <w:highlight w:val="none"/>
              </w:rPr>
            </w:pPr>
          </w:p>
        </w:tc>
        <w:tc>
          <w:tcPr>
            <w:tcW w:w="1394" w:type="dxa"/>
            <w:vAlign w:val="center"/>
          </w:tcPr>
          <w:p>
            <w:pPr>
              <w:jc w:val="center"/>
              <w:rPr>
                <w:rFonts w:ascii="宋体" w:hAnsi="宋体" w:cs="宋体"/>
                <w:color w:val="auto"/>
                <w:highlight w:val="none"/>
              </w:rPr>
            </w:pPr>
          </w:p>
        </w:tc>
        <w:tc>
          <w:tcPr>
            <w:tcW w:w="1858" w:type="dxa"/>
            <w:vAlign w:val="center"/>
          </w:tcPr>
          <w:p>
            <w:pPr>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66" w:hRule="exact"/>
          <w:jc w:val="center"/>
        </w:trPr>
        <w:tc>
          <w:tcPr>
            <w:tcW w:w="862" w:type="dxa"/>
            <w:vAlign w:val="center"/>
          </w:tcPr>
          <w:p>
            <w:pPr>
              <w:jc w:val="center"/>
              <w:rPr>
                <w:rFonts w:ascii="宋体" w:hAnsi="宋体" w:cs="宋体"/>
                <w:color w:val="auto"/>
                <w:highlight w:val="none"/>
              </w:rPr>
            </w:pPr>
          </w:p>
        </w:tc>
        <w:tc>
          <w:tcPr>
            <w:tcW w:w="2753" w:type="dxa"/>
            <w:vAlign w:val="center"/>
          </w:tcPr>
          <w:p>
            <w:pPr>
              <w:jc w:val="center"/>
              <w:rPr>
                <w:rFonts w:ascii="宋体" w:hAnsi="宋体" w:cs="宋体"/>
                <w:color w:val="auto"/>
                <w:highlight w:val="none"/>
              </w:rPr>
            </w:pPr>
          </w:p>
        </w:tc>
        <w:tc>
          <w:tcPr>
            <w:tcW w:w="2633" w:type="dxa"/>
            <w:vAlign w:val="center"/>
          </w:tcPr>
          <w:p>
            <w:pPr>
              <w:jc w:val="center"/>
              <w:rPr>
                <w:rFonts w:ascii="宋体" w:hAnsi="宋体" w:cs="宋体"/>
                <w:color w:val="auto"/>
                <w:highlight w:val="none"/>
              </w:rPr>
            </w:pPr>
          </w:p>
        </w:tc>
        <w:tc>
          <w:tcPr>
            <w:tcW w:w="1394" w:type="dxa"/>
            <w:vAlign w:val="center"/>
          </w:tcPr>
          <w:p>
            <w:pPr>
              <w:jc w:val="center"/>
              <w:rPr>
                <w:rFonts w:ascii="宋体" w:hAnsi="宋体" w:cs="宋体"/>
                <w:color w:val="auto"/>
                <w:highlight w:val="none"/>
              </w:rPr>
            </w:pPr>
          </w:p>
        </w:tc>
        <w:tc>
          <w:tcPr>
            <w:tcW w:w="1858" w:type="dxa"/>
            <w:vAlign w:val="center"/>
          </w:tcPr>
          <w:p>
            <w:pPr>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89" w:hRule="exact"/>
          <w:jc w:val="center"/>
        </w:trPr>
        <w:tc>
          <w:tcPr>
            <w:tcW w:w="862" w:type="dxa"/>
            <w:vAlign w:val="center"/>
          </w:tcPr>
          <w:p>
            <w:pPr>
              <w:jc w:val="center"/>
              <w:rPr>
                <w:rFonts w:ascii="宋体" w:hAnsi="宋体" w:cs="宋体"/>
                <w:color w:val="auto"/>
                <w:highlight w:val="none"/>
              </w:rPr>
            </w:pPr>
            <w:r>
              <w:rPr>
                <w:rFonts w:hint="eastAsia" w:ascii="宋体" w:hAnsi="宋体" w:cs="宋体"/>
                <w:color w:val="auto"/>
                <w:highlight w:val="none"/>
              </w:rPr>
              <w:t>...</w:t>
            </w:r>
          </w:p>
        </w:tc>
        <w:tc>
          <w:tcPr>
            <w:tcW w:w="2753" w:type="dxa"/>
            <w:vAlign w:val="center"/>
          </w:tcPr>
          <w:p>
            <w:pPr>
              <w:jc w:val="center"/>
              <w:rPr>
                <w:rFonts w:ascii="宋体" w:hAnsi="宋体" w:cs="宋体"/>
                <w:color w:val="auto"/>
                <w:highlight w:val="none"/>
              </w:rPr>
            </w:pPr>
          </w:p>
        </w:tc>
        <w:tc>
          <w:tcPr>
            <w:tcW w:w="2633" w:type="dxa"/>
            <w:vAlign w:val="center"/>
          </w:tcPr>
          <w:p>
            <w:pPr>
              <w:jc w:val="center"/>
              <w:rPr>
                <w:rFonts w:ascii="宋体" w:hAnsi="宋体" w:cs="宋体"/>
                <w:color w:val="auto"/>
                <w:highlight w:val="none"/>
              </w:rPr>
            </w:pPr>
          </w:p>
        </w:tc>
        <w:tc>
          <w:tcPr>
            <w:tcW w:w="1394" w:type="dxa"/>
            <w:vAlign w:val="center"/>
          </w:tcPr>
          <w:p>
            <w:pPr>
              <w:jc w:val="center"/>
              <w:rPr>
                <w:rFonts w:ascii="宋体" w:hAnsi="宋体" w:cs="宋体"/>
                <w:color w:val="auto"/>
                <w:highlight w:val="none"/>
              </w:rPr>
            </w:pPr>
          </w:p>
        </w:tc>
        <w:tc>
          <w:tcPr>
            <w:tcW w:w="1858" w:type="dxa"/>
            <w:vAlign w:val="center"/>
          </w:tcPr>
          <w:p>
            <w:pPr>
              <w:jc w:val="center"/>
              <w:rPr>
                <w:rFonts w:ascii="宋体" w:hAnsi="宋体" w:cs="宋体"/>
                <w:color w:val="auto"/>
                <w:highlight w:val="none"/>
              </w:rPr>
            </w:pPr>
          </w:p>
        </w:tc>
      </w:tr>
    </w:tbl>
    <w:p>
      <w:pPr>
        <w:spacing w:line="440" w:lineRule="exact"/>
        <w:rPr>
          <w:rFonts w:ascii="宋体" w:hAnsi="宋体" w:cs="宋体"/>
          <w:color w:val="auto"/>
          <w:kern w:val="0"/>
          <w:highlight w:val="none"/>
        </w:rPr>
      </w:pPr>
      <w:r>
        <w:rPr>
          <w:rFonts w:hint="eastAsia" w:ascii="宋体" w:hAnsi="宋体" w:cs="宋体"/>
          <w:color w:val="auto"/>
          <w:kern w:val="0"/>
          <w:highlight w:val="none"/>
        </w:rPr>
        <w:t>说明：</w:t>
      </w:r>
    </w:p>
    <w:p>
      <w:pPr>
        <w:spacing w:line="400" w:lineRule="exact"/>
        <w:rPr>
          <w:rFonts w:ascii="宋体" w:hAnsi="宋体" w:cs="宋体"/>
          <w:color w:val="auto"/>
          <w:kern w:val="0"/>
          <w:highlight w:val="none"/>
        </w:rPr>
      </w:pPr>
      <w:r>
        <w:rPr>
          <w:rFonts w:hint="eastAsia" w:ascii="宋体" w:hAnsi="宋体" w:cs="宋体"/>
          <w:color w:val="auto"/>
          <w:kern w:val="0"/>
          <w:highlight w:val="none"/>
        </w:rPr>
        <w:t>1.表中“招标规格”一栏严格按招标文件第五章技术标准和要求逐项填写，不能私自修改产品技术规格。</w:t>
      </w:r>
    </w:p>
    <w:p>
      <w:pPr>
        <w:spacing w:line="400" w:lineRule="exact"/>
        <w:rPr>
          <w:rFonts w:ascii="宋体" w:hAnsi="宋体" w:cs="宋体"/>
          <w:color w:val="auto"/>
          <w:kern w:val="0"/>
          <w:highlight w:val="none"/>
        </w:rPr>
      </w:pPr>
      <w:r>
        <w:rPr>
          <w:rFonts w:hint="eastAsia" w:ascii="宋体" w:hAnsi="宋体" w:cs="宋体"/>
          <w:color w:val="auto"/>
          <w:kern w:val="0"/>
          <w:highlight w:val="none"/>
        </w:rPr>
        <w:t>2.表中“投标规格”一栏投标人填写所投产品此条款的实际规格性能，需逐项如实填写。</w:t>
      </w:r>
    </w:p>
    <w:p>
      <w:pPr>
        <w:pStyle w:val="15"/>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3.表中“偏离说明”一栏投标人对所投产品的“招标规格”与“投标规格”进行对比后填写偏离说明。（如：无偏离请填写“无偏离”的字样；正偏离请填写“正偏离”字样并对在“备注”一栏对正偏离进行具体说明；负偏离请填写“负偏离”字样并在“备注”一栏对负偏离进行具体说明。）</w:t>
      </w:r>
    </w:p>
    <w:p>
      <w:pPr>
        <w:rPr>
          <w:rFonts w:hint="eastAsia" w:ascii="宋体" w:hAnsi="宋体"/>
          <w:color w:val="auto"/>
          <w:sz w:val="28"/>
          <w:szCs w:val="28"/>
          <w:highlight w:val="none"/>
        </w:rPr>
      </w:pPr>
      <w:r>
        <w:rPr>
          <w:rFonts w:hint="eastAsia" w:ascii="宋体" w:hAnsi="宋体"/>
          <w:color w:val="auto"/>
          <w:sz w:val="28"/>
          <w:szCs w:val="28"/>
          <w:highlight w:val="none"/>
        </w:rPr>
        <w:br w:type="page"/>
      </w:r>
    </w:p>
    <w:p>
      <w:pPr>
        <w:pStyle w:val="4"/>
        <w:ind w:left="0" w:firstLine="0"/>
        <w:rPr>
          <w:rFonts w:ascii="宋体" w:hAnsi="宋体" w:cs="宋体"/>
          <w:color w:val="auto"/>
          <w:sz w:val="28"/>
          <w:szCs w:val="28"/>
          <w:highlight w:val="none"/>
        </w:rPr>
      </w:pPr>
      <w:bookmarkStart w:id="486" w:name="_Toc5783"/>
      <w:r>
        <w:rPr>
          <w:rFonts w:hint="eastAsia" w:ascii="宋体" w:hAnsi="宋体"/>
          <w:color w:val="auto"/>
          <w:sz w:val="28"/>
          <w:szCs w:val="28"/>
          <w:highlight w:val="none"/>
        </w:rPr>
        <w:t>九、</w:t>
      </w:r>
      <w:r>
        <w:rPr>
          <w:rFonts w:hint="eastAsia" w:ascii="宋体" w:hAnsi="宋体" w:cs="宋体"/>
          <w:color w:val="auto"/>
          <w:sz w:val="28"/>
          <w:szCs w:val="28"/>
          <w:highlight w:val="none"/>
        </w:rPr>
        <w:t>技术证明文件</w:t>
      </w:r>
      <w:bookmarkEnd w:id="485"/>
      <w:bookmarkEnd w:id="486"/>
    </w:p>
    <w:p>
      <w:pPr>
        <w:widowControl/>
        <w:spacing w:line="360" w:lineRule="auto"/>
        <w:jc w:val="left"/>
        <w:rPr>
          <w:rFonts w:ascii="宋体" w:hAnsi="宋体" w:cs="宋体"/>
          <w:bCs/>
          <w:color w:val="auto"/>
          <w:kern w:val="0"/>
          <w:highlight w:val="none"/>
        </w:rPr>
      </w:pPr>
      <w:r>
        <w:rPr>
          <w:rFonts w:hint="eastAsia" w:ascii="宋体" w:hAnsi="宋体" w:cs="宋体"/>
          <w:bCs/>
          <w:color w:val="auto"/>
          <w:kern w:val="0"/>
          <w:highlight w:val="none"/>
        </w:rPr>
        <w:t>（1）产品规格一览表</w:t>
      </w:r>
    </w:p>
    <w:tbl>
      <w:tblPr>
        <w:tblStyle w:val="48"/>
        <w:tblW w:w="9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1863"/>
        <w:gridCol w:w="5169"/>
        <w:gridCol w:w="768"/>
        <w:gridCol w:w="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22" w:type="dxa"/>
            <w:vAlign w:val="center"/>
          </w:tcPr>
          <w:p>
            <w:pPr>
              <w:spacing w:line="280" w:lineRule="exact"/>
              <w:jc w:val="center"/>
              <w:rPr>
                <w:rFonts w:ascii="宋体" w:hAnsi="宋体" w:cs="宋体"/>
                <w:color w:val="auto"/>
                <w:highlight w:val="none"/>
              </w:rPr>
            </w:pPr>
            <w:r>
              <w:rPr>
                <w:rFonts w:hint="eastAsia" w:ascii="宋体" w:hAnsi="宋体" w:cs="宋体"/>
                <w:color w:val="auto"/>
                <w:highlight w:val="none"/>
              </w:rPr>
              <w:t>序号</w:t>
            </w:r>
          </w:p>
        </w:tc>
        <w:tc>
          <w:tcPr>
            <w:tcW w:w="1863" w:type="dxa"/>
            <w:vAlign w:val="center"/>
          </w:tcPr>
          <w:p>
            <w:pPr>
              <w:spacing w:line="280" w:lineRule="exact"/>
              <w:jc w:val="center"/>
              <w:rPr>
                <w:rFonts w:ascii="宋体" w:hAnsi="宋体" w:cs="宋体"/>
                <w:color w:val="auto"/>
                <w:highlight w:val="none"/>
              </w:rPr>
            </w:pPr>
            <w:r>
              <w:rPr>
                <w:rFonts w:hint="eastAsia" w:ascii="宋体" w:hAnsi="宋体" w:cs="宋体"/>
                <w:color w:val="auto"/>
                <w:highlight w:val="none"/>
              </w:rPr>
              <w:t>货物名称</w:t>
            </w:r>
          </w:p>
        </w:tc>
        <w:tc>
          <w:tcPr>
            <w:tcW w:w="5169" w:type="dxa"/>
            <w:vAlign w:val="center"/>
          </w:tcPr>
          <w:p>
            <w:pPr>
              <w:spacing w:line="280" w:lineRule="exact"/>
              <w:rPr>
                <w:rFonts w:ascii="宋体" w:hAnsi="宋体" w:cs="宋体"/>
                <w:color w:val="auto"/>
                <w:highlight w:val="none"/>
              </w:rPr>
            </w:pPr>
            <w:r>
              <w:rPr>
                <w:rFonts w:hint="eastAsia" w:ascii="宋体" w:hAnsi="宋体" w:cs="宋体"/>
                <w:color w:val="auto"/>
                <w:highlight w:val="none"/>
              </w:rPr>
              <w:t>具体技术规格参数、功能描述及配置清单描述</w:t>
            </w:r>
          </w:p>
        </w:tc>
        <w:tc>
          <w:tcPr>
            <w:tcW w:w="768" w:type="dxa"/>
            <w:vAlign w:val="center"/>
          </w:tcPr>
          <w:p>
            <w:pPr>
              <w:spacing w:line="280" w:lineRule="exact"/>
              <w:jc w:val="center"/>
              <w:rPr>
                <w:rFonts w:ascii="宋体" w:hAnsi="宋体" w:cs="宋体"/>
                <w:color w:val="auto"/>
                <w:highlight w:val="none"/>
              </w:rPr>
            </w:pPr>
            <w:r>
              <w:rPr>
                <w:rFonts w:hint="eastAsia" w:ascii="宋体" w:hAnsi="宋体" w:cs="宋体"/>
                <w:color w:val="auto"/>
                <w:highlight w:val="none"/>
              </w:rPr>
              <w:t>单位</w:t>
            </w:r>
          </w:p>
        </w:tc>
        <w:tc>
          <w:tcPr>
            <w:tcW w:w="677" w:type="dxa"/>
            <w:vAlign w:val="center"/>
          </w:tcPr>
          <w:p>
            <w:pPr>
              <w:spacing w:line="280" w:lineRule="exact"/>
              <w:jc w:val="center"/>
              <w:rPr>
                <w:rFonts w:ascii="宋体" w:hAnsi="宋体" w:cs="宋体"/>
                <w:color w:val="auto"/>
                <w:highlight w:val="none"/>
              </w:rPr>
            </w:pPr>
            <w:r>
              <w:rPr>
                <w:rFonts w:hint="eastAsia" w:ascii="宋体" w:hAnsi="宋体" w:cs="宋体"/>
                <w:color w:val="auto"/>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22" w:type="dxa"/>
          </w:tcPr>
          <w:p>
            <w:pPr>
              <w:spacing w:line="360" w:lineRule="auto"/>
              <w:jc w:val="center"/>
              <w:rPr>
                <w:rFonts w:ascii="宋体" w:hAnsi="宋体" w:cs="宋体"/>
                <w:color w:val="auto"/>
                <w:highlight w:val="none"/>
              </w:rPr>
            </w:pPr>
            <w:r>
              <w:rPr>
                <w:rFonts w:hint="eastAsia" w:ascii="宋体" w:hAnsi="宋体" w:cs="宋体"/>
                <w:color w:val="auto"/>
                <w:highlight w:val="none"/>
              </w:rPr>
              <w:t>1</w:t>
            </w:r>
          </w:p>
        </w:tc>
        <w:tc>
          <w:tcPr>
            <w:tcW w:w="1863" w:type="dxa"/>
          </w:tcPr>
          <w:p>
            <w:pPr>
              <w:spacing w:line="360" w:lineRule="auto"/>
              <w:rPr>
                <w:rFonts w:ascii="宋体" w:hAnsi="宋体" w:cs="宋体"/>
                <w:color w:val="auto"/>
                <w:highlight w:val="none"/>
              </w:rPr>
            </w:pPr>
          </w:p>
        </w:tc>
        <w:tc>
          <w:tcPr>
            <w:tcW w:w="5169" w:type="dxa"/>
          </w:tcPr>
          <w:p>
            <w:pPr>
              <w:spacing w:line="360" w:lineRule="auto"/>
              <w:rPr>
                <w:rFonts w:ascii="宋体" w:hAnsi="宋体" w:cs="宋体"/>
                <w:color w:val="auto"/>
                <w:highlight w:val="none"/>
              </w:rPr>
            </w:pPr>
          </w:p>
        </w:tc>
        <w:tc>
          <w:tcPr>
            <w:tcW w:w="768" w:type="dxa"/>
          </w:tcPr>
          <w:p>
            <w:pPr>
              <w:spacing w:line="360" w:lineRule="auto"/>
              <w:rPr>
                <w:rFonts w:ascii="宋体" w:hAnsi="宋体" w:cs="宋体"/>
                <w:color w:val="auto"/>
                <w:highlight w:val="none"/>
              </w:rPr>
            </w:pPr>
          </w:p>
        </w:tc>
        <w:tc>
          <w:tcPr>
            <w:tcW w:w="677" w:type="dxa"/>
          </w:tcPr>
          <w:p>
            <w:pPr>
              <w:spacing w:line="360" w:lineRule="auto"/>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22" w:type="dxa"/>
          </w:tcPr>
          <w:p>
            <w:pPr>
              <w:spacing w:line="360" w:lineRule="auto"/>
              <w:jc w:val="center"/>
              <w:rPr>
                <w:rFonts w:ascii="宋体" w:hAnsi="宋体" w:cs="宋体"/>
                <w:color w:val="auto"/>
                <w:highlight w:val="none"/>
              </w:rPr>
            </w:pPr>
            <w:r>
              <w:rPr>
                <w:rFonts w:hint="eastAsia" w:ascii="宋体" w:hAnsi="宋体" w:cs="宋体"/>
                <w:color w:val="auto"/>
                <w:highlight w:val="none"/>
              </w:rPr>
              <w:t>2</w:t>
            </w:r>
          </w:p>
        </w:tc>
        <w:tc>
          <w:tcPr>
            <w:tcW w:w="1863" w:type="dxa"/>
          </w:tcPr>
          <w:p>
            <w:pPr>
              <w:spacing w:line="360" w:lineRule="auto"/>
              <w:rPr>
                <w:rFonts w:ascii="宋体" w:hAnsi="宋体" w:cs="宋体"/>
                <w:color w:val="auto"/>
                <w:highlight w:val="none"/>
              </w:rPr>
            </w:pPr>
          </w:p>
        </w:tc>
        <w:tc>
          <w:tcPr>
            <w:tcW w:w="5169" w:type="dxa"/>
          </w:tcPr>
          <w:p>
            <w:pPr>
              <w:spacing w:line="360" w:lineRule="auto"/>
              <w:rPr>
                <w:rFonts w:ascii="宋体" w:hAnsi="宋体" w:cs="宋体"/>
                <w:color w:val="auto"/>
                <w:highlight w:val="none"/>
              </w:rPr>
            </w:pPr>
          </w:p>
        </w:tc>
        <w:tc>
          <w:tcPr>
            <w:tcW w:w="768" w:type="dxa"/>
          </w:tcPr>
          <w:p>
            <w:pPr>
              <w:spacing w:line="360" w:lineRule="auto"/>
              <w:rPr>
                <w:rFonts w:ascii="宋体" w:hAnsi="宋体" w:cs="宋体"/>
                <w:color w:val="auto"/>
                <w:highlight w:val="none"/>
              </w:rPr>
            </w:pPr>
          </w:p>
        </w:tc>
        <w:tc>
          <w:tcPr>
            <w:tcW w:w="677" w:type="dxa"/>
          </w:tcPr>
          <w:p>
            <w:pPr>
              <w:spacing w:line="360" w:lineRule="auto"/>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722" w:type="dxa"/>
          </w:tcPr>
          <w:p>
            <w:pPr>
              <w:spacing w:line="360" w:lineRule="auto"/>
              <w:jc w:val="center"/>
              <w:rPr>
                <w:rFonts w:ascii="宋体" w:hAnsi="宋体" w:cs="宋体"/>
                <w:color w:val="auto"/>
                <w:highlight w:val="none"/>
              </w:rPr>
            </w:pPr>
            <w:r>
              <w:rPr>
                <w:rFonts w:hint="eastAsia" w:ascii="宋体" w:hAnsi="宋体" w:cs="宋体"/>
                <w:color w:val="auto"/>
                <w:highlight w:val="none"/>
              </w:rPr>
              <w:t>3</w:t>
            </w:r>
          </w:p>
        </w:tc>
        <w:tc>
          <w:tcPr>
            <w:tcW w:w="1863" w:type="dxa"/>
          </w:tcPr>
          <w:p>
            <w:pPr>
              <w:spacing w:line="360" w:lineRule="auto"/>
              <w:rPr>
                <w:rFonts w:ascii="宋体" w:hAnsi="宋体" w:cs="宋体"/>
                <w:color w:val="auto"/>
                <w:highlight w:val="none"/>
              </w:rPr>
            </w:pPr>
          </w:p>
        </w:tc>
        <w:tc>
          <w:tcPr>
            <w:tcW w:w="5169" w:type="dxa"/>
          </w:tcPr>
          <w:p>
            <w:pPr>
              <w:spacing w:line="360" w:lineRule="auto"/>
              <w:rPr>
                <w:rFonts w:ascii="宋体" w:hAnsi="宋体" w:cs="宋体"/>
                <w:color w:val="auto"/>
                <w:highlight w:val="none"/>
              </w:rPr>
            </w:pPr>
          </w:p>
        </w:tc>
        <w:tc>
          <w:tcPr>
            <w:tcW w:w="768" w:type="dxa"/>
          </w:tcPr>
          <w:p>
            <w:pPr>
              <w:spacing w:line="360" w:lineRule="auto"/>
              <w:rPr>
                <w:rFonts w:ascii="宋体" w:hAnsi="宋体" w:cs="宋体"/>
                <w:color w:val="auto"/>
                <w:highlight w:val="none"/>
              </w:rPr>
            </w:pPr>
          </w:p>
        </w:tc>
        <w:tc>
          <w:tcPr>
            <w:tcW w:w="677" w:type="dxa"/>
          </w:tcPr>
          <w:p>
            <w:pPr>
              <w:spacing w:line="360" w:lineRule="auto"/>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22" w:type="dxa"/>
          </w:tcPr>
          <w:p>
            <w:pPr>
              <w:spacing w:line="360" w:lineRule="auto"/>
              <w:jc w:val="center"/>
              <w:rPr>
                <w:rFonts w:ascii="宋体" w:hAnsi="宋体" w:cs="宋体"/>
                <w:color w:val="auto"/>
                <w:highlight w:val="none"/>
              </w:rPr>
            </w:pPr>
            <w:r>
              <w:rPr>
                <w:rFonts w:hint="eastAsia" w:ascii="宋体" w:hAnsi="宋体" w:cs="宋体"/>
                <w:color w:val="auto"/>
                <w:highlight w:val="none"/>
              </w:rPr>
              <w:t>...</w:t>
            </w:r>
          </w:p>
        </w:tc>
        <w:tc>
          <w:tcPr>
            <w:tcW w:w="1863" w:type="dxa"/>
          </w:tcPr>
          <w:p>
            <w:pPr>
              <w:spacing w:line="360" w:lineRule="auto"/>
              <w:rPr>
                <w:rFonts w:ascii="宋体" w:hAnsi="宋体" w:cs="宋体"/>
                <w:color w:val="auto"/>
                <w:highlight w:val="none"/>
              </w:rPr>
            </w:pPr>
          </w:p>
        </w:tc>
        <w:tc>
          <w:tcPr>
            <w:tcW w:w="5169" w:type="dxa"/>
          </w:tcPr>
          <w:p>
            <w:pPr>
              <w:spacing w:line="360" w:lineRule="auto"/>
              <w:rPr>
                <w:rFonts w:ascii="宋体" w:hAnsi="宋体" w:cs="宋体"/>
                <w:color w:val="auto"/>
                <w:highlight w:val="none"/>
              </w:rPr>
            </w:pPr>
          </w:p>
        </w:tc>
        <w:tc>
          <w:tcPr>
            <w:tcW w:w="768" w:type="dxa"/>
          </w:tcPr>
          <w:p>
            <w:pPr>
              <w:spacing w:line="360" w:lineRule="auto"/>
              <w:rPr>
                <w:rFonts w:ascii="宋体" w:hAnsi="宋体" w:cs="宋体"/>
                <w:color w:val="auto"/>
                <w:highlight w:val="none"/>
              </w:rPr>
            </w:pPr>
          </w:p>
        </w:tc>
        <w:tc>
          <w:tcPr>
            <w:tcW w:w="677" w:type="dxa"/>
          </w:tcPr>
          <w:p>
            <w:pPr>
              <w:spacing w:line="360" w:lineRule="auto"/>
              <w:rPr>
                <w:rFonts w:ascii="宋体" w:hAnsi="宋体" w:cs="宋体"/>
                <w:color w:val="auto"/>
                <w:highlight w:val="none"/>
              </w:rPr>
            </w:pPr>
          </w:p>
        </w:tc>
      </w:tr>
    </w:tbl>
    <w:p>
      <w:pPr>
        <w:widowControl/>
        <w:jc w:val="left"/>
        <w:rPr>
          <w:bCs/>
          <w:color w:val="auto"/>
          <w:highlight w:val="none"/>
        </w:rPr>
      </w:pPr>
    </w:p>
    <w:p>
      <w:pPr>
        <w:widowControl/>
        <w:spacing w:line="360" w:lineRule="auto"/>
        <w:jc w:val="left"/>
        <w:rPr>
          <w:bCs/>
          <w:color w:val="auto"/>
          <w:highlight w:val="none"/>
        </w:rPr>
      </w:pPr>
      <w:r>
        <w:rPr>
          <w:rFonts w:hint="eastAsia" w:ascii="宋体" w:hAnsi="宋体" w:cs="宋体"/>
          <w:bCs/>
          <w:color w:val="auto"/>
          <w:kern w:val="0"/>
          <w:highlight w:val="none"/>
        </w:rPr>
        <w:t>（2）提供产品详细介绍（产品技术规格说明书及有关技术资料，若有）</w:t>
      </w:r>
    </w:p>
    <w:p>
      <w:pPr>
        <w:rPr>
          <w:color w:val="auto"/>
          <w:highlight w:val="none"/>
        </w:rPr>
      </w:pPr>
      <w:r>
        <w:rPr>
          <w:rFonts w:hint="eastAsia" w:ascii="宋体" w:hAnsi="宋体" w:cs="宋体"/>
          <w:bCs/>
          <w:color w:val="auto"/>
          <w:kern w:val="0"/>
          <w:highlight w:val="none"/>
        </w:rPr>
        <w:t>（3）产品相关检定证书、检测报告（若有）</w:t>
      </w:r>
    </w:p>
    <w:p>
      <w:pPr>
        <w:pStyle w:val="46"/>
        <w:rPr>
          <w:rFonts w:ascii="宋体" w:hAnsi="宋体" w:eastAsia="宋体"/>
          <w:color w:val="auto"/>
          <w:highlight w:val="none"/>
        </w:rPr>
      </w:pPr>
    </w:p>
    <w:p>
      <w:pPr>
        <w:pStyle w:val="46"/>
        <w:rPr>
          <w:rFonts w:ascii="宋体" w:hAnsi="宋体" w:eastAsia="宋体"/>
          <w:color w:val="auto"/>
          <w:highlight w:val="none"/>
        </w:rPr>
      </w:pPr>
    </w:p>
    <w:p>
      <w:pPr>
        <w:pStyle w:val="4"/>
        <w:numPr>
          <w:ilvl w:val="0"/>
          <w:numId w:val="46"/>
        </w:numPr>
        <w:ind w:left="0" w:firstLine="0"/>
        <w:rPr>
          <w:rFonts w:hint="eastAsia"/>
          <w:color w:val="auto"/>
          <w:highlight w:val="none"/>
          <w:lang w:val="en-US" w:eastAsia="zh-CN"/>
        </w:rPr>
      </w:pPr>
      <w:r>
        <w:rPr>
          <w:rFonts w:ascii="宋体" w:hAnsi="宋体"/>
          <w:color w:val="auto"/>
          <w:highlight w:val="none"/>
        </w:rPr>
        <w:br w:type="page"/>
      </w:r>
      <w:bookmarkStart w:id="487" w:name="_Toc12251"/>
      <w:bookmarkStart w:id="488" w:name="_Toc6296"/>
      <w:r>
        <w:rPr>
          <w:rFonts w:hint="eastAsia" w:ascii="宋体" w:hAnsi="宋体"/>
          <w:color w:val="auto"/>
          <w:sz w:val="28"/>
          <w:szCs w:val="28"/>
          <w:highlight w:val="none"/>
          <w:lang w:val="en-US" w:eastAsia="zh-CN"/>
        </w:rPr>
        <w:t>商务部分</w:t>
      </w:r>
      <w:bookmarkEnd w:id="487"/>
    </w:p>
    <w:p>
      <w:pPr>
        <w:numPr>
          <w:ilvl w:val="0"/>
          <w:numId w:val="47"/>
        </w:numPr>
        <w:bidi w:val="0"/>
        <w:spacing w:line="360" w:lineRule="auto"/>
        <w:rPr>
          <w:rFonts w:hint="eastAsia"/>
          <w:color w:val="auto"/>
          <w:highlight w:val="none"/>
          <w:lang w:val="en-US" w:eastAsia="zh-CN"/>
        </w:rPr>
      </w:pPr>
      <w:r>
        <w:rPr>
          <w:rFonts w:hint="eastAsia"/>
          <w:color w:val="auto"/>
          <w:highlight w:val="none"/>
          <w:lang w:val="en-US" w:eastAsia="zh-CN"/>
        </w:rPr>
        <w:t>企业认证证书</w:t>
      </w:r>
    </w:p>
    <w:p>
      <w:pPr>
        <w:numPr>
          <w:ilvl w:val="0"/>
          <w:numId w:val="0"/>
        </w:numPr>
        <w:bidi w:val="0"/>
        <w:spacing w:line="360" w:lineRule="auto"/>
        <w:rPr>
          <w:rFonts w:hint="eastAsia"/>
          <w:color w:val="auto"/>
          <w:highlight w:val="none"/>
          <w:lang w:val="en-US" w:eastAsia="zh-CN"/>
        </w:rPr>
      </w:pPr>
    </w:p>
    <w:p>
      <w:pPr>
        <w:numPr>
          <w:ilvl w:val="0"/>
          <w:numId w:val="47"/>
        </w:numPr>
        <w:bidi w:val="0"/>
        <w:spacing w:line="360" w:lineRule="auto"/>
        <w:rPr>
          <w:rFonts w:hint="default"/>
          <w:color w:val="auto"/>
          <w:highlight w:val="none"/>
          <w:lang w:val="en-US" w:eastAsia="zh-CN"/>
        </w:rPr>
      </w:pPr>
      <w:r>
        <w:rPr>
          <w:rFonts w:hint="eastAsia"/>
          <w:color w:val="auto"/>
          <w:highlight w:val="none"/>
          <w:lang w:val="en-US" w:eastAsia="zh-CN"/>
        </w:rPr>
        <w:t>企业业绩信息</w:t>
      </w:r>
    </w:p>
    <w:bookmarkEnd w:id="488"/>
    <w:tbl>
      <w:tblPr>
        <w:tblStyle w:val="48"/>
        <w:tblW w:w="95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5"/>
        <w:gridCol w:w="1915"/>
        <w:gridCol w:w="1915"/>
        <w:gridCol w:w="1915"/>
        <w:gridCol w:w="19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15" w:type="dxa"/>
          </w:tcPr>
          <w:p>
            <w:pPr>
              <w:pStyle w:val="46"/>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序号</w:t>
            </w:r>
          </w:p>
        </w:tc>
        <w:tc>
          <w:tcPr>
            <w:tcW w:w="1915" w:type="dxa"/>
          </w:tcPr>
          <w:p>
            <w:pPr>
              <w:pStyle w:val="46"/>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项目</w:t>
            </w:r>
            <w:r>
              <w:rPr>
                <w:rFonts w:ascii="宋体" w:hAnsi="宋体" w:eastAsia="宋体"/>
                <w:color w:val="auto"/>
                <w:sz w:val="21"/>
                <w:szCs w:val="21"/>
                <w:highlight w:val="none"/>
              </w:rPr>
              <w:t>名称</w:t>
            </w:r>
          </w:p>
        </w:tc>
        <w:tc>
          <w:tcPr>
            <w:tcW w:w="1915" w:type="dxa"/>
          </w:tcPr>
          <w:p>
            <w:pPr>
              <w:pStyle w:val="46"/>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业主</w:t>
            </w:r>
            <w:r>
              <w:rPr>
                <w:rFonts w:ascii="宋体" w:hAnsi="宋体" w:eastAsia="宋体"/>
                <w:color w:val="auto"/>
                <w:sz w:val="21"/>
                <w:szCs w:val="21"/>
                <w:highlight w:val="none"/>
              </w:rPr>
              <w:t>单位</w:t>
            </w:r>
          </w:p>
        </w:tc>
        <w:tc>
          <w:tcPr>
            <w:tcW w:w="1915" w:type="dxa"/>
          </w:tcPr>
          <w:p>
            <w:pPr>
              <w:pStyle w:val="46"/>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合同签订时间</w:t>
            </w:r>
          </w:p>
        </w:tc>
        <w:tc>
          <w:tcPr>
            <w:tcW w:w="1916" w:type="dxa"/>
          </w:tcPr>
          <w:p>
            <w:pPr>
              <w:pStyle w:val="46"/>
              <w:ind w:firstLine="0"/>
              <w:jc w:val="center"/>
              <w:rPr>
                <w:rFonts w:ascii="宋体" w:hAnsi="宋体" w:eastAsia="宋体"/>
                <w:color w:val="auto"/>
                <w:sz w:val="21"/>
                <w:szCs w:val="21"/>
                <w:highlight w:val="none"/>
              </w:rPr>
            </w:pPr>
            <w:r>
              <w:rPr>
                <w:rFonts w:ascii="宋体" w:hAnsi="宋体" w:eastAsia="宋体"/>
                <w:color w:val="auto"/>
                <w:sz w:val="21"/>
                <w:szCs w:val="21"/>
                <w:highlight w:val="none"/>
              </w:rPr>
              <w:t>合同金额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5" w:type="dxa"/>
          </w:tcPr>
          <w:p>
            <w:pPr>
              <w:pStyle w:val="46"/>
              <w:ind w:firstLine="0"/>
              <w:jc w:val="center"/>
              <w:rPr>
                <w:rFonts w:ascii="宋体" w:hAnsi="宋体" w:eastAsia="宋体"/>
                <w:color w:val="auto"/>
                <w:sz w:val="21"/>
                <w:szCs w:val="21"/>
                <w:highlight w:val="none"/>
              </w:rPr>
            </w:pPr>
          </w:p>
        </w:tc>
        <w:tc>
          <w:tcPr>
            <w:tcW w:w="1915" w:type="dxa"/>
          </w:tcPr>
          <w:p>
            <w:pPr>
              <w:pStyle w:val="46"/>
              <w:ind w:firstLine="0"/>
              <w:jc w:val="center"/>
              <w:rPr>
                <w:rFonts w:ascii="宋体" w:hAnsi="宋体" w:eastAsia="宋体"/>
                <w:color w:val="auto"/>
                <w:sz w:val="21"/>
                <w:szCs w:val="21"/>
                <w:highlight w:val="none"/>
              </w:rPr>
            </w:pPr>
          </w:p>
        </w:tc>
        <w:tc>
          <w:tcPr>
            <w:tcW w:w="1915" w:type="dxa"/>
          </w:tcPr>
          <w:p>
            <w:pPr>
              <w:pStyle w:val="46"/>
              <w:ind w:firstLine="0"/>
              <w:jc w:val="center"/>
              <w:rPr>
                <w:rFonts w:ascii="宋体" w:hAnsi="宋体" w:eastAsia="宋体"/>
                <w:color w:val="auto"/>
                <w:sz w:val="21"/>
                <w:szCs w:val="21"/>
                <w:highlight w:val="none"/>
              </w:rPr>
            </w:pPr>
          </w:p>
        </w:tc>
        <w:tc>
          <w:tcPr>
            <w:tcW w:w="1915" w:type="dxa"/>
          </w:tcPr>
          <w:p>
            <w:pPr>
              <w:pStyle w:val="46"/>
              <w:ind w:firstLine="0"/>
              <w:jc w:val="center"/>
              <w:rPr>
                <w:rFonts w:ascii="宋体" w:hAnsi="宋体" w:eastAsia="宋体"/>
                <w:color w:val="auto"/>
                <w:sz w:val="21"/>
                <w:szCs w:val="21"/>
                <w:highlight w:val="none"/>
              </w:rPr>
            </w:pPr>
          </w:p>
        </w:tc>
        <w:tc>
          <w:tcPr>
            <w:tcW w:w="1916" w:type="dxa"/>
          </w:tcPr>
          <w:p>
            <w:pPr>
              <w:pStyle w:val="46"/>
              <w:ind w:firstLine="0"/>
              <w:jc w:val="center"/>
              <w:rPr>
                <w:rFonts w:ascii="宋体" w:hAnsi="宋体" w:eastAsia="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5" w:type="dxa"/>
          </w:tcPr>
          <w:p>
            <w:pPr>
              <w:pStyle w:val="46"/>
              <w:ind w:firstLine="0"/>
              <w:jc w:val="center"/>
              <w:rPr>
                <w:rFonts w:ascii="宋体" w:hAnsi="宋体" w:eastAsia="宋体"/>
                <w:color w:val="auto"/>
                <w:sz w:val="21"/>
                <w:szCs w:val="21"/>
                <w:highlight w:val="none"/>
              </w:rPr>
            </w:pPr>
          </w:p>
        </w:tc>
        <w:tc>
          <w:tcPr>
            <w:tcW w:w="1915" w:type="dxa"/>
          </w:tcPr>
          <w:p>
            <w:pPr>
              <w:pStyle w:val="46"/>
              <w:ind w:firstLine="0"/>
              <w:jc w:val="center"/>
              <w:rPr>
                <w:rFonts w:ascii="宋体" w:hAnsi="宋体" w:eastAsia="宋体"/>
                <w:color w:val="auto"/>
                <w:sz w:val="21"/>
                <w:szCs w:val="21"/>
                <w:highlight w:val="none"/>
              </w:rPr>
            </w:pPr>
          </w:p>
        </w:tc>
        <w:tc>
          <w:tcPr>
            <w:tcW w:w="1915" w:type="dxa"/>
          </w:tcPr>
          <w:p>
            <w:pPr>
              <w:pStyle w:val="46"/>
              <w:ind w:firstLine="0"/>
              <w:jc w:val="center"/>
              <w:rPr>
                <w:rFonts w:ascii="宋体" w:hAnsi="宋体" w:eastAsia="宋体"/>
                <w:color w:val="auto"/>
                <w:sz w:val="21"/>
                <w:szCs w:val="21"/>
                <w:highlight w:val="none"/>
              </w:rPr>
            </w:pPr>
          </w:p>
        </w:tc>
        <w:tc>
          <w:tcPr>
            <w:tcW w:w="1915" w:type="dxa"/>
          </w:tcPr>
          <w:p>
            <w:pPr>
              <w:pStyle w:val="46"/>
              <w:ind w:firstLine="0"/>
              <w:jc w:val="center"/>
              <w:rPr>
                <w:rFonts w:ascii="宋体" w:hAnsi="宋体" w:eastAsia="宋体"/>
                <w:color w:val="auto"/>
                <w:sz w:val="21"/>
                <w:szCs w:val="21"/>
                <w:highlight w:val="none"/>
              </w:rPr>
            </w:pPr>
          </w:p>
        </w:tc>
        <w:tc>
          <w:tcPr>
            <w:tcW w:w="1916" w:type="dxa"/>
          </w:tcPr>
          <w:p>
            <w:pPr>
              <w:pStyle w:val="46"/>
              <w:ind w:firstLine="0"/>
              <w:jc w:val="center"/>
              <w:rPr>
                <w:rFonts w:ascii="宋体" w:hAnsi="宋体" w:eastAsia="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15" w:type="dxa"/>
          </w:tcPr>
          <w:p>
            <w:pPr>
              <w:pStyle w:val="46"/>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w:t>
            </w:r>
          </w:p>
        </w:tc>
        <w:tc>
          <w:tcPr>
            <w:tcW w:w="1915" w:type="dxa"/>
          </w:tcPr>
          <w:p>
            <w:pPr>
              <w:pStyle w:val="46"/>
              <w:ind w:firstLine="0"/>
              <w:jc w:val="center"/>
              <w:rPr>
                <w:rFonts w:ascii="宋体" w:hAnsi="宋体" w:eastAsia="宋体"/>
                <w:color w:val="auto"/>
                <w:sz w:val="21"/>
                <w:szCs w:val="21"/>
                <w:highlight w:val="none"/>
              </w:rPr>
            </w:pPr>
          </w:p>
        </w:tc>
        <w:tc>
          <w:tcPr>
            <w:tcW w:w="1915" w:type="dxa"/>
          </w:tcPr>
          <w:p>
            <w:pPr>
              <w:pStyle w:val="46"/>
              <w:ind w:firstLine="0"/>
              <w:jc w:val="center"/>
              <w:rPr>
                <w:rFonts w:ascii="宋体" w:hAnsi="宋体" w:eastAsia="宋体"/>
                <w:color w:val="auto"/>
                <w:sz w:val="21"/>
                <w:szCs w:val="21"/>
                <w:highlight w:val="none"/>
              </w:rPr>
            </w:pPr>
          </w:p>
        </w:tc>
        <w:tc>
          <w:tcPr>
            <w:tcW w:w="1915" w:type="dxa"/>
          </w:tcPr>
          <w:p>
            <w:pPr>
              <w:pStyle w:val="46"/>
              <w:ind w:firstLine="0"/>
              <w:jc w:val="center"/>
              <w:rPr>
                <w:rFonts w:ascii="宋体" w:hAnsi="宋体" w:eastAsia="宋体"/>
                <w:color w:val="auto"/>
                <w:sz w:val="21"/>
                <w:szCs w:val="21"/>
                <w:highlight w:val="none"/>
              </w:rPr>
            </w:pPr>
          </w:p>
        </w:tc>
        <w:tc>
          <w:tcPr>
            <w:tcW w:w="1916" w:type="dxa"/>
          </w:tcPr>
          <w:p>
            <w:pPr>
              <w:pStyle w:val="46"/>
              <w:ind w:firstLine="0"/>
              <w:jc w:val="center"/>
              <w:rPr>
                <w:rFonts w:ascii="宋体" w:hAnsi="宋体" w:eastAsia="宋体"/>
                <w:color w:val="auto"/>
                <w:sz w:val="21"/>
                <w:szCs w:val="21"/>
                <w:highlight w:val="none"/>
              </w:rPr>
            </w:pPr>
          </w:p>
        </w:tc>
      </w:tr>
    </w:tbl>
    <w:p>
      <w:pPr>
        <w:pStyle w:val="46"/>
        <w:ind w:firstLine="0"/>
        <w:jc w:val="left"/>
        <w:rPr>
          <w:rFonts w:ascii="宋体" w:hAnsi="宋体" w:eastAsia="宋体"/>
          <w:color w:val="auto"/>
          <w:sz w:val="21"/>
          <w:szCs w:val="21"/>
          <w:highlight w:val="none"/>
        </w:rPr>
      </w:pPr>
      <w:r>
        <w:rPr>
          <w:rFonts w:hint="eastAsia" w:ascii="宋体" w:hAnsi="宋体" w:eastAsia="宋体"/>
          <w:color w:val="auto"/>
          <w:sz w:val="21"/>
          <w:szCs w:val="21"/>
          <w:highlight w:val="none"/>
        </w:rPr>
        <w:t>注：</w:t>
      </w:r>
    </w:p>
    <w:p>
      <w:pPr>
        <w:pStyle w:val="46"/>
        <w:ind w:firstLineChars="200"/>
        <w:jc w:val="left"/>
        <w:rPr>
          <w:rFonts w:ascii="宋体" w:hAnsi="宋体" w:eastAsia="宋体"/>
          <w:color w:val="auto"/>
          <w:sz w:val="21"/>
          <w:szCs w:val="21"/>
          <w:highlight w:val="none"/>
        </w:rPr>
      </w:pPr>
      <w:r>
        <w:rPr>
          <w:rFonts w:hint="eastAsia" w:ascii="宋体" w:hAnsi="宋体" w:eastAsia="宋体"/>
          <w:color w:val="auto"/>
          <w:sz w:val="21"/>
          <w:szCs w:val="21"/>
          <w:highlight w:val="none"/>
        </w:rPr>
        <w:t>1、以上业绩须提供有关证明材料复印件，以合同签订时间为准。证明材料中须显示出业主单位名称、货物名称，投标人名称等关键性文字。</w:t>
      </w:r>
    </w:p>
    <w:p>
      <w:pPr>
        <w:pStyle w:val="46"/>
        <w:ind w:firstLineChars="200"/>
        <w:jc w:val="left"/>
        <w:rPr>
          <w:rFonts w:ascii="宋体" w:hAnsi="宋体" w:eastAsia="宋体"/>
          <w:color w:val="auto"/>
          <w:highlight w:val="none"/>
        </w:rPr>
      </w:pPr>
      <w:r>
        <w:rPr>
          <w:rFonts w:hint="eastAsia" w:ascii="宋体" w:hAnsi="宋体" w:eastAsia="宋体"/>
          <w:color w:val="auto"/>
          <w:sz w:val="21"/>
          <w:szCs w:val="21"/>
          <w:highlight w:val="none"/>
        </w:rPr>
        <w:t>2、表格不够投标人可按以上表格形式进行扩充复制。</w:t>
      </w:r>
    </w:p>
    <w:p>
      <w:pPr>
        <w:pStyle w:val="4"/>
        <w:ind w:left="0" w:firstLine="0"/>
        <w:rPr>
          <w:rFonts w:hint="eastAsia" w:ascii="宋体" w:hAnsi="宋体" w:cs="宋体"/>
          <w:color w:val="auto"/>
          <w:sz w:val="28"/>
          <w:szCs w:val="28"/>
          <w:highlight w:val="none"/>
          <w:lang w:val="en-US" w:eastAsia="zh-CN"/>
        </w:rPr>
      </w:pPr>
      <w:r>
        <w:rPr>
          <w:rFonts w:ascii="宋体" w:hAnsi="宋体" w:cs="宋体"/>
          <w:color w:val="auto"/>
          <w:szCs w:val="21"/>
          <w:highlight w:val="none"/>
        </w:rPr>
        <w:br w:type="page"/>
      </w:r>
      <w:bookmarkStart w:id="489" w:name="_Toc11414"/>
      <w:bookmarkStart w:id="490" w:name="_Toc459302272"/>
      <w:bookmarkStart w:id="491" w:name="_Toc13988"/>
      <w:r>
        <w:rPr>
          <w:rFonts w:hint="eastAsia" w:ascii="宋体" w:hAnsi="宋体" w:cs="宋体"/>
          <w:color w:val="auto"/>
          <w:sz w:val="28"/>
          <w:szCs w:val="28"/>
          <w:highlight w:val="none"/>
        </w:rPr>
        <w:t>十</w:t>
      </w:r>
      <w:r>
        <w:rPr>
          <w:rFonts w:hint="eastAsia" w:ascii="宋体" w:hAnsi="宋体" w:cs="宋体"/>
          <w:color w:val="auto"/>
          <w:sz w:val="28"/>
          <w:szCs w:val="28"/>
          <w:highlight w:val="none"/>
          <w:lang w:val="en-US" w:eastAsia="zh-CN"/>
        </w:rPr>
        <w:t>一</w:t>
      </w:r>
      <w:r>
        <w:rPr>
          <w:rFonts w:hint="eastAsia" w:ascii="宋体" w:hAnsi="宋体" w:cs="宋体"/>
          <w:color w:val="auto"/>
          <w:sz w:val="28"/>
          <w:szCs w:val="28"/>
          <w:highlight w:val="none"/>
        </w:rPr>
        <w:t>、</w:t>
      </w:r>
      <w:r>
        <w:rPr>
          <w:rFonts w:hint="eastAsia" w:ascii="宋体" w:hAnsi="宋体" w:cs="宋体"/>
          <w:color w:val="auto"/>
          <w:sz w:val="28"/>
          <w:szCs w:val="28"/>
          <w:highlight w:val="none"/>
          <w:lang w:val="en-US" w:eastAsia="zh-CN"/>
        </w:rPr>
        <w:t>售后服务</w:t>
      </w:r>
      <w:bookmarkEnd w:id="489"/>
    </w:p>
    <w:p>
      <w:pPr>
        <w:bidi w:val="0"/>
        <w:rPr>
          <w:rFonts w:hint="default"/>
          <w:color w:val="auto"/>
          <w:highlight w:val="none"/>
          <w:lang w:val="en-US" w:eastAsia="zh-CN"/>
        </w:rPr>
      </w:pPr>
    </w:p>
    <w:p>
      <w:pP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br w:type="page"/>
      </w:r>
    </w:p>
    <w:p>
      <w:pPr>
        <w:pStyle w:val="4"/>
        <w:ind w:left="0" w:firstLine="0"/>
        <w:rPr>
          <w:rFonts w:ascii="宋体" w:hAnsi="宋体" w:cs="宋体"/>
          <w:color w:val="auto"/>
          <w:sz w:val="28"/>
          <w:szCs w:val="28"/>
          <w:highlight w:val="none"/>
        </w:rPr>
      </w:pPr>
      <w:bookmarkStart w:id="492" w:name="_Toc24527"/>
      <w:r>
        <w:rPr>
          <w:rFonts w:hint="eastAsia" w:ascii="宋体" w:hAnsi="宋体" w:cs="宋体"/>
          <w:color w:val="auto"/>
          <w:sz w:val="28"/>
          <w:szCs w:val="28"/>
          <w:highlight w:val="none"/>
          <w:lang w:val="en-US" w:eastAsia="zh-CN"/>
        </w:rPr>
        <w:t>十二、</w:t>
      </w:r>
      <w:r>
        <w:rPr>
          <w:rFonts w:hint="eastAsia" w:ascii="宋体" w:hAnsi="宋体" w:cs="宋体"/>
          <w:color w:val="auto"/>
          <w:sz w:val="28"/>
          <w:szCs w:val="28"/>
          <w:highlight w:val="none"/>
        </w:rPr>
        <w:t>反商业贿赂承诺书</w:t>
      </w:r>
      <w:bookmarkEnd w:id="490"/>
      <w:bookmarkEnd w:id="491"/>
      <w:bookmarkEnd w:id="492"/>
    </w:p>
    <w:p>
      <w:pPr>
        <w:spacing w:line="360" w:lineRule="auto"/>
        <w:ind w:firstLine="540"/>
        <w:rPr>
          <w:rFonts w:ascii="宋体" w:hAnsi="宋体"/>
          <w:color w:val="auto"/>
          <w:highlight w:val="none"/>
        </w:rPr>
      </w:pPr>
      <w:r>
        <w:rPr>
          <w:rFonts w:hint="eastAsia" w:ascii="宋体" w:hAnsi="宋体"/>
          <w:color w:val="auto"/>
          <w:highlight w:val="none"/>
        </w:rPr>
        <w:t>我公司承诺：</w:t>
      </w:r>
    </w:p>
    <w:p>
      <w:pPr>
        <w:spacing w:line="360" w:lineRule="auto"/>
        <w:ind w:firstLine="540"/>
        <w:rPr>
          <w:rFonts w:ascii="宋体" w:hAnsi="宋体"/>
          <w:color w:val="auto"/>
          <w:highlight w:val="none"/>
        </w:rPr>
      </w:pPr>
      <w:r>
        <w:rPr>
          <w:rFonts w:hint="eastAsia" w:ascii="宋体" w:hAnsi="宋体"/>
          <w:color w:val="auto"/>
          <w:highlight w:val="none"/>
        </w:rPr>
        <w:t>在</w:t>
      </w:r>
      <w:r>
        <w:rPr>
          <w:rFonts w:hint="eastAsia" w:ascii="宋体" w:hAnsi="宋体"/>
          <w:color w:val="auto"/>
          <w:highlight w:val="none"/>
          <w:u w:val="single"/>
        </w:rPr>
        <w:t xml:space="preserve">   （项目名称）</w:t>
      </w:r>
      <w:r>
        <w:rPr>
          <w:rFonts w:hint="eastAsia" w:ascii="宋体" w:hAnsi="宋体"/>
          <w:color w:val="auto"/>
          <w:highlight w:val="none"/>
        </w:rPr>
        <w:t>招标活动中，我公司保证做到：</w:t>
      </w:r>
    </w:p>
    <w:p>
      <w:pPr>
        <w:spacing w:line="360" w:lineRule="auto"/>
        <w:ind w:firstLine="540"/>
        <w:rPr>
          <w:rFonts w:ascii="宋体" w:hAnsi="宋体"/>
          <w:color w:val="auto"/>
          <w:highlight w:val="none"/>
        </w:rPr>
      </w:pPr>
      <w:r>
        <w:rPr>
          <w:rFonts w:hint="eastAsia" w:ascii="宋体" w:hAnsi="宋体"/>
          <w:color w:val="auto"/>
          <w:highlight w:val="none"/>
        </w:rPr>
        <w:t>一、公平竞争参加本次招标活动。</w:t>
      </w:r>
    </w:p>
    <w:p>
      <w:pPr>
        <w:spacing w:line="360" w:lineRule="auto"/>
        <w:ind w:firstLine="540"/>
        <w:rPr>
          <w:rFonts w:ascii="宋体" w:hAnsi="宋体"/>
          <w:color w:val="auto"/>
          <w:highlight w:val="none"/>
        </w:rPr>
      </w:pPr>
      <w:r>
        <w:rPr>
          <w:rFonts w:hint="eastAsia" w:ascii="宋体" w:hAnsi="宋体"/>
          <w:color w:val="auto"/>
          <w:highlight w:val="none"/>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pPr>
        <w:spacing w:line="360" w:lineRule="auto"/>
        <w:ind w:firstLine="540"/>
        <w:rPr>
          <w:rFonts w:ascii="宋体" w:hAnsi="宋体"/>
          <w:color w:val="auto"/>
          <w:highlight w:val="none"/>
        </w:rPr>
      </w:pPr>
      <w:r>
        <w:rPr>
          <w:rFonts w:hint="eastAsia" w:ascii="宋体" w:hAnsi="宋体"/>
          <w:color w:val="auto"/>
          <w:highlight w:val="none"/>
        </w:rPr>
        <w:t>三、若出现上述行为，我公司及参与投标的工作人员愿意接受按照国家法律法规等有关规定给予的处罚。</w:t>
      </w:r>
    </w:p>
    <w:p>
      <w:pPr>
        <w:spacing w:line="360" w:lineRule="auto"/>
        <w:ind w:firstLine="540"/>
        <w:rPr>
          <w:rFonts w:ascii="宋体" w:hAnsi="宋体"/>
          <w:color w:val="auto"/>
          <w:highlight w:val="none"/>
        </w:rPr>
      </w:pPr>
    </w:p>
    <w:p>
      <w:pPr>
        <w:autoSpaceDE w:val="0"/>
        <w:autoSpaceDN w:val="0"/>
        <w:adjustRightInd w:val="0"/>
        <w:spacing w:line="440" w:lineRule="exact"/>
        <w:ind w:firstLine="3402" w:firstLineChars="1620"/>
        <w:jc w:val="left"/>
        <w:rPr>
          <w:rFonts w:ascii="宋体" w:hAnsi="宋体" w:cs="宋体"/>
          <w:color w:val="auto"/>
          <w:kern w:val="0"/>
          <w:highlight w:val="none"/>
        </w:rPr>
      </w:pPr>
      <w:bookmarkStart w:id="493" w:name="_Toc459302273"/>
      <w:bookmarkStart w:id="494" w:name="_Toc272420870"/>
      <w:r>
        <w:rPr>
          <w:rFonts w:hint="eastAsia" w:ascii="宋体" w:hAnsi="宋体" w:cs="宋体"/>
          <w:color w:val="auto"/>
          <w:kern w:val="0"/>
          <w:highlight w:val="none"/>
        </w:rPr>
        <w:t>投标人</w:t>
      </w:r>
      <w:r>
        <w:rPr>
          <w:rFonts w:hint="eastAsia" w:ascii="宋体" w:hAnsi="宋体" w:cs="MS Mincho"/>
          <w:color w:val="auto"/>
          <w:kern w:val="0"/>
          <w:highlight w:val="none"/>
        </w:rPr>
        <w:t>：</w:t>
      </w:r>
      <w:r>
        <w:rPr>
          <w:rFonts w:ascii="宋体" w:hAnsi="宋体" w:cs="宋体"/>
          <w:color w:val="auto"/>
          <w:kern w:val="0"/>
          <w:highlight w:val="none"/>
        </w:rPr>
        <w:t xml:space="preserve"> </w:t>
      </w:r>
      <w:r>
        <w:rPr>
          <w:rFonts w:hint="eastAsia" w:ascii="宋体" w:hAnsi="宋体" w:cs="宋体"/>
          <w:color w:val="auto"/>
          <w:kern w:val="0"/>
          <w:highlight w:val="none"/>
          <w:u w:val="single"/>
        </w:rPr>
        <w:t xml:space="preserve">                    （电子签章</w:t>
      </w:r>
      <w:r>
        <w:rPr>
          <w:rFonts w:hint="eastAsia" w:ascii="宋体" w:hAnsi="宋体" w:cs="MS Mincho"/>
          <w:color w:val="auto"/>
          <w:kern w:val="0"/>
          <w:highlight w:val="none"/>
          <w:u w:val="single"/>
        </w:rPr>
        <w:t>）</w:t>
      </w:r>
      <w:r>
        <w:rPr>
          <w:rFonts w:hint="eastAsia" w:ascii="宋体" w:hAnsi="宋体" w:cs="宋体"/>
          <w:color w:val="auto"/>
          <w:kern w:val="0"/>
          <w:highlight w:val="none"/>
          <w:u w:val="single"/>
        </w:rPr>
        <w:t xml:space="preserve"> </w:t>
      </w:r>
    </w:p>
    <w:p>
      <w:pPr>
        <w:autoSpaceDE w:val="0"/>
        <w:autoSpaceDN w:val="0"/>
        <w:adjustRightInd w:val="0"/>
        <w:spacing w:line="440" w:lineRule="exact"/>
        <w:ind w:firstLine="3402" w:firstLineChars="1620"/>
        <w:jc w:val="left"/>
        <w:rPr>
          <w:rFonts w:ascii="宋体" w:hAnsi="宋体" w:cs="宋体"/>
          <w:color w:val="auto"/>
          <w:kern w:val="0"/>
          <w:highlight w:val="none"/>
        </w:rPr>
      </w:pPr>
      <w:r>
        <w:rPr>
          <w:rFonts w:hint="eastAsia" w:ascii="宋体" w:hAnsi="宋体" w:cs="宋体"/>
          <w:color w:val="auto"/>
          <w:kern w:val="0"/>
          <w:highlight w:val="none"/>
        </w:rPr>
        <w:t>法定代表人或其委托代理人：</w:t>
      </w:r>
      <w:r>
        <w:rPr>
          <w:rFonts w:ascii="宋体" w:hAnsi="宋体" w:cs="宋体"/>
          <w:color w:val="auto"/>
          <w:kern w:val="0"/>
          <w:highlight w:val="none"/>
        </w:rPr>
        <w:t xml:space="preserve"> </w:t>
      </w:r>
      <w:r>
        <w:rPr>
          <w:rFonts w:hint="eastAsia" w:ascii="宋体" w:hAnsi="宋体" w:cs="宋体"/>
          <w:color w:val="auto"/>
          <w:kern w:val="0"/>
          <w:highlight w:val="none"/>
          <w:u w:val="single"/>
        </w:rPr>
        <w:t xml:space="preserve">          （签</w:t>
      </w:r>
      <w:r>
        <w:rPr>
          <w:rFonts w:hint="eastAsia" w:ascii="宋体" w:hAnsi="宋体" w:cs="MS Mincho"/>
          <w:color w:val="auto"/>
          <w:kern w:val="0"/>
          <w:highlight w:val="none"/>
          <w:u w:val="single"/>
        </w:rPr>
        <w:t>字或签章）</w:t>
      </w:r>
    </w:p>
    <w:p>
      <w:pPr>
        <w:autoSpaceDE w:val="0"/>
        <w:autoSpaceDN w:val="0"/>
        <w:adjustRightInd w:val="0"/>
        <w:spacing w:line="440" w:lineRule="exact"/>
        <w:ind w:firstLine="3402" w:firstLineChars="1620"/>
        <w:jc w:val="left"/>
        <w:rPr>
          <w:rFonts w:ascii="宋体" w:hAnsi="宋体" w:cs="宋体"/>
          <w:color w:val="auto"/>
          <w:kern w:val="0"/>
          <w:highlight w:val="none"/>
        </w:rPr>
      </w:pPr>
      <w:r>
        <w:rPr>
          <w:rFonts w:hint="eastAsia" w:ascii="宋体" w:hAnsi="宋体" w:cs="宋体"/>
          <w:color w:val="auto"/>
          <w:kern w:val="0"/>
          <w:highlight w:val="none"/>
        </w:rPr>
        <w:t>日期：</w:t>
      </w:r>
      <w:r>
        <w:rPr>
          <w:rFonts w:hint="eastAsia" w:ascii="宋体" w:hAnsi="宋体" w:cs="宋体"/>
          <w:color w:val="auto"/>
          <w:kern w:val="0"/>
          <w:highlight w:val="none"/>
          <w:u w:val="single"/>
        </w:rPr>
        <w:t xml:space="preserve">         </w:t>
      </w:r>
      <w:r>
        <w:rPr>
          <w:rFonts w:ascii="宋体" w:hAnsi="宋体" w:cs="宋体"/>
          <w:color w:val="auto"/>
          <w:kern w:val="0"/>
          <w:highlight w:val="none"/>
        </w:rPr>
        <w:t xml:space="preserve"> </w:t>
      </w:r>
      <w:r>
        <w:rPr>
          <w:rFonts w:hint="eastAsia" w:ascii="宋体" w:hAnsi="宋体" w:cs="宋体"/>
          <w:color w:val="auto"/>
          <w:kern w:val="0"/>
          <w:highlight w:val="none"/>
        </w:rPr>
        <w:t>年</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月</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日</w:t>
      </w:r>
    </w:p>
    <w:p>
      <w:pPr>
        <w:pStyle w:val="46"/>
        <w:rPr>
          <w:rFonts w:ascii="宋体" w:hAnsi="宋体" w:eastAsia="宋体" w:cs="宋体"/>
          <w:color w:val="auto"/>
          <w:sz w:val="24"/>
          <w:highlight w:val="none"/>
        </w:rPr>
      </w:pPr>
    </w:p>
    <w:p>
      <w:pPr>
        <w:pStyle w:val="4"/>
        <w:ind w:left="0" w:firstLine="0"/>
        <w:rPr>
          <w:rFonts w:ascii="宋体" w:hAnsi="宋体" w:cs="宋体"/>
          <w:color w:val="auto"/>
          <w:sz w:val="28"/>
          <w:szCs w:val="28"/>
          <w:highlight w:val="none"/>
        </w:rPr>
      </w:pPr>
      <w:r>
        <w:rPr>
          <w:rFonts w:hint="eastAsia" w:ascii="宋体" w:hAnsi="宋体" w:cs="宋体"/>
          <w:color w:val="auto"/>
          <w:sz w:val="28"/>
          <w:szCs w:val="28"/>
          <w:highlight w:val="none"/>
        </w:rPr>
        <w:br w:type="page"/>
      </w:r>
      <w:bookmarkStart w:id="495" w:name="_Toc18454"/>
      <w:bookmarkStart w:id="496" w:name="_Toc17795"/>
      <w:r>
        <w:rPr>
          <w:rFonts w:hint="eastAsia" w:ascii="宋体" w:hAnsi="宋体" w:cs="宋体"/>
          <w:color w:val="auto"/>
          <w:sz w:val="28"/>
          <w:szCs w:val="28"/>
          <w:highlight w:val="none"/>
        </w:rPr>
        <w:t>十</w:t>
      </w:r>
      <w:r>
        <w:rPr>
          <w:rFonts w:hint="eastAsia" w:ascii="宋体" w:hAnsi="宋体" w:cs="宋体"/>
          <w:color w:val="auto"/>
          <w:sz w:val="28"/>
          <w:szCs w:val="28"/>
          <w:highlight w:val="none"/>
          <w:lang w:val="en-US" w:eastAsia="zh-CN"/>
        </w:rPr>
        <w:t>三</w:t>
      </w:r>
      <w:r>
        <w:rPr>
          <w:rFonts w:hint="eastAsia" w:ascii="宋体" w:hAnsi="宋体" w:cs="宋体"/>
          <w:color w:val="auto"/>
          <w:sz w:val="28"/>
          <w:szCs w:val="28"/>
          <w:highlight w:val="none"/>
        </w:rPr>
        <w:t>、其他资料</w:t>
      </w:r>
      <w:bookmarkEnd w:id="495"/>
      <w:bookmarkEnd w:id="496"/>
    </w:p>
    <w:bookmarkEnd w:id="493"/>
    <w:bookmarkEnd w:id="494"/>
    <w:p>
      <w:pPr>
        <w:spacing w:line="360" w:lineRule="auto"/>
        <w:rPr>
          <w:color w:val="auto"/>
          <w:highlight w:val="none"/>
        </w:rPr>
      </w:pPr>
      <w:r>
        <w:rPr>
          <w:rFonts w:hint="eastAsia"/>
          <w:color w:val="auto"/>
          <w:highlight w:val="none"/>
        </w:rPr>
        <w:t>一、招标文件要求或者投标人认为需要提供的其他资料；</w:t>
      </w:r>
    </w:p>
    <w:p>
      <w:pPr>
        <w:spacing w:line="360" w:lineRule="auto"/>
        <w:rPr>
          <w:color w:val="auto"/>
          <w:highlight w:val="none"/>
        </w:rPr>
      </w:pPr>
      <w:r>
        <w:rPr>
          <w:rFonts w:hint="eastAsia"/>
          <w:color w:val="auto"/>
          <w:highlight w:val="none"/>
        </w:rPr>
        <w:t>二、</w:t>
      </w:r>
      <w:r>
        <w:rPr>
          <w:rFonts w:hint="eastAsia"/>
          <w:color w:val="auto"/>
          <w:highlight w:val="none"/>
          <w:lang w:val="en-US" w:eastAsia="zh-CN"/>
        </w:rPr>
        <w:t>中小企业声明函/残疾人福利性单位声明函/监狱企业证明文件（如是）、</w:t>
      </w:r>
      <w:r>
        <w:rPr>
          <w:rFonts w:hint="eastAsia"/>
          <w:color w:val="auto"/>
          <w:highlight w:val="none"/>
        </w:rPr>
        <w:t>节能产品（如有）</w:t>
      </w:r>
      <w:r>
        <w:rPr>
          <w:rFonts w:hint="eastAsia"/>
          <w:color w:val="auto"/>
          <w:highlight w:val="none"/>
          <w:lang w:val="en-US" w:eastAsia="zh-CN"/>
        </w:rPr>
        <w:t>、</w:t>
      </w:r>
      <w:r>
        <w:rPr>
          <w:rFonts w:hint="eastAsia"/>
          <w:color w:val="auto"/>
          <w:highlight w:val="none"/>
        </w:rPr>
        <w:t>环境标志产品明细表（如有）</w:t>
      </w:r>
      <w:r>
        <w:rPr>
          <w:rFonts w:hint="eastAsia"/>
          <w:color w:val="auto"/>
          <w:highlight w:val="none"/>
          <w:lang w:eastAsia="zh-CN"/>
        </w:rPr>
        <w:t>，</w:t>
      </w:r>
      <w:r>
        <w:rPr>
          <w:rFonts w:hint="eastAsia"/>
          <w:color w:val="auto"/>
          <w:highlight w:val="none"/>
          <w:lang w:val="en-US" w:eastAsia="zh-CN"/>
        </w:rPr>
        <w:t>如不是或没有则投标文件中不需要提供以下格式内容</w:t>
      </w:r>
      <w:r>
        <w:rPr>
          <w:rFonts w:hint="eastAsia"/>
          <w:color w:val="auto"/>
          <w:highlight w:val="none"/>
        </w:rPr>
        <w:t>。</w:t>
      </w:r>
    </w:p>
    <w:p>
      <w:pPr>
        <w:pStyle w:val="46"/>
        <w:ind w:firstLine="211"/>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br w:type="page"/>
      </w:r>
    </w:p>
    <w:p>
      <w:pPr>
        <w:pStyle w:val="5"/>
        <w:spacing w:before="120" w:after="120" w:line="360" w:lineRule="auto"/>
        <w:jc w:val="center"/>
        <w:rPr>
          <w:rFonts w:hAnsi="宋体" w:cs="宋体"/>
          <w:color w:val="auto"/>
          <w:sz w:val="24"/>
          <w:szCs w:val="24"/>
          <w:highlight w:val="none"/>
        </w:rPr>
      </w:pPr>
      <w:r>
        <w:rPr>
          <w:rFonts w:hint="eastAsia" w:hAnsi="宋体" w:cs="宋体"/>
          <w:color w:val="auto"/>
          <w:sz w:val="24"/>
          <w:szCs w:val="24"/>
          <w:highlight w:val="none"/>
        </w:rPr>
        <w:t>中小企业声明函（货物）</w:t>
      </w:r>
    </w:p>
    <w:p>
      <w:pPr>
        <w:jc w:val="center"/>
        <w:rPr>
          <w:rFonts w:ascii="仿宋" w:hAnsi="仿宋" w:eastAsia="仿宋" w:cs="宋体"/>
          <w:b/>
          <w:bCs/>
          <w:color w:val="auto"/>
          <w:sz w:val="32"/>
          <w:szCs w:val="32"/>
          <w:highlight w:val="none"/>
        </w:rPr>
      </w:pPr>
      <w:r>
        <w:rPr>
          <w:rFonts w:hint="eastAsia" w:ascii="宋体" w:hAnsi="宋体" w:cs="宋体"/>
          <w:b/>
          <w:bCs/>
          <w:color w:val="auto"/>
          <w:highlight w:val="none"/>
        </w:rPr>
        <w:t>（属于</w:t>
      </w:r>
      <w:r>
        <w:rPr>
          <w:rFonts w:hint="eastAsia" w:ascii="宋体" w:hAnsi="宋体" w:cs="宋体"/>
          <w:b/>
          <w:bCs/>
          <w:color w:val="auto"/>
          <w:highlight w:val="none"/>
          <w:lang w:val="en-US" w:eastAsia="zh-CN"/>
        </w:rPr>
        <w:t>中小企业</w:t>
      </w:r>
      <w:r>
        <w:rPr>
          <w:rFonts w:hint="eastAsia" w:ascii="宋体" w:hAnsi="宋体" w:cs="宋体"/>
          <w:b/>
          <w:bCs/>
          <w:color w:val="auto"/>
          <w:highlight w:val="none"/>
        </w:rPr>
        <w:t>的填写，不属于的则投标文件中无需提供此项内容）</w:t>
      </w:r>
    </w:p>
    <w:p>
      <w:pPr>
        <w:pStyle w:val="43"/>
        <w:wordWrap w:val="0"/>
        <w:spacing w:beforeAutospacing="0" w:afterAutospacing="0" w:line="360" w:lineRule="auto"/>
        <w:ind w:firstLine="420" w:firstLineChars="200"/>
        <w:rPr>
          <w:rFonts w:hint="eastAsia" w:ascii="宋体" w:hAnsi="宋体" w:cs="宋体"/>
          <w:color w:val="auto"/>
          <w:kern w:val="2"/>
          <w:sz w:val="21"/>
          <w:szCs w:val="21"/>
          <w:highlight w:val="none"/>
        </w:rPr>
      </w:pPr>
    </w:p>
    <w:p>
      <w:pPr>
        <w:pStyle w:val="43"/>
        <w:wordWrap w:val="0"/>
        <w:spacing w:beforeAutospacing="0" w:afterAutospacing="0" w:line="360" w:lineRule="auto"/>
        <w:ind w:firstLine="420" w:firstLineChars="200"/>
        <w:rPr>
          <w:rFonts w:ascii="宋体" w:hAnsi="宋体" w:cs="宋体"/>
          <w:color w:val="auto"/>
          <w:kern w:val="2"/>
          <w:sz w:val="21"/>
          <w:szCs w:val="21"/>
          <w:highlight w:val="none"/>
        </w:rPr>
      </w:pPr>
      <w:r>
        <w:rPr>
          <w:rFonts w:hint="eastAsia" w:ascii="宋体" w:hAnsi="宋体" w:cs="宋体"/>
          <w:color w:val="auto"/>
          <w:kern w:val="2"/>
          <w:sz w:val="21"/>
          <w:szCs w:val="21"/>
          <w:highlight w:val="none"/>
        </w:rPr>
        <w:t>本公司（联合体）郑重声明，</w:t>
      </w:r>
      <w:bookmarkStart w:id="497" w:name="_Hlk484015033"/>
      <w:r>
        <w:rPr>
          <w:rFonts w:hint="eastAsia" w:ascii="宋体" w:hAnsi="宋体" w:cs="宋体"/>
          <w:color w:val="auto"/>
          <w:kern w:val="2"/>
          <w:sz w:val="21"/>
          <w:szCs w:val="21"/>
          <w:highlight w:val="none"/>
        </w:rPr>
        <w:t>根据《政府采购促进中小企业发展管理办法》（财库〔2020〕46号）</w:t>
      </w:r>
      <w:bookmarkEnd w:id="497"/>
      <w:r>
        <w:rPr>
          <w:rFonts w:hint="eastAsia" w:ascii="宋体" w:hAnsi="宋体" w:cs="宋体"/>
          <w:color w:val="auto"/>
          <w:kern w:val="2"/>
          <w:sz w:val="21"/>
          <w:szCs w:val="21"/>
          <w:highlight w:val="none"/>
        </w:rPr>
        <w:t>的规定，本公司（联合体）参加</w:t>
      </w:r>
      <w:r>
        <w:rPr>
          <w:rFonts w:hint="eastAsia" w:ascii="宋体" w:hAnsi="宋体" w:cs="宋体"/>
          <w:color w:val="auto"/>
          <w:kern w:val="2"/>
          <w:sz w:val="21"/>
          <w:szCs w:val="21"/>
          <w:highlight w:val="none"/>
          <w:u w:val="single"/>
        </w:rPr>
        <w:t xml:space="preserve"> （单位名称）  </w:t>
      </w:r>
      <w:r>
        <w:rPr>
          <w:rFonts w:hint="eastAsia" w:ascii="宋体" w:hAnsi="宋体" w:cs="宋体"/>
          <w:color w:val="auto"/>
          <w:kern w:val="2"/>
          <w:sz w:val="21"/>
          <w:szCs w:val="21"/>
          <w:highlight w:val="none"/>
        </w:rPr>
        <w:t>的</w:t>
      </w:r>
      <w:r>
        <w:rPr>
          <w:rFonts w:hint="eastAsia" w:ascii="宋体" w:hAnsi="宋体" w:cs="宋体"/>
          <w:color w:val="auto"/>
          <w:kern w:val="2"/>
          <w:sz w:val="21"/>
          <w:szCs w:val="21"/>
          <w:highlight w:val="none"/>
          <w:u w:val="single"/>
        </w:rPr>
        <w:t>（项目名称）</w:t>
      </w:r>
      <w:r>
        <w:rPr>
          <w:rFonts w:hint="eastAsia" w:ascii="宋体" w:hAnsi="宋体" w:cs="宋体"/>
          <w:color w:val="auto"/>
          <w:kern w:val="2"/>
          <w:sz w:val="21"/>
          <w:szCs w:val="21"/>
          <w:highlight w:val="none"/>
        </w:rPr>
        <w:t>采购活动，提供的货物全部由符合政策要求的中小企业制造。相关企业（含联合体中的中小企业、签订分包意向协议的中小企业）的具体情况如下：</w:t>
      </w:r>
    </w:p>
    <w:p>
      <w:pPr>
        <w:pStyle w:val="43"/>
        <w:wordWrap w:val="0"/>
        <w:spacing w:beforeAutospacing="0" w:afterAutospacing="0" w:line="360" w:lineRule="auto"/>
        <w:ind w:firstLine="420" w:firstLineChars="200"/>
        <w:rPr>
          <w:rFonts w:ascii="宋体" w:hAnsi="宋体" w:cs="宋体"/>
          <w:color w:val="auto"/>
          <w:kern w:val="2"/>
          <w:sz w:val="21"/>
          <w:szCs w:val="21"/>
          <w:highlight w:val="none"/>
        </w:rPr>
      </w:pPr>
      <w:r>
        <w:rPr>
          <w:rFonts w:hint="eastAsia" w:ascii="宋体" w:hAnsi="宋体" w:cs="宋体"/>
          <w:color w:val="auto"/>
          <w:kern w:val="2"/>
          <w:sz w:val="21"/>
          <w:szCs w:val="21"/>
          <w:highlight w:val="none"/>
        </w:rPr>
        <w:t>1.</w:t>
      </w:r>
      <w:r>
        <w:rPr>
          <w:rFonts w:hint="eastAsia" w:ascii="宋体" w:hAnsi="宋体" w:cs="宋体"/>
          <w:color w:val="auto"/>
          <w:kern w:val="2"/>
          <w:sz w:val="21"/>
          <w:szCs w:val="21"/>
          <w:highlight w:val="none"/>
          <w:u w:val="single"/>
        </w:rPr>
        <w:t>（标的名称）</w:t>
      </w:r>
      <w:r>
        <w:rPr>
          <w:rFonts w:hint="eastAsia" w:ascii="宋体" w:hAnsi="宋体" w:cs="宋体"/>
          <w:color w:val="auto"/>
          <w:kern w:val="2"/>
          <w:sz w:val="21"/>
          <w:szCs w:val="21"/>
          <w:highlight w:val="none"/>
        </w:rPr>
        <w:t>，属于</w:t>
      </w:r>
      <w:r>
        <w:rPr>
          <w:rFonts w:hint="eastAsia" w:ascii="宋体" w:hAnsi="宋体" w:cs="宋体"/>
          <w:color w:val="auto"/>
          <w:kern w:val="2"/>
          <w:sz w:val="21"/>
          <w:szCs w:val="21"/>
          <w:highlight w:val="none"/>
          <w:u w:val="single"/>
        </w:rPr>
        <w:t>（采购文件中明确的所属行业）行业</w:t>
      </w:r>
      <w:r>
        <w:rPr>
          <w:rFonts w:hint="eastAsia" w:ascii="宋体" w:hAnsi="宋体" w:cs="宋体"/>
          <w:color w:val="auto"/>
          <w:kern w:val="2"/>
          <w:sz w:val="21"/>
          <w:szCs w:val="21"/>
          <w:highlight w:val="none"/>
        </w:rPr>
        <w:t>；制造商为</w:t>
      </w:r>
      <w:r>
        <w:rPr>
          <w:rFonts w:hint="eastAsia" w:ascii="宋体" w:hAnsi="宋体" w:cs="宋体"/>
          <w:color w:val="auto"/>
          <w:kern w:val="2"/>
          <w:sz w:val="21"/>
          <w:szCs w:val="21"/>
          <w:highlight w:val="none"/>
          <w:u w:val="single"/>
        </w:rPr>
        <w:t>（企业名称）</w:t>
      </w:r>
      <w:r>
        <w:rPr>
          <w:rFonts w:hint="eastAsia" w:ascii="宋体" w:hAnsi="宋体" w:cs="宋体"/>
          <w:color w:val="auto"/>
          <w:kern w:val="2"/>
          <w:sz w:val="21"/>
          <w:szCs w:val="21"/>
          <w:highlight w:val="none"/>
        </w:rPr>
        <w:t>，从业人员</w:t>
      </w:r>
      <w:r>
        <w:rPr>
          <w:rFonts w:hint="eastAsia" w:ascii="宋体" w:hAnsi="宋体" w:cs="宋体"/>
          <w:color w:val="auto"/>
          <w:kern w:val="2"/>
          <w:sz w:val="21"/>
          <w:szCs w:val="21"/>
          <w:highlight w:val="none"/>
          <w:u w:val="single"/>
        </w:rPr>
        <w:t xml:space="preserve">  </w:t>
      </w:r>
      <w:r>
        <w:rPr>
          <w:rFonts w:hint="eastAsia" w:ascii="宋体" w:hAnsi="宋体" w:cs="宋体"/>
          <w:color w:val="auto"/>
          <w:kern w:val="2"/>
          <w:sz w:val="21"/>
          <w:szCs w:val="21"/>
          <w:highlight w:val="none"/>
        </w:rPr>
        <w:t>人，营业收入为</w:t>
      </w:r>
      <w:r>
        <w:rPr>
          <w:rFonts w:hint="eastAsia" w:ascii="宋体" w:hAnsi="宋体" w:cs="宋体"/>
          <w:color w:val="auto"/>
          <w:kern w:val="2"/>
          <w:sz w:val="21"/>
          <w:szCs w:val="21"/>
          <w:highlight w:val="none"/>
          <w:u w:val="single"/>
        </w:rPr>
        <w:t xml:space="preserve">  </w:t>
      </w:r>
      <w:r>
        <w:rPr>
          <w:rFonts w:hint="eastAsia" w:ascii="宋体" w:hAnsi="宋体" w:cs="宋体"/>
          <w:color w:val="auto"/>
          <w:kern w:val="2"/>
          <w:sz w:val="21"/>
          <w:szCs w:val="21"/>
          <w:highlight w:val="none"/>
        </w:rPr>
        <w:t>万元，资产总额为</w:t>
      </w:r>
      <w:r>
        <w:rPr>
          <w:rFonts w:hint="eastAsia" w:ascii="宋体" w:hAnsi="宋体" w:cs="宋体"/>
          <w:color w:val="auto"/>
          <w:kern w:val="2"/>
          <w:sz w:val="21"/>
          <w:szCs w:val="21"/>
          <w:highlight w:val="none"/>
          <w:u w:val="single"/>
        </w:rPr>
        <w:t xml:space="preserve">  </w:t>
      </w:r>
      <w:r>
        <w:rPr>
          <w:rFonts w:hint="eastAsia" w:ascii="宋体" w:hAnsi="宋体" w:cs="宋体"/>
          <w:color w:val="auto"/>
          <w:kern w:val="2"/>
          <w:sz w:val="21"/>
          <w:szCs w:val="21"/>
          <w:highlight w:val="none"/>
        </w:rPr>
        <w:t>万元，属于</w:t>
      </w:r>
      <w:r>
        <w:rPr>
          <w:rFonts w:hint="eastAsia" w:ascii="宋体" w:hAnsi="宋体" w:cs="宋体"/>
          <w:color w:val="auto"/>
          <w:kern w:val="2"/>
          <w:sz w:val="21"/>
          <w:szCs w:val="21"/>
          <w:highlight w:val="none"/>
          <w:u w:val="single"/>
        </w:rPr>
        <w:t>（中型企业、小型企业、微型企业）</w:t>
      </w:r>
      <w:r>
        <w:rPr>
          <w:rFonts w:hint="eastAsia" w:ascii="宋体" w:hAnsi="宋体" w:cs="宋体"/>
          <w:color w:val="auto"/>
          <w:kern w:val="2"/>
          <w:sz w:val="21"/>
          <w:szCs w:val="21"/>
          <w:highlight w:val="none"/>
        </w:rPr>
        <w:t>；</w:t>
      </w:r>
    </w:p>
    <w:p>
      <w:pPr>
        <w:pStyle w:val="43"/>
        <w:wordWrap w:val="0"/>
        <w:spacing w:beforeAutospacing="0" w:afterAutospacing="0" w:line="360" w:lineRule="auto"/>
        <w:ind w:firstLine="420" w:firstLineChars="200"/>
        <w:rPr>
          <w:rFonts w:ascii="宋体" w:hAnsi="宋体" w:cs="宋体"/>
          <w:color w:val="auto"/>
          <w:kern w:val="2"/>
          <w:sz w:val="21"/>
          <w:szCs w:val="21"/>
          <w:highlight w:val="none"/>
        </w:rPr>
      </w:pPr>
      <w:r>
        <w:rPr>
          <w:rFonts w:hint="eastAsia" w:ascii="宋体" w:hAnsi="宋体" w:cs="宋体"/>
          <w:color w:val="auto"/>
          <w:kern w:val="2"/>
          <w:sz w:val="21"/>
          <w:szCs w:val="21"/>
          <w:highlight w:val="none"/>
        </w:rPr>
        <w:t>2.</w:t>
      </w:r>
      <w:r>
        <w:rPr>
          <w:rFonts w:hint="eastAsia" w:ascii="宋体" w:hAnsi="宋体" w:cs="宋体"/>
          <w:color w:val="auto"/>
          <w:kern w:val="2"/>
          <w:sz w:val="21"/>
          <w:szCs w:val="21"/>
          <w:highlight w:val="none"/>
          <w:u w:val="single"/>
        </w:rPr>
        <w:t>（标的名称）</w:t>
      </w:r>
      <w:r>
        <w:rPr>
          <w:rFonts w:hint="eastAsia" w:ascii="宋体" w:hAnsi="宋体" w:cs="宋体"/>
          <w:color w:val="auto"/>
          <w:kern w:val="2"/>
          <w:sz w:val="21"/>
          <w:szCs w:val="21"/>
          <w:highlight w:val="none"/>
        </w:rPr>
        <w:t>，属于</w:t>
      </w:r>
      <w:r>
        <w:rPr>
          <w:rFonts w:hint="eastAsia" w:ascii="宋体" w:hAnsi="宋体" w:cs="宋体"/>
          <w:color w:val="auto"/>
          <w:kern w:val="2"/>
          <w:sz w:val="21"/>
          <w:szCs w:val="21"/>
          <w:highlight w:val="none"/>
          <w:u w:val="single"/>
        </w:rPr>
        <w:t>（采购文件中明确的所属行业）行业</w:t>
      </w:r>
      <w:r>
        <w:rPr>
          <w:rFonts w:hint="eastAsia" w:ascii="宋体" w:hAnsi="宋体" w:cs="宋体"/>
          <w:color w:val="auto"/>
          <w:kern w:val="2"/>
          <w:sz w:val="21"/>
          <w:szCs w:val="21"/>
          <w:highlight w:val="none"/>
        </w:rPr>
        <w:t>；制造商为</w:t>
      </w:r>
      <w:r>
        <w:rPr>
          <w:rFonts w:hint="eastAsia" w:ascii="宋体" w:hAnsi="宋体" w:cs="宋体"/>
          <w:color w:val="auto"/>
          <w:kern w:val="2"/>
          <w:sz w:val="21"/>
          <w:szCs w:val="21"/>
          <w:highlight w:val="none"/>
          <w:u w:val="single"/>
        </w:rPr>
        <w:t>（企业名称）</w:t>
      </w:r>
      <w:r>
        <w:rPr>
          <w:rFonts w:hint="eastAsia" w:ascii="宋体" w:hAnsi="宋体" w:cs="宋体"/>
          <w:color w:val="auto"/>
          <w:kern w:val="2"/>
          <w:sz w:val="21"/>
          <w:szCs w:val="21"/>
          <w:highlight w:val="none"/>
        </w:rPr>
        <w:t>，从业人员</w:t>
      </w:r>
      <w:r>
        <w:rPr>
          <w:rFonts w:hint="eastAsia" w:ascii="宋体" w:hAnsi="宋体" w:cs="宋体"/>
          <w:color w:val="auto"/>
          <w:kern w:val="2"/>
          <w:sz w:val="21"/>
          <w:szCs w:val="21"/>
          <w:highlight w:val="none"/>
          <w:u w:val="single"/>
        </w:rPr>
        <w:t xml:space="preserve">  </w:t>
      </w:r>
      <w:r>
        <w:rPr>
          <w:rFonts w:hint="eastAsia" w:ascii="宋体" w:hAnsi="宋体" w:cs="宋体"/>
          <w:color w:val="auto"/>
          <w:kern w:val="2"/>
          <w:sz w:val="21"/>
          <w:szCs w:val="21"/>
          <w:highlight w:val="none"/>
        </w:rPr>
        <w:t>人，营业收入为</w:t>
      </w:r>
      <w:r>
        <w:rPr>
          <w:rFonts w:hint="eastAsia" w:ascii="宋体" w:hAnsi="宋体" w:cs="宋体"/>
          <w:color w:val="auto"/>
          <w:kern w:val="2"/>
          <w:sz w:val="21"/>
          <w:szCs w:val="21"/>
          <w:highlight w:val="none"/>
          <w:u w:val="single"/>
        </w:rPr>
        <w:t xml:space="preserve">  </w:t>
      </w:r>
      <w:r>
        <w:rPr>
          <w:rFonts w:hint="eastAsia" w:ascii="宋体" w:hAnsi="宋体" w:cs="宋体"/>
          <w:color w:val="auto"/>
          <w:kern w:val="2"/>
          <w:sz w:val="21"/>
          <w:szCs w:val="21"/>
          <w:highlight w:val="none"/>
        </w:rPr>
        <w:t>万元，资产总额为</w:t>
      </w:r>
      <w:r>
        <w:rPr>
          <w:rFonts w:hint="eastAsia" w:ascii="宋体" w:hAnsi="宋体" w:cs="宋体"/>
          <w:color w:val="auto"/>
          <w:kern w:val="2"/>
          <w:sz w:val="21"/>
          <w:szCs w:val="21"/>
          <w:highlight w:val="none"/>
          <w:u w:val="single"/>
        </w:rPr>
        <w:t xml:space="preserve">  </w:t>
      </w:r>
      <w:r>
        <w:rPr>
          <w:rFonts w:hint="eastAsia" w:ascii="宋体" w:hAnsi="宋体" w:cs="宋体"/>
          <w:color w:val="auto"/>
          <w:kern w:val="2"/>
          <w:sz w:val="21"/>
          <w:szCs w:val="21"/>
          <w:highlight w:val="none"/>
        </w:rPr>
        <w:t>万元，属于</w:t>
      </w:r>
      <w:r>
        <w:rPr>
          <w:rFonts w:hint="eastAsia" w:ascii="宋体" w:hAnsi="宋体" w:cs="宋体"/>
          <w:color w:val="auto"/>
          <w:kern w:val="2"/>
          <w:sz w:val="21"/>
          <w:szCs w:val="21"/>
          <w:highlight w:val="none"/>
          <w:u w:val="single"/>
        </w:rPr>
        <w:t>（中型企业、小型企业、微型企业）</w:t>
      </w:r>
      <w:r>
        <w:rPr>
          <w:rFonts w:hint="eastAsia" w:ascii="宋体" w:hAnsi="宋体" w:cs="宋体"/>
          <w:color w:val="auto"/>
          <w:kern w:val="2"/>
          <w:sz w:val="21"/>
          <w:szCs w:val="21"/>
          <w:highlight w:val="none"/>
        </w:rPr>
        <w:t>；</w:t>
      </w:r>
    </w:p>
    <w:p>
      <w:pPr>
        <w:pStyle w:val="43"/>
        <w:wordWrap w:val="0"/>
        <w:spacing w:beforeAutospacing="0" w:afterAutospacing="0" w:line="360" w:lineRule="auto"/>
        <w:ind w:firstLine="420" w:firstLineChars="200"/>
        <w:rPr>
          <w:rFonts w:ascii="宋体" w:hAnsi="宋体" w:cs="宋体"/>
          <w:color w:val="auto"/>
          <w:kern w:val="2"/>
          <w:sz w:val="21"/>
          <w:szCs w:val="21"/>
          <w:highlight w:val="none"/>
        </w:rPr>
      </w:pPr>
      <w:r>
        <w:rPr>
          <w:rFonts w:hint="eastAsia" w:ascii="宋体" w:hAnsi="宋体" w:cs="宋体"/>
          <w:color w:val="auto"/>
          <w:kern w:val="2"/>
          <w:sz w:val="21"/>
          <w:szCs w:val="21"/>
          <w:highlight w:val="none"/>
        </w:rPr>
        <w:t>......</w:t>
      </w:r>
    </w:p>
    <w:p>
      <w:pPr>
        <w:pStyle w:val="43"/>
        <w:wordWrap w:val="0"/>
        <w:spacing w:beforeAutospacing="0" w:afterAutospacing="0" w:line="360" w:lineRule="auto"/>
        <w:ind w:firstLine="420" w:firstLineChars="200"/>
        <w:rPr>
          <w:rFonts w:ascii="宋体" w:hAnsi="宋体" w:cs="宋体"/>
          <w:color w:val="auto"/>
          <w:kern w:val="2"/>
          <w:sz w:val="21"/>
          <w:szCs w:val="21"/>
          <w:highlight w:val="none"/>
        </w:rPr>
      </w:pPr>
      <w:r>
        <w:rPr>
          <w:rFonts w:hint="eastAsia" w:ascii="宋体" w:hAnsi="宋体" w:cs="宋体"/>
          <w:color w:val="auto"/>
          <w:kern w:val="2"/>
          <w:sz w:val="21"/>
          <w:szCs w:val="21"/>
          <w:highlight w:val="none"/>
        </w:rPr>
        <w:t>以上企业，不属于大企业的分支机构，不存在控股股东为大企业的情形，也不存在与大型企业负责人为同一人的情形。</w:t>
      </w:r>
    </w:p>
    <w:p>
      <w:pPr>
        <w:pStyle w:val="43"/>
        <w:wordWrap w:val="0"/>
        <w:spacing w:beforeAutospacing="0" w:afterAutospacing="0" w:line="360" w:lineRule="auto"/>
        <w:ind w:firstLine="420" w:firstLineChars="200"/>
        <w:rPr>
          <w:rFonts w:ascii="宋体" w:hAnsi="宋体" w:cs="宋体"/>
          <w:color w:val="auto"/>
          <w:kern w:val="2"/>
          <w:sz w:val="21"/>
          <w:szCs w:val="21"/>
          <w:highlight w:val="none"/>
        </w:rPr>
      </w:pPr>
      <w:r>
        <w:rPr>
          <w:rFonts w:hint="eastAsia" w:ascii="宋体" w:hAnsi="宋体" w:cs="宋体"/>
          <w:color w:val="auto"/>
          <w:kern w:val="2"/>
          <w:sz w:val="21"/>
          <w:szCs w:val="21"/>
          <w:highlight w:val="none"/>
        </w:rPr>
        <w:t>本企业对上述声明内容的真实性负责。如有虚假，将依法承担相应责任。</w:t>
      </w:r>
    </w:p>
    <w:p>
      <w:pPr>
        <w:pStyle w:val="43"/>
        <w:wordWrap w:val="0"/>
        <w:spacing w:beforeAutospacing="0" w:afterAutospacing="0" w:line="360" w:lineRule="auto"/>
        <w:ind w:firstLine="420" w:firstLineChars="200"/>
        <w:jc w:val="center"/>
        <w:rPr>
          <w:rFonts w:ascii="宋体" w:hAnsi="宋体" w:cs="宋体"/>
          <w:color w:val="auto"/>
          <w:kern w:val="2"/>
          <w:sz w:val="21"/>
          <w:szCs w:val="21"/>
          <w:highlight w:val="none"/>
        </w:rPr>
      </w:pPr>
      <w:r>
        <w:rPr>
          <w:rFonts w:hint="eastAsia" w:ascii="宋体" w:hAnsi="宋体" w:cs="宋体"/>
          <w:color w:val="auto"/>
          <w:kern w:val="2"/>
          <w:sz w:val="21"/>
          <w:szCs w:val="21"/>
          <w:highlight w:val="none"/>
        </w:rPr>
        <w:t>企业名称（盖章）：</w:t>
      </w:r>
    </w:p>
    <w:p>
      <w:pPr>
        <w:pStyle w:val="43"/>
        <w:wordWrap w:val="0"/>
        <w:spacing w:beforeAutospacing="0" w:afterAutospacing="0" w:line="360" w:lineRule="auto"/>
        <w:ind w:firstLine="420" w:firstLineChars="200"/>
        <w:jc w:val="center"/>
        <w:rPr>
          <w:rFonts w:ascii="宋体" w:hAnsi="宋体" w:cs="宋体"/>
          <w:color w:val="auto"/>
          <w:kern w:val="2"/>
          <w:highlight w:val="none"/>
        </w:rPr>
      </w:pPr>
      <w:r>
        <w:rPr>
          <w:rFonts w:hint="eastAsia" w:ascii="宋体" w:hAnsi="宋体" w:cs="宋体"/>
          <w:color w:val="auto"/>
          <w:kern w:val="2"/>
          <w:sz w:val="21"/>
          <w:szCs w:val="21"/>
          <w:highlight w:val="none"/>
        </w:rPr>
        <w:t>日 期：</w:t>
      </w:r>
    </w:p>
    <w:p>
      <w:pPr>
        <w:spacing w:line="360" w:lineRule="auto"/>
        <w:rPr>
          <w:rFonts w:ascii="宋体" w:hAnsi="宋体" w:cs="宋体"/>
          <w:color w:val="auto"/>
          <w:highlight w:val="none"/>
        </w:rPr>
      </w:pPr>
    </w:p>
    <w:p>
      <w:pPr>
        <w:spacing w:line="360" w:lineRule="auto"/>
        <w:rPr>
          <w:rFonts w:ascii="宋体" w:hAnsi="宋体" w:cs="宋体"/>
          <w:color w:val="auto"/>
          <w:highlight w:val="none"/>
        </w:rPr>
      </w:pPr>
      <w:r>
        <w:rPr>
          <w:rFonts w:hint="eastAsia" w:ascii="宋体" w:hAnsi="宋体" w:cs="宋体"/>
          <w:color w:val="auto"/>
          <w:highlight w:val="none"/>
        </w:rPr>
        <w:t>注：从业人员、营业收入、资产总额填报上一年度数据，无上一年度数据的新企业可不填报。</w:t>
      </w:r>
    </w:p>
    <w:p>
      <w:pPr>
        <w:rPr>
          <w:rFonts w:ascii="宋体" w:hAnsi="宋体" w:cs="宋体"/>
          <w:b/>
          <w:color w:val="auto"/>
          <w:sz w:val="24"/>
          <w:highlight w:val="none"/>
        </w:rPr>
      </w:pPr>
      <w:r>
        <w:rPr>
          <w:rFonts w:hint="eastAsia" w:ascii="宋体" w:hAnsi="宋体" w:cs="宋体"/>
          <w:b/>
          <w:color w:val="auto"/>
          <w:sz w:val="24"/>
          <w:highlight w:val="none"/>
        </w:rPr>
        <w:br w:type="page"/>
      </w:r>
    </w:p>
    <w:p>
      <w:pPr>
        <w:pStyle w:val="5"/>
        <w:spacing w:before="120" w:after="120" w:line="360" w:lineRule="auto"/>
        <w:jc w:val="center"/>
        <w:rPr>
          <w:rFonts w:hAnsi="宋体" w:cs="宋体"/>
          <w:color w:val="auto"/>
          <w:sz w:val="24"/>
          <w:szCs w:val="24"/>
          <w:highlight w:val="none"/>
        </w:rPr>
      </w:pPr>
      <w:r>
        <w:rPr>
          <w:rFonts w:hint="eastAsia" w:hAnsi="宋体" w:cs="宋体"/>
          <w:color w:val="auto"/>
          <w:sz w:val="24"/>
          <w:szCs w:val="24"/>
          <w:highlight w:val="none"/>
        </w:rPr>
        <w:t>残疾人福利性单位声明函</w:t>
      </w:r>
    </w:p>
    <w:p>
      <w:pPr>
        <w:jc w:val="center"/>
        <w:rPr>
          <w:rFonts w:ascii="仿宋" w:hAnsi="仿宋" w:eastAsia="仿宋" w:cs="宋体"/>
          <w:b/>
          <w:bCs/>
          <w:color w:val="auto"/>
          <w:sz w:val="32"/>
          <w:szCs w:val="32"/>
          <w:highlight w:val="none"/>
        </w:rPr>
      </w:pPr>
      <w:r>
        <w:rPr>
          <w:rFonts w:hint="eastAsia" w:ascii="宋体" w:hAnsi="宋体" w:cs="宋体"/>
          <w:b/>
          <w:bCs/>
          <w:color w:val="auto"/>
          <w:highlight w:val="none"/>
        </w:rPr>
        <w:t>（属于残疾人福利性单位的填写，不属于的则投标文件中无需提供此项内容）</w:t>
      </w:r>
    </w:p>
    <w:p>
      <w:pPr>
        <w:snapToGrid w:val="0"/>
        <w:spacing w:line="520" w:lineRule="exact"/>
        <w:ind w:right="84" w:rightChars="40"/>
        <w:rPr>
          <w:rFonts w:ascii="仿宋" w:hAnsi="仿宋" w:eastAsia="仿宋" w:cs="宋体"/>
          <w:color w:val="auto"/>
          <w:sz w:val="32"/>
          <w:szCs w:val="32"/>
          <w:highlight w:val="none"/>
        </w:rPr>
      </w:pPr>
    </w:p>
    <w:p>
      <w:pPr>
        <w:pStyle w:val="43"/>
        <w:wordWrap w:val="0"/>
        <w:spacing w:beforeAutospacing="0" w:afterAutospacing="0" w:line="360" w:lineRule="auto"/>
        <w:ind w:firstLine="420" w:firstLineChars="200"/>
        <w:rPr>
          <w:rFonts w:ascii="宋体" w:hAnsi="宋体" w:cs="宋体"/>
          <w:color w:val="auto"/>
          <w:kern w:val="2"/>
          <w:sz w:val="21"/>
          <w:szCs w:val="21"/>
          <w:highlight w:val="none"/>
        </w:rPr>
      </w:pPr>
      <w:r>
        <w:rPr>
          <w:rFonts w:hint="eastAsia" w:ascii="宋体" w:hAnsi="宋体" w:cs="宋体"/>
          <w:color w:val="auto"/>
          <w:kern w:val="2"/>
          <w:sz w:val="21"/>
          <w:szCs w:val="21"/>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pPr>
        <w:pStyle w:val="43"/>
        <w:wordWrap w:val="0"/>
        <w:spacing w:beforeAutospacing="0" w:afterAutospacing="0" w:line="360" w:lineRule="auto"/>
        <w:ind w:firstLine="420" w:firstLineChars="200"/>
        <w:rPr>
          <w:rFonts w:ascii="宋体" w:hAnsi="宋体" w:cs="宋体"/>
          <w:color w:val="auto"/>
          <w:kern w:val="2"/>
          <w:sz w:val="21"/>
          <w:szCs w:val="21"/>
          <w:highlight w:val="none"/>
        </w:rPr>
      </w:pPr>
      <w:r>
        <w:rPr>
          <w:rFonts w:hint="eastAsia" w:ascii="宋体" w:hAnsi="宋体" w:cs="宋体"/>
          <w:color w:val="auto"/>
          <w:kern w:val="2"/>
          <w:sz w:val="21"/>
          <w:szCs w:val="21"/>
          <w:highlight w:val="none"/>
        </w:rPr>
        <w:t>本单位对上述声明的真实性负责。如有虚假，将依法承担相应责任。</w:t>
      </w:r>
    </w:p>
    <w:p>
      <w:pPr>
        <w:spacing w:line="360" w:lineRule="auto"/>
        <w:jc w:val="center"/>
        <w:rPr>
          <w:rFonts w:ascii="仿宋" w:hAnsi="仿宋" w:eastAsia="仿宋" w:cs="宋体"/>
          <w:b/>
          <w:bCs/>
          <w:color w:val="auto"/>
          <w:sz w:val="32"/>
          <w:szCs w:val="32"/>
          <w:highlight w:val="none"/>
        </w:rPr>
      </w:pPr>
    </w:p>
    <w:p>
      <w:pPr>
        <w:pStyle w:val="43"/>
        <w:wordWrap w:val="0"/>
        <w:spacing w:beforeAutospacing="0" w:afterAutospacing="0" w:line="360" w:lineRule="auto"/>
        <w:ind w:firstLine="420" w:firstLineChars="200"/>
        <w:rPr>
          <w:rFonts w:ascii="宋体" w:hAnsi="宋体" w:cs="宋体"/>
          <w:color w:val="auto"/>
          <w:kern w:val="2"/>
          <w:sz w:val="21"/>
          <w:szCs w:val="21"/>
          <w:highlight w:val="none"/>
        </w:rPr>
      </w:pPr>
      <w:r>
        <w:rPr>
          <w:rFonts w:hint="eastAsia" w:ascii="宋体" w:hAnsi="宋体" w:cs="宋体"/>
          <w:color w:val="auto"/>
          <w:kern w:val="2"/>
          <w:sz w:val="21"/>
          <w:szCs w:val="21"/>
          <w:highlight w:val="none"/>
        </w:rPr>
        <w:t>企业名称（盖章）：</w:t>
      </w:r>
    </w:p>
    <w:p>
      <w:pPr>
        <w:pStyle w:val="43"/>
        <w:wordWrap w:val="0"/>
        <w:spacing w:beforeAutospacing="0" w:afterAutospacing="0" w:line="360" w:lineRule="auto"/>
        <w:ind w:firstLine="420" w:firstLineChars="200"/>
        <w:rPr>
          <w:rFonts w:ascii="宋体" w:hAnsi="宋体" w:cs="宋体"/>
          <w:color w:val="auto"/>
          <w:kern w:val="2"/>
          <w:sz w:val="21"/>
          <w:szCs w:val="21"/>
          <w:highlight w:val="none"/>
        </w:rPr>
      </w:pPr>
      <w:r>
        <w:rPr>
          <w:rFonts w:hint="eastAsia" w:ascii="宋体" w:hAnsi="宋体" w:cs="宋体"/>
          <w:color w:val="auto"/>
          <w:kern w:val="2"/>
          <w:sz w:val="21"/>
          <w:szCs w:val="21"/>
          <w:highlight w:val="none"/>
        </w:rPr>
        <w:t>日期：</w:t>
      </w:r>
    </w:p>
    <w:p>
      <w:pPr>
        <w:rPr>
          <w:rFonts w:ascii="宋体" w:hAnsi="宋体" w:cs="宋体"/>
          <w:b/>
          <w:color w:val="auto"/>
          <w:sz w:val="24"/>
          <w:highlight w:val="none"/>
        </w:rPr>
      </w:pPr>
      <w:r>
        <w:rPr>
          <w:rFonts w:hint="eastAsia" w:ascii="宋体" w:hAnsi="宋体" w:cs="宋体"/>
          <w:b/>
          <w:color w:val="auto"/>
          <w:sz w:val="24"/>
          <w:highlight w:val="none"/>
        </w:rPr>
        <w:br w:type="page"/>
      </w:r>
    </w:p>
    <w:p>
      <w:pPr>
        <w:pStyle w:val="5"/>
        <w:spacing w:before="120" w:after="120" w:line="360" w:lineRule="auto"/>
        <w:jc w:val="center"/>
        <w:rPr>
          <w:rFonts w:hAnsi="宋体" w:cs="宋体"/>
          <w:color w:val="auto"/>
          <w:sz w:val="24"/>
          <w:szCs w:val="24"/>
          <w:highlight w:val="none"/>
        </w:rPr>
      </w:pPr>
      <w:r>
        <w:rPr>
          <w:rFonts w:hint="eastAsia" w:hAnsi="宋体" w:cs="宋体"/>
          <w:color w:val="auto"/>
          <w:sz w:val="24"/>
          <w:szCs w:val="24"/>
          <w:highlight w:val="none"/>
        </w:rPr>
        <w:t>监狱企业证明文件</w:t>
      </w:r>
    </w:p>
    <w:p>
      <w:pPr>
        <w:pStyle w:val="43"/>
        <w:wordWrap w:val="0"/>
        <w:spacing w:beforeAutospacing="0" w:afterAutospacing="0" w:line="360" w:lineRule="auto"/>
        <w:jc w:val="center"/>
        <w:rPr>
          <w:rFonts w:ascii="宋体" w:hAnsi="宋体" w:cs="宋体"/>
          <w:b/>
          <w:bCs/>
          <w:color w:val="auto"/>
          <w:kern w:val="2"/>
          <w:sz w:val="21"/>
          <w:szCs w:val="21"/>
          <w:highlight w:val="none"/>
        </w:rPr>
      </w:pPr>
      <w:r>
        <w:rPr>
          <w:rFonts w:hint="eastAsia" w:ascii="宋体" w:hAnsi="宋体" w:cs="宋体"/>
          <w:b/>
          <w:bCs/>
          <w:color w:val="auto"/>
          <w:kern w:val="2"/>
          <w:sz w:val="21"/>
          <w:szCs w:val="21"/>
          <w:highlight w:val="none"/>
        </w:rPr>
        <w:t>（属于监狱企业的提供，不属于的则投标文件中无需提供此项内容）</w:t>
      </w:r>
    </w:p>
    <w:p>
      <w:pPr>
        <w:spacing w:line="360" w:lineRule="auto"/>
        <w:rPr>
          <w:rFonts w:ascii="仿宋" w:hAnsi="仿宋" w:eastAsia="仿宋" w:cs="宋体"/>
          <w:b/>
          <w:bCs/>
          <w:color w:val="auto"/>
          <w:sz w:val="32"/>
          <w:szCs w:val="32"/>
          <w:highlight w:val="none"/>
        </w:rPr>
      </w:pPr>
    </w:p>
    <w:p>
      <w:pPr>
        <w:pStyle w:val="43"/>
        <w:wordWrap w:val="0"/>
        <w:spacing w:beforeAutospacing="0" w:afterAutospacing="0" w:line="360" w:lineRule="auto"/>
        <w:ind w:firstLine="420" w:firstLineChars="200"/>
        <w:rPr>
          <w:rFonts w:ascii="宋体" w:hAnsi="宋体" w:cs="宋体"/>
          <w:color w:val="auto"/>
          <w:kern w:val="2"/>
          <w:sz w:val="21"/>
          <w:szCs w:val="21"/>
          <w:highlight w:val="none"/>
        </w:rPr>
      </w:pPr>
      <w:r>
        <w:rPr>
          <w:rFonts w:hint="eastAsia" w:ascii="宋体" w:hAnsi="宋体" w:cs="宋体"/>
          <w:color w:val="auto"/>
          <w:kern w:val="2"/>
          <w:sz w:val="21"/>
          <w:szCs w:val="21"/>
          <w:highlight w:val="none"/>
        </w:rPr>
        <w:t>（监狱企业参加政府采购活动时，应当提供由省级以上监狱管理局、戒毒管理局(含新疆生产建设兵团)出具的属于监狱企业的证明文件。</w:t>
      </w:r>
    </w:p>
    <w:p>
      <w:pPr>
        <w:pStyle w:val="43"/>
        <w:wordWrap w:val="0"/>
        <w:spacing w:beforeAutospacing="0" w:afterAutospacing="0" w:line="360" w:lineRule="auto"/>
        <w:ind w:firstLine="420" w:firstLineChars="200"/>
        <w:rPr>
          <w:rFonts w:ascii="宋体" w:hAnsi="宋体" w:cs="宋体"/>
          <w:color w:val="auto"/>
          <w:kern w:val="2"/>
          <w:sz w:val="21"/>
          <w:szCs w:val="21"/>
          <w:highlight w:val="none"/>
        </w:rPr>
      </w:pPr>
    </w:p>
    <w:p>
      <w:pPr>
        <w:pStyle w:val="43"/>
        <w:wordWrap w:val="0"/>
        <w:spacing w:beforeAutospacing="0" w:afterAutospacing="0" w:line="360" w:lineRule="auto"/>
        <w:rPr>
          <w:rFonts w:ascii="宋体" w:hAnsi="宋体" w:cs="宋体"/>
          <w:color w:val="auto"/>
          <w:kern w:val="2"/>
          <w:sz w:val="21"/>
          <w:szCs w:val="21"/>
          <w:highlight w:val="none"/>
        </w:rPr>
      </w:pPr>
      <w:r>
        <w:rPr>
          <w:rFonts w:hint="eastAsia" w:ascii="宋体" w:hAnsi="宋体" w:cs="宋体"/>
          <w:color w:val="auto"/>
          <w:kern w:val="2"/>
          <w:sz w:val="21"/>
          <w:szCs w:val="21"/>
          <w:highlight w:val="none"/>
        </w:rPr>
        <w:t>注：在投标文件中附扫描件。</w:t>
      </w:r>
    </w:p>
    <w:p>
      <w:pPr>
        <w:rPr>
          <w:rFonts w:ascii="宋体" w:hAnsi="宋体" w:cs="宋体"/>
          <w:b/>
          <w:color w:val="auto"/>
          <w:sz w:val="24"/>
          <w:highlight w:val="none"/>
        </w:rPr>
      </w:pPr>
      <w:r>
        <w:rPr>
          <w:rFonts w:hint="eastAsia" w:ascii="宋体" w:hAnsi="宋体" w:cs="宋体"/>
          <w:b/>
          <w:color w:val="auto"/>
          <w:sz w:val="24"/>
          <w:highlight w:val="none"/>
        </w:rPr>
        <w:br w:type="page"/>
      </w:r>
    </w:p>
    <w:p>
      <w:pPr>
        <w:pStyle w:val="5"/>
        <w:spacing w:before="120" w:after="120" w:line="360" w:lineRule="auto"/>
        <w:jc w:val="center"/>
        <w:rPr>
          <w:rFonts w:hint="eastAsia" w:hAnsi="宋体" w:cs="宋体"/>
          <w:color w:val="auto"/>
          <w:sz w:val="24"/>
          <w:szCs w:val="24"/>
          <w:highlight w:val="none"/>
        </w:rPr>
      </w:pPr>
      <w:r>
        <w:rPr>
          <w:rFonts w:hint="eastAsia" w:hAnsi="宋体" w:cs="宋体"/>
          <w:color w:val="auto"/>
          <w:sz w:val="24"/>
          <w:szCs w:val="24"/>
          <w:highlight w:val="none"/>
        </w:rPr>
        <w:t>节能产品明细表</w:t>
      </w:r>
    </w:p>
    <w:tbl>
      <w:tblPr>
        <w:tblStyle w:val="48"/>
        <w:tblW w:w="88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916"/>
        <w:gridCol w:w="916"/>
        <w:gridCol w:w="916"/>
        <w:gridCol w:w="917"/>
        <w:gridCol w:w="1540"/>
        <w:gridCol w:w="875"/>
        <w:gridCol w:w="917"/>
        <w:gridCol w:w="9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序号</w:t>
            </w:r>
          </w:p>
        </w:tc>
        <w:tc>
          <w:tcPr>
            <w:tcW w:w="916"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设备名称</w:t>
            </w:r>
          </w:p>
        </w:tc>
        <w:tc>
          <w:tcPr>
            <w:tcW w:w="916" w:type="dxa"/>
            <w:vAlign w:val="center"/>
          </w:tcPr>
          <w:p>
            <w:pPr>
              <w:adjustRightInd w:val="0"/>
              <w:snapToGrid w:val="0"/>
              <w:jc w:val="center"/>
              <w:rPr>
                <w:rFonts w:ascii="宋体" w:hAnsi="宋体" w:cs="宋体"/>
                <w:color w:val="auto"/>
                <w:highlight w:val="none"/>
              </w:rPr>
            </w:pPr>
            <w:r>
              <w:rPr>
                <w:rFonts w:hint="eastAsia" w:ascii="宋体" w:hAnsi="宋体" w:cs="宋体"/>
                <w:color w:val="auto"/>
                <w:highlight w:val="none"/>
              </w:rPr>
              <w:t>品牌</w:t>
            </w:r>
          </w:p>
          <w:p>
            <w:pPr>
              <w:adjustRightInd w:val="0"/>
              <w:snapToGrid w:val="0"/>
              <w:jc w:val="center"/>
              <w:rPr>
                <w:rFonts w:ascii="宋体" w:hAnsi="宋体" w:cs="宋体"/>
                <w:b/>
                <w:color w:val="auto"/>
                <w:highlight w:val="none"/>
              </w:rPr>
            </w:pPr>
            <w:r>
              <w:rPr>
                <w:rFonts w:hint="eastAsia" w:ascii="宋体" w:hAnsi="宋体" w:cs="宋体"/>
                <w:color w:val="auto"/>
                <w:highlight w:val="none"/>
              </w:rPr>
              <w:t>型号</w:t>
            </w:r>
          </w:p>
        </w:tc>
        <w:tc>
          <w:tcPr>
            <w:tcW w:w="916"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制造商名称</w:t>
            </w:r>
          </w:p>
        </w:tc>
        <w:tc>
          <w:tcPr>
            <w:tcW w:w="917"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节字标志认证证书号</w:t>
            </w:r>
          </w:p>
        </w:tc>
        <w:tc>
          <w:tcPr>
            <w:tcW w:w="1540"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国家节能产品认证证书有效截止日期</w:t>
            </w:r>
          </w:p>
        </w:tc>
        <w:tc>
          <w:tcPr>
            <w:tcW w:w="875"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数量</w:t>
            </w:r>
          </w:p>
        </w:tc>
        <w:tc>
          <w:tcPr>
            <w:tcW w:w="917"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单价</w:t>
            </w:r>
          </w:p>
        </w:tc>
        <w:tc>
          <w:tcPr>
            <w:tcW w:w="917"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c>
          <w:tcPr>
            <w:tcW w:w="1540" w:type="dxa"/>
          </w:tcPr>
          <w:p>
            <w:pPr>
              <w:tabs>
                <w:tab w:val="left" w:pos="840"/>
              </w:tabs>
              <w:autoSpaceDE w:val="0"/>
              <w:autoSpaceDN w:val="0"/>
              <w:adjustRightInd w:val="0"/>
              <w:spacing w:line="360" w:lineRule="auto"/>
              <w:rPr>
                <w:rFonts w:ascii="宋体" w:hAnsi="宋体" w:cs="宋体"/>
                <w:b/>
                <w:color w:val="auto"/>
                <w:highlight w:val="none"/>
              </w:rPr>
            </w:pPr>
          </w:p>
        </w:tc>
        <w:tc>
          <w:tcPr>
            <w:tcW w:w="875"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c>
          <w:tcPr>
            <w:tcW w:w="1540" w:type="dxa"/>
          </w:tcPr>
          <w:p>
            <w:pPr>
              <w:tabs>
                <w:tab w:val="left" w:pos="840"/>
              </w:tabs>
              <w:autoSpaceDE w:val="0"/>
              <w:autoSpaceDN w:val="0"/>
              <w:adjustRightInd w:val="0"/>
              <w:spacing w:line="360" w:lineRule="auto"/>
              <w:rPr>
                <w:rFonts w:ascii="宋体" w:hAnsi="宋体" w:cs="宋体"/>
                <w:b/>
                <w:color w:val="auto"/>
                <w:highlight w:val="none"/>
              </w:rPr>
            </w:pPr>
          </w:p>
        </w:tc>
        <w:tc>
          <w:tcPr>
            <w:tcW w:w="875"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c>
          <w:tcPr>
            <w:tcW w:w="1540" w:type="dxa"/>
          </w:tcPr>
          <w:p>
            <w:pPr>
              <w:tabs>
                <w:tab w:val="left" w:pos="840"/>
              </w:tabs>
              <w:autoSpaceDE w:val="0"/>
              <w:autoSpaceDN w:val="0"/>
              <w:adjustRightInd w:val="0"/>
              <w:spacing w:line="360" w:lineRule="auto"/>
              <w:rPr>
                <w:rFonts w:ascii="宋体" w:hAnsi="宋体" w:cs="宋体"/>
                <w:b/>
                <w:color w:val="auto"/>
                <w:highlight w:val="none"/>
              </w:rPr>
            </w:pPr>
          </w:p>
        </w:tc>
        <w:tc>
          <w:tcPr>
            <w:tcW w:w="875"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c>
          <w:tcPr>
            <w:tcW w:w="1540" w:type="dxa"/>
          </w:tcPr>
          <w:p>
            <w:pPr>
              <w:tabs>
                <w:tab w:val="left" w:pos="840"/>
              </w:tabs>
              <w:autoSpaceDE w:val="0"/>
              <w:autoSpaceDN w:val="0"/>
              <w:adjustRightInd w:val="0"/>
              <w:spacing w:line="360" w:lineRule="auto"/>
              <w:rPr>
                <w:rFonts w:ascii="宋体" w:hAnsi="宋体" w:cs="宋体"/>
                <w:b/>
                <w:color w:val="auto"/>
                <w:highlight w:val="none"/>
              </w:rPr>
            </w:pPr>
          </w:p>
        </w:tc>
        <w:tc>
          <w:tcPr>
            <w:tcW w:w="875"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r>
    </w:tbl>
    <w:p>
      <w:pPr>
        <w:rPr>
          <w:rFonts w:ascii="宋体" w:hAnsi="宋体"/>
          <w:color w:val="auto"/>
          <w:highlight w:val="none"/>
        </w:rPr>
      </w:pPr>
    </w:p>
    <w:p>
      <w:pPr>
        <w:ind w:firstLine="420" w:firstLineChars="200"/>
        <w:rPr>
          <w:rFonts w:ascii="宋体" w:hAnsi="宋体"/>
          <w:color w:val="auto"/>
          <w:highlight w:val="none"/>
        </w:rPr>
      </w:pPr>
      <w:r>
        <w:rPr>
          <w:rFonts w:hint="eastAsia" w:ascii="宋体" w:hAnsi="宋体"/>
          <w:color w:val="auto"/>
          <w:highlight w:val="none"/>
        </w:rPr>
        <w:t>法定代表人或被授权人（电子签章）：</w:t>
      </w:r>
    </w:p>
    <w:p>
      <w:pPr>
        <w:ind w:firstLine="420" w:firstLineChars="200"/>
        <w:rPr>
          <w:rFonts w:ascii="宋体" w:hAnsi="宋体"/>
          <w:color w:val="auto"/>
          <w:highlight w:val="none"/>
        </w:rPr>
      </w:pPr>
    </w:p>
    <w:p>
      <w:pPr>
        <w:ind w:firstLine="420" w:firstLineChars="200"/>
        <w:rPr>
          <w:rFonts w:ascii="宋体" w:hAnsi="宋体"/>
          <w:color w:val="auto"/>
          <w:highlight w:val="none"/>
        </w:rPr>
      </w:pPr>
      <w:r>
        <w:rPr>
          <w:rFonts w:hint="eastAsia" w:ascii="宋体" w:hAnsi="宋体"/>
          <w:color w:val="auto"/>
          <w:highlight w:val="none"/>
        </w:rPr>
        <w:t>投标人（电子签章）：</w:t>
      </w:r>
    </w:p>
    <w:p>
      <w:pPr>
        <w:ind w:firstLine="420" w:firstLineChars="200"/>
        <w:rPr>
          <w:rFonts w:ascii="宋体" w:hAnsi="宋体"/>
          <w:color w:val="auto"/>
          <w:highlight w:val="none"/>
        </w:rPr>
      </w:pPr>
    </w:p>
    <w:p>
      <w:pPr>
        <w:ind w:firstLine="420" w:firstLineChars="200"/>
        <w:rPr>
          <w:rFonts w:ascii="宋体" w:hAnsi="宋体"/>
          <w:color w:val="auto"/>
          <w:highlight w:val="none"/>
        </w:rPr>
      </w:pPr>
      <w:r>
        <w:rPr>
          <w:rFonts w:hint="eastAsia" w:ascii="宋体" w:hAnsi="宋体"/>
          <w:color w:val="auto"/>
          <w:highlight w:val="none"/>
        </w:rPr>
        <w:t>日期：</w:t>
      </w:r>
    </w:p>
    <w:p>
      <w:pPr>
        <w:tabs>
          <w:tab w:val="left" w:pos="840"/>
        </w:tabs>
        <w:autoSpaceDE w:val="0"/>
        <w:autoSpaceDN w:val="0"/>
        <w:adjustRightInd w:val="0"/>
        <w:spacing w:line="360" w:lineRule="auto"/>
        <w:jc w:val="center"/>
        <w:rPr>
          <w:rFonts w:ascii="宋体" w:hAnsi="宋体"/>
          <w:b/>
          <w:color w:val="auto"/>
          <w:sz w:val="28"/>
          <w:szCs w:val="28"/>
          <w:highlight w:val="none"/>
        </w:rPr>
      </w:pPr>
      <w:r>
        <w:rPr>
          <w:rFonts w:ascii="宋体" w:hAnsi="宋体" w:cs="宋体"/>
          <w:b/>
          <w:color w:val="auto"/>
          <w:highlight w:val="none"/>
        </w:rPr>
        <w:br w:type="page"/>
      </w:r>
      <w:r>
        <w:rPr>
          <w:rFonts w:hint="eastAsia" w:ascii="Times New Roman" w:hAnsi="宋体" w:eastAsia="宋体" w:cs="宋体"/>
          <w:b/>
          <w:bCs/>
          <w:color w:val="auto"/>
          <w:kern w:val="0"/>
          <w:sz w:val="24"/>
          <w:szCs w:val="24"/>
          <w:highlight w:val="none"/>
          <w:lang w:val="en-US" w:eastAsia="zh-CN" w:bidi="ar-SA"/>
        </w:rPr>
        <w:t>环境标志产品明细表</w:t>
      </w:r>
    </w:p>
    <w:tbl>
      <w:tblPr>
        <w:tblStyle w:val="48"/>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916"/>
        <w:gridCol w:w="916"/>
        <w:gridCol w:w="916"/>
        <w:gridCol w:w="1255"/>
        <w:gridCol w:w="1181"/>
        <w:gridCol w:w="917"/>
        <w:gridCol w:w="917"/>
        <w:gridCol w:w="9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序号</w:t>
            </w:r>
          </w:p>
        </w:tc>
        <w:tc>
          <w:tcPr>
            <w:tcW w:w="916"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设备名称</w:t>
            </w:r>
          </w:p>
        </w:tc>
        <w:tc>
          <w:tcPr>
            <w:tcW w:w="916" w:type="dxa"/>
            <w:vAlign w:val="center"/>
          </w:tcPr>
          <w:p>
            <w:pPr>
              <w:adjustRightInd w:val="0"/>
              <w:snapToGrid w:val="0"/>
              <w:jc w:val="center"/>
              <w:rPr>
                <w:rFonts w:ascii="宋体" w:hAnsi="宋体" w:cs="宋体"/>
                <w:color w:val="auto"/>
                <w:highlight w:val="none"/>
              </w:rPr>
            </w:pPr>
            <w:r>
              <w:rPr>
                <w:rFonts w:hint="eastAsia" w:ascii="宋体" w:hAnsi="宋体" w:cs="宋体"/>
                <w:color w:val="auto"/>
                <w:highlight w:val="none"/>
              </w:rPr>
              <w:t>品牌</w:t>
            </w:r>
          </w:p>
          <w:p>
            <w:pPr>
              <w:adjustRightInd w:val="0"/>
              <w:snapToGrid w:val="0"/>
              <w:jc w:val="center"/>
              <w:rPr>
                <w:rFonts w:ascii="宋体" w:hAnsi="宋体" w:cs="宋体"/>
                <w:b/>
                <w:color w:val="auto"/>
                <w:highlight w:val="none"/>
              </w:rPr>
            </w:pPr>
            <w:r>
              <w:rPr>
                <w:rFonts w:hint="eastAsia" w:ascii="宋体" w:hAnsi="宋体" w:cs="宋体"/>
                <w:color w:val="auto"/>
                <w:highlight w:val="none"/>
              </w:rPr>
              <w:t>型号</w:t>
            </w:r>
          </w:p>
        </w:tc>
        <w:tc>
          <w:tcPr>
            <w:tcW w:w="916"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制造商名称</w:t>
            </w:r>
          </w:p>
        </w:tc>
        <w:tc>
          <w:tcPr>
            <w:tcW w:w="1255"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中国环境标志认证证书编号</w:t>
            </w:r>
          </w:p>
        </w:tc>
        <w:tc>
          <w:tcPr>
            <w:tcW w:w="1181" w:type="dxa"/>
            <w:vAlign w:val="center"/>
          </w:tcPr>
          <w:p>
            <w:pPr>
              <w:adjustRightInd w:val="0"/>
              <w:snapToGrid w:val="0"/>
              <w:jc w:val="center"/>
              <w:rPr>
                <w:rFonts w:ascii="宋体" w:hAnsi="宋体" w:cs="宋体"/>
                <w:color w:val="auto"/>
                <w:highlight w:val="none"/>
              </w:rPr>
            </w:pPr>
            <w:r>
              <w:rPr>
                <w:rFonts w:hint="eastAsia" w:ascii="宋体" w:hAnsi="宋体" w:cs="宋体"/>
                <w:color w:val="auto"/>
                <w:highlight w:val="none"/>
              </w:rPr>
              <w:t>认证证书有效</w:t>
            </w:r>
          </w:p>
          <w:p>
            <w:pPr>
              <w:adjustRightInd w:val="0"/>
              <w:snapToGrid w:val="0"/>
              <w:jc w:val="center"/>
              <w:rPr>
                <w:rFonts w:ascii="宋体" w:hAnsi="宋体" w:cs="宋体"/>
                <w:b/>
                <w:color w:val="auto"/>
                <w:highlight w:val="none"/>
              </w:rPr>
            </w:pPr>
            <w:r>
              <w:rPr>
                <w:rFonts w:hint="eastAsia" w:ascii="宋体" w:hAnsi="宋体" w:cs="宋体"/>
                <w:color w:val="auto"/>
                <w:highlight w:val="none"/>
              </w:rPr>
              <w:t>截止日期</w:t>
            </w:r>
          </w:p>
        </w:tc>
        <w:tc>
          <w:tcPr>
            <w:tcW w:w="917"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数量</w:t>
            </w:r>
          </w:p>
        </w:tc>
        <w:tc>
          <w:tcPr>
            <w:tcW w:w="917"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单价</w:t>
            </w:r>
          </w:p>
        </w:tc>
        <w:tc>
          <w:tcPr>
            <w:tcW w:w="917" w:type="dxa"/>
            <w:vAlign w:val="center"/>
          </w:tcPr>
          <w:p>
            <w:pPr>
              <w:adjustRightInd w:val="0"/>
              <w:snapToGrid w:val="0"/>
              <w:jc w:val="center"/>
              <w:rPr>
                <w:rFonts w:ascii="宋体" w:hAnsi="宋体" w:cs="宋体"/>
                <w:b/>
                <w:color w:val="auto"/>
                <w:highlight w:val="none"/>
              </w:rPr>
            </w:pPr>
            <w:r>
              <w:rPr>
                <w:rFonts w:hint="eastAsia" w:ascii="宋体" w:hAnsi="宋体" w:cs="宋体"/>
                <w:color w:val="auto"/>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1255" w:type="dxa"/>
          </w:tcPr>
          <w:p>
            <w:pPr>
              <w:tabs>
                <w:tab w:val="left" w:pos="840"/>
              </w:tabs>
              <w:autoSpaceDE w:val="0"/>
              <w:autoSpaceDN w:val="0"/>
              <w:adjustRightInd w:val="0"/>
              <w:spacing w:line="360" w:lineRule="auto"/>
              <w:rPr>
                <w:rFonts w:ascii="宋体" w:hAnsi="宋体" w:cs="宋体"/>
                <w:b/>
                <w:color w:val="auto"/>
                <w:highlight w:val="none"/>
              </w:rPr>
            </w:pPr>
          </w:p>
        </w:tc>
        <w:tc>
          <w:tcPr>
            <w:tcW w:w="1181"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1255" w:type="dxa"/>
          </w:tcPr>
          <w:p>
            <w:pPr>
              <w:tabs>
                <w:tab w:val="left" w:pos="840"/>
              </w:tabs>
              <w:autoSpaceDE w:val="0"/>
              <w:autoSpaceDN w:val="0"/>
              <w:adjustRightInd w:val="0"/>
              <w:spacing w:line="360" w:lineRule="auto"/>
              <w:rPr>
                <w:rFonts w:ascii="宋体" w:hAnsi="宋体" w:cs="宋体"/>
                <w:b/>
                <w:color w:val="auto"/>
                <w:highlight w:val="none"/>
              </w:rPr>
            </w:pPr>
          </w:p>
        </w:tc>
        <w:tc>
          <w:tcPr>
            <w:tcW w:w="1181"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916" w:type="dxa"/>
          </w:tcPr>
          <w:p>
            <w:pPr>
              <w:tabs>
                <w:tab w:val="left" w:pos="840"/>
              </w:tabs>
              <w:autoSpaceDE w:val="0"/>
              <w:autoSpaceDN w:val="0"/>
              <w:adjustRightInd w:val="0"/>
              <w:spacing w:line="360" w:lineRule="auto"/>
              <w:rPr>
                <w:rFonts w:ascii="宋体" w:hAnsi="宋体" w:cs="宋体"/>
                <w:b/>
                <w:color w:val="auto"/>
                <w:highlight w:val="none"/>
              </w:rPr>
            </w:pPr>
          </w:p>
        </w:tc>
        <w:tc>
          <w:tcPr>
            <w:tcW w:w="1255" w:type="dxa"/>
          </w:tcPr>
          <w:p>
            <w:pPr>
              <w:tabs>
                <w:tab w:val="left" w:pos="840"/>
              </w:tabs>
              <w:autoSpaceDE w:val="0"/>
              <w:autoSpaceDN w:val="0"/>
              <w:adjustRightInd w:val="0"/>
              <w:spacing w:line="360" w:lineRule="auto"/>
              <w:rPr>
                <w:rFonts w:ascii="宋体" w:hAnsi="宋体" w:cs="宋体"/>
                <w:b/>
                <w:color w:val="auto"/>
                <w:highlight w:val="none"/>
              </w:rPr>
            </w:pPr>
          </w:p>
        </w:tc>
        <w:tc>
          <w:tcPr>
            <w:tcW w:w="1181"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c>
          <w:tcPr>
            <w:tcW w:w="917" w:type="dxa"/>
          </w:tcPr>
          <w:p>
            <w:pPr>
              <w:tabs>
                <w:tab w:val="left" w:pos="840"/>
              </w:tabs>
              <w:autoSpaceDE w:val="0"/>
              <w:autoSpaceDN w:val="0"/>
              <w:adjustRightInd w:val="0"/>
              <w:spacing w:line="360" w:lineRule="auto"/>
              <w:rPr>
                <w:rFonts w:ascii="宋体" w:hAnsi="宋体" w:cs="宋体"/>
                <w:b/>
                <w:color w:val="auto"/>
                <w:highlight w:val="none"/>
              </w:rPr>
            </w:pPr>
          </w:p>
        </w:tc>
      </w:tr>
    </w:tbl>
    <w:p>
      <w:pPr>
        <w:tabs>
          <w:tab w:val="left" w:pos="840"/>
        </w:tabs>
        <w:autoSpaceDE w:val="0"/>
        <w:autoSpaceDN w:val="0"/>
        <w:adjustRightInd w:val="0"/>
        <w:spacing w:line="360" w:lineRule="auto"/>
        <w:rPr>
          <w:rFonts w:ascii="宋体" w:hAnsi="宋体" w:cs="宋体"/>
          <w:b/>
          <w:color w:val="auto"/>
          <w:highlight w:val="none"/>
        </w:rPr>
      </w:pPr>
    </w:p>
    <w:p>
      <w:pPr>
        <w:ind w:firstLine="420" w:firstLineChars="200"/>
        <w:rPr>
          <w:rFonts w:ascii="宋体" w:hAnsi="宋体"/>
          <w:color w:val="auto"/>
          <w:highlight w:val="none"/>
        </w:rPr>
      </w:pPr>
      <w:r>
        <w:rPr>
          <w:rFonts w:hint="eastAsia" w:ascii="宋体" w:hAnsi="宋体"/>
          <w:color w:val="auto"/>
          <w:highlight w:val="none"/>
        </w:rPr>
        <w:t>法定代表人或被授权人（电子签章）：</w:t>
      </w:r>
    </w:p>
    <w:p>
      <w:pPr>
        <w:ind w:firstLine="420" w:firstLineChars="200"/>
        <w:rPr>
          <w:rFonts w:ascii="宋体" w:hAnsi="宋体"/>
          <w:color w:val="auto"/>
          <w:highlight w:val="none"/>
        </w:rPr>
      </w:pPr>
    </w:p>
    <w:p>
      <w:pPr>
        <w:ind w:firstLine="420" w:firstLineChars="200"/>
        <w:rPr>
          <w:rFonts w:ascii="宋体" w:hAnsi="宋体"/>
          <w:color w:val="auto"/>
          <w:highlight w:val="none"/>
        </w:rPr>
      </w:pPr>
      <w:r>
        <w:rPr>
          <w:rFonts w:hint="eastAsia" w:ascii="宋体" w:hAnsi="宋体"/>
          <w:color w:val="auto"/>
          <w:highlight w:val="none"/>
        </w:rPr>
        <w:t>投标人（电子签章）：</w:t>
      </w:r>
    </w:p>
    <w:p>
      <w:pPr>
        <w:ind w:firstLine="420" w:firstLineChars="200"/>
        <w:rPr>
          <w:rFonts w:ascii="宋体" w:hAnsi="宋体"/>
          <w:color w:val="auto"/>
          <w:highlight w:val="none"/>
        </w:rPr>
      </w:pPr>
    </w:p>
    <w:p>
      <w:pPr>
        <w:ind w:firstLine="420" w:firstLineChars="200"/>
        <w:rPr>
          <w:rFonts w:ascii="宋体" w:hAnsi="宋体"/>
          <w:color w:val="auto"/>
          <w:highlight w:val="none"/>
        </w:rPr>
      </w:pPr>
      <w:r>
        <w:rPr>
          <w:rFonts w:hint="eastAsia" w:ascii="宋体" w:hAnsi="宋体"/>
          <w:color w:val="auto"/>
          <w:highlight w:val="none"/>
        </w:rPr>
        <w:t>日期：</w:t>
      </w:r>
    </w:p>
    <w:p>
      <w:pPr>
        <w:pStyle w:val="217"/>
        <w:spacing w:line="360" w:lineRule="auto"/>
        <w:ind w:left="718" w:hanging="718" w:hangingChars="342"/>
        <w:rPr>
          <w:rFonts w:ascii="宋体" w:hAnsi="宋体" w:cs="宋体"/>
          <w:color w:val="auto"/>
          <w:highlight w:val="none"/>
        </w:rPr>
      </w:pPr>
    </w:p>
    <w:p>
      <w:pPr>
        <w:pStyle w:val="217"/>
        <w:spacing w:line="360" w:lineRule="auto"/>
        <w:ind w:left="718" w:hanging="718" w:hangingChars="342"/>
        <w:rPr>
          <w:rFonts w:ascii="宋体" w:hAnsi="宋体" w:cs="宋体"/>
          <w:color w:val="auto"/>
          <w:highlight w:val="none"/>
        </w:rPr>
      </w:pPr>
      <w:r>
        <w:rPr>
          <w:rFonts w:hint="eastAsia" w:ascii="宋体" w:hAnsi="宋体" w:cs="宋体"/>
          <w:color w:val="auto"/>
          <w:highlight w:val="none"/>
        </w:rPr>
        <w:t>填报要求：</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1. 本表的设备名称、品牌型号、金额应与</w:t>
      </w:r>
      <w:r>
        <w:rPr>
          <w:rFonts w:hint="eastAsia" w:ascii="宋体" w:hAnsi="宋体" w:cs="宋体"/>
          <w:bCs/>
          <w:color w:val="auto"/>
          <w:highlight w:val="none"/>
        </w:rPr>
        <w:t>货物分项报价明细表</w:t>
      </w:r>
      <w:r>
        <w:rPr>
          <w:rFonts w:hint="eastAsia" w:ascii="宋体" w:hAnsi="宋体" w:cs="宋体"/>
          <w:color w:val="auto"/>
          <w:highlight w:val="none"/>
        </w:rPr>
        <w:t>一致。</w:t>
      </w:r>
    </w:p>
    <w:p>
      <w:pPr>
        <w:spacing w:line="360" w:lineRule="auto"/>
        <w:ind w:firstLine="420" w:firstLineChars="200"/>
        <w:rPr>
          <w:rFonts w:ascii="宋体" w:hAnsi="宋体" w:cs="宋体"/>
          <w:b/>
          <w:color w:val="auto"/>
          <w:highlight w:val="none"/>
        </w:rPr>
      </w:pPr>
      <w:r>
        <w:rPr>
          <w:rFonts w:hint="eastAsia" w:ascii="宋体" w:hAnsi="宋体" w:cs="宋体"/>
          <w:color w:val="auto"/>
          <w:highlight w:val="none"/>
        </w:rPr>
        <w:t>2. 节能产品是指财政部和国家发展改革委员会公布的《节能产品政府采购品目清单》中的产品，可在中华人民共和国财政部网站（http://www.mof.gov.cn）、中国政府采购网（http://www.ccgp.gov.cn/）查阅。</w:t>
      </w:r>
      <w:r>
        <w:rPr>
          <w:rFonts w:hint="eastAsia" w:ascii="宋体" w:hAnsi="宋体" w:cs="宋体"/>
          <w:b/>
          <w:color w:val="auto"/>
          <w:highlight w:val="none"/>
        </w:rPr>
        <w:t>投标人须在投标文件中附该产品经国家确定的认证机构出具的、处于有效期之内的《国家节能产品认证证书》复印件，否则评标委员会有权不予认可。</w:t>
      </w:r>
    </w:p>
    <w:p>
      <w:pPr>
        <w:spacing w:line="360" w:lineRule="auto"/>
        <w:ind w:firstLine="420" w:firstLineChars="200"/>
        <w:rPr>
          <w:rFonts w:ascii="宋体" w:hAnsi="宋体" w:cs="宋体"/>
          <w:b/>
          <w:color w:val="auto"/>
          <w:highlight w:val="none"/>
        </w:rPr>
      </w:pPr>
      <w:r>
        <w:rPr>
          <w:rFonts w:hint="eastAsia" w:ascii="宋体" w:hAnsi="宋体" w:cs="宋体"/>
          <w:color w:val="auto"/>
          <w:highlight w:val="none"/>
        </w:rPr>
        <w:t>3. 环境标志产品是指财政部、环境保护部发布的《环境标志产品政府采购品目清单》中的产品，可在中华人民共和国财政部网站（http://www.mof.gov.cn）、中国政府采购网（http://www.ccgp.gov.cn/）查阅。</w:t>
      </w:r>
      <w:r>
        <w:rPr>
          <w:rFonts w:hint="eastAsia" w:ascii="宋体" w:hAnsi="宋体" w:cs="宋体"/>
          <w:b/>
          <w:color w:val="auto"/>
          <w:highlight w:val="none"/>
        </w:rPr>
        <w:t>投标人须在投标文件中附该产品经国家确定的认证机构出具的、处于有效期之内的《中国环境标志产品认证证书》复印件，否则评委委员会有权不予认可。</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4. 请投标人正确填写本表，所填内容将作为评审的依据。其内容或数据应与对应的证明资料相符。</w:t>
      </w:r>
    </w:p>
    <w:p>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5. 没有相关产品可不提供本表。</w:t>
      </w:r>
    </w:p>
    <w:p>
      <w:pPr>
        <w:autoSpaceDE w:val="0"/>
        <w:autoSpaceDN w:val="0"/>
        <w:adjustRightInd w:val="0"/>
        <w:spacing w:line="440" w:lineRule="exact"/>
        <w:jc w:val="left"/>
        <w:rPr>
          <w:rFonts w:ascii="宋体" w:hAnsi="宋体" w:cs="宋体"/>
          <w:b/>
          <w:color w:val="auto"/>
          <w:highlight w:val="none"/>
        </w:rPr>
      </w:pPr>
    </w:p>
    <w:p>
      <w:pPr>
        <w:widowControl/>
        <w:spacing w:line="336" w:lineRule="auto"/>
        <w:ind w:firstLine="420" w:firstLineChars="200"/>
        <w:rPr>
          <w:rFonts w:ascii="宋体" w:hAnsi="宋体" w:cs="宋体"/>
          <w:b/>
          <w:color w:val="auto"/>
          <w:highlight w:val="none"/>
        </w:rPr>
      </w:pPr>
      <w:r>
        <w:rPr>
          <w:rFonts w:hint="eastAsia" w:ascii="宋体" w:hAnsi="宋体" w:cs="宋体"/>
          <w:color w:val="auto"/>
          <w:highlight w:val="none"/>
        </w:rPr>
        <w:br w:type="page"/>
      </w:r>
    </w:p>
    <w:p>
      <w:pPr>
        <w:bidi w:val="0"/>
        <w:jc w:val="center"/>
        <w:rPr>
          <w:rFonts w:hint="eastAsia"/>
          <w:sz w:val="30"/>
          <w:szCs w:val="30"/>
          <w:lang w:val="en-US"/>
        </w:rPr>
      </w:pPr>
      <w:bookmarkStart w:id="498" w:name="_Toc124154822"/>
      <w:r>
        <w:rPr>
          <w:rFonts w:hint="eastAsia"/>
          <w:sz w:val="30"/>
          <w:szCs w:val="30"/>
          <w:lang w:val="en-US"/>
        </w:rPr>
        <w:t>关于印发中小企业划型标准规定的通知</w:t>
      </w:r>
      <w:bookmarkEnd w:id="498"/>
    </w:p>
    <w:p>
      <w:pPr>
        <w:widowControl/>
        <w:autoSpaceDE/>
        <w:autoSpaceDN/>
        <w:spacing w:line="432" w:lineRule="auto"/>
        <w:jc w:val="center"/>
        <w:rPr>
          <w:rFonts w:hint="eastAsia" w:cs="Times New Roman"/>
          <w:sz w:val="24"/>
          <w:szCs w:val="24"/>
          <w:lang w:val="en-US" w:bidi="ar-SA"/>
        </w:rPr>
      </w:pPr>
      <w:r>
        <w:rPr>
          <w:rFonts w:hint="eastAsia" w:cs="Times New Roman"/>
          <w:kern w:val="2"/>
          <w:sz w:val="32"/>
          <w:szCs w:val="32"/>
          <w:lang w:val="en-US" w:bidi="ar-SA"/>
        </w:rPr>
        <w:t>工信部联企业〔2011〕300号</w:t>
      </w:r>
    </w:p>
    <w:p>
      <w:pPr>
        <w:autoSpaceDE/>
        <w:autoSpaceDN/>
        <w:spacing w:line="560" w:lineRule="exact"/>
        <w:jc w:val="both"/>
        <w:rPr>
          <w:rFonts w:hint="eastAsia" w:cs="Times New Roman"/>
          <w:kern w:val="2"/>
          <w:sz w:val="24"/>
          <w:szCs w:val="24"/>
          <w:lang w:val="en-US" w:bidi="ar-SA"/>
        </w:rPr>
      </w:pPr>
      <w:r>
        <w:rPr>
          <w:rFonts w:hint="eastAsia" w:cs="Times New Roman"/>
          <w:kern w:val="2"/>
          <w:sz w:val="24"/>
          <w:szCs w:val="24"/>
          <w:lang w:val="en-US" w:bidi="ar-SA"/>
        </w:rPr>
        <w:t>各省、自治区、直辖市人民政府，国务院各部委、各直属机构及有关单位：</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pPr>
        <w:autoSpaceDE/>
        <w:autoSpaceDN/>
        <w:spacing w:line="560" w:lineRule="exact"/>
        <w:ind w:right="840" w:rightChars="400" w:firstLine="480" w:firstLineChars="200"/>
        <w:jc w:val="right"/>
        <w:rPr>
          <w:rFonts w:hint="eastAsia" w:cs="Times New Roman"/>
          <w:kern w:val="2"/>
          <w:sz w:val="24"/>
          <w:szCs w:val="24"/>
          <w:lang w:val="en-US" w:bidi="ar-SA"/>
        </w:rPr>
      </w:pPr>
      <w:r>
        <w:rPr>
          <w:rFonts w:hint="eastAsia" w:cs="Times New Roman"/>
          <w:kern w:val="2"/>
          <w:sz w:val="24"/>
          <w:szCs w:val="24"/>
          <w:lang w:val="en-US" w:bidi="ar-SA"/>
        </w:rPr>
        <w:t>工业和信息化部</w:t>
      </w:r>
    </w:p>
    <w:p>
      <w:pPr>
        <w:autoSpaceDE/>
        <w:autoSpaceDN/>
        <w:spacing w:line="560" w:lineRule="exact"/>
        <w:ind w:right="840" w:rightChars="400" w:firstLine="480" w:firstLineChars="200"/>
        <w:jc w:val="right"/>
        <w:rPr>
          <w:rFonts w:hint="eastAsia" w:cs="Times New Roman"/>
          <w:kern w:val="2"/>
          <w:sz w:val="24"/>
          <w:szCs w:val="24"/>
          <w:lang w:val="en-US" w:bidi="ar-SA"/>
        </w:rPr>
      </w:pPr>
      <w:r>
        <w:rPr>
          <w:rFonts w:hint="eastAsia" w:cs="Times New Roman"/>
          <w:kern w:val="2"/>
          <w:sz w:val="24"/>
          <w:szCs w:val="24"/>
          <w:lang w:val="en-US" w:bidi="ar-SA"/>
        </w:rPr>
        <w:t>国家统计局</w:t>
      </w:r>
    </w:p>
    <w:p>
      <w:pPr>
        <w:autoSpaceDE/>
        <w:autoSpaceDN/>
        <w:spacing w:line="560" w:lineRule="exact"/>
        <w:ind w:right="840" w:rightChars="400" w:firstLine="480" w:firstLineChars="200"/>
        <w:jc w:val="right"/>
        <w:rPr>
          <w:rFonts w:hint="eastAsia" w:cs="Times New Roman"/>
          <w:kern w:val="2"/>
          <w:sz w:val="24"/>
          <w:szCs w:val="24"/>
          <w:lang w:val="en-US" w:bidi="ar-SA"/>
        </w:rPr>
      </w:pPr>
      <w:r>
        <w:rPr>
          <w:rFonts w:hint="eastAsia" w:cs="Times New Roman"/>
          <w:kern w:val="2"/>
          <w:sz w:val="24"/>
          <w:szCs w:val="24"/>
          <w:lang w:val="en-US" w:bidi="ar-SA"/>
        </w:rPr>
        <w:t>国家发展和改革委员会</w:t>
      </w:r>
    </w:p>
    <w:p>
      <w:pPr>
        <w:autoSpaceDE/>
        <w:autoSpaceDN/>
        <w:spacing w:line="560" w:lineRule="exact"/>
        <w:ind w:right="840" w:rightChars="400" w:firstLine="480" w:firstLineChars="200"/>
        <w:jc w:val="right"/>
        <w:rPr>
          <w:rFonts w:hint="eastAsia" w:cs="Times New Roman"/>
          <w:kern w:val="2"/>
          <w:sz w:val="24"/>
          <w:szCs w:val="24"/>
          <w:lang w:val="en-US" w:bidi="ar-SA"/>
        </w:rPr>
      </w:pPr>
      <w:r>
        <w:rPr>
          <w:rFonts w:hint="eastAsia" w:cs="Times New Roman"/>
          <w:kern w:val="2"/>
          <w:sz w:val="24"/>
          <w:szCs w:val="24"/>
          <w:lang w:val="en-US" w:bidi="ar-SA"/>
        </w:rPr>
        <w:t>财政部</w:t>
      </w:r>
    </w:p>
    <w:p>
      <w:pPr>
        <w:autoSpaceDE/>
        <w:autoSpaceDN/>
        <w:spacing w:line="560" w:lineRule="exact"/>
        <w:ind w:right="840" w:rightChars="400" w:firstLine="480" w:firstLineChars="200"/>
        <w:jc w:val="right"/>
        <w:rPr>
          <w:rFonts w:hint="eastAsia" w:cs="Times New Roman"/>
          <w:kern w:val="2"/>
          <w:sz w:val="24"/>
          <w:szCs w:val="24"/>
          <w:lang w:val="en-US" w:bidi="ar-SA"/>
        </w:rPr>
      </w:pPr>
      <w:r>
        <w:rPr>
          <w:rFonts w:hint="eastAsia" w:cs="Times New Roman"/>
          <w:kern w:val="2"/>
          <w:sz w:val="24"/>
          <w:szCs w:val="24"/>
          <w:lang w:val="en-US" w:bidi="ar-SA"/>
        </w:rPr>
        <w:t>二○一一年六月十八日</w:t>
      </w:r>
    </w:p>
    <w:p>
      <w:pPr>
        <w:autoSpaceDE/>
        <w:autoSpaceDN/>
        <w:spacing w:line="560" w:lineRule="exact"/>
        <w:ind w:firstLine="480" w:firstLineChars="200"/>
        <w:jc w:val="center"/>
        <w:rPr>
          <w:rFonts w:hint="eastAsia" w:cs="Times New Roman"/>
          <w:kern w:val="2"/>
          <w:sz w:val="24"/>
          <w:szCs w:val="24"/>
          <w:lang w:val="en-US" w:bidi="ar-SA"/>
        </w:rPr>
      </w:pPr>
      <w:bookmarkStart w:id="499" w:name="_Toc124154823"/>
      <w:r>
        <w:rPr>
          <w:rFonts w:hint="eastAsia" w:cs="Times New Roman"/>
          <w:kern w:val="2"/>
          <w:sz w:val="24"/>
          <w:szCs w:val="24"/>
          <w:lang w:val="en-US" w:bidi="ar-SA"/>
        </w:rPr>
        <w:t>中小企业划型标准规定</w:t>
      </w:r>
      <w:bookmarkEnd w:id="499"/>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一、根据《中华人民共和国中小企业促进法》和《国务院关于进一步促进中小企业发展的若干意见》(国发〔2009〕36号)，制定本规定。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二、中小企业划分为中型、小型、微型三种类型，具体标准根据企业从业人员、营业收入、资产总额等指标，结合行业特点制定。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四、各行业划型标准为：</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（一）农、林、牧、渔业。营业收入20000万元以下的为中小微型企业。其中，营业收入500万元及以上的为中型企业，营业收入50万元及以上的为小型企业，营业收入50万元以下的为微型企业。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（十六）其他未列明行业。从业人员300人以下的为中小微型企业。其中，从业人员100人及以上的为中型企业；从业人员10人及以上的为小型企业；从业人员10人以下的为微型企业。</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五、企业类型的划分以统计部门的统计数据为依据。</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六、本规定适用于在中华人民共和国境内依法设立的各类所有制和各种组织形式的企业。个体工商户和本规定以外的行业，参照本规定进行划型。</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七、本规定的中型企业标准上限即为大型企业标准的下限，国家统计部门据此制定大中小微型企业的统计分类。国务院有关部门据此进行相关数据分析，不得制定与本规定不一致的企业划型标准。</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八、本规定由工业和信息化部、国家统计局会同有关部门根据《国民经济行业分类》修订情况和企业发展变化情况适时修订。</w:t>
      </w:r>
    </w:p>
    <w:p>
      <w:pPr>
        <w:autoSpaceDE/>
        <w:autoSpaceDN/>
        <w:spacing w:line="560" w:lineRule="exact"/>
        <w:ind w:firstLine="480" w:firstLineChars="200"/>
        <w:jc w:val="both"/>
        <w:rPr>
          <w:rFonts w:hint="eastAsia" w:cs="Times New Roman"/>
          <w:kern w:val="2"/>
          <w:sz w:val="24"/>
          <w:szCs w:val="24"/>
          <w:lang w:val="en-US" w:bidi="ar-SA"/>
        </w:rPr>
      </w:pPr>
      <w:r>
        <w:rPr>
          <w:rFonts w:hint="eastAsia" w:cs="Times New Roman"/>
          <w:kern w:val="2"/>
          <w:sz w:val="24"/>
          <w:szCs w:val="24"/>
          <w:lang w:val="en-US" w:bidi="ar-SA"/>
        </w:rPr>
        <w:t>九、本规定由工业和信息化部、国家统计局会同有关部门负责解释。</w:t>
      </w:r>
    </w:p>
    <w:p>
      <w:pPr>
        <w:autoSpaceDE/>
        <w:autoSpaceDN/>
        <w:spacing w:line="360" w:lineRule="auto"/>
        <w:jc w:val="both"/>
        <w:rPr>
          <w:rFonts w:hint="eastAsia" w:cs="Times New Roman"/>
          <w:sz w:val="21"/>
          <w:szCs w:val="21"/>
          <w:lang w:val="en-US" w:bidi="ar-SA"/>
        </w:rPr>
      </w:pPr>
      <w:r>
        <w:rPr>
          <w:rFonts w:hint="eastAsia" w:cs="Times New Roman"/>
          <w:kern w:val="2"/>
          <w:sz w:val="24"/>
          <w:szCs w:val="24"/>
          <w:lang w:val="en-US" w:bidi="ar-SA"/>
        </w:rPr>
        <w:t xml:space="preserve">    十、本规定自发布之日起执行，原国家经贸委、原国家计委、财政部和国家统计局2003年颁布的《中小企业标准暂行规定》同时废止。</w:t>
      </w:r>
    </w:p>
    <w:p>
      <w:pPr>
        <w:widowControl/>
        <w:autoSpaceDE/>
        <w:autoSpaceDN/>
        <w:spacing w:line="360" w:lineRule="auto"/>
        <w:jc w:val="center"/>
        <w:rPr>
          <w:rFonts w:hint="eastAsia"/>
          <w:b/>
          <w:bCs/>
          <w:sz w:val="32"/>
          <w:szCs w:val="32"/>
        </w:rPr>
      </w:pPr>
      <w:r>
        <w:rPr>
          <w:b/>
          <w:bCs/>
          <w:sz w:val="32"/>
          <w:szCs w:val="32"/>
        </w:rPr>
        <w:br w:type="page"/>
      </w:r>
      <w:r>
        <w:rPr>
          <w:rFonts w:hint="eastAsia"/>
          <w:b/>
          <w:bCs/>
          <w:sz w:val="32"/>
          <w:szCs w:val="32"/>
        </w:rPr>
        <w:t>政府采购合同融资政策告知函</w:t>
      </w:r>
    </w:p>
    <w:p>
      <w:pPr>
        <w:widowControl/>
        <w:autoSpaceDE/>
        <w:autoSpaceDN/>
        <w:spacing w:line="360" w:lineRule="auto"/>
        <w:rPr>
          <w:rFonts w:hint="eastAsia"/>
          <w:sz w:val="24"/>
          <w:szCs w:val="24"/>
        </w:rPr>
      </w:pPr>
      <w:r>
        <w:rPr>
          <w:rFonts w:hint="eastAsia"/>
          <w:sz w:val="24"/>
          <w:szCs w:val="24"/>
        </w:rPr>
        <w:t xml:space="preserve">各投标人： </w:t>
      </w:r>
    </w:p>
    <w:p>
      <w:pPr>
        <w:widowControl/>
        <w:autoSpaceDE/>
        <w:autoSpaceDN/>
        <w:spacing w:line="360" w:lineRule="auto"/>
        <w:ind w:firstLine="480" w:firstLineChars="200"/>
        <w:rPr>
          <w:rFonts w:hint="eastAsia"/>
          <w:sz w:val="24"/>
          <w:szCs w:val="24"/>
        </w:rPr>
      </w:pPr>
      <w:r>
        <w:rPr>
          <w:rFonts w:hint="eastAsia"/>
          <w:sz w:val="24"/>
          <w:szCs w:val="24"/>
        </w:rPr>
        <w:t xml:space="preserve">欢迎贵公司参与河南省政府采购活动！ </w:t>
      </w:r>
    </w:p>
    <w:p>
      <w:pPr>
        <w:widowControl/>
        <w:autoSpaceDE/>
        <w:autoSpaceDN/>
        <w:spacing w:line="360" w:lineRule="auto"/>
        <w:ind w:firstLine="480" w:firstLineChars="200"/>
        <w:rPr>
          <w:rFonts w:hint="eastAsia"/>
          <w:sz w:val="24"/>
          <w:szCs w:val="24"/>
        </w:rPr>
      </w:pPr>
      <w:r>
        <w:rPr>
          <w:rFonts w:hint="eastAsia"/>
          <w:sz w:val="24"/>
          <w:szCs w:val="24"/>
        </w:rPr>
        <w:t xml:space="preserve">政府采购合同融资是河南省财政厅支持中小微企业发展，针对参与政府采购活动的投标人融资难、融资贵问题推出的一项融资政策。 贵公司若成为本次政府采购项目的中标成交投标人，可持政府采购合 同向金融机构申请贷款，无需抵押、担保，融资机构将根据《河南省 政府采购合同融资工作实施方案》（豫财购〔2017〕10 号），按照双方自愿的原则提供便捷、优惠的贷款服务。 </w:t>
      </w:r>
    </w:p>
    <w:p>
      <w:pPr>
        <w:widowControl/>
        <w:autoSpaceDE/>
        <w:autoSpaceDN/>
        <w:spacing w:line="360" w:lineRule="auto"/>
        <w:ind w:firstLine="480" w:firstLineChars="200"/>
        <w:rPr>
          <w:rFonts w:hint="eastAsia"/>
          <w:lang w:val="en-US" w:bidi="ar-SA"/>
        </w:rPr>
      </w:pPr>
      <w:r>
        <w:rPr>
          <w:rFonts w:hint="eastAsia"/>
          <w:sz w:val="24"/>
          <w:szCs w:val="24"/>
        </w:rPr>
        <w:t>贷款渠道和提供贷款的金融机构，可在河南省政府采购网“河南 省政府采购合同融资平台”查询联系。</w:t>
      </w:r>
    </w:p>
    <w:p>
      <w:pPr>
        <w:pStyle w:val="47"/>
        <w:ind w:left="0" w:leftChars="0" w:firstLine="0" w:firstLineChars="0"/>
        <w:rPr>
          <w:rFonts w:ascii="宋体" w:hAnsi="宋体" w:cs="宋体"/>
          <w:color w:val="auto"/>
          <w:highlight w:val="none"/>
        </w:rPr>
      </w:pPr>
    </w:p>
    <w:sectPr>
      <w:pgSz w:w="11906" w:h="16838"/>
      <w:pgMar w:top="1650" w:right="1650" w:bottom="1650" w:left="1650" w:header="851" w:footer="850"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monospace">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_x000B__x000C_">
    <w:altName w:val="Segoe Print"/>
    <w:panose1 w:val="00000000000000000000"/>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MingLiU">
    <w:altName w:val="PMingLiU-ExtB"/>
    <w:panose1 w:val="02010609000101010101"/>
    <w:charset w:val="88"/>
    <w:family w:val="modern"/>
    <w:pitch w:val="default"/>
    <w:sig w:usb0="00000000" w:usb1="00000000" w:usb2="00000010" w:usb3="00000000" w:csb0="00100000" w:csb1="00000000"/>
  </w:font>
  <w:font w:name="仿宋">
    <w:panose1 w:val="02010609060101010101"/>
    <w:charset w:val="86"/>
    <w:family w:val="modern"/>
    <w:pitch w:val="default"/>
    <w:sig w:usb0="800002BF" w:usb1="38CF7CFA" w:usb2="00000016" w:usb3="00000000" w:csb0="00040001" w:csb1="00000000"/>
  </w:font>
  <w:font w:name="Dotum">
    <w:altName w:val="Malgun Gothic"/>
    <w:panose1 w:val="020B0600000101010101"/>
    <w:charset w:val="81"/>
    <w:family w:val="swiss"/>
    <w:pitch w:val="default"/>
    <w:sig w:usb0="00000000" w:usb1="00000000" w:usb2="00000030" w:usb3="00000000" w:csb0="0008009F" w:csb1="00000000"/>
  </w:font>
  <w:font w:name="Segoe UI Symbol">
    <w:panose1 w:val="020B0502040204020203"/>
    <w:charset w:val="00"/>
    <w:family w:val="swiss"/>
    <w:pitch w:val="default"/>
    <w:sig w:usb0="800001E3" w:usb1="1200FFEF" w:usb2="00040000" w:usb3="04000000" w:csb0="00000001" w:csb1="40000000"/>
  </w:font>
  <w:font w:name="MS Mincho">
    <w:altName w:val="Yu Gothic UI"/>
    <w:panose1 w:val="02020609040205080304"/>
    <w:charset w:val="80"/>
    <w:family w:val="modern"/>
    <w:pitch w:val="default"/>
    <w:sig w:usb0="00000000" w:usb1="00000000" w:usb2="08000012" w:usb3="00000000" w:csb0="0002009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top w:val="single" w:color="auto" w:sz="4" w:space="1"/>
      </w:pBdr>
    </w:pPr>
    <w:r>
      <w:drawing>
        <wp:inline distT="0" distB="0" distL="114300" distR="114300">
          <wp:extent cx="2179320" cy="302895"/>
          <wp:effectExtent l="0" t="0" r="11430" b="190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
                  <a:stretch>
                    <a:fillRect/>
                  </a:stretch>
                </pic:blipFill>
                <pic:spPr>
                  <a:xfrm>
                    <a:off x="0" y="0"/>
                    <a:ext cx="2179320" cy="30289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top w:val="single" w:color="auto" w:sz="4" w:space="1"/>
      </w:pBd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1</w:t>
                    </w:r>
                    <w:r>
                      <w:fldChar w:fldCharType="end"/>
                    </w:r>
                  </w:p>
                </w:txbxContent>
              </v:textbox>
            </v:shape>
          </w:pict>
        </mc:Fallback>
      </mc:AlternateContent>
    </w:r>
    <w:r>
      <w:drawing>
        <wp:inline distT="0" distB="0" distL="114300" distR="114300">
          <wp:extent cx="1922780" cy="267335"/>
          <wp:effectExtent l="0" t="0" r="1270" b="1841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
                  <a:stretch>
                    <a:fillRect/>
                  </a:stretch>
                </pic:blipFill>
                <pic:spPr>
                  <a:xfrm>
                    <a:off x="0" y="0"/>
                    <a:ext cx="1922780" cy="267335"/>
                  </a:xfrm>
                  <a:prstGeom prst="rect">
                    <a:avLst/>
                  </a:prstGeom>
                  <a:noFill/>
                  <a:ln>
                    <a:noFill/>
                  </a:ln>
                </pic:spPr>
              </pic:pic>
            </a:graphicData>
          </a:graphic>
        </wp:inline>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top w:val="single" w:color="auto" w:sz="4" w:space="1"/>
      </w:pBd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1</w:t>
                    </w:r>
                    <w:r>
                      <w:fldChar w:fldCharType="end"/>
                    </w:r>
                  </w:p>
                </w:txbxContent>
              </v:textbox>
            </v:shape>
          </w:pict>
        </mc:Fallback>
      </mc:AlternateContent>
    </w:r>
    <w:r>
      <w:drawing>
        <wp:inline distT="0" distB="0" distL="114300" distR="114300">
          <wp:extent cx="1922780" cy="267335"/>
          <wp:effectExtent l="0" t="0" r="1270" b="184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
                  <a:stretch>
                    <a:fillRect/>
                  </a:stretch>
                </pic:blipFill>
                <pic:spPr>
                  <a:xfrm>
                    <a:off x="0" y="0"/>
                    <a:ext cx="1922780" cy="267335"/>
                  </a:xfrm>
                  <a:prstGeom prst="rect">
                    <a:avLst/>
                  </a:prstGeom>
                  <a:noFill/>
                  <a:ln>
                    <a:noFill/>
                  </a:ln>
                </pic:spPr>
              </pic:pic>
            </a:graphicData>
          </a:graphic>
        </wp:inline>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top w:val="single" w:color="auto" w:sz="4" w:space="1"/>
      </w:pBd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pPr>
                      <w:pStyle w:val="30"/>
                    </w:pPr>
                    <w:r>
                      <w:fldChar w:fldCharType="begin"/>
                    </w:r>
                    <w:r>
                      <w:instrText xml:space="preserve"> PAGE  \* MERGEFORMAT </w:instrText>
                    </w:r>
                    <w:r>
                      <w:fldChar w:fldCharType="separate"/>
                    </w:r>
                    <w:r>
                      <w:t>1</w:t>
                    </w:r>
                    <w:r>
                      <w:fldChar w:fldCharType="end"/>
                    </w:r>
                  </w:p>
                </w:txbxContent>
              </v:textbox>
            </v:shape>
          </w:pict>
        </mc:Fallback>
      </mc:AlternateContent>
    </w:r>
    <w:r>
      <w:drawing>
        <wp:inline distT="0" distB="0" distL="114300" distR="114300">
          <wp:extent cx="2179320" cy="302895"/>
          <wp:effectExtent l="0" t="0" r="11430" b="1905"/>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icPr>
                <pic:blipFill>
                  <a:blip r:embed="rId1"/>
                  <a:stretch>
                    <a:fillRect/>
                  </a:stretch>
                </pic:blipFill>
                <pic:spPr>
                  <a:xfrm>
                    <a:off x="0" y="0"/>
                    <a:ext cx="2179320" cy="302895"/>
                  </a:xfrm>
                  <a:prstGeom prst="rect">
                    <a:avLst/>
                  </a:prstGeom>
                  <a:noFill/>
                  <a:ln>
                    <a:noFill/>
                  </a:ln>
                </pic:spPr>
              </pic:pic>
            </a:graphicData>
          </a:graphic>
        </wp:inline>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single" w:color="auto" w:sz="4" w:space="1"/>
      </w:pBdr>
      <w:jc w:val="right"/>
      <w:rPr>
        <w:b/>
        <w:bCs/>
        <w:sz w:val="21"/>
        <w:szCs w:val="21"/>
      </w:rPr>
    </w:pPr>
    <w:r>
      <w:rPr>
        <w:rFonts w:hint="eastAsia" w:hAnsi="??"/>
        <w:b/>
        <w:bCs/>
        <w:lang w:eastAsia="zh-CN"/>
      </w:rPr>
      <w:t>尧山实验室2024年陶瓷基复合材料实验设备采购项目</w:t>
    </w:r>
    <w:r>
      <w:rPr>
        <w:rFonts w:hint="eastAsia" w:hAnsi="??"/>
        <w:b/>
        <w:bCs/>
      </w:rPr>
      <w:t>招标</w:t>
    </w:r>
    <w:r>
      <w:rPr>
        <w:rFonts w:hAnsi="??" w:eastAsia="Times New Roman"/>
        <w:b/>
        <w:bCs/>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365639"/>
    <w:multiLevelType w:val="multilevel"/>
    <w:tmpl w:val="9B365639"/>
    <w:lvl w:ilvl="0" w:tentative="0">
      <w:start w:val="11"/>
      <w:numFmt w:val="decimal"/>
      <w:lvlText w:val="%1"/>
      <w:lvlJc w:val="left"/>
      <w:pPr>
        <w:tabs>
          <w:tab w:val="left" w:pos="480"/>
        </w:tabs>
        <w:ind w:left="480" w:hanging="480"/>
      </w:pPr>
      <w:rPr>
        <w:rFonts w:hint="default" w:cs="Times New Roman"/>
      </w:rPr>
    </w:lvl>
    <w:lvl w:ilvl="1" w:tentative="0">
      <w:start w:val="1"/>
      <w:numFmt w:val="decimal"/>
      <w:lvlText w:val="3.5.%2"/>
      <w:lvlJc w:val="left"/>
      <w:pPr>
        <w:tabs>
          <w:tab w:val="left" w:pos="480"/>
        </w:tabs>
        <w:ind w:left="270" w:hanging="378"/>
      </w:pPr>
      <w:rPr>
        <w:rFonts w:hint="default" w:cs="Times New Roman"/>
        <w:sz w:val="21"/>
        <w:szCs w:val="21"/>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800"/>
        </w:tabs>
        <w:ind w:left="1800" w:hanging="180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2160"/>
        </w:tabs>
        <w:ind w:left="2160" w:hanging="2160"/>
      </w:pPr>
      <w:rPr>
        <w:rFonts w:hint="default" w:cs="Times New Roman"/>
      </w:rPr>
    </w:lvl>
  </w:abstractNum>
  <w:abstractNum w:abstractNumId="1">
    <w:nsid w:val="AF9C17AC"/>
    <w:multiLevelType w:val="singleLevel"/>
    <w:tmpl w:val="AF9C17AC"/>
    <w:lvl w:ilvl="0" w:tentative="0">
      <w:start w:val="1"/>
      <w:numFmt w:val="decimal"/>
      <w:suff w:val="nothing"/>
      <w:lvlText w:val="%1、"/>
      <w:lvlJc w:val="left"/>
    </w:lvl>
  </w:abstractNum>
  <w:abstractNum w:abstractNumId="2">
    <w:nsid w:val="F127CFE8"/>
    <w:multiLevelType w:val="multilevel"/>
    <w:tmpl w:val="F127CFE8"/>
    <w:lvl w:ilvl="0" w:tentative="0">
      <w:start w:val="1"/>
      <w:numFmt w:val="decimal"/>
      <w:lvlText w:val="9.2.%1"/>
      <w:lvlJc w:val="left"/>
      <w:pPr>
        <w:ind w:left="840"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3">
    <w:nsid w:val="FE95C5B3"/>
    <w:multiLevelType w:val="singleLevel"/>
    <w:tmpl w:val="FE95C5B3"/>
    <w:lvl w:ilvl="0" w:tentative="0">
      <w:start w:val="1"/>
      <w:numFmt w:val="chineseCounting"/>
      <w:suff w:val="nothing"/>
      <w:lvlText w:val="（%1）"/>
      <w:lvlJc w:val="left"/>
      <w:rPr>
        <w:rFonts w:hint="eastAsia"/>
      </w:rPr>
    </w:lvl>
  </w:abstractNum>
  <w:abstractNum w:abstractNumId="4">
    <w:nsid w:val="0000000C"/>
    <w:multiLevelType w:val="multilevel"/>
    <w:tmpl w:val="0000000C"/>
    <w:lvl w:ilvl="0" w:tentative="0">
      <w:start w:val="2"/>
      <w:numFmt w:val="decimal"/>
      <w:lvlText w:val="%1"/>
      <w:lvlJc w:val="left"/>
      <w:pPr>
        <w:tabs>
          <w:tab w:val="left" w:pos="360"/>
        </w:tabs>
        <w:ind w:left="360" w:hanging="360"/>
      </w:pPr>
      <w:rPr>
        <w:rFonts w:hint="eastAsia" w:cs="Times New Roman"/>
        <w:b w:val="0"/>
        <w:bCs w:val="0"/>
      </w:rPr>
    </w:lvl>
    <w:lvl w:ilvl="1" w:tentative="0">
      <w:start w:val="1"/>
      <w:numFmt w:val="decimal"/>
      <w:lvlText w:val="1.2.%2"/>
      <w:lvlJc w:val="left"/>
      <w:pPr>
        <w:tabs>
          <w:tab w:val="left" w:pos="720"/>
        </w:tabs>
        <w:ind w:left="720" w:hanging="720"/>
      </w:pPr>
      <w:rPr>
        <w:rFonts w:hint="eastAsia" w:cs="Times New Roman"/>
        <w:b w:val="0"/>
        <w:bCs w:val="0"/>
      </w:rPr>
    </w:lvl>
    <w:lvl w:ilvl="2" w:tentative="0">
      <w:start w:val="1"/>
      <w:numFmt w:val="decimal"/>
      <w:lvlText w:val="%1.%2.%3"/>
      <w:lvlJc w:val="left"/>
      <w:pPr>
        <w:tabs>
          <w:tab w:val="left" w:pos="720"/>
        </w:tabs>
        <w:ind w:left="720" w:hanging="720"/>
      </w:pPr>
      <w:rPr>
        <w:rFonts w:hint="eastAsia" w:cs="Times New Roman"/>
        <w:b w:val="0"/>
        <w:bCs w:val="0"/>
      </w:rPr>
    </w:lvl>
    <w:lvl w:ilvl="3" w:tentative="0">
      <w:start w:val="1"/>
      <w:numFmt w:val="decimal"/>
      <w:lvlText w:val="%1.%2.%3.%4"/>
      <w:lvlJc w:val="left"/>
      <w:pPr>
        <w:tabs>
          <w:tab w:val="left" w:pos="1080"/>
        </w:tabs>
        <w:ind w:left="1080" w:hanging="1080"/>
      </w:pPr>
      <w:rPr>
        <w:rFonts w:hint="eastAsia" w:cs="Times New Roman"/>
        <w:b w:val="0"/>
        <w:bCs w:val="0"/>
      </w:rPr>
    </w:lvl>
    <w:lvl w:ilvl="4" w:tentative="0">
      <w:start w:val="1"/>
      <w:numFmt w:val="decimal"/>
      <w:lvlText w:val="%1.%2.%3.%4.%5"/>
      <w:lvlJc w:val="left"/>
      <w:pPr>
        <w:tabs>
          <w:tab w:val="left" w:pos="1440"/>
        </w:tabs>
        <w:ind w:left="1440" w:hanging="1440"/>
      </w:pPr>
      <w:rPr>
        <w:rFonts w:hint="eastAsia" w:cs="Times New Roman"/>
        <w:b w:val="0"/>
        <w:bCs w:val="0"/>
      </w:rPr>
    </w:lvl>
    <w:lvl w:ilvl="5" w:tentative="0">
      <w:start w:val="1"/>
      <w:numFmt w:val="decimal"/>
      <w:lvlText w:val="%1.%2.%3.%4.%5.%6"/>
      <w:lvlJc w:val="left"/>
      <w:pPr>
        <w:tabs>
          <w:tab w:val="left" w:pos="1440"/>
        </w:tabs>
        <w:ind w:left="1440" w:hanging="1440"/>
      </w:pPr>
      <w:rPr>
        <w:rFonts w:hint="eastAsia" w:cs="Times New Roman"/>
        <w:b w:val="0"/>
        <w:bCs w:val="0"/>
      </w:rPr>
    </w:lvl>
    <w:lvl w:ilvl="6" w:tentative="0">
      <w:start w:val="1"/>
      <w:numFmt w:val="decimal"/>
      <w:lvlText w:val="%1.%2.%3.%4.%5.%6.%7"/>
      <w:lvlJc w:val="left"/>
      <w:pPr>
        <w:tabs>
          <w:tab w:val="left" w:pos="1800"/>
        </w:tabs>
        <w:ind w:left="1800" w:hanging="1800"/>
      </w:pPr>
      <w:rPr>
        <w:rFonts w:hint="eastAsia" w:cs="Times New Roman"/>
        <w:b w:val="0"/>
        <w:bCs w:val="0"/>
      </w:rPr>
    </w:lvl>
    <w:lvl w:ilvl="7" w:tentative="0">
      <w:start w:val="1"/>
      <w:numFmt w:val="decimal"/>
      <w:lvlText w:val="%1.%2.%3.%4.%5.%6.%7.%8"/>
      <w:lvlJc w:val="left"/>
      <w:pPr>
        <w:tabs>
          <w:tab w:val="left" w:pos="2160"/>
        </w:tabs>
        <w:ind w:left="2160" w:hanging="2160"/>
      </w:pPr>
      <w:rPr>
        <w:rFonts w:hint="eastAsia" w:cs="Times New Roman"/>
        <w:b w:val="0"/>
        <w:bCs w:val="0"/>
      </w:rPr>
    </w:lvl>
    <w:lvl w:ilvl="8" w:tentative="0">
      <w:start w:val="1"/>
      <w:numFmt w:val="decimal"/>
      <w:lvlText w:val="%1.%2.%3.%4.%5.%6.%7.%8.%9"/>
      <w:lvlJc w:val="left"/>
      <w:pPr>
        <w:tabs>
          <w:tab w:val="left" w:pos="2160"/>
        </w:tabs>
        <w:ind w:left="2160" w:hanging="2160"/>
      </w:pPr>
      <w:rPr>
        <w:rFonts w:hint="eastAsia" w:cs="Times New Roman"/>
        <w:b w:val="0"/>
        <w:bCs w:val="0"/>
      </w:rPr>
    </w:lvl>
  </w:abstractNum>
  <w:abstractNum w:abstractNumId="5">
    <w:nsid w:val="0000000E"/>
    <w:multiLevelType w:val="multilevel"/>
    <w:tmpl w:val="0000000E"/>
    <w:lvl w:ilvl="0" w:tentative="0">
      <w:start w:val="4"/>
      <w:numFmt w:val="decimal"/>
      <w:lvlText w:val="%1"/>
      <w:lvlJc w:val="left"/>
      <w:pPr>
        <w:tabs>
          <w:tab w:val="left" w:pos="360"/>
        </w:tabs>
        <w:ind w:left="360" w:hanging="360"/>
      </w:pPr>
      <w:rPr>
        <w:rFonts w:hint="default" w:cs="Times New Roman"/>
      </w:rPr>
    </w:lvl>
    <w:lvl w:ilvl="1" w:tentative="0">
      <w:start w:val="1"/>
      <w:numFmt w:val="decimal"/>
      <w:lvlText w:val="2.1.%2"/>
      <w:lvlJc w:val="left"/>
      <w:pPr>
        <w:tabs>
          <w:tab w:val="left" w:pos="360"/>
        </w:tabs>
        <w:ind w:left="360" w:hanging="360"/>
      </w:pPr>
      <w:rPr>
        <w:rFonts w:hint="eastAsia" w:cs="Times New Roman"/>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800"/>
        </w:tabs>
        <w:ind w:left="1800" w:hanging="180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2160"/>
        </w:tabs>
        <w:ind w:left="2160" w:hanging="2160"/>
      </w:pPr>
      <w:rPr>
        <w:rFonts w:hint="default" w:cs="Times New Roman"/>
      </w:rPr>
    </w:lvl>
  </w:abstractNum>
  <w:abstractNum w:abstractNumId="6">
    <w:nsid w:val="0000000F"/>
    <w:multiLevelType w:val="multilevel"/>
    <w:tmpl w:val="0000000F"/>
    <w:lvl w:ilvl="0" w:tentative="0">
      <w:start w:val="9"/>
      <w:numFmt w:val="decimal"/>
      <w:lvlText w:val="%1"/>
      <w:lvlJc w:val="left"/>
      <w:pPr>
        <w:tabs>
          <w:tab w:val="left" w:pos="360"/>
        </w:tabs>
        <w:ind w:left="360" w:hanging="360"/>
      </w:pPr>
      <w:rPr>
        <w:rFonts w:hint="default" w:cs="Times New Roman"/>
      </w:rPr>
    </w:lvl>
    <w:lvl w:ilvl="1" w:tentative="0">
      <w:start w:val="1"/>
      <w:numFmt w:val="decimal"/>
      <w:lvlText w:val="3.3.%2"/>
      <w:lvlJc w:val="left"/>
      <w:pPr>
        <w:tabs>
          <w:tab w:val="left" w:pos="360"/>
        </w:tabs>
        <w:ind w:left="360" w:hanging="360"/>
      </w:pPr>
      <w:rPr>
        <w:rFonts w:hint="default" w:cs="Times New Roman"/>
        <w:sz w:val="21"/>
        <w:szCs w:val="21"/>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800"/>
        </w:tabs>
        <w:ind w:left="1800" w:hanging="180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2160"/>
        </w:tabs>
        <w:ind w:left="2160" w:hanging="2160"/>
      </w:pPr>
      <w:rPr>
        <w:rFonts w:hint="default" w:cs="Times New Roman"/>
      </w:rPr>
    </w:lvl>
  </w:abstractNum>
  <w:abstractNum w:abstractNumId="7">
    <w:nsid w:val="00000010"/>
    <w:multiLevelType w:val="multilevel"/>
    <w:tmpl w:val="00000010"/>
    <w:lvl w:ilvl="0" w:tentative="0">
      <w:start w:val="1"/>
      <w:numFmt w:val="japaneseCounting"/>
      <w:lvlText w:val="第%1章"/>
      <w:lvlJc w:val="left"/>
      <w:pPr>
        <w:tabs>
          <w:tab w:val="left" w:pos="1980"/>
        </w:tabs>
        <w:ind w:left="1980" w:hanging="1260"/>
      </w:pPr>
      <w:rPr>
        <w:rFonts w:hint="eastAsia" w:cs="Times New Roman"/>
      </w:rPr>
    </w:lvl>
    <w:lvl w:ilvl="1" w:tentative="0">
      <w:start w:val="1"/>
      <w:numFmt w:val="decimal"/>
      <w:lvlText w:val="(%2)"/>
      <w:lvlJc w:val="left"/>
      <w:pPr>
        <w:tabs>
          <w:tab w:val="left" w:pos="1500"/>
        </w:tabs>
        <w:ind w:left="1500" w:hanging="360"/>
      </w:pPr>
      <w:rPr>
        <w:rFonts w:hint="default" w:cs="Times New Roman"/>
      </w:rPr>
    </w:lvl>
    <w:lvl w:ilvl="2" w:tentative="0">
      <w:start w:val="1"/>
      <w:numFmt w:val="upperLetter"/>
      <w:lvlText w:val="%3."/>
      <w:lvlJc w:val="left"/>
      <w:pPr>
        <w:tabs>
          <w:tab w:val="left" w:pos="2115"/>
        </w:tabs>
        <w:ind w:left="2115" w:hanging="555"/>
      </w:pPr>
      <w:rPr>
        <w:rFonts w:hint="eastAsia" w:cs="Times New Roman"/>
      </w:rPr>
    </w:lvl>
    <w:lvl w:ilvl="3" w:tentative="0">
      <w:start w:val="10"/>
      <w:numFmt w:val="decimal"/>
      <w:lvlText w:val="%4."/>
      <w:lvlJc w:val="left"/>
      <w:pPr>
        <w:tabs>
          <w:tab w:val="left" w:pos="2340"/>
        </w:tabs>
        <w:ind w:left="2340" w:hanging="360"/>
      </w:pPr>
      <w:rPr>
        <w:rFonts w:hint="default" w:cs="Times New Roman"/>
      </w:rPr>
    </w:lvl>
    <w:lvl w:ilvl="4" w:tentative="0">
      <w:start w:val="1"/>
      <w:numFmt w:val="lowerLetter"/>
      <w:lvlText w:val="%5)"/>
      <w:lvlJc w:val="left"/>
      <w:pPr>
        <w:tabs>
          <w:tab w:val="left" w:pos="2820"/>
        </w:tabs>
        <w:ind w:left="2820" w:hanging="420"/>
      </w:pPr>
      <w:rPr>
        <w:rFonts w:cs="Times New Roman"/>
      </w:rPr>
    </w:lvl>
    <w:lvl w:ilvl="5" w:tentative="0">
      <w:start w:val="1"/>
      <w:numFmt w:val="lowerRoman"/>
      <w:lvlText w:val="%6."/>
      <w:lvlJc w:val="right"/>
      <w:pPr>
        <w:tabs>
          <w:tab w:val="left" w:pos="3240"/>
        </w:tabs>
        <w:ind w:left="3240" w:hanging="420"/>
      </w:pPr>
      <w:rPr>
        <w:rFonts w:cs="Times New Roman"/>
      </w:rPr>
    </w:lvl>
    <w:lvl w:ilvl="6" w:tentative="0">
      <w:start w:val="1"/>
      <w:numFmt w:val="decimal"/>
      <w:lvlText w:val="%7."/>
      <w:lvlJc w:val="left"/>
      <w:pPr>
        <w:tabs>
          <w:tab w:val="left" w:pos="3660"/>
        </w:tabs>
        <w:ind w:left="3660" w:hanging="420"/>
      </w:pPr>
      <w:rPr>
        <w:rFonts w:cs="Times New Roman"/>
      </w:rPr>
    </w:lvl>
    <w:lvl w:ilvl="7" w:tentative="0">
      <w:start w:val="1"/>
      <w:numFmt w:val="lowerLetter"/>
      <w:lvlText w:val="%8)"/>
      <w:lvlJc w:val="left"/>
      <w:pPr>
        <w:tabs>
          <w:tab w:val="left" w:pos="4080"/>
        </w:tabs>
        <w:ind w:left="4080" w:hanging="420"/>
      </w:pPr>
      <w:rPr>
        <w:rFonts w:cs="Times New Roman"/>
      </w:rPr>
    </w:lvl>
    <w:lvl w:ilvl="8" w:tentative="0">
      <w:start w:val="1"/>
      <w:numFmt w:val="lowerRoman"/>
      <w:lvlText w:val="%9."/>
      <w:lvlJc w:val="right"/>
      <w:pPr>
        <w:tabs>
          <w:tab w:val="left" w:pos="4500"/>
        </w:tabs>
        <w:ind w:left="4500" w:hanging="420"/>
      </w:pPr>
      <w:rPr>
        <w:rFonts w:cs="Times New Roman"/>
      </w:rPr>
    </w:lvl>
  </w:abstractNum>
  <w:abstractNum w:abstractNumId="8">
    <w:nsid w:val="00000016"/>
    <w:multiLevelType w:val="multilevel"/>
    <w:tmpl w:val="00000016"/>
    <w:lvl w:ilvl="0" w:tentative="0">
      <w:start w:val="1"/>
      <w:numFmt w:val="decimal"/>
      <w:lvlText w:val="%1."/>
      <w:lvlJc w:val="left"/>
      <w:pPr>
        <w:tabs>
          <w:tab w:val="left" w:pos="405"/>
        </w:tabs>
        <w:ind w:left="405" w:hanging="405"/>
      </w:pPr>
      <w:rPr>
        <w:rFonts w:hint="eastAsia" w:ascii="??" w:hAnsi="??" w:eastAsia="Times New Roman" w:cs="Times New Roman"/>
      </w:rPr>
    </w:lvl>
    <w:lvl w:ilvl="1" w:tentative="0">
      <w:start w:val="2"/>
      <w:numFmt w:val="decimal"/>
      <w:isLgl/>
      <w:lvlText w:val="%1.%2"/>
      <w:lvlJc w:val="left"/>
      <w:pPr>
        <w:ind w:left="795" w:hanging="615"/>
      </w:pPr>
      <w:rPr>
        <w:rFonts w:hint="default" w:cs="Times New Roman"/>
      </w:rPr>
    </w:lvl>
    <w:lvl w:ilvl="2" w:tentative="0">
      <w:start w:val="1"/>
      <w:numFmt w:val="decimal"/>
      <w:isLgl/>
      <w:lvlText w:val="%1.%2.%3"/>
      <w:lvlJc w:val="left"/>
      <w:pPr>
        <w:ind w:left="1080" w:hanging="720"/>
      </w:pPr>
      <w:rPr>
        <w:rFonts w:hint="default" w:cs="Times New Roman"/>
      </w:rPr>
    </w:lvl>
    <w:lvl w:ilvl="3" w:tentative="0">
      <w:start w:val="1"/>
      <w:numFmt w:val="decimal"/>
      <w:isLgl/>
      <w:lvlText w:val="%1.%2.%3.%4"/>
      <w:lvlJc w:val="left"/>
      <w:pPr>
        <w:ind w:left="1620" w:hanging="1080"/>
      </w:pPr>
      <w:rPr>
        <w:rFonts w:hint="default" w:cs="Times New Roman"/>
      </w:rPr>
    </w:lvl>
    <w:lvl w:ilvl="4" w:tentative="0">
      <w:start w:val="1"/>
      <w:numFmt w:val="decimal"/>
      <w:isLgl/>
      <w:lvlText w:val="%1.%2.%3.%4.%5"/>
      <w:lvlJc w:val="left"/>
      <w:pPr>
        <w:ind w:left="1800" w:hanging="1080"/>
      </w:pPr>
      <w:rPr>
        <w:rFonts w:hint="default" w:cs="Times New Roman"/>
      </w:rPr>
    </w:lvl>
    <w:lvl w:ilvl="5" w:tentative="0">
      <w:start w:val="1"/>
      <w:numFmt w:val="decimal"/>
      <w:isLgl/>
      <w:lvlText w:val="%1.%2.%3.%4.%5.%6"/>
      <w:lvlJc w:val="left"/>
      <w:pPr>
        <w:ind w:left="2340" w:hanging="1440"/>
      </w:pPr>
      <w:rPr>
        <w:rFonts w:hint="default" w:cs="Times New Roman"/>
      </w:rPr>
    </w:lvl>
    <w:lvl w:ilvl="6" w:tentative="0">
      <w:start w:val="1"/>
      <w:numFmt w:val="decimal"/>
      <w:isLgl/>
      <w:lvlText w:val="%1.%2.%3.%4.%5.%6.%7"/>
      <w:lvlJc w:val="left"/>
      <w:pPr>
        <w:ind w:left="2520" w:hanging="1440"/>
      </w:pPr>
      <w:rPr>
        <w:rFonts w:hint="default" w:cs="Times New Roman"/>
      </w:rPr>
    </w:lvl>
    <w:lvl w:ilvl="7" w:tentative="0">
      <w:start w:val="1"/>
      <w:numFmt w:val="decimal"/>
      <w:isLgl/>
      <w:lvlText w:val="%1.%2.%3.%4.%5.%6.%7.%8"/>
      <w:lvlJc w:val="left"/>
      <w:pPr>
        <w:ind w:left="3060" w:hanging="1800"/>
      </w:pPr>
      <w:rPr>
        <w:rFonts w:hint="default" w:cs="Times New Roman"/>
      </w:rPr>
    </w:lvl>
    <w:lvl w:ilvl="8" w:tentative="0">
      <w:start w:val="1"/>
      <w:numFmt w:val="decimal"/>
      <w:isLgl/>
      <w:lvlText w:val="%1.%2.%3.%4.%5.%6.%7.%8.%9"/>
      <w:lvlJc w:val="left"/>
      <w:pPr>
        <w:ind w:left="3240" w:hanging="1800"/>
      </w:pPr>
      <w:rPr>
        <w:rFonts w:hint="default" w:cs="Times New Roman"/>
      </w:rPr>
    </w:lvl>
  </w:abstractNum>
  <w:abstractNum w:abstractNumId="9">
    <w:nsid w:val="00000018"/>
    <w:multiLevelType w:val="multilevel"/>
    <w:tmpl w:val="00000018"/>
    <w:lvl w:ilvl="0" w:tentative="0">
      <w:start w:val="3"/>
      <w:numFmt w:val="none"/>
      <w:lvlText w:val="1.3.1"/>
      <w:lvlJc w:val="left"/>
      <w:pPr>
        <w:tabs>
          <w:tab w:val="left" w:pos="360"/>
        </w:tabs>
        <w:ind w:left="360" w:hanging="360"/>
      </w:pPr>
      <w:rPr>
        <w:rFonts w:hint="eastAsia" w:hAnsi="??" w:cs="Times New Roman"/>
      </w:rPr>
    </w:lvl>
    <w:lvl w:ilvl="1" w:tentative="0">
      <w:start w:val="1"/>
      <w:numFmt w:val="decimal"/>
      <w:lvlText w:val="1.5.%2"/>
      <w:lvlJc w:val="left"/>
      <w:pPr>
        <w:tabs>
          <w:tab w:val="left" w:pos="1070"/>
        </w:tabs>
        <w:ind w:left="1070" w:hanging="360"/>
      </w:pPr>
      <w:rPr>
        <w:rFonts w:hint="eastAsia" w:cs="Times New Roman"/>
      </w:rPr>
    </w:lvl>
    <w:lvl w:ilvl="2" w:tentative="0">
      <w:start w:val="1"/>
      <w:numFmt w:val="decimal"/>
      <w:lvlText w:val="%1.%2.%3"/>
      <w:lvlJc w:val="left"/>
      <w:pPr>
        <w:tabs>
          <w:tab w:val="left" w:pos="720"/>
        </w:tabs>
        <w:ind w:left="720" w:hanging="720"/>
      </w:pPr>
      <w:rPr>
        <w:rFonts w:hint="eastAsia" w:hAnsi="??" w:cs="Times New Roman"/>
      </w:rPr>
    </w:lvl>
    <w:lvl w:ilvl="3" w:tentative="0">
      <w:start w:val="1"/>
      <w:numFmt w:val="decimal"/>
      <w:lvlText w:val="%1.%2.%3.%4"/>
      <w:lvlJc w:val="left"/>
      <w:pPr>
        <w:tabs>
          <w:tab w:val="left" w:pos="1080"/>
        </w:tabs>
        <w:ind w:left="1080" w:hanging="1080"/>
      </w:pPr>
      <w:rPr>
        <w:rFonts w:hint="eastAsia" w:hAnsi="??" w:cs="Times New Roman"/>
      </w:rPr>
    </w:lvl>
    <w:lvl w:ilvl="4" w:tentative="0">
      <w:start w:val="1"/>
      <w:numFmt w:val="decimal"/>
      <w:lvlText w:val="%1.%2.%3.%4.%5"/>
      <w:lvlJc w:val="left"/>
      <w:pPr>
        <w:tabs>
          <w:tab w:val="left" w:pos="1080"/>
        </w:tabs>
        <w:ind w:left="1080" w:hanging="1080"/>
      </w:pPr>
      <w:rPr>
        <w:rFonts w:hint="eastAsia" w:hAnsi="??" w:cs="Times New Roman"/>
      </w:rPr>
    </w:lvl>
    <w:lvl w:ilvl="5" w:tentative="0">
      <w:start w:val="1"/>
      <w:numFmt w:val="decimal"/>
      <w:lvlText w:val="%1.%2.%3.%4.%5.%6"/>
      <w:lvlJc w:val="left"/>
      <w:pPr>
        <w:tabs>
          <w:tab w:val="left" w:pos="1440"/>
        </w:tabs>
        <w:ind w:left="1440" w:hanging="1440"/>
      </w:pPr>
      <w:rPr>
        <w:rFonts w:hint="eastAsia" w:hAnsi="??" w:cs="Times New Roman"/>
      </w:rPr>
    </w:lvl>
    <w:lvl w:ilvl="6" w:tentative="0">
      <w:start w:val="1"/>
      <w:numFmt w:val="decimal"/>
      <w:lvlText w:val="%1.%2.%3.%4.%5.%6.%7"/>
      <w:lvlJc w:val="left"/>
      <w:pPr>
        <w:tabs>
          <w:tab w:val="left" w:pos="1800"/>
        </w:tabs>
        <w:ind w:left="1800" w:hanging="1800"/>
      </w:pPr>
      <w:rPr>
        <w:rFonts w:hint="eastAsia" w:hAnsi="??" w:cs="Times New Roman"/>
      </w:rPr>
    </w:lvl>
    <w:lvl w:ilvl="7" w:tentative="0">
      <w:start w:val="1"/>
      <w:numFmt w:val="decimal"/>
      <w:lvlText w:val="%1.%2.%3.%4.%5.%6.%7.%8"/>
      <w:lvlJc w:val="left"/>
      <w:pPr>
        <w:tabs>
          <w:tab w:val="left" w:pos="1800"/>
        </w:tabs>
        <w:ind w:left="1800" w:hanging="1800"/>
      </w:pPr>
      <w:rPr>
        <w:rFonts w:hint="eastAsia" w:hAnsi="??" w:cs="Times New Roman"/>
      </w:rPr>
    </w:lvl>
    <w:lvl w:ilvl="8" w:tentative="0">
      <w:start w:val="1"/>
      <w:numFmt w:val="decimal"/>
      <w:lvlText w:val="%1.%2.%3.%4.%5.%6.%7.%8.%9"/>
      <w:lvlJc w:val="left"/>
      <w:pPr>
        <w:tabs>
          <w:tab w:val="left" w:pos="2160"/>
        </w:tabs>
        <w:ind w:left="2160" w:hanging="2160"/>
      </w:pPr>
      <w:rPr>
        <w:rFonts w:hint="eastAsia" w:hAnsi="??" w:cs="Times New Roman"/>
      </w:rPr>
    </w:lvl>
  </w:abstractNum>
  <w:abstractNum w:abstractNumId="10">
    <w:nsid w:val="00000019"/>
    <w:multiLevelType w:val="multilevel"/>
    <w:tmpl w:val="00000019"/>
    <w:lvl w:ilvl="0" w:tentative="0">
      <w:start w:val="1"/>
      <w:numFmt w:val="decimal"/>
      <w:lvlText w:val="%1)"/>
      <w:lvlJc w:val="left"/>
      <w:pPr>
        <w:tabs>
          <w:tab w:val="left" w:pos="420"/>
        </w:tabs>
        <w:ind w:left="420" w:hanging="420"/>
      </w:pPr>
      <w:rPr>
        <w:rFonts w:cs="Times New Roman"/>
      </w:rPr>
    </w:lvl>
    <w:lvl w:ilvl="1" w:tentative="0">
      <w:start w:val="1"/>
      <w:numFmt w:val="decimal"/>
      <w:lvlText w:val="%2."/>
      <w:lvlJc w:val="left"/>
      <w:pPr>
        <w:tabs>
          <w:tab w:val="left" w:pos="840"/>
        </w:tabs>
        <w:ind w:left="840" w:hanging="420"/>
      </w:pPr>
      <w:rPr>
        <w:rFonts w:hint="eastAsia" w:cs="Times New Roman"/>
      </w:rPr>
    </w:lvl>
    <w:lvl w:ilvl="2" w:tentative="0">
      <w:start w:val="1"/>
      <w:numFmt w:val="decimal"/>
      <w:lvlText w:val="%3）"/>
      <w:lvlJc w:val="left"/>
      <w:pPr>
        <w:tabs>
          <w:tab w:val="left" w:pos="1200"/>
        </w:tabs>
        <w:ind w:left="1200" w:hanging="360"/>
      </w:pPr>
      <w:rPr>
        <w:rFonts w:hint="eastAsia"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1">
    <w:nsid w:val="01C476E8"/>
    <w:multiLevelType w:val="multilevel"/>
    <w:tmpl w:val="01C476E8"/>
    <w:lvl w:ilvl="0" w:tentative="0">
      <w:start w:val="1"/>
      <w:numFmt w:val="decimal"/>
      <w:lvlText w:val="3.7.%1"/>
      <w:lvlJc w:val="left"/>
      <w:pPr>
        <w:ind w:left="1980" w:hanging="420"/>
      </w:pPr>
      <w:rPr>
        <w:rFonts w:hint="default" w:cs="Times New Roman"/>
        <w:sz w:val="21"/>
        <w:szCs w:val="21"/>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2">
    <w:nsid w:val="0E394334"/>
    <w:multiLevelType w:val="multilevel"/>
    <w:tmpl w:val="0E394334"/>
    <w:lvl w:ilvl="0" w:tentative="0">
      <w:start w:val="1"/>
      <w:numFmt w:val="decimal"/>
      <w:lvlText w:val="9.2.%1"/>
      <w:lvlJc w:val="left"/>
      <w:pPr>
        <w:ind w:left="840"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3">
    <w:nsid w:val="11981BDB"/>
    <w:multiLevelType w:val="multilevel"/>
    <w:tmpl w:val="11981BDB"/>
    <w:lvl w:ilvl="0" w:tentative="0">
      <w:start w:val="1"/>
      <w:numFmt w:val="decimal"/>
      <w:lvlText w:val="2.%1"/>
      <w:lvlJc w:val="left"/>
      <w:pPr>
        <w:ind w:left="810" w:hanging="420"/>
      </w:pPr>
      <w:rPr>
        <w:rFonts w:hint="eastAsia" w:cs="Times New Roman"/>
      </w:rPr>
    </w:lvl>
    <w:lvl w:ilvl="1" w:tentative="0">
      <w:start w:val="1"/>
      <w:numFmt w:val="lowerLetter"/>
      <w:lvlText w:val="%2)"/>
      <w:lvlJc w:val="left"/>
      <w:pPr>
        <w:ind w:left="1230" w:hanging="420"/>
      </w:pPr>
      <w:rPr>
        <w:rFonts w:cs="Times New Roman"/>
      </w:rPr>
    </w:lvl>
    <w:lvl w:ilvl="2" w:tentative="0">
      <w:start w:val="1"/>
      <w:numFmt w:val="lowerRoman"/>
      <w:lvlText w:val="%3."/>
      <w:lvlJc w:val="right"/>
      <w:pPr>
        <w:ind w:left="1650" w:hanging="420"/>
      </w:pPr>
      <w:rPr>
        <w:rFonts w:cs="Times New Roman"/>
      </w:rPr>
    </w:lvl>
    <w:lvl w:ilvl="3" w:tentative="0">
      <w:start w:val="1"/>
      <w:numFmt w:val="decimal"/>
      <w:lvlText w:val="%4."/>
      <w:lvlJc w:val="left"/>
      <w:pPr>
        <w:ind w:left="2070" w:hanging="420"/>
      </w:pPr>
      <w:rPr>
        <w:rFonts w:cs="Times New Roman"/>
      </w:rPr>
    </w:lvl>
    <w:lvl w:ilvl="4" w:tentative="0">
      <w:start w:val="1"/>
      <w:numFmt w:val="lowerLetter"/>
      <w:lvlText w:val="%5)"/>
      <w:lvlJc w:val="left"/>
      <w:pPr>
        <w:ind w:left="2490" w:hanging="420"/>
      </w:pPr>
      <w:rPr>
        <w:rFonts w:cs="Times New Roman"/>
      </w:rPr>
    </w:lvl>
    <w:lvl w:ilvl="5" w:tentative="0">
      <w:start w:val="1"/>
      <w:numFmt w:val="lowerRoman"/>
      <w:lvlText w:val="%6."/>
      <w:lvlJc w:val="right"/>
      <w:pPr>
        <w:ind w:left="2910" w:hanging="420"/>
      </w:pPr>
      <w:rPr>
        <w:rFonts w:cs="Times New Roman"/>
      </w:rPr>
    </w:lvl>
    <w:lvl w:ilvl="6" w:tentative="0">
      <w:start w:val="1"/>
      <w:numFmt w:val="decimal"/>
      <w:lvlText w:val="%7."/>
      <w:lvlJc w:val="left"/>
      <w:pPr>
        <w:ind w:left="3330" w:hanging="420"/>
      </w:pPr>
      <w:rPr>
        <w:rFonts w:cs="Times New Roman"/>
      </w:rPr>
    </w:lvl>
    <w:lvl w:ilvl="7" w:tentative="0">
      <w:start w:val="1"/>
      <w:numFmt w:val="lowerLetter"/>
      <w:lvlText w:val="%8)"/>
      <w:lvlJc w:val="left"/>
      <w:pPr>
        <w:ind w:left="3750" w:hanging="420"/>
      </w:pPr>
      <w:rPr>
        <w:rFonts w:cs="Times New Roman"/>
      </w:rPr>
    </w:lvl>
    <w:lvl w:ilvl="8" w:tentative="0">
      <w:start w:val="1"/>
      <w:numFmt w:val="lowerRoman"/>
      <w:lvlText w:val="%9."/>
      <w:lvlJc w:val="right"/>
      <w:pPr>
        <w:ind w:left="4170" w:hanging="420"/>
      </w:pPr>
      <w:rPr>
        <w:rFonts w:cs="Times New Roman"/>
      </w:rPr>
    </w:lvl>
  </w:abstractNum>
  <w:abstractNum w:abstractNumId="14">
    <w:nsid w:val="11AF073F"/>
    <w:multiLevelType w:val="multilevel"/>
    <w:tmpl w:val="11AF073F"/>
    <w:lvl w:ilvl="0" w:tentative="0">
      <w:start w:val="1"/>
      <w:numFmt w:val="decimal"/>
      <w:lvlText w:val="6.5.%1"/>
      <w:lvlJc w:val="left"/>
      <w:pPr>
        <w:ind w:left="988" w:hanging="420"/>
      </w:pPr>
      <w:rPr>
        <w:rFonts w:hint="eastAsia" w:cs="Times New Roman"/>
        <w:b/>
        <w:bCs/>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5">
    <w:nsid w:val="17363519"/>
    <w:multiLevelType w:val="singleLevel"/>
    <w:tmpl w:val="17363519"/>
    <w:lvl w:ilvl="0" w:tentative="0">
      <w:start w:val="2"/>
      <w:numFmt w:val="decimal"/>
      <w:suff w:val="nothing"/>
      <w:lvlText w:val="%1、"/>
      <w:lvlJc w:val="left"/>
    </w:lvl>
  </w:abstractNum>
  <w:abstractNum w:abstractNumId="16">
    <w:nsid w:val="1A242053"/>
    <w:multiLevelType w:val="multilevel"/>
    <w:tmpl w:val="1A242053"/>
    <w:lvl w:ilvl="0" w:tentative="0">
      <w:start w:val="1"/>
      <w:numFmt w:val="decimal"/>
      <w:lvlText w:val="3.4.%1"/>
      <w:lvlJc w:val="left"/>
      <w:pPr>
        <w:ind w:left="1200" w:hanging="420"/>
      </w:pPr>
      <w:rPr>
        <w:rFonts w:hint="default" w:cs="Times New Roman"/>
        <w:sz w:val="21"/>
        <w:szCs w:val="21"/>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7">
    <w:nsid w:val="1EBE1B2E"/>
    <w:multiLevelType w:val="multilevel"/>
    <w:tmpl w:val="1EBE1B2E"/>
    <w:lvl w:ilvl="0" w:tentative="0">
      <w:start w:val="1"/>
      <w:numFmt w:val="decimal"/>
      <w:lvlText w:val="4.1.%1"/>
      <w:lvlJc w:val="left"/>
      <w:pPr>
        <w:ind w:left="988" w:hanging="420"/>
      </w:pPr>
      <w:rPr>
        <w:rFonts w:hint="eastAsia" w:cs="Times New Roman"/>
        <w:sz w:val="21"/>
        <w:szCs w:val="21"/>
      </w:rPr>
    </w:lvl>
    <w:lvl w:ilvl="1" w:tentative="0">
      <w:start w:val="1"/>
      <w:numFmt w:val="lowerLetter"/>
      <w:lvlText w:val="%2)"/>
      <w:lvlJc w:val="left"/>
      <w:pPr>
        <w:ind w:left="628" w:hanging="420"/>
      </w:pPr>
      <w:rPr>
        <w:rFonts w:cs="Times New Roman"/>
      </w:rPr>
    </w:lvl>
    <w:lvl w:ilvl="2" w:tentative="0">
      <w:start w:val="1"/>
      <w:numFmt w:val="lowerRoman"/>
      <w:lvlText w:val="%3."/>
      <w:lvlJc w:val="right"/>
      <w:pPr>
        <w:ind w:left="1048" w:hanging="420"/>
      </w:pPr>
      <w:rPr>
        <w:rFonts w:cs="Times New Roman"/>
      </w:rPr>
    </w:lvl>
    <w:lvl w:ilvl="3" w:tentative="0">
      <w:start w:val="1"/>
      <w:numFmt w:val="decimal"/>
      <w:lvlText w:val="%4."/>
      <w:lvlJc w:val="left"/>
      <w:pPr>
        <w:ind w:left="1468" w:hanging="420"/>
      </w:pPr>
      <w:rPr>
        <w:rFonts w:cs="Times New Roman"/>
      </w:rPr>
    </w:lvl>
    <w:lvl w:ilvl="4" w:tentative="0">
      <w:start w:val="1"/>
      <w:numFmt w:val="lowerLetter"/>
      <w:lvlText w:val="%5)"/>
      <w:lvlJc w:val="left"/>
      <w:pPr>
        <w:ind w:left="1888" w:hanging="420"/>
      </w:pPr>
      <w:rPr>
        <w:rFonts w:cs="Times New Roman"/>
      </w:rPr>
    </w:lvl>
    <w:lvl w:ilvl="5" w:tentative="0">
      <w:start w:val="1"/>
      <w:numFmt w:val="lowerRoman"/>
      <w:lvlText w:val="%6."/>
      <w:lvlJc w:val="right"/>
      <w:pPr>
        <w:ind w:left="2308" w:hanging="420"/>
      </w:pPr>
      <w:rPr>
        <w:rFonts w:cs="Times New Roman"/>
      </w:rPr>
    </w:lvl>
    <w:lvl w:ilvl="6" w:tentative="0">
      <w:start w:val="1"/>
      <w:numFmt w:val="decimal"/>
      <w:lvlText w:val="%7."/>
      <w:lvlJc w:val="left"/>
      <w:pPr>
        <w:ind w:left="2728" w:hanging="420"/>
      </w:pPr>
      <w:rPr>
        <w:rFonts w:cs="Times New Roman"/>
      </w:rPr>
    </w:lvl>
    <w:lvl w:ilvl="7" w:tentative="0">
      <w:start w:val="1"/>
      <w:numFmt w:val="lowerLetter"/>
      <w:lvlText w:val="%8)"/>
      <w:lvlJc w:val="left"/>
      <w:pPr>
        <w:ind w:left="3148" w:hanging="420"/>
      </w:pPr>
      <w:rPr>
        <w:rFonts w:cs="Times New Roman"/>
      </w:rPr>
    </w:lvl>
    <w:lvl w:ilvl="8" w:tentative="0">
      <w:start w:val="1"/>
      <w:numFmt w:val="lowerRoman"/>
      <w:lvlText w:val="%9."/>
      <w:lvlJc w:val="right"/>
      <w:pPr>
        <w:ind w:left="3568" w:hanging="420"/>
      </w:pPr>
      <w:rPr>
        <w:rFonts w:cs="Times New Roman"/>
      </w:rPr>
    </w:lvl>
  </w:abstractNum>
  <w:abstractNum w:abstractNumId="18">
    <w:nsid w:val="1FC6DB79"/>
    <w:multiLevelType w:val="singleLevel"/>
    <w:tmpl w:val="1FC6DB79"/>
    <w:lvl w:ilvl="0" w:tentative="0">
      <w:start w:val="5"/>
      <w:numFmt w:val="decimal"/>
      <w:suff w:val="nothing"/>
      <w:lvlText w:val="%1，"/>
      <w:lvlJc w:val="left"/>
    </w:lvl>
  </w:abstractNum>
  <w:abstractNum w:abstractNumId="19">
    <w:nsid w:val="1FDB3F3E"/>
    <w:multiLevelType w:val="multilevel"/>
    <w:tmpl w:val="1FDB3F3E"/>
    <w:lvl w:ilvl="0" w:tentative="0">
      <w:start w:val="1"/>
      <w:numFmt w:val="decimal"/>
      <w:lvlText w:val="3.6.%1"/>
      <w:lvlJc w:val="left"/>
      <w:pPr>
        <w:ind w:left="1590" w:hanging="420"/>
      </w:pPr>
      <w:rPr>
        <w:rFonts w:hint="default" w:cs="Times New Roman"/>
        <w:sz w:val="21"/>
        <w:szCs w:val="21"/>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0">
    <w:nsid w:val="230C4AA3"/>
    <w:multiLevelType w:val="multilevel"/>
    <w:tmpl w:val="230C4AA3"/>
    <w:lvl w:ilvl="0" w:tentative="0">
      <w:start w:val="1"/>
      <w:numFmt w:val="decimal"/>
      <w:lvlText w:val="4.%1"/>
      <w:lvlJc w:val="left"/>
      <w:pPr>
        <w:ind w:left="810" w:hanging="420"/>
      </w:pPr>
      <w:rPr>
        <w:rFonts w:hint="default" w:cs="Times New Roman"/>
        <w:sz w:val="21"/>
        <w:szCs w:val="21"/>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1">
    <w:nsid w:val="23A071DF"/>
    <w:multiLevelType w:val="multilevel"/>
    <w:tmpl w:val="23A071DF"/>
    <w:lvl w:ilvl="0" w:tentative="0">
      <w:start w:val="1"/>
      <w:numFmt w:val="decimal"/>
      <w:lvlText w:val="7.1.%1"/>
      <w:lvlJc w:val="left"/>
      <w:pPr>
        <w:ind w:left="1413"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2">
    <w:nsid w:val="29460D5B"/>
    <w:multiLevelType w:val="multilevel"/>
    <w:tmpl w:val="29460D5B"/>
    <w:lvl w:ilvl="0" w:tentative="0">
      <w:start w:val="1"/>
      <w:numFmt w:val="decimal"/>
      <w:lvlText w:val="5.1.%1"/>
      <w:lvlJc w:val="left"/>
      <w:pPr>
        <w:ind w:left="810"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3">
    <w:nsid w:val="2B6C0E0B"/>
    <w:multiLevelType w:val="multilevel"/>
    <w:tmpl w:val="2B6C0E0B"/>
    <w:lvl w:ilvl="0" w:tentative="0">
      <w:start w:val="1"/>
      <w:numFmt w:val="decimal"/>
      <w:lvlText w:val="3.%1"/>
      <w:lvlJc w:val="left"/>
      <w:pPr>
        <w:ind w:left="810" w:hanging="420"/>
      </w:pPr>
      <w:rPr>
        <w:rFonts w:hint="default" w:cs="Times New Roman"/>
        <w:b/>
        <w:bCs/>
        <w:sz w:val="21"/>
        <w:szCs w:val="21"/>
      </w:rPr>
    </w:lvl>
    <w:lvl w:ilvl="1" w:tentative="0">
      <w:start w:val="1"/>
      <w:numFmt w:val="lowerLetter"/>
      <w:lvlText w:val="%2)"/>
      <w:lvlJc w:val="left"/>
      <w:pPr>
        <w:ind w:left="1230" w:hanging="420"/>
      </w:pPr>
      <w:rPr>
        <w:rFonts w:cs="Times New Roman"/>
      </w:rPr>
    </w:lvl>
    <w:lvl w:ilvl="2" w:tentative="0">
      <w:start w:val="1"/>
      <w:numFmt w:val="lowerRoman"/>
      <w:lvlText w:val="%3."/>
      <w:lvlJc w:val="right"/>
      <w:pPr>
        <w:ind w:left="1650" w:hanging="420"/>
      </w:pPr>
      <w:rPr>
        <w:rFonts w:cs="Times New Roman"/>
      </w:rPr>
    </w:lvl>
    <w:lvl w:ilvl="3" w:tentative="0">
      <w:start w:val="1"/>
      <w:numFmt w:val="decimal"/>
      <w:lvlText w:val="%4."/>
      <w:lvlJc w:val="left"/>
      <w:pPr>
        <w:ind w:left="2070" w:hanging="420"/>
      </w:pPr>
      <w:rPr>
        <w:rFonts w:cs="Times New Roman"/>
      </w:rPr>
    </w:lvl>
    <w:lvl w:ilvl="4" w:tentative="0">
      <w:start w:val="1"/>
      <w:numFmt w:val="lowerLetter"/>
      <w:lvlText w:val="%5)"/>
      <w:lvlJc w:val="left"/>
      <w:pPr>
        <w:ind w:left="2490" w:hanging="420"/>
      </w:pPr>
      <w:rPr>
        <w:rFonts w:cs="Times New Roman"/>
      </w:rPr>
    </w:lvl>
    <w:lvl w:ilvl="5" w:tentative="0">
      <w:start w:val="1"/>
      <w:numFmt w:val="lowerRoman"/>
      <w:lvlText w:val="%6."/>
      <w:lvlJc w:val="right"/>
      <w:pPr>
        <w:ind w:left="2910" w:hanging="420"/>
      </w:pPr>
      <w:rPr>
        <w:rFonts w:cs="Times New Roman"/>
      </w:rPr>
    </w:lvl>
    <w:lvl w:ilvl="6" w:tentative="0">
      <w:start w:val="1"/>
      <w:numFmt w:val="decimal"/>
      <w:lvlText w:val="%7."/>
      <w:lvlJc w:val="left"/>
      <w:pPr>
        <w:ind w:left="3330" w:hanging="420"/>
      </w:pPr>
      <w:rPr>
        <w:rFonts w:cs="Times New Roman"/>
      </w:rPr>
    </w:lvl>
    <w:lvl w:ilvl="7" w:tentative="0">
      <w:start w:val="1"/>
      <w:numFmt w:val="lowerLetter"/>
      <w:lvlText w:val="%8)"/>
      <w:lvlJc w:val="left"/>
      <w:pPr>
        <w:ind w:left="3750" w:hanging="420"/>
      </w:pPr>
      <w:rPr>
        <w:rFonts w:cs="Times New Roman"/>
      </w:rPr>
    </w:lvl>
    <w:lvl w:ilvl="8" w:tentative="0">
      <w:start w:val="1"/>
      <w:numFmt w:val="lowerRoman"/>
      <w:lvlText w:val="%9."/>
      <w:lvlJc w:val="right"/>
      <w:pPr>
        <w:ind w:left="4170" w:hanging="420"/>
      </w:pPr>
      <w:rPr>
        <w:rFonts w:cs="Times New Roman"/>
      </w:rPr>
    </w:lvl>
  </w:abstractNum>
  <w:abstractNum w:abstractNumId="24">
    <w:nsid w:val="2BBA2E75"/>
    <w:multiLevelType w:val="multilevel"/>
    <w:tmpl w:val="2BBA2E75"/>
    <w:lvl w:ilvl="0" w:tentative="0">
      <w:start w:val="1"/>
      <w:numFmt w:val="decimal"/>
      <w:lvlText w:val="5.%1"/>
      <w:lvlJc w:val="left"/>
      <w:pPr>
        <w:ind w:left="810" w:hanging="420"/>
      </w:pPr>
      <w:rPr>
        <w:rFonts w:hint="eastAsia" w:cs="Times New Roman"/>
      </w:rPr>
    </w:lvl>
    <w:lvl w:ilvl="1" w:tentative="0">
      <w:start w:val="1"/>
      <w:numFmt w:val="lowerLetter"/>
      <w:lvlText w:val="%2)"/>
      <w:lvlJc w:val="left"/>
      <w:pPr>
        <w:ind w:left="1230" w:hanging="420"/>
      </w:pPr>
      <w:rPr>
        <w:rFonts w:cs="Times New Roman"/>
      </w:rPr>
    </w:lvl>
    <w:lvl w:ilvl="2" w:tentative="0">
      <w:start w:val="1"/>
      <w:numFmt w:val="lowerRoman"/>
      <w:lvlText w:val="%3."/>
      <w:lvlJc w:val="right"/>
      <w:pPr>
        <w:ind w:left="1650" w:hanging="420"/>
      </w:pPr>
      <w:rPr>
        <w:rFonts w:cs="Times New Roman"/>
      </w:rPr>
    </w:lvl>
    <w:lvl w:ilvl="3" w:tentative="0">
      <w:start w:val="1"/>
      <w:numFmt w:val="decimal"/>
      <w:lvlText w:val="%4."/>
      <w:lvlJc w:val="left"/>
      <w:pPr>
        <w:ind w:left="2070" w:hanging="420"/>
      </w:pPr>
      <w:rPr>
        <w:rFonts w:cs="Times New Roman"/>
      </w:rPr>
    </w:lvl>
    <w:lvl w:ilvl="4" w:tentative="0">
      <w:start w:val="1"/>
      <w:numFmt w:val="lowerLetter"/>
      <w:lvlText w:val="%5)"/>
      <w:lvlJc w:val="left"/>
      <w:pPr>
        <w:ind w:left="2490" w:hanging="420"/>
      </w:pPr>
      <w:rPr>
        <w:rFonts w:cs="Times New Roman"/>
      </w:rPr>
    </w:lvl>
    <w:lvl w:ilvl="5" w:tentative="0">
      <w:start w:val="1"/>
      <w:numFmt w:val="lowerRoman"/>
      <w:lvlText w:val="%6."/>
      <w:lvlJc w:val="right"/>
      <w:pPr>
        <w:ind w:left="2910" w:hanging="420"/>
      </w:pPr>
      <w:rPr>
        <w:rFonts w:cs="Times New Roman"/>
      </w:rPr>
    </w:lvl>
    <w:lvl w:ilvl="6" w:tentative="0">
      <w:start w:val="1"/>
      <w:numFmt w:val="decimal"/>
      <w:lvlText w:val="%7."/>
      <w:lvlJc w:val="left"/>
      <w:pPr>
        <w:ind w:left="3330" w:hanging="420"/>
      </w:pPr>
      <w:rPr>
        <w:rFonts w:cs="Times New Roman"/>
      </w:rPr>
    </w:lvl>
    <w:lvl w:ilvl="7" w:tentative="0">
      <w:start w:val="1"/>
      <w:numFmt w:val="lowerLetter"/>
      <w:lvlText w:val="%8)"/>
      <w:lvlJc w:val="left"/>
      <w:pPr>
        <w:ind w:left="3750" w:hanging="420"/>
      </w:pPr>
      <w:rPr>
        <w:rFonts w:cs="Times New Roman"/>
      </w:rPr>
    </w:lvl>
    <w:lvl w:ilvl="8" w:tentative="0">
      <w:start w:val="1"/>
      <w:numFmt w:val="lowerRoman"/>
      <w:lvlText w:val="%9."/>
      <w:lvlJc w:val="right"/>
      <w:pPr>
        <w:ind w:left="4170" w:hanging="420"/>
      </w:pPr>
      <w:rPr>
        <w:rFonts w:cs="Times New Roman"/>
      </w:rPr>
    </w:lvl>
  </w:abstractNum>
  <w:abstractNum w:abstractNumId="25">
    <w:nsid w:val="36D72587"/>
    <w:multiLevelType w:val="multilevel"/>
    <w:tmpl w:val="36D72587"/>
    <w:lvl w:ilvl="0" w:tentative="0">
      <w:start w:val="1"/>
      <w:numFmt w:val="decimal"/>
      <w:lvlText w:val="2.%1"/>
      <w:lvlJc w:val="left"/>
      <w:pPr>
        <w:ind w:left="810" w:hanging="420"/>
      </w:pPr>
      <w:rPr>
        <w:rFonts w:hint="eastAsia" w:cs="Times New Roman"/>
      </w:rPr>
    </w:lvl>
    <w:lvl w:ilvl="1" w:tentative="0">
      <w:start w:val="1"/>
      <w:numFmt w:val="decimal"/>
      <w:lvlText w:val="1.%2"/>
      <w:lvlJc w:val="left"/>
      <w:pPr>
        <w:ind w:left="1230" w:hanging="420"/>
      </w:pPr>
      <w:rPr>
        <w:rFonts w:hint="eastAsia" w:cs="Times New Roman"/>
      </w:rPr>
    </w:lvl>
    <w:lvl w:ilvl="2" w:tentative="0">
      <w:start w:val="1"/>
      <w:numFmt w:val="lowerRoman"/>
      <w:lvlText w:val="%3."/>
      <w:lvlJc w:val="right"/>
      <w:pPr>
        <w:ind w:left="1650" w:hanging="420"/>
      </w:pPr>
      <w:rPr>
        <w:rFonts w:cs="Times New Roman"/>
      </w:rPr>
    </w:lvl>
    <w:lvl w:ilvl="3" w:tentative="0">
      <w:start w:val="1"/>
      <w:numFmt w:val="decimal"/>
      <w:lvlText w:val="%4."/>
      <w:lvlJc w:val="left"/>
      <w:pPr>
        <w:ind w:left="2070" w:hanging="420"/>
      </w:pPr>
      <w:rPr>
        <w:rFonts w:cs="Times New Roman"/>
      </w:rPr>
    </w:lvl>
    <w:lvl w:ilvl="4" w:tentative="0">
      <w:start w:val="1"/>
      <w:numFmt w:val="lowerLetter"/>
      <w:lvlText w:val="%5)"/>
      <w:lvlJc w:val="left"/>
      <w:pPr>
        <w:ind w:left="2490" w:hanging="420"/>
      </w:pPr>
      <w:rPr>
        <w:rFonts w:cs="Times New Roman"/>
      </w:rPr>
    </w:lvl>
    <w:lvl w:ilvl="5" w:tentative="0">
      <w:start w:val="1"/>
      <w:numFmt w:val="lowerRoman"/>
      <w:lvlText w:val="%6."/>
      <w:lvlJc w:val="right"/>
      <w:pPr>
        <w:ind w:left="2910" w:hanging="420"/>
      </w:pPr>
      <w:rPr>
        <w:rFonts w:cs="Times New Roman"/>
      </w:rPr>
    </w:lvl>
    <w:lvl w:ilvl="6" w:tentative="0">
      <w:start w:val="1"/>
      <w:numFmt w:val="decimal"/>
      <w:lvlText w:val="%7."/>
      <w:lvlJc w:val="left"/>
      <w:pPr>
        <w:ind w:left="3330" w:hanging="420"/>
      </w:pPr>
      <w:rPr>
        <w:rFonts w:cs="Times New Roman"/>
      </w:rPr>
    </w:lvl>
    <w:lvl w:ilvl="7" w:tentative="0">
      <w:start w:val="1"/>
      <w:numFmt w:val="lowerLetter"/>
      <w:lvlText w:val="%8)"/>
      <w:lvlJc w:val="left"/>
      <w:pPr>
        <w:ind w:left="3750" w:hanging="420"/>
      </w:pPr>
      <w:rPr>
        <w:rFonts w:cs="Times New Roman"/>
      </w:rPr>
    </w:lvl>
    <w:lvl w:ilvl="8" w:tentative="0">
      <w:start w:val="1"/>
      <w:numFmt w:val="lowerRoman"/>
      <w:lvlText w:val="%9."/>
      <w:lvlJc w:val="right"/>
      <w:pPr>
        <w:ind w:left="4170" w:hanging="420"/>
      </w:pPr>
      <w:rPr>
        <w:rFonts w:cs="Times New Roman"/>
      </w:rPr>
    </w:lvl>
  </w:abstractNum>
  <w:abstractNum w:abstractNumId="26">
    <w:nsid w:val="3F1D773D"/>
    <w:multiLevelType w:val="multilevel"/>
    <w:tmpl w:val="3F1D773D"/>
    <w:lvl w:ilvl="0" w:tentative="0">
      <w:start w:val="1"/>
      <w:numFmt w:val="decimal"/>
      <w:lvlText w:val="7.3.%1"/>
      <w:lvlJc w:val="left"/>
      <w:pPr>
        <w:ind w:left="1413"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7">
    <w:nsid w:val="3F3506E4"/>
    <w:multiLevelType w:val="multilevel"/>
    <w:tmpl w:val="3F3506E4"/>
    <w:lvl w:ilvl="0" w:tentative="0">
      <w:start w:val="1"/>
      <w:numFmt w:val="decimal"/>
      <w:lvlText w:val="6.3.%1"/>
      <w:lvlJc w:val="left"/>
      <w:pPr>
        <w:ind w:left="1590"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8">
    <w:nsid w:val="43903FA1"/>
    <w:multiLevelType w:val="multilevel"/>
    <w:tmpl w:val="43903FA1"/>
    <w:lvl w:ilvl="0" w:tentative="0">
      <w:start w:val="1"/>
      <w:numFmt w:val="decimal"/>
      <w:lvlText w:val="4.3.%1"/>
      <w:lvlJc w:val="left"/>
      <w:pPr>
        <w:ind w:left="1620" w:hanging="420"/>
      </w:pPr>
      <w:rPr>
        <w:rFonts w:hint="default" w:cs="Times New Roman"/>
        <w:sz w:val="21"/>
        <w:szCs w:val="21"/>
      </w:rPr>
    </w:lvl>
    <w:lvl w:ilvl="1" w:tentative="0">
      <w:start w:val="1"/>
      <w:numFmt w:val="decimal"/>
      <w:lvlText w:val="4.2.%2"/>
      <w:lvlJc w:val="left"/>
      <w:pPr>
        <w:ind w:left="840" w:hanging="420"/>
      </w:pPr>
      <w:rPr>
        <w:rFonts w:hint="eastAsia"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9">
    <w:nsid w:val="469A3E16"/>
    <w:multiLevelType w:val="multilevel"/>
    <w:tmpl w:val="469A3E16"/>
    <w:lvl w:ilvl="0" w:tentative="0">
      <w:start w:val="1"/>
      <w:numFmt w:val="decimal"/>
      <w:lvlText w:val="1.3.%1"/>
      <w:lvlJc w:val="left"/>
      <w:pPr>
        <w:tabs>
          <w:tab w:val="left" w:pos="765"/>
        </w:tabs>
        <w:ind w:left="765" w:hanging="405"/>
      </w:pPr>
      <w:rPr>
        <w:rFonts w:hint="eastAsia" w:ascii="??" w:hAnsi="??" w:eastAsia="Times New Roman" w:cs="Times New Roman"/>
      </w:rPr>
    </w:lvl>
    <w:lvl w:ilvl="1" w:tentative="0">
      <w:start w:val="1"/>
      <w:numFmt w:val="lowerLetter"/>
      <w:lvlText w:val="%2)"/>
      <w:lvlJc w:val="left"/>
      <w:pPr>
        <w:ind w:left="840" w:hanging="420"/>
      </w:pPr>
      <w:rPr>
        <w:rFonts w:cs="Times New Roman"/>
      </w:rPr>
    </w:lvl>
    <w:lvl w:ilvl="2" w:tentative="0">
      <w:start w:val="1"/>
      <w:numFmt w:val="decimal"/>
      <w:lvlText w:val="1.3.%3"/>
      <w:lvlJc w:val="left"/>
      <w:pPr>
        <w:ind w:left="1260" w:hanging="420"/>
      </w:pPr>
      <w:rPr>
        <w:rFonts w:hint="eastAsia"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30">
    <w:nsid w:val="49050C6B"/>
    <w:multiLevelType w:val="multilevel"/>
    <w:tmpl w:val="49050C6B"/>
    <w:lvl w:ilvl="0" w:tentative="0">
      <w:start w:val="1"/>
      <w:numFmt w:val="decimal"/>
      <w:lvlText w:val="7.4.%1"/>
      <w:lvlJc w:val="left"/>
      <w:pPr>
        <w:ind w:left="1413"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31">
    <w:nsid w:val="4CF46614"/>
    <w:multiLevelType w:val="multilevel"/>
    <w:tmpl w:val="4CF46614"/>
    <w:lvl w:ilvl="0" w:tentative="0">
      <w:start w:val="1"/>
      <w:numFmt w:val="decimal"/>
      <w:lvlText w:val="1.4.%1"/>
      <w:lvlJc w:val="left"/>
      <w:pPr>
        <w:ind w:left="780"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32">
    <w:nsid w:val="50CD1E10"/>
    <w:multiLevelType w:val="multilevel"/>
    <w:tmpl w:val="50CD1E10"/>
    <w:lvl w:ilvl="0" w:tentative="0">
      <w:start w:val="1"/>
      <w:numFmt w:val="decimal"/>
      <w:lvlText w:val="7.6.%1"/>
      <w:lvlJc w:val="left"/>
      <w:pPr>
        <w:ind w:left="1130"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33">
    <w:nsid w:val="50DB1A19"/>
    <w:multiLevelType w:val="multilevel"/>
    <w:tmpl w:val="50DB1A19"/>
    <w:lvl w:ilvl="0" w:tentative="0">
      <w:start w:val="1"/>
      <w:numFmt w:val="decimal"/>
      <w:lvlText w:val="7.5.%1"/>
      <w:lvlJc w:val="left"/>
      <w:pPr>
        <w:ind w:left="1413"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34">
    <w:nsid w:val="51C95750"/>
    <w:multiLevelType w:val="multilevel"/>
    <w:tmpl w:val="51C95750"/>
    <w:lvl w:ilvl="0" w:tentative="0">
      <w:start w:val="1"/>
      <w:numFmt w:val="decimal"/>
      <w:lvlText w:val="8.%1"/>
      <w:lvlJc w:val="left"/>
      <w:pPr>
        <w:ind w:left="1482" w:hanging="420"/>
      </w:pPr>
      <w:rPr>
        <w:rFonts w:hint="eastAsia" w:cs="Times New Roman"/>
      </w:rPr>
    </w:lvl>
    <w:lvl w:ilvl="1" w:tentative="0">
      <w:start w:val="5"/>
      <w:numFmt w:val="japaneseCounting"/>
      <w:lvlText w:val="（%2）"/>
      <w:lvlJc w:val="left"/>
      <w:pPr>
        <w:ind w:left="1140" w:hanging="720"/>
      </w:pPr>
      <w:rPr>
        <w:rFonts w:hint="default" w:cs="Times New Roman"/>
      </w:rPr>
    </w:lvl>
    <w:lvl w:ilvl="2" w:tentative="0">
      <w:start w:val="1"/>
      <w:numFmt w:val="decimal"/>
      <w:lvlText w:val="8.%3"/>
      <w:lvlJc w:val="left"/>
      <w:pPr>
        <w:ind w:left="1260" w:hanging="420"/>
      </w:pPr>
      <w:rPr>
        <w:rFonts w:hint="eastAsia"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35">
    <w:nsid w:val="51DE77F9"/>
    <w:multiLevelType w:val="multilevel"/>
    <w:tmpl w:val="51DE77F9"/>
    <w:lvl w:ilvl="0" w:tentative="0">
      <w:start w:val="1"/>
      <w:numFmt w:val="decimal"/>
      <w:lvlText w:val="7.2.%1"/>
      <w:lvlJc w:val="left"/>
      <w:pPr>
        <w:ind w:left="1413"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36">
    <w:nsid w:val="531B0133"/>
    <w:multiLevelType w:val="multilevel"/>
    <w:tmpl w:val="531B0133"/>
    <w:lvl w:ilvl="0" w:tentative="0">
      <w:start w:val="1"/>
      <w:numFmt w:val="decimal"/>
      <w:lvlText w:val="3.8.%1"/>
      <w:lvlJc w:val="left"/>
      <w:pPr>
        <w:ind w:left="810" w:hanging="420"/>
      </w:pPr>
      <w:rPr>
        <w:rFonts w:hint="default" w:cs="Times New Roman"/>
        <w:sz w:val="21"/>
        <w:szCs w:val="21"/>
      </w:rPr>
    </w:lvl>
    <w:lvl w:ilvl="1" w:tentative="0">
      <w:start w:val="1"/>
      <w:numFmt w:val="lowerLetter"/>
      <w:lvlText w:val="%2)"/>
      <w:lvlJc w:val="left"/>
      <w:pPr>
        <w:ind w:left="1230" w:hanging="420"/>
      </w:pPr>
      <w:rPr>
        <w:rFonts w:cs="Times New Roman"/>
      </w:rPr>
    </w:lvl>
    <w:lvl w:ilvl="2" w:tentative="0">
      <w:start w:val="1"/>
      <w:numFmt w:val="lowerRoman"/>
      <w:lvlText w:val="%3."/>
      <w:lvlJc w:val="right"/>
      <w:pPr>
        <w:ind w:left="1650" w:hanging="420"/>
      </w:pPr>
      <w:rPr>
        <w:rFonts w:cs="Times New Roman"/>
      </w:rPr>
    </w:lvl>
    <w:lvl w:ilvl="3" w:tentative="0">
      <w:start w:val="1"/>
      <w:numFmt w:val="decimal"/>
      <w:lvlText w:val="%4."/>
      <w:lvlJc w:val="left"/>
      <w:pPr>
        <w:ind w:left="2070" w:hanging="420"/>
      </w:pPr>
      <w:rPr>
        <w:rFonts w:cs="Times New Roman"/>
      </w:rPr>
    </w:lvl>
    <w:lvl w:ilvl="4" w:tentative="0">
      <w:start w:val="1"/>
      <w:numFmt w:val="lowerLetter"/>
      <w:lvlText w:val="%5)"/>
      <w:lvlJc w:val="left"/>
      <w:pPr>
        <w:ind w:left="2490" w:hanging="420"/>
      </w:pPr>
      <w:rPr>
        <w:rFonts w:cs="Times New Roman"/>
      </w:rPr>
    </w:lvl>
    <w:lvl w:ilvl="5" w:tentative="0">
      <w:start w:val="1"/>
      <w:numFmt w:val="lowerRoman"/>
      <w:lvlText w:val="%6."/>
      <w:lvlJc w:val="right"/>
      <w:pPr>
        <w:ind w:left="2910" w:hanging="420"/>
      </w:pPr>
      <w:rPr>
        <w:rFonts w:cs="Times New Roman"/>
      </w:rPr>
    </w:lvl>
    <w:lvl w:ilvl="6" w:tentative="0">
      <w:start w:val="1"/>
      <w:numFmt w:val="decimal"/>
      <w:lvlText w:val="%7."/>
      <w:lvlJc w:val="left"/>
      <w:pPr>
        <w:ind w:left="3330" w:hanging="420"/>
      </w:pPr>
      <w:rPr>
        <w:rFonts w:cs="Times New Roman"/>
      </w:rPr>
    </w:lvl>
    <w:lvl w:ilvl="7" w:tentative="0">
      <w:start w:val="1"/>
      <w:numFmt w:val="lowerLetter"/>
      <w:lvlText w:val="%8)"/>
      <w:lvlJc w:val="left"/>
      <w:pPr>
        <w:ind w:left="3750" w:hanging="420"/>
      </w:pPr>
      <w:rPr>
        <w:rFonts w:cs="Times New Roman"/>
      </w:rPr>
    </w:lvl>
    <w:lvl w:ilvl="8" w:tentative="0">
      <w:start w:val="1"/>
      <w:numFmt w:val="lowerRoman"/>
      <w:lvlText w:val="%9."/>
      <w:lvlJc w:val="right"/>
      <w:pPr>
        <w:ind w:left="4170" w:hanging="420"/>
      </w:pPr>
      <w:rPr>
        <w:rFonts w:cs="Times New Roman"/>
      </w:rPr>
    </w:lvl>
  </w:abstractNum>
  <w:abstractNum w:abstractNumId="37">
    <w:nsid w:val="546C71C1"/>
    <w:multiLevelType w:val="singleLevel"/>
    <w:tmpl w:val="546C71C1"/>
    <w:lvl w:ilvl="0" w:tentative="0">
      <w:start w:val="10"/>
      <w:numFmt w:val="chineseCounting"/>
      <w:suff w:val="nothing"/>
      <w:lvlText w:val="%1、"/>
      <w:lvlJc w:val="left"/>
      <w:rPr>
        <w:rFonts w:hint="eastAsia"/>
      </w:rPr>
    </w:lvl>
  </w:abstractNum>
  <w:abstractNum w:abstractNumId="38">
    <w:nsid w:val="5A3A08A6"/>
    <w:multiLevelType w:val="singleLevel"/>
    <w:tmpl w:val="5A3A08A6"/>
    <w:lvl w:ilvl="0" w:tentative="0">
      <w:start w:val="1"/>
      <w:numFmt w:val="decimal"/>
      <w:suff w:val="nothing"/>
      <w:lvlText w:val="（%1）"/>
      <w:lvlJc w:val="left"/>
      <w:rPr>
        <w:rFonts w:cs="Times New Roman"/>
      </w:rPr>
    </w:lvl>
  </w:abstractNum>
  <w:abstractNum w:abstractNumId="39">
    <w:nsid w:val="5B692046"/>
    <w:multiLevelType w:val="multilevel"/>
    <w:tmpl w:val="5B692046"/>
    <w:lvl w:ilvl="0" w:tentative="0">
      <w:start w:val="1"/>
      <w:numFmt w:val="decimal"/>
      <w:lvlText w:val="2.2.%1"/>
      <w:lvlJc w:val="left"/>
      <w:pPr>
        <w:ind w:left="810" w:hanging="420"/>
      </w:pPr>
      <w:rPr>
        <w:rFonts w:hint="eastAsia" w:cs="Times New Roman"/>
      </w:rPr>
    </w:lvl>
    <w:lvl w:ilvl="1" w:tentative="0">
      <w:start w:val="1"/>
      <w:numFmt w:val="lowerLetter"/>
      <w:lvlText w:val="%2)"/>
      <w:lvlJc w:val="left"/>
      <w:pPr>
        <w:ind w:left="1230" w:hanging="420"/>
      </w:pPr>
      <w:rPr>
        <w:rFonts w:cs="Times New Roman"/>
      </w:rPr>
    </w:lvl>
    <w:lvl w:ilvl="2" w:tentative="0">
      <w:start w:val="1"/>
      <w:numFmt w:val="lowerRoman"/>
      <w:lvlText w:val="%3."/>
      <w:lvlJc w:val="right"/>
      <w:pPr>
        <w:ind w:left="1650" w:hanging="420"/>
      </w:pPr>
      <w:rPr>
        <w:rFonts w:cs="Times New Roman"/>
      </w:rPr>
    </w:lvl>
    <w:lvl w:ilvl="3" w:tentative="0">
      <w:start w:val="1"/>
      <w:numFmt w:val="decimal"/>
      <w:lvlText w:val="%4."/>
      <w:lvlJc w:val="left"/>
      <w:pPr>
        <w:ind w:left="2070" w:hanging="420"/>
      </w:pPr>
      <w:rPr>
        <w:rFonts w:cs="Times New Roman"/>
      </w:rPr>
    </w:lvl>
    <w:lvl w:ilvl="4" w:tentative="0">
      <w:start w:val="1"/>
      <w:numFmt w:val="lowerLetter"/>
      <w:lvlText w:val="%5)"/>
      <w:lvlJc w:val="left"/>
      <w:pPr>
        <w:ind w:left="2490" w:hanging="420"/>
      </w:pPr>
      <w:rPr>
        <w:rFonts w:cs="Times New Roman"/>
      </w:rPr>
    </w:lvl>
    <w:lvl w:ilvl="5" w:tentative="0">
      <w:start w:val="1"/>
      <w:numFmt w:val="lowerRoman"/>
      <w:lvlText w:val="%6."/>
      <w:lvlJc w:val="right"/>
      <w:pPr>
        <w:ind w:left="2910" w:hanging="420"/>
      </w:pPr>
      <w:rPr>
        <w:rFonts w:cs="Times New Roman"/>
      </w:rPr>
    </w:lvl>
    <w:lvl w:ilvl="6" w:tentative="0">
      <w:start w:val="1"/>
      <w:numFmt w:val="decimal"/>
      <w:lvlText w:val="%7."/>
      <w:lvlJc w:val="left"/>
      <w:pPr>
        <w:ind w:left="3330" w:hanging="420"/>
      </w:pPr>
      <w:rPr>
        <w:rFonts w:cs="Times New Roman"/>
      </w:rPr>
    </w:lvl>
    <w:lvl w:ilvl="7" w:tentative="0">
      <w:start w:val="1"/>
      <w:numFmt w:val="lowerLetter"/>
      <w:lvlText w:val="%8)"/>
      <w:lvlJc w:val="left"/>
      <w:pPr>
        <w:ind w:left="3750" w:hanging="420"/>
      </w:pPr>
      <w:rPr>
        <w:rFonts w:cs="Times New Roman"/>
      </w:rPr>
    </w:lvl>
    <w:lvl w:ilvl="8" w:tentative="0">
      <w:start w:val="1"/>
      <w:numFmt w:val="lowerRoman"/>
      <w:lvlText w:val="%9."/>
      <w:lvlJc w:val="right"/>
      <w:pPr>
        <w:ind w:left="4170" w:hanging="420"/>
      </w:pPr>
      <w:rPr>
        <w:rFonts w:cs="Times New Roman"/>
      </w:rPr>
    </w:lvl>
  </w:abstractNum>
  <w:abstractNum w:abstractNumId="40">
    <w:nsid w:val="5E1C220F"/>
    <w:multiLevelType w:val="multilevel"/>
    <w:tmpl w:val="5E1C220F"/>
    <w:lvl w:ilvl="0" w:tentative="0">
      <w:start w:val="1"/>
      <w:numFmt w:val="decimal"/>
      <w:lvlText w:val="9.%1"/>
      <w:lvlJc w:val="right"/>
      <w:pPr>
        <w:ind w:left="1643" w:hanging="420"/>
      </w:pPr>
      <w:rPr>
        <w:rFonts w:hint="eastAsia" w:cs="Times New Roman"/>
      </w:rPr>
    </w:lvl>
    <w:lvl w:ilvl="1" w:tentative="0">
      <w:start w:val="1"/>
      <w:numFmt w:val="decimal"/>
      <w:lvlText w:val="9.%2"/>
      <w:lvlJc w:val="left"/>
      <w:pPr>
        <w:ind w:left="840" w:hanging="420"/>
      </w:pPr>
      <w:rPr>
        <w:rFonts w:hint="eastAsia"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41">
    <w:nsid w:val="61F67671"/>
    <w:multiLevelType w:val="multilevel"/>
    <w:tmpl w:val="61F67671"/>
    <w:lvl w:ilvl="0" w:tentative="0">
      <w:start w:val="1"/>
      <w:numFmt w:val="decimal"/>
      <w:lvlText w:val="6.1.%1"/>
      <w:lvlJc w:val="left"/>
      <w:pPr>
        <w:ind w:left="1271"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42">
    <w:nsid w:val="67823C52"/>
    <w:multiLevelType w:val="multilevel"/>
    <w:tmpl w:val="67823C52"/>
    <w:lvl w:ilvl="0" w:tentative="0">
      <w:start w:val="1"/>
      <w:numFmt w:val="decimal"/>
      <w:lvlText w:val="7.%1"/>
      <w:lvlJc w:val="right"/>
      <w:pPr>
        <w:ind w:left="1200"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decimal"/>
      <w:lvlText w:val="7.%3"/>
      <w:lvlJc w:val="left"/>
      <w:pPr>
        <w:ind w:left="1413" w:hanging="420"/>
      </w:pPr>
      <w:rPr>
        <w:rFonts w:hint="eastAsia" w:cs="Times New Roman"/>
        <w:b/>
        <w:bCs/>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43">
    <w:nsid w:val="748312B3"/>
    <w:multiLevelType w:val="multilevel"/>
    <w:tmpl w:val="748312B3"/>
    <w:lvl w:ilvl="0" w:tentative="0">
      <w:start w:val="1"/>
      <w:numFmt w:val="decimal"/>
      <w:lvlText w:val="6.2.%1"/>
      <w:lvlJc w:val="left"/>
      <w:pPr>
        <w:ind w:left="1200" w:hanging="420"/>
      </w:pPr>
      <w:rPr>
        <w:rFonts w:hint="eastAsia"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44">
    <w:nsid w:val="783557AC"/>
    <w:multiLevelType w:val="multilevel"/>
    <w:tmpl w:val="783557AC"/>
    <w:lvl w:ilvl="0" w:tentative="0">
      <w:start w:val="1"/>
      <w:numFmt w:val="decimal"/>
      <w:lvlText w:val="3.10.%1"/>
      <w:lvlJc w:val="left"/>
      <w:pPr>
        <w:ind w:left="810" w:hanging="420"/>
      </w:pPr>
      <w:rPr>
        <w:rFonts w:hint="default" w:cs="Times New Roman"/>
        <w:sz w:val="21"/>
        <w:szCs w:val="21"/>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45">
    <w:nsid w:val="79E0AA2E"/>
    <w:multiLevelType w:val="singleLevel"/>
    <w:tmpl w:val="79E0AA2E"/>
    <w:lvl w:ilvl="0" w:tentative="0">
      <w:start w:val="5"/>
      <w:numFmt w:val="chineseCounting"/>
      <w:suff w:val="space"/>
      <w:lvlText w:val="第%1章"/>
      <w:lvlJc w:val="left"/>
      <w:rPr>
        <w:rFonts w:hint="eastAsia"/>
      </w:rPr>
    </w:lvl>
  </w:abstractNum>
  <w:abstractNum w:abstractNumId="46">
    <w:nsid w:val="7EF833A3"/>
    <w:multiLevelType w:val="multilevel"/>
    <w:tmpl w:val="7EF833A3"/>
    <w:lvl w:ilvl="0" w:tentative="0">
      <w:start w:val="1"/>
      <w:numFmt w:val="decimal"/>
      <w:lvlText w:val="3.9.%1"/>
      <w:lvlJc w:val="left"/>
      <w:pPr>
        <w:ind w:left="810" w:hanging="420"/>
      </w:pPr>
      <w:rPr>
        <w:rFonts w:hint="default" w:cs="Times New Roman"/>
        <w:sz w:val="21"/>
        <w:szCs w:val="21"/>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num w:numId="1">
    <w:abstractNumId w:val="8"/>
  </w:num>
  <w:num w:numId="2">
    <w:abstractNumId w:val="25"/>
  </w:num>
  <w:num w:numId="3">
    <w:abstractNumId w:val="4"/>
  </w:num>
  <w:num w:numId="4">
    <w:abstractNumId w:val="29"/>
  </w:num>
  <w:num w:numId="5">
    <w:abstractNumId w:val="31"/>
  </w:num>
  <w:num w:numId="6">
    <w:abstractNumId w:val="9"/>
  </w:num>
  <w:num w:numId="7">
    <w:abstractNumId w:val="13"/>
  </w:num>
  <w:num w:numId="8">
    <w:abstractNumId w:val="5"/>
  </w:num>
  <w:num w:numId="9">
    <w:abstractNumId w:val="7"/>
  </w:num>
  <w:num w:numId="10">
    <w:abstractNumId w:val="39"/>
  </w:num>
  <w:num w:numId="11">
    <w:abstractNumId w:val="23"/>
  </w:num>
  <w:num w:numId="12">
    <w:abstractNumId w:val="6"/>
  </w:num>
  <w:num w:numId="13">
    <w:abstractNumId w:val="16"/>
  </w:num>
  <w:num w:numId="14">
    <w:abstractNumId w:val="0"/>
  </w:num>
  <w:num w:numId="15">
    <w:abstractNumId w:val="19"/>
  </w:num>
  <w:num w:numId="16">
    <w:abstractNumId w:val="11"/>
  </w:num>
  <w:num w:numId="17">
    <w:abstractNumId w:val="36"/>
  </w:num>
  <w:num w:numId="18">
    <w:abstractNumId w:val="46"/>
  </w:num>
  <w:num w:numId="19">
    <w:abstractNumId w:val="44"/>
  </w:num>
  <w:num w:numId="20">
    <w:abstractNumId w:val="20"/>
  </w:num>
  <w:num w:numId="21">
    <w:abstractNumId w:val="17"/>
  </w:num>
  <w:num w:numId="22">
    <w:abstractNumId w:val="28"/>
  </w:num>
  <w:num w:numId="23">
    <w:abstractNumId w:val="24"/>
  </w:num>
  <w:num w:numId="24">
    <w:abstractNumId w:val="22"/>
  </w:num>
  <w:num w:numId="25">
    <w:abstractNumId w:val="41"/>
  </w:num>
  <w:num w:numId="26">
    <w:abstractNumId w:val="43"/>
  </w:num>
  <w:num w:numId="27">
    <w:abstractNumId w:val="27"/>
  </w:num>
  <w:num w:numId="28">
    <w:abstractNumId w:val="14"/>
  </w:num>
  <w:num w:numId="29">
    <w:abstractNumId w:val="42"/>
  </w:num>
  <w:num w:numId="30">
    <w:abstractNumId w:val="21"/>
  </w:num>
  <w:num w:numId="31">
    <w:abstractNumId w:val="35"/>
  </w:num>
  <w:num w:numId="32">
    <w:abstractNumId w:val="26"/>
  </w:num>
  <w:num w:numId="33">
    <w:abstractNumId w:val="30"/>
  </w:num>
  <w:num w:numId="34">
    <w:abstractNumId w:val="33"/>
  </w:num>
  <w:num w:numId="35">
    <w:abstractNumId w:val="32"/>
  </w:num>
  <w:num w:numId="36">
    <w:abstractNumId w:val="34"/>
  </w:num>
  <w:num w:numId="37">
    <w:abstractNumId w:val="38"/>
  </w:num>
  <w:num w:numId="38">
    <w:abstractNumId w:val="40"/>
  </w:num>
  <w:num w:numId="39">
    <w:abstractNumId w:val="12"/>
  </w:num>
  <w:num w:numId="40">
    <w:abstractNumId w:val="2"/>
  </w:num>
  <w:num w:numId="41">
    <w:abstractNumId w:val="1"/>
  </w:num>
  <w:num w:numId="42">
    <w:abstractNumId w:val="10"/>
  </w:num>
  <w:num w:numId="43">
    <w:abstractNumId w:val="45"/>
  </w:num>
  <w:num w:numId="44">
    <w:abstractNumId w:val="18"/>
  </w:num>
  <w:num w:numId="45">
    <w:abstractNumId w:val="15"/>
  </w:num>
  <w:num w:numId="46">
    <w:abstractNumId w:val="37"/>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6"/>
  <w:embedSystemFonts/>
  <w:bordersDoNotSurroundHeader w:val="0"/>
  <w:bordersDoNotSurroundFooter w:val="0"/>
  <w:hideSpellingErrors/>
  <w:doNotTrackMoves/>
  <w:documentProtection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NhMTAyZTM4ZjA1OTFiNWMyMWQ3NmM4OTljZjBlMmMifQ=="/>
  </w:docVars>
  <w:rsids>
    <w:rsidRoot w:val="00172A27"/>
    <w:rsid w:val="000003DF"/>
    <w:rsid w:val="00000A31"/>
    <w:rsid w:val="000010F5"/>
    <w:rsid w:val="000012FE"/>
    <w:rsid w:val="00001451"/>
    <w:rsid w:val="00001646"/>
    <w:rsid w:val="000032BB"/>
    <w:rsid w:val="00005D0E"/>
    <w:rsid w:val="0000700B"/>
    <w:rsid w:val="00007015"/>
    <w:rsid w:val="000073FE"/>
    <w:rsid w:val="00010329"/>
    <w:rsid w:val="000116B3"/>
    <w:rsid w:val="00017B47"/>
    <w:rsid w:val="00021B33"/>
    <w:rsid w:val="000223FB"/>
    <w:rsid w:val="0002330B"/>
    <w:rsid w:val="0002398B"/>
    <w:rsid w:val="00025986"/>
    <w:rsid w:val="000270C5"/>
    <w:rsid w:val="00030237"/>
    <w:rsid w:val="000302C7"/>
    <w:rsid w:val="00030AFC"/>
    <w:rsid w:val="0003173F"/>
    <w:rsid w:val="00031D39"/>
    <w:rsid w:val="000321BF"/>
    <w:rsid w:val="00032951"/>
    <w:rsid w:val="00032A11"/>
    <w:rsid w:val="000339DE"/>
    <w:rsid w:val="0003407F"/>
    <w:rsid w:val="00034D09"/>
    <w:rsid w:val="00034D23"/>
    <w:rsid w:val="00036559"/>
    <w:rsid w:val="00037720"/>
    <w:rsid w:val="0003799C"/>
    <w:rsid w:val="00037CC8"/>
    <w:rsid w:val="00042B2D"/>
    <w:rsid w:val="00042BF6"/>
    <w:rsid w:val="0004351C"/>
    <w:rsid w:val="000448E7"/>
    <w:rsid w:val="000456F0"/>
    <w:rsid w:val="000466C5"/>
    <w:rsid w:val="0005053F"/>
    <w:rsid w:val="00050666"/>
    <w:rsid w:val="00054753"/>
    <w:rsid w:val="00054C91"/>
    <w:rsid w:val="00054D45"/>
    <w:rsid w:val="00054E98"/>
    <w:rsid w:val="000552C8"/>
    <w:rsid w:val="00055510"/>
    <w:rsid w:val="00056A21"/>
    <w:rsid w:val="00056B97"/>
    <w:rsid w:val="000613E0"/>
    <w:rsid w:val="00061F67"/>
    <w:rsid w:val="000628DA"/>
    <w:rsid w:val="00063E0B"/>
    <w:rsid w:val="000650B6"/>
    <w:rsid w:val="000657AE"/>
    <w:rsid w:val="000659C7"/>
    <w:rsid w:val="00066044"/>
    <w:rsid w:val="00066F07"/>
    <w:rsid w:val="0007041E"/>
    <w:rsid w:val="00072FEC"/>
    <w:rsid w:val="00074611"/>
    <w:rsid w:val="000771E6"/>
    <w:rsid w:val="0008068A"/>
    <w:rsid w:val="0008225F"/>
    <w:rsid w:val="00082885"/>
    <w:rsid w:val="00082E9F"/>
    <w:rsid w:val="00083DB7"/>
    <w:rsid w:val="00084639"/>
    <w:rsid w:val="00085A72"/>
    <w:rsid w:val="000860E0"/>
    <w:rsid w:val="000901BE"/>
    <w:rsid w:val="00090873"/>
    <w:rsid w:val="00091116"/>
    <w:rsid w:val="000923FE"/>
    <w:rsid w:val="00092FC3"/>
    <w:rsid w:val="000949D4"/>
    <w:rsid w:val="00094BE4"/>
    <w:rsid w:val="000955F5"/>
    <w:rsid w:val="0009563D"/>
    <w:rsid w:val="0009634F"/>
    <w:rsid w:val="00096C66"/>
    <w:rsid w:val="00096C6B"/>
    <w:rsid w:val="00097A42"/>
    <w:rsid w:val="00097AA9"/>
    <w:rsid w:val="000A13AE"/>
    <w:rsid w:val="000A42B6"/>
    <w:rsid w:val="000A4A19"/>
    <w:rsid w:val="000A6808"/>
    <w:rsid w:val="000A72F4"/>
    <w:rsid w:val="000A7D3D"/>
    <w:rsid w:val="000B14FD"/>
    <w:rsid w:val="000B18D4"/>
    <w:rsid w:val="000B1C0E"/>
    <w:rsid w:val="000B4332"/>
    <w:rsid w:val="000B572F"/>
    <w:rsid w:val="000B62D2"/>
    <w:rsid w:val="000B6C62"/>
    <w:rsid w:val="000C014B"/>
    <w:rsid w:val="000C145B"/>
    <w:rsid w:val="000C2891"/>
    <w:rsid w:val="000C3EA6"/>
    <w:rsid w:val="000C4181"/>
    <w:rsid w:val="000C47AB"/>
    <w:rsid w:val="000C51E3"/>
    <w:rsid w:val="000C5805"/>
    <w:rsid w:val="000C5CBB"/>
    <w:rsid w:val="000C667A"/>
    <w:rsid w:val="000C7457"/>
    <w:rsid w:val="000C7FA5"/>
    <w:rsid w:val="000D085B"/>
    <w:rsid w:val="000D2198"/>
    <w:rsid w:val="000D32D2"/>
    <w:rsid w:val="000D3A71"/>
    <w:rsid w:val="000D40B3"/>
    <w:rsid w:val="000E009C"/>
    <w:rsid w:val="000E0166"/>
    <w:rsid w:val="000E02E3"/>
    <w:rsid w:val="000E0973"/>
    <w:rsid w:val="000E0CE4"/>
    <w:rsid w:val="000E2A5E"/>
    <w:rsid w:val="000E2C90"/>
    <w:rsid w:val="000E2E68"/>
    <w:rsid w:val="000E3F9D"/>
    <w:rsid w:val="000E5546"/>
    <w:rsid w:val="000E5B1A"/>
    <w:rsid w:val="000E66B0"/>
    <w:rsid w:val="000F3443"/>
    <w:rsid w:val="000F4260"/>
    <w:rsid w:val="000F4290"/>
    <w:rsid w:val="000F5350"/>
    <w:rsid w:val="000F6E93"/>
    <w:rsid w:val="000F7312"/>
    <w:rsid w:val="0010276C"/>
    <w:rsid w:val="001045EF"/>
    <w:rsid w:val="00105735"/>
    <w:rsid w:val="001057A1"/>
    <w:rsid w:val="0010594A"/>
    <w:rsid w:val="00106F18"/>
    <w:rsid w:val="001111B5"/>
    <w:rsid w:val="00116168"/>
    <w:rsid w:val="00116A80"/>
    <w:rsid w:val="00117BA5"/>
    <w:rsid w:val="00120110"/>
    <w:rsid w:val="001206BB"/>
    <w:rsid w:val="00120FC8"/>
    <w:rsid w:val="0012113E"/>
    <w:rsid w:val="0012132B"/>
    <w:rsid w:val="00122C9E"/>
    <w:rsid w:val="00123BF5"/>
    <w:rsid w:val="00124090"/>
    <w:rsid w:val="00124A1A"/>
    <w:rsid w:val="001275F1"/>
    <w:rsid w:val="001314BB"/>
    <w:rsid w:val="0013259D"/>
    <w:rsid w:val="00132E1C"/>
    <w:rsid w:val="001349FB"/>
    <w:rsid w:val="00134B2C"/>
    <w:rsid w:val="00134F33"/>
    <w:rsid w:val="001356CF"/>
    <w:rsid w:val="00135F78"/>
    <w:rsid w:val="001402ED"/>
    <w:rsid w:val="001421E8"/>
    <w:rsid w:val="00144BE4"/>
    <w:rsid w:val="00144DF0"/>
    <w:rsid w:val="00145B5A"/>
    <w:rsid w:val="001463CF"/>
    <w:rsid w:val="001467E0"/>
    <w:rsid w:val="0014735A"/>
    <w:rsid w:val="00150034"/>
    <w:rsid w:val="001517C9"/>
    <w:rsid w:val="00151C7D"/>
    <w:rsid w:val="0015269E"/>
    <w:rsid w:val="00153C97"/>
    <w:rsid w:val="001541B0"/>
    <w:rsid w:val="00154416"/>
    <w:rsid w:val="001553BE"/>
    <w:rsid w:val="001554B2"/>
    <w:rsid w:val="00156210"/>
    <w:rsid w:val="00157F7E"/>
    <w:rsid w:val="0016141E"/>
    <w:rsid w:val="001633C1"/>
    <w:rsid w:val="001633CD"/>
    <w:rsid w:val="00163953"/>
    <w:rsid w:val="001659B1"/>
    <w:rsid w:val="001659B3"/>
    <w:rsid w:val="00166CFE"/>
    <w:rsid w:val="00167A0D"/>
    <w:rsid w:val="001703D4"/>
    <w:rsid w:val="00172A27"/>
    <w:rsid w:val="00173530"/>
    <w:rsid w:val="00177CD7"/>
    <w:rsid w:val="00177F7C"/>
    <w:rsid w:val="001803A6"/>
    <w:rsid w:val="00180871"/>
    <w:rsid w:val="00180886"/>
    <w:rsid w:val="00182299"/>
    <w:rsid w:val="00184A7A"/>
    <w:rsid w:val="001853B1"/>
    <w:rsid w:val="001870C7"/>
    <w:rsid w:val="00187A08"/>
    <w:rsid w:val="001910C6"/>
    <w:rsid w:val="00191D84"/>
    <w:rsid w:val="001928A1"/>
    <w:rsid w:val="00193134"/>
    <w:rsid w:val="00193DD1"/>
    <w:rsid w:val="00193EE0"/>
    <w:rsid w:val="00195386"/>
    <w:rsid w:val="001955DE"/>
    <w:rsid w:val="00195F50"/>
    <w:rsid w:val="001964BB"/>
    <w:rsid w:val="001976D0"/>
    <w:rsid w:val="00197F94"/>
    <w:rsid w:val="001A12B3"/>
    <w:rsid w:val="001A1AAA"/>
    <w:rsid w:val="001A21EC"/>
    <w:rsid w:val="001A2ED6"/>
    <w:rsid w:val="001A3CAA"/>
    <w:rsid w:val="001A4408"/>
    <w:rsid w:val="001A4EB3"/>
    <w:rsid w:val="001A64C4"/>
    <w:rsid w:val="001A79FF"/>
    <w:rsid w:val="001B26A2"/>
    <w:rsid w:val="001B5A69"/>
    <w:rsid w:val="001B5BAB"/>
    <w:rsid w:val="001B6EBF"/>
    <w:rsid w:val="001B7727"/>
    <w:rsid w:val="001C0D6E"/>
    <w:rsid w:val="001C1D37"/>
    <w:rsid w:val="001C200A"/>
    <w:rsid w:val="001C3662"/>
    <w:rsid w:val="001C5457"/>
    <w:rsid w:val="001C60E3"/>
    <w:rsid w:val="001C6673"/>
    <w:rsid w:val="001C6FB9"/>
    <w:rsid w:val="001C75F5"/>
    <w:rsid w:val="001D0426"/>
    <w:rsid w:val="001D05E5"/>
    <w:rsid w:val="001D0EFC"/>
    <w:rsid w:val="001D2818"/>
    <w:rsid w:val="001D2F92"/>
    <w:rsid w:val="001D3C82"/>
    <w:rsid w:val="001D3D86"/>
    <w:rsid w:val="001D627A"/>
    <w:rsid w:val="001D65DE"/>
    <w:rsid w:val="001D7FAC"/>
    <w:rsid w:val="001E0856"/>
    <w:rsid w:val="001E2B2D"/>
    <w:rsid w:val="001E3ADC"/>
    <w:rsid w:val="001E4564"/>
    <w:rsid w:val="001E6000"/>
    <w:rsid w:val="001E7DC9"/>
    <w:rsid w:val="001F018D"/>
    <w:rsid w:val="001F08AD"/>
    <w:rsid w:val="001F1D8A"/>
    <w:rsid w:val="001F25B9"/>
    <w:rsid w:val="001F25E8"/>
    <w:rsid w:val="001F2E90"/>
    <w:rsid w:val="001F2FCD"/>
    <w:rsid w:val="001F33D6"/>
    <w:rsid w:val="001F43A5"/>
    <w:rsid w:val="001F4665"/>
    <w:rsid w:val="001F4CD6"/>
    <w:rsid w:val="001F4D79"/>
    <w:rsid w:val="001F53A5"/>
    <w:rsid w:val="001F5D49"/>
    <w:rsid w:val="001F7DF5"/>
    <w:rsid w:val="00202748"/>
    <w:rsid w:val="00202ED8"/>
    <w:rsid w:val="00202F89"/>
    <w:rsid w:val="00203F98"/>
    <w:rsid w:val="0020677A"/>
    <w:rsid w:val="00206FEC"/>
    <w:rsid w:val="00207635"/>
    <w:rsid w:val="002102CF"/>
    <w:rsid w:val="0021316C"/>
    <w:rsid w:val="00213943"/>
    <w:rsid w:val="00213AE3"/>
    <w:rsid w:val="00213E5E"/>
    <w:rsid w:val="00214CED"/>
    <w:rsid w:val="00215ADC"/>
    <w:rsid w:val="00215CDD"/>
    <w:rsid w:val="00215DAE"/>
    <w:rsid w:val="00215E66"/>
    <w:rsid w:val="00216081"/>
    <w:rsid w:val="00217220"/>
    <w:rsid w:val="00217452"/>
    <w:rsid w:val="0021792A"/>
    <w:rsid w:val="00220DE2"/>
    <w:rsid w:val="00222978"/>
    <w:rsid w:val="00222FD7"/>
    <w:rsid w:val="002233A3"/>
    <w:rsid w:val="002238E6"/>
    <w:rsid w:val="00223973"/>
    <w:rsid w:val="00223A13"/>
    <w:rsid w:val="00223CE1"/>
    <w:rsid w:val="00224F41"/>
    <w:rsid w:val="00225855"/>
    <w:rsid w:val="00226682"/>
    <w:rsid w:val="00226F9C"/>
    <w:rsid w:val="00227442"/>
    <w:rsid w:val="002310A2"/>
    <w:rsid w:val="002330DE"/>
    <w:rsid w:val="00234344"/>
    <w:rsid w:val="0024001F"/>
    <w:rsid w:val="00240D86"/>
    <w:rsid w:val="00243878"/>
    <w:rsid w:val="002443DF"/>
    <w:rsid w:val="00245C83"/>
    <w:rsid w:val="002463C9"/>
    <w:rsid w:val="00247E62"/>
    <w:rsid w:val="0025381C"/>
    <w:rsid w:val="00253A03"/>
    <w:rsid w:val="002548C4"/>
    <w:rsid w:val="00255726"/>
    <w:rsid w:val="002557F6"/>
    <w:rsid w:val="002562E4"/>
    <w:rsid w:val="00256CD5"/>
    <w:rsid w:val="002576DD"/>
    <w:rsid w:val="00257C6F"/>
    <w:rsid w:val="00262EA5"/>
    <w:rsid w:val="00262EC8"/>
    <w:rsid w:val="0026303F"/>
    <w:rsid w:val="00264453"/>
    <w:rsid w:val="00264711"/>
    <w:rsid w:val="00264AB2"/>
    <w:rsid w:val="00266EAE"/>
    <w:rsid w:val="0026786F"/>
    <w:rsid w:val="002678FC"/>
    <w:rsid w:val="0027020E"/>
    <w:rsid w:val="002703A2"/>
    <w:rsid w:val="00270856"/>
    <w:rsid w:val="00271C6E"/>
    <w:rsid w:val="002759AA"/>
    <w:rsid w:val="002761A7"/>
    <w:rsid w:val="00276BE6"/>
    <w:rsid w:val="002774D5"/>
    <w:rsid w:val="00281535"/>
    <w:rsid w:val="00281606"/>
    <w:rsid w:val="002821E5"/>
    <w:rsid w:val="00282C84"/>
    <w:rsid w:val="00282D24"/>
    <w:rsid w:val="00283292"/>
    <w:rsid w:val="00283458"/>
    <w:rsid w:val="0028346D"/>
    <w:rsid w:val="00283ECA"/>
    <w:rsid w:val="00285852"/>
    <w:rsid w:val="00285935"/>
    <w:rsid w:val="00285BD6"/>
    <w:rsid w:val="002902A2"/>
    <w:rsid w:val="00290B2F"/>
    <w:rsid w:val="00290F39"/>
    <w:rsid w:val="002943B8"/>
    <w:rsid w:val="002946C4"/>
    <w:rsid w:val="00295577"/>
    <w:rsid w:val="00295F12"/>
    <w:rsid w:val="002A1BB7"/>
    <w:rsid w:val="002A2275"/>
    <w:rsid w:val="002A3D92"/>
    <w:rsid w:val="002A3F63"/>
    <w:rsid w:val="002A3FF2"/>
    <w:rsid w:val="002A40C6"/>
    <w:rsid w:val="002A45D1"/>
    <w:rsid w:val="002A5768"/>
    <w:rsid w:val="002A66F1"/>
    <w:rsid w:val="002A7667"/>
    <w:rsid w:val="002A7762"/>
    <w:rsid w:val="002A7D48"/>
    <w:rsid w:val="002B0712"/>
    <w:rsid w:val="002B0B7D"/>
    <w:rsid w:val="002B0F33"/>
    <w:rsid w:val="002B2546"/>
    <w:rsid w:val="002B2727"/>
    <w:rsid w:val="002B43CD"/>
    <w:rsid w:val="002B4631"/>
    <w:rsid w:val="002B5192"/>
    <w:rsid w:val="002B584C"/>
    <w:rsid w:val="002B720B"/>
    <w:rsid w:val="002C0006"/>
    <w:rsid w:val="002C021C"/>
    <w:rsid w:val="002C1B4F"/>
    <w:rsid w:val="002C2783"/>
    <w:rsid w:val="002C3441"/>
    <w:rsid w:val="002C4000"/>
    <w:rsid w:val="002C42EA"/>
    <w:rsid w:val="002C45FB"/>
    <w:rsid w:val="002C53B4"/>
    <w:rsid w:val="002C5596"/>
    <w:rsid w:val="002D030E"/>
    <w:rsid w:val="002D10CD"/>
    <w:rsid w:val="002D156F"/>
    <w:rsid w:val="002D2F5D"/>
    <w:rsid w:val="002D3B75"/>
    <w:rsid w:val="002D4D5F"/>
    <w:rsid w:val="002D68AC"/>
    <w:rsid w:val="002D696A"/>
    <w:rsid w:val="002D6FAE"/>
    <w:rsid w:val="002E0203"/>
    <w:rsid w:val="002E2784"/>
    <w:rsid w:val="002E383E"/>
    <w:rsid w:val="002E476A"/>
    <w:rsid w:val="002E4856"/>
    <w:rsid w:val="002E5FA0"/>
    <w:rsid w:val="002E6AFB"/>
    <w:rsid w:val="002F059C"/>
    <w:rsid w:val="002F3459"/>
    <w:rsid w:val="002F39A8"/>
    <w:rsid w:val="002F3A4E"/>
    <w:rsid w:val="002F3DDC"/>
    <w:rsid w:val="002F4FDC"/>
    <w:rsid w:val="002F648D"/>
    <w:rsid w:val="002F65C1"/>
    <w:rsid w:val="00300257"/>
    <w:rsid w:val="00301894"/>
    <w:rsid w:val="0030278B"/>
    <w:rsid w:val="00302CCA"/>
    <w:rsid w:val="003103F8"/>
    <w:rsid w:val="00310864"/>
    <w:rsid w:val="0031270D"/>
    <w:rsid w:val="003147A3"/>
    <w:rsid w:val="0032129C"/>
    <w:rsid w:val="003215A0"/>
    <w:rsid w:val="00324CB0"/>
    <w:rsid w:val="00325411"/>
    <w:rsid w:val="003255FC"/>
    <w:rsid w:val="003258FA"/>
    <w:rsid w:val="00325E56"/>
    <w:rsid w:val="00326B4B"/>
    <w:rsid w:val="003271EB"/>
    <w:rsid w:val="003276E5"/>
    <w:rsid w:val="0033062E"/>
    <w:rsid w:val="00330631"/>
    <w:rsid w:val="00331B9E"/>
    <w:rsid w:val="00332E6B"/>
    <w:rsid w:val="00335206"/>
    <w:rsid w:val="0033671F"/>
    <w:rsid w:val="0033714A"/>
    <w:rsid w:val="0033765B"/>
    <w:rsid w:val="0033771F"/>
    <w:rsid w:val="00340D20"/>
    <w:rsid w:val="00341B3C"/>
    <w:rsid w:val="00341DC3"/>
    <w:rsid w:val="003423FB"/>
    <w:rsid w:val="003428D5"/>
    <w:rsid w:val="00343613"/>
    <w:rsid w:val="0034396C"/>
    <w:rsid w:val="003439AC"/>
    <w:rsid w:val="00344BD1"/>
    <w:rsid w:val="00344D9D"/>
    <w:rsid w:val="00346A63"/>
    <w:rsid w:val="00347C2C"/>
    <w:rsid w:val="00347FA5"/>
    <w:rsid w:val="00350671"/>
    <w:rsid w:val="00353441"/>
    <w:rsid w:val="0035400A"/>
    <w:rsid w:val="00354F3F"/>
    <w:rsid w:val="003600F1"/>
    <w:rsid w:val="0036010A"/>
    <w:rsid w:val="00360F36"/>
    <w:rsid w:val="003636FE"/>
    <w:rsid w:val="003647B2"/>
    <w:rsid w:val="00365B66"/>
    <w:rsid w:val="00370B27"/>
    <w:rsid w:val="00371042"/>
    <w:rsid w:val="003733F7"/>
    <w:rsid w:val="00374255"/>
    <w:rsid w:val="0037459E"/>
    <w:rsid w:val="0037605A"/>
    <w:rsid w:val="00376DFA"/>
    <w:rsid w:val="00381D10"/>
    <w:rsid w:val="00382043"/>
    <w:rsid w:val="00382199"/>
    <w:rsid w:val="00383AE9"/>
    <w:rsid w:val="00384138"/>
    <w:rsid w:val="003841DC"/>
    <w:rsid w:val="00390301"/>
    <w:rsid w:val="003921AF"/>
    <w:rsid w:val="003924BE"/>
    <w:rsid w:val="00393424"/>
    <w:rsid w:val="00394A6C"/>
    <w:rsid w:val="003971F2"/>
    <w:rsid w:val="00397E1D"/>
    <w:rsid w:val="003A0A9B"/>
    <w:rsid w:val="003A2095"/>
    <w:rsid w:val="003A41D4"/>
    <w:rsid w:val="003A6D5A"/>
    <w:rsid w:val="003A6EA5"/>
    <w:rsid w:val="003A6F6B"/>
    <w:rsid w:val="003B0B0C"/>
    <w:rsid w:val="003B1CED"/>
    <w:rsid w:val="003B373E"/>
    <w:rsid w:val="003B3AAC"/>
    <w:rsid w:val="003B74E2"/>
    <w:rsid w:val="003C0700"/>
    <w:rsid w:val="003C0CBF"/>
    <w:rsid w:val="003C0F62"/>
    <w:rsid w:val="003C1639"/>
    <w:rsid w:val="003C39BD"/>
    <w:rsid w:val="003C3ADA"/>
    <w:rsid w:val="003C3E94"/>
    <w:rsid w:val="003C4BDB"/>
    <w:rsid w:val="003C4DA8"/>
    <w:rsid w:val="003C657E"/>
    <w:rsid w:val="003C7B70"/>
    <w:rsid w:val="003C7CA5"/>
    <w:rsid w:val="003D0095"/>
    <w:rsid w:val="003D0636"/>
    <w:rsid w:val="003D072E"/>
    <w:rsid w:val="003D222B"/>
    <w:rsid w:val="003D309D"/>
    <w:rsid w:val="003D44E7"/>
    <w:rsid w:val="003D57BF"/>
    <w:rsid w:val="003D5C51"/>
    <w:rsid w:val="003D5F32"/>
    <w:rsid w:val="003D6122"/>
    <w:rsid w:val="003D7762"/>
    <w:rsid w:val="003D778F"/>
    <w:rsid w:val="003D7E15"/>
    <w:rsid w:val="003E099A"/>
    <w:rsid w:val="003E0D70"/>
    <w:rsid w:val="003E1C4E"/>
    <w:rsid w:val="003E2F1B"/>
    <w:rsid w:val="003E337D"/>
    <w:rsid w:val="003E5315"/>
    <w:rsid w:val="003E6E22"/>
    <w:rsid w:val="003E6F89"/>
    <w:rsid w:val="003F0B1D"/>
    <w:rsid w:val="003F0D17"/>
    <w:rsid w:val="003F0DD1"/>
    <w:rsid w:val="003F126C"/>
    <w:rsid w:val="003F2B8E"/>
    <w:rsid w:val="003F30EA"/>
    <w:rsid w:val="003F32F0"/>
    <w:rsid w:val="003F43F2"/>
    <w:rsid w:val="003F56A2"/>
    <w:rsid w:val="003F5B36"/>
    <w:rsid w:val="003F6D1E"/>
    <w:rsid w:val="003F7EC0"/>
    <w:rsid w:val="00401240"/>
    <w:rsid w:val="004022BF"/>
    <w:rsid w:val="00402760"/>
    <w:rsid w:val="00404C6F"/>
    <w:rsid w:val="004113D9"/>
    <w:rsid w:val="00412E9E"/>
    <w:rsid w:val="0041369F"/>
    <w:rsid w:val="00413E60"/>
    <w:rsid w:val="00414252"/>
    <w:rsid w:val="004159D7"/>
    <w:rsid w:val="004171F7"/>
    <w:rsid w:val="004171FB"/>
    <w:rsid w:val="004173C0"/>
    <w:rsid w:val="00421881"/>
    <w:rsid w:val="00421E98"/>
    <w:rsid w:val="00421ED4"/>
    <w:rsid w:val="00422230"/>
    <w:rsid w:val="0042284B"/>
    <w:rsid w:val="00423AF9"/>
    <w:rsid w:val="00424CA5"/>
    <w:rsid w:val="00426275"/>
    <w:rsid w:val="004262E5"/>
    <w:rsid w:val="00426817"/>
    <w:rsid w:val="004306F3"/>
    <w:rsid w:val="00432718"/>
    <w:rsid w:val="00434689"/>
    <w:rsid w:val="004354C3"/>
    <w:rsid w:val="00436BD1"/>
    <w:rsid w:val="0044109A"/>
    <w:rsid w:val="004415A8"/>
    <w:rsid w:val="00443271"/>
    <w:rsid w:val="00446AA2"/>
    <w:rsid w:val="0044795F"/>
    <w:rsid w:val="004531D2"/>
    <w:rsid w:val="004535E1"/>
    <w:rsid w:val="004557AA"/>
    <w:rsid w:val="004557C8"/>
    <w:rsid w:val="0045585F"/>
    <w:rsid w:val="00455A5C"/>
    <w:rsid w:val="004561A4"/>
    <w:rsid w:val="004566B4"/>
    <w:rsid w:val="00460BC1"/>
    <w:rsid w:val="00462D1C"/>
    <w:rsid w:val="004634A0"/>
    <w:rsid w:val="00463719"/>
    <w:rsid w:val="00464740"/>
    <w:rsid w:val="004647F1"/>
    <w:rsid w:val="00465417"/>
    <w:rsid w:val="0046717D"/>
    <w:rsid w:val="00467821"/>
    <w:rsid w:val="0047088A"/>
    <w:rsid w:val="00470EAD"/>
    <w:rsid w:val="00471A9A"/>
    <w:rsid w:val="00473BDC"/>
    <w:rsid w:val="004750ED"/>
    <w:rsid w:val="00477851"/>
    <w:rsid w:val="00477A2A"/>
    <w:rsid w:val="0048218F"/>
    <w:rsid w:val="00482204"/>
    <w:rsid w:val="0048221E"/>
    <w:rsid w:val="00482B74"/>
    <w:rsid w:val="00482E2E"/>
    <w:rsid w:val="0048314F"/>
    <w:rsid w:val="00483742"/>
    <w:rsid w:val="00484965"/>
    <w:rsid w:val="00485145"/>
    <w:rsid w:val="00485FC6"/>
    <w:rsid w:val="00486BBA"/>
    <w:rsid w:val="00486D32"/>
    <w:rsid w:val="004911A2"/>
    <w:rsid w:val="004919CA"/>
    <w:rsid w:val="0049380F"/>
    <w:rsid w:val="0049455F"/>
    <w:rsid w:val="004947CF"/>
    <w:rsid w:val="00495262"/>
    <w:rsid w:val="00495324"/>
    <w:rsid w:val="004958DB"/>
    <w:rsid w:val="00495A8F"/>
    <w:rsid w:val="00496153"/>
    <w:rsid w:val="004974D4"/>
    <w:rsid w:val="004977E7"/>
    <w:rsid w:val="004A1647"/>
    <w:rsid w:val="004A2068"/>
    <w:rsid w:val="004A2BF0"/>
    <w:rsid w:val="004A3359"/>
    <w:rsid w:val="004A49AD"/>
    <w:rsid w:val="004A665F"/>
    <w:rsid w:val="004A72B5"/>
    <w:rsid w:val="004A7B03"/>
    <w:rsid w:val="004B003C"/>
    <w:rsid w:val="004B0B94"/>
    <w:rsid w:val="004B4BCE"/>
    <w:rsid w:val="004B7E8E"/>
    <w:rsid w:val="004C0E5E"/>
    <w:rsid w:val="004C1868"/>
    <w:rsid w:val="004C2A71"/>
    <w:rsid w:val="004C2C32"/>
    <w:rsid w:val="004C3531"/>
    <w:rsid w:val="004C3B86"/>
    <w:rsid w:val="004C46BA"/>
    <w:rsid w:val="004C55F4"/>
    <w:rsid w:val="004C6CD3"/>
    <w:rsid w:val="004D00C6"/>
    <w:rsid w:val="004D2568"/>
    <w:rsid w:val="004D2A32"/>
    <w:rsid w:val="004D3409"/>
    <w:rsid w:val="004D3871"/>
    <w:rsid w:val="004D4027"/>
    <w:rsid w:val="004D4563"/>
    <w:rsid w:val="004D5360"/>
    <w:rsid w:val="004D6AFA"/>
    <w:rsid w:val="004D6D98"/>
    <w:rsid w:val="004E083E"/>
    <w:rsid w:val="004E0B66"/>
    <w:rsid w:val="004E28C4"/>
    <w:rsid w:val="004E36A7"/>
    <w:rsid w:val="004E3EE0"/>
    <w:rsid w:val="004E4511"/>
    <w:rsid w:val="004E678B"/>
    <w:rsid w:val="004E7F9E"/>
    <w:rsid w:val="004F36B1"/>
    <w:rsid w:val="004F4053"/>
    <w:rsid w:val="004F44F9"/>
    <w:rsid w:val="004F5452"/>
    <w:rsid w:val="004F5552"/>
    <w:rsid w:val="004F5A4F"/>
    <w:rsid w:val="004F7284"/>
    <w:rsid w:val="004F7915"/>
    <w:rsid w:val="005001FD"/>
    <w:rsid w:val="0050144E"/>
    <w:rsid w:val="0050382C"/>
    <w:rsid w:val="00505304"/>
    <w:rsid w:val="00505876"/>
    <w:rsid w:val="00510083"/>
    <w:rsid w:val="005112F0"/>
    <w:rsid w:val="00511E90"/>
    <w:rsid w:val="00512193"/>
    <w:rsid w:val="005122A8"/>
    <w:rsid w:val="00512632"/>
    <w:rsid w:val="00513908"/>
    <w:rsid w:val="00513969"/>
    <w:rsid w:val="0052065B"/>
    <w:rsid w:val="0052198B"/>
    <w:rsid w:val="00521DBC"/>
    <w:rsid w:val="00522244"/>
    <w:rsid w:val="005224F5"/>
    <w:rsid w:val="005226D0"/>
    <w:rsid w:val="00522D94"/>
    <w:rsid w:val="00526331"/>
    <w:rsid w:val="00526389"/>
    <w:rsid w:val="005268D3"/>
    <w:rsid w:val="00526B0A"/>
    <w:rsid w:val="005273F2"/>
    <w:rsid w:val="00527BC5"/>
    <w:rsid w:val="00527E7E"/>
    <w:rsid w:val="00530371"/>
    <w:rsid w:val="00530C91"/>
    <w:rsid w:val="00530DC8"/>
    <w:rsid w:val="0053139D"/>
    <w:rsid w:val="0053422C"/>
    <w:rsid w:val="00534BA5"/>
    <w:rsid w:val="005353DB"/>
    <w:rsid w:val="00535A6C"/>
    <w:rsid w:val="0053698F"/>
    <w:rsid w:val="00537A47"/>
    <w:rsid w:val="00537DF3"/>
    <w:rsid w:val="00540395"/>
    <w:rsid w:val="005417E5"/>
    <w:rsid w:val="00542A4D"/>
    <w:rsid w:val="00543161"/>
    <w:rsid w:val="00544250"/>
    <w:rsid w:val="00544593"/>
    <w:rsid w:val="0054465E"/>
    <w:rsid w:val="00545765"/>
    <w:rsid w:val="00545989"/>
    <w:rsid w:val="00545DA4"/>
    <w:rsid w:val="00545F15"/>
    <w:rsid w:val="00547C79"/>
    <w:rsid w:val="0055033D"/>
    <w:rsid w:val="00550D51"/>
    <w:rsid w:val="00551F7F"/>
    <w:rsid w:val="005520F2"/>
    <w:rsid w:val="00553E66"/>
    <w:rsid w:val="00554134"/>
    <w:rsid w:val="00554560"/>
    <w:rsid w:val="00556755"/>
    <w:rsid w:val="00556A41"/>
    <w:rsid w:val="00557A9A"/>
    <w:rsid w:val="00560B3E"/>
    <w:rsid w:val="00561290"/>
    <w:rsid w:val="00561451"/>
    <w:rsid w:val="00561703"/>
    <w:rsid w:val="00561A2A"/>
    <w:rsid w:val="00561E11"/>
    <w:rsid w:val="00562170"/>
    <w:rsid w:val="00563327"/>
    <w:rsid w:val="00563F6F"/>
    <w:rsid w:val="00564735"/>
    <w:rsid w:val="00564C17"/>
    <w:rsid w:val="00565C07"/>
    <w:rsid w:val="00567778"/>
    <w:rsid w:val="00567C32"/>
    <w:rsid w:val="00571DB6"/>
    <w:rsid w:val="00571F08"/>
    <w:rsid w:val="00572D4C"/>
    <w:rsid w:val="00573CCE"/>
    <w:rsid w:val="005747DC"/>
    <w:rsid w:val="00574A6F"/>
    <w:rsid w:val="00575490"/>
    <w:rsid w:val="005755F4"/>
    <w:rsid w:val="00575CC7"/>
    <w:rsid w:val="00576F6C"/>
    <w:rsid w:val="0057709C"/>
    <w:rsid w:val="0058007F"/>
    <w:rsid w:val="00580145"/>
    <w:rsid w:val="00580EB2"/>
    <w:rsid w:val="00581402"/>
    <w:rsid w:val="005827AD"/>
    <w:rsid w:val="00582BCE"/>
    <w:rsid w:val="00582C30"/>
    <w:rsid w:val="00583063"/>
    <w:rsid w:val="00586FD0"/>
    <w:rsid w:val="005874BC"/>
    <w:rsid w:val="005879AC"/>
    <w:rsid w:val="00587F8D"/>
    <w:rsid w:val="0059001F"/>
    <w:rsid w:val="0059241C"/>
    <w:rsid w:val="00592805"/>
    <w:rsid w:val="00592F76"/>
    <w:rsid w:val="00593F21"/>
    <w:rsid w:val="00594285"/>
    <w:rsid w:val="00594F5C"/>
    <w:rsid w:val="0059539E"/>
    <w:rsid w:val="005959B6"/>
    <w:rsid w:val="005A1A66"/>
    <w:rsid w:val="005A2139"/>
    <w:rsid w:val="005A4117"/>
    <w:rsid w:val="005A414D"/>
    <w:rsid w:val="005A4657"/>
    <w:rsid w:val="005A4755"/>
    <w:rsid w:val="005A4974"/>
    <w:rsid w:val="005A4D94"/>
    <w:rsid w:val="005A52FA"/>
    <w:rsid w:val="005A58B7"/>
    <w:rsid w:val="005A5984"/>
    <w:rsid w:val="005A622B"/>
    <w:rsid w:val="005A693A"/>
    <w:rsid w:val="005A75FD"/>
    <w:rsid w:val="005B14D0"/>
    <w:rsid w:val="005B3014"/>
    <w:rsid w:val="005B42B6"/>
    <w:rsid w:val="005B521F"/>
    <w:rsid w:val="005B757B"/>
    <w:rsid w:val="005B78CE"/>
    <w:rsid w:val="005C0491"/>
    <w:rsid w:val="005C0FBF"/>
    <w:rsid w:val="005C1F25"/>
    <w:rsid w:val="005C1F9B"/>
    <w:rsid w:val="005C337A"/>
    <w:rsid w:val="005C34AE"/>
    <w:rsid w:val="005C3708"/>
    <w:rsid w:val="005C41BD"/>
    <w:rsid w:val="005C4D0A"/>
    <w:rsid w:val="005C54DD"/>
    <w:rsid w:val="005C6C8E"/>
    <w:rsid w:val="005C6FEE"/>
    <w:rsid w:val="005C72D1"/>
    <w:rsid w:val="005C7D31"/>
    <w:rsid w:val="005C7EA8"/>
    <w:rsid w:val="005D0132"/>
    <w:rsid w:val="005D05D3"/>
    <w:rsid w:val="005D1CB4"/>
    <w:rsid w:val="005D3F7B"/>
    <w:rsid w:val="005D4384"/>
    <w:rsid w:val="005D7E8D"/>
    <w:rsid w:val="005E0BA0"/>
    <w:rsid w:val="005E10D7"/>
    <w:rsid w:val="005E1408"/>
    <w:rsid w:val="005E38FC"/>
    <w:rsid w:val="005E3DD6"/>
    <w:rsid w:val="005E3DF7"/>
    <w:rsid w:val="005E58CC"/>
    <w:rsid w:val="005E65D8"/>
    <w:rsid w:val="005E6D32"/>
    <w:rsid w:val="005E7783"/>
    <w:rsid w:val="005E7DB8"/>
    <w:rsid w:val="005F0D76"/>
    <w:rsid w:val="005F0DAE"/>
    <w:rsid w:val="005F2651"/>
    <w:rsid w:val="005F39BA"/>
    <w:rsid w:val="005F5B87"/>
    <w:rsid w:val="005F61AF"/>
    <w:rsid w:val="005F6BAB"/>
    <w:rsid w:val="005F7262"/>
    <w:rsid w:val="005F7385"/>
    <w:rsid w:val="005F73A0"/>
    <w:rsid w:val="005F7E14"/>
    <w:rsid w:val="006000F9"/>
    <w:rsid w:val="00601D70"/>
    <w:rsid w:val="0060442C"/>
    <w:rsid w:val="00605404"/>
    <w:rsid w:val="00606495"/>
    <w:rsid w:val="00607725"/>
    <w:rsid w:val="00610032"/>
    <w:rsid w:val="00611002"/>
    <w:rsid w:val="00611BDE"/>
    <w:rsid w:val="00615CAB"/>
    <w:rsid w:val="006163AF"/>
    <w:rsid w:val="006177AE"/>
    <w:rsid w:val="00617E80"/>
    <w:rsid w:val="00620F41"/>
    <w:rsid w:val="0062159B"/>
    <w:rsid w:val="00622D3B"/>
    <w:rsid w:val="00623128"/>
    <w:rsid w:val="0062364F"/>
    <w:rsid w:val="00623680"/>
    <w:rsid w:val="00623B84"/>
    <w:rsid w:val="00623F40"/>
    <w:rsid w:val="006253CF"/>
    <w:rsid w:val="0062666D"/>
    <w:rsid w:val="006279B5"/>
    <w:rsid w:val="00630034"/>
    <w:rsid w:val="00631244"/>
    <w:rsid w:val="006321D1"/>
    <w:rsid w:val="0063330C"/>
    <w:rsid w:val="006334B3"/>
    <w:rsid w:val="006336A2"/>
    <w:rsid w:val="0063509E"/>
    <w:rsid w:val="0063527C"/>
    <w:rsid w:val="0063584F"/>
    <w:rsid w:val="0063589C"/>
    <w:rsid w:val="00635C72"/>
    <w:rsid w:val="006360C5"/>
    <w:rsid w:val="006407C2"/>
    <w:rsid w:val="0064136A"/>
    <w:rsid w:val="0064143D"/>
    <w:rsid w:val="00642026"/>
    <w:rsid w:val="00642A88"/>
    <w:rsid w:val="006431BF"/>
    <w:rsid w:val="00643D47"/>
    <w:rsid w:val="0064422B"/>
    <w:rsid w:val="006445E3"/>
    <w:rsid w:val="006465BE"/>
    <w:rsid w:val="006468E7"/>
    <w:rsid w:val="00651CB5"/>
    <w:rsid w:val="00656094"/>
    <w:rsid w:val="006560D9"/>
    <w:rsid w:val="00656FCC"/>
    <w:rsid w:val="006571D0"/>
    <w:rsid w:val="006573EC"/>
    <w:rsid w:val="006579A5"/>
    <w:rsid w:val="00660209"/>
    <w:rsid w:val="006618BB"/>
    <w:rsid w:val="006619D8"/>
    <w:rsid w:val="00661D54"/>
    <w:rsid w:val="006630BB"/>
    <w:rsid w:val="00663208"/>
    <w:rsid w:val="006658F4"/>
    <w:rsid w:val="00667209"/>
    <w:rsid w:val="006674ED"/>
    <w:rsid w:val="00670011"/>
    <w:rsid w:val="006710D9"/>
    <w:rsid w:val="00671656"/>
    <w:rsid w:val="006719F0"/>
    <w:rsid w:val="00672582"/>
    <w:rsid w:val="006729CC"/>
    <w:rsid w:val="00672AEE"/>
    <w:rsid w:val="00673BEA"/>
    <w:rsid w:val="00674613"/>
    <w:rsid w:val="00674C4B"/>
    <w:rsid w:val="00676366"/>
    <w:rsid w:val="00676EB6"/>
    <w:rsid w:val="00680261"/>
    <w:rsid w:val="00680E3C"/>
    <w:rsid w:val="00681E1C"/>
    <w:rsid w:val="00682526"/>
    <w:rsid w:val="00682AB9"/>
    <w:rsid w:val="00682DD4"/>
    <w:rsid w:val="006831D4"/>
    <w:rsid w:val="00683D4B"/>
    <w:rsid w:val="0068472E"/>
    <w:rsid w:val="006849D2"/>
    <w:rsid w:val="00686A51"/>
    <w:rsid w:val="00686C24"/>
    <w:rsid w:val="006871F0"/>
    <w:rsid w:val="00690BE2"/>
    <w:rsid w:val="00691229"/>
    <w:rsid w:val="00693219"/>
    <w:rsid w:val="006948F8"/>
    <w:rsid w:val="006949E9"/>
    <w:rsid w:val="00694B32"/>
    <w:rsid w:val="006950D4"/>
    <w:rsid w:val="0069532B"/>
    <w:rsid w:val="006958E6"/>
    <w:rsid w:val="00695CE6"/>
    <w:rsid w:val="00697394"/>
    <w:rsid w:val="006A09CE"/>
    <w:rsid w:val="006A0DF2"/>
    <w:rsid w:val="006A1970"/>
    <w:rsid w:val="006A1AB6"/>
    <w:rsid w:val="006A2483"/>
    <w:rsid w:val="006A4073"/>
    <w:rsid w:val="006A531B"/>
    <w:rsid w:val="006B1B25"/>
    <w:rsid w:val="006B2B41"/>
    <w:rsid w:val="006B2FD3"/>
    <w:rsid w:val="006B3BD1"/>
    <w:rsid w:val="006B3CC0"/>
    <w:rsid w:val="006B5414"/>
    <w:rsid w:val="006B544D"/>
    <w:rsid w:val="006B5881"/>
    <w:rsid w:val="006B6ADD"/>
    <w:rsid w:val="006B74D7"/>
    <w:rsid w:val="006C0D45"/>
    <w:rsid w:val="006C0DD4"/>
    <w:rsid w:val="006C1B8E"/>
    <w:rsid w:val="006C1FD7"/>
    <w:rsid w:val="006C2697"/>
    <w:rsid w:val="006C280B"/>
    <w:rsid w:val="006C39D0"/>
    <w:rsid w:val="006C47CE"/>
    <w:rsid w:val="006C5316"/>
    <w:rsid w:val="006C5BAE"/>
    <w:rsid w:val="006C5DFA"/>
    <w:rsid w:val="006D06C3"/>
    <w:rsid w:val="006D13B8"/>
    <w:rsid w:val="006D17D9"/>
    <w:rsid w:val="006D185A"/>
    <w:rsid w:val="006D22FE"/>
    <w:rsid w:val="006D2DD7"/>
    <w:rsid w:val="006D416D"/>
    <w:rsid w:val="006D466C"/>
    <w:rsid w:val="006D4F7F"/>
    <w:rsid w:val="006D55C8"/>
    <w:rsid w:val="006D6353"/>
    <w:rsid w:val="006D6846"/>
    <w:rsid w:val="006D6994"/>
    <w:rsid w:val="006E1038"/>
    <w:rsid w:val="006E1F99"/>
    <w:rsid w:val="006E2EC5"/>
    <w:rsid w:val="006E32F9"/>
    <w:rsid w:val="006E4640"/>
    <w:rsid w:val="006E487C"/>
    <w:rsid w:val="006E6D92"/>
    <w:rsid w:val="006E6E0B"/>
    <w:rsid w:val="006E7914"/>
    <w:rsid w:val="006E7A9D"/>
    <w:rsid w:val="006F164D"/>
    <w:rsid w:val="006F2314"/>
    <w:rsid w:val="006F2B35"/>
    <w:rsid w:val="006F2B96"/>
    <w:rsid w:val="006F2CDF"/>
    <w:rsid w:val="006F3917"/>
    <w:rsid w:val="006F4D2E"/>
    <w:rsid w:val="006F6751"/>
    <w:rsid w:val="006F6B82"/>
    <w:rsid w:val="006F6EB9"/>
    <w:rsid w:val="006F7008"/>
    <w:rsid w:val="006F78D0"/>
    <w:rsid w:val="006F7E27"/>
    <w:rsid w:val="007036F6"/>
    <w:rsid w:val="00704164"/>
    <w:rsid w:val="007041BA"/>
    <w:rsid w:val="00711000"/>
    <w:rsid w:val="00711347"/>
    <w:rsid w:val="00711B0D"/>
    <w:rsid w:val="00711F08"/>
    <w:rsid w:val="00712479"/>
    <w:rsid w:val="0071326A"/>
    <w:rsid w:val="00713601"/>
    <w:rsid w:val="00715551"/>
    <w:rsid w:val="0071604A"/>
    <w:rsid w:val="0071629E"/>
    <w:rsid w:val="00716F8F"/>
    <w:rsid w:val="00717BEB"/>
    <w:rsid w:val="007208EC"/>
    <w:rsid w:val="00720F89"/>
    <w:rsid w:val="00724DF1"/>
    <w:rsid w:val="007266C3"/>
    <w:rsid w:val="0072717B"/>
    <w:rsid w:val="00730D1B"/>
    <w:rsid w:val="00731E3A"/>
    <w:rsid w:val="00733E72"/>
    <w:rsid w:val="00734425"/>
    <w:rsid w:val="00735967"/>
    <w:rsid w:val="00737C00"/>
    <w:rsid w:val="007404C1"/>
    <w:rsid w:val="00740526"/>
    <w:rsid w:val="007414C0"/>
    <w:rsid w:val="00741CDE"/>
    <w:rsid w:val="0074217E"/>
    <w:rsid w:val="0074307B"/>
    <w:rsid w:val="007437B8"/>
    <w:rsid w:val="00744A19"/>
    <w:rsid w:val="00744BCB"/>
    <w:rsid w:val="00751B2B"/>
    <w:rsid w:val="0075277F"/>
    <w:rsid w:val="00752905"/>
    <w:rsid w:val="00753EBB"/>
    <w:rsid w:val="007559C5"/>
    <w:rsid w:val="00755C31"/>
    <w:rsid w:val="00756DA4"/>
    <w:rsid w:val="0075776C"/>
    <w:rsid w:val="007578E4"/>
    <w:rsid w:val="007579C6"/>
    <w:rsid w:val="00760734"/>
    <w:rsid w:val="007609BF"/>
    <w:rsid w:val="00760BEE"/>
    <w:rsid w:val="00764BD7"/>
    <w:rsid w:val="00764C64"/>
    <w:rsid w:val="00764CFE"/>
    <w:rsid w:val="0076630A"/>
    <w:rsid w:val="00766A82"/>
    <w:rsid w:val="00766D06"/>
    <w:rsid w:val="007703F0"/>
    <w:rsid w:val="00770CA1"/>
    <w:rsid w:val="00770E90"/>
    <w:rsid w:val="0077439D"/>
    <w:rsid w:val="007748DB"/>
    <w:rsid w:val="00776B62"/>
    <w:rsid w:val="0078115D"/>
    <w:rsid w:val="00781A1E"/>
    <w:rsid w:val="00781D02"/>
    <w:rsid w:val="00783C46"/>
    <w:rsid w:val="00784B9D"/>
    <w:rsid w:val="007913A6"/>
    <w:rsid w:val="00791E57"/>
    <w:rsid w:val="007928C0"/>
    <w:rsid w:val="00795345"/>
    <w:rsid w:val="00796AB8"/>
    <w:rsid w:val="00796DD1"/>
    <w:rsid w:val="00797141"/>
    <w:rsid w:val="007A1820"/>
    <w:rsid w:val="007A1FBC"/>
    <w:rsid w:val="007A427F"/>
    <w:rsid w:val="007A4950"/>
    <w:rsid w:val="007A4F37"/>
    <w:rsid w:val="007A558C"/>
    <w:rsid w:val="007A5A2B"/>
    <w:rsid w:val="007A6EE8"/>
    <w:rsid w:val="007A7E3E"/>
    <w:rsid w:val="007B0560"/>
    <w:rsid w:val="007B1A2C"/>
    <w:rsid w:val="007B2087"/>
    <w:rsid w:val="007B3019"/>
    <w:rsid w:val="007B40C9"/>
    <w:rsid w:val="007B5C4D"/>
    <w:rsid w:val="007B6A13"/>
    <w:rsid w:val="007B6DD5"/>
    <w:rsid w:val="007B718F"/>
    <w:rsid w:val="007C0692"/>
    <w:rsid w:val="007C1FE2"/>
    <w:rsid w:val="007C2216"/>
    <w:rsid w:val="007C3E58"/>
    <w:rsid w:val="007D04A8"/>
    <w:rsid w:val="007D09C8"/>
    <w:rsid w:val="007D380F"/>
    <w:rsid w:val="007D44BD"/>
    <w:rsid w:val="007E0AC1"/>
    <w:rsid w:val="007E0D6D"/>
    <w:rsid w:val="007E1611"/>
    <w:rsid w:val="007E1A64"/>
    <w:rsid w:val="007E1F0D"/>
    <w:rsid w:val="007E2144"/>
    <w:rsid w:val="007E218F"/>
    <w:rsid w:val="007E2BB3"/>
    <w:rsid w:val="007E2E16"/>
    <w:rsid w:val="007E303C"/>
    <w:rsid w:val="007E398B"/>
    <w:rsid w:val="007E61E8"/>
    <w:rsid w:val="007E79B4"/>
    <w:rsid w:val="007F1806"/>
    <w:rsid w:val="007F1829"/>
    <w:rsid w:val="007F259F"/>
    <w:rsid w:val="007F25E9"/>
    <w:rsid w:val="007F2C36"/>
    <w:rsid w:val="007F5415"/>
    <w:rsid w:val="007F58C7"/>
    <w:rsid w:val="007F5CE6"/>
    <w:rsid w:val="007F6840"/>
    <w:rsid w:val="007F79F6"/>
    <w:rsid w:val="00800D16"/>
    <w:rsid w:val="00801194"/>
    <w:rsid w:val="00802B22"/>
    <w:rsid w:val="00804413"/>
    <w:rsid w:val="008044F8"/>
    <w:rsid w:val="008049D4"/>
    <w:rsid w:val="008050B9"/>
    <w:rsid w:val="008055D2"/>
    <w:rsid w:val="00806A11"/>
    <w:rsid w:val="0080778C"/>
    <w:rsid w:val="008109D2"/>
    <w:rsid w:val="00810B54"/>
    <w:rsid w:val="008115C5"/>
    <w:rsid w:val="0081173D"/>
    <w:rsid w:val="00811B13"/>
    <w:rsid w:val="00813DFE"/>
    <w:rsid w:val="00816A3D"/>
    <w:rsid w:val="00816AD3"/>
    <w:rsid w:val="008172AC"/>
    <w:rsid w:val="00820DB7"/>
    <w:rsid w:val="00820EF6"/>
    <w:rsid w:val="008220E8"/>
    <w:rsid w:val="0082218F"/>
    <w:rsid w:val="008224F1"/>
    <w:rsid w:val="00823E42"/>
    <w:rsid w:val="008247E8"/>
    <w:rsid w:val="0082656D"/>
    <w:rsid w:val="008267C6"/>
    <w:rsid w:val="008269F5"/>
    <w:rsid w:val="00826F8D"/>
    <w:rsid w:val="00827122"/>
    <w:rsid w:val="00830636"/>
    <w:rsid w:val="00831493"/>
    <w:rsid w:val="00831C8E"/>
    <w:rsid w:val="00831D44"/>
    <w:rsid w:val="00832013"/>
    <w:rsid w:val="008327B5"/>
    <w:rsid w:val="00834AFB"/>
    <w:rsid w:val="00836D53"/>
    <w:rsid w:val="00837D05"/>
    <w:rsid w:val="00841076"/>
    <w:rsid w:val="00841B77"/>
    <w:rsid w:val="0084240F"/>
    <w:rsid w:val="0084472F"/>
    <w:rsid w:val="00844BE7"/>
    <w:rsid w:val="0084518A"/>
    <w:rsid w:val="00845358"/>
    <w:rsid w:val="008456ED"/>
    <w:rsid w:val="0084773C"/>
    <w:rsid w:val="00847BAE"/>
    <w:rsid w:val="00851415"/>
    <w:rsid w:val="008519A9"/>
    <w:rsid w:val="0085292E"/>
    <w:rsid w:val="00852D67"/>
    <w:rsid w:val="00852E65"/>
    <w:rsid w:val="0085323F"/>
    <w:rsid w:val="00853609"/>
    <w:rsid w:val="00854350"/>
    <w:rsid w:val="008543AD"/>
    <w:rsid w:val="00855713"/>
    <w:rsid w:val="008557B2"/>
    <w:rsid w:val="008559B4"/>
    <w:rsid w:val="008561DC"/>
    <w:rsid w:val="00857369"/>
    <w:rsid w:val="008608EF"/>
    <w:rsid w:val="00862330"/>
    <w:rsid w:val="00862FB3"/>
    <w:rsid w:val="00863152"/>
    <w:rsid w:val="00863E25"/>
    <w:rsid w:val="0086416A"/>
    <w:rsid w:val="00864957"/>
    <w:rsid w:val="00864D34"/>
    <w:rsid w:val="00864F3D"/>
    <w:rsid w:val="00865985"/>
    <w:rsid w:val="008660D7"/>
    <w:rsid w:val="00866EE3"/>
    <w:rsid w:val="00870431"/>
    <w:rsid w:val="008715BB"/>
    <w:rsid w:val="00871B5F"/>
    <w:rsid w:val="00871B85"/>
    <w:rsid w:val="008727EE"/>
    <w:rsid w:val="00872933"/>
    <w:rsid w:val="00873D35"/>
    <w:rsid w:val="00874CDF"/>
    <w:rsid w:val="00874D7C"/>
    <w:rsid w:val="00875BC4"/>
    <w:rsid w:val="00876801"/>
    <w:rsid w:val="00877C23"/>
    <w:rsid w:val="00880602"/>
    <w:rsid w:val="00881208"/>
    <w:rsid w:val="008814EF"/>
    <w:rsid w:val="00885172"/>
    <w:rsid w:val="00887D6B"/>
    <w:rsid w:val="00887FB0"/>
    <w:rsid w:val="008918A9"/>
    <w:rsid w:val="00892ADE"/>
    <w:rsid w:val="00892F84"/>
    <w:rsid w:val="00894183"/>
    <w:rsid w:val="00895A9A"/>
    <w:rsid w:val="0089656E"/>
    <w:rsid w:val="008965CC"/>
    <w:rsid w:val="008A0070"/>
    <w:rsid w:val="008A099B"/>
    <w:rsid w:val="008A0FA4"/>
    <w:rsid w:val="008A1B96"/>
    <w:rsid w:val="008A246F"/>
    <w:rsid w:val="008A26D3"/>
    <w:rsid w:val="008A30FE"/>
    <w:rsid w:val="008A3BD8"/>
    <w:rsid w:val="008A3F41"/>
    <w:rsid w:val="008A4549"/>
    <w:rsid w:val="008A472E"/>
    <w:rsid w:val="008A4DD9"/>
    <w:rsid w:val="008A6824"/>
    <w:rsid w:val="008B1D37"/>
    <w:rsid w:val="008B21D9"/>
    <w:rsid w:val="008B3DEF"/>
    <w:rsid w:val="008B3EE9"/>
    <w:rsid w:val="008B4309"/>
    <w:rsid w:val="008B5805"/>
    <w:rsid w:val="008B5B4B"/>
    <w:rsid w:val="008B63E8"/>
    <w:rsid w:val="008C3627"/>
    <w:rsid w:val="008C382C"/>
    <w:rsid w:val="008C4E1C"/>
    <w:rsid w:val="008C4E7E"/>
    <w:rsid w:val="008C5324"/>
    <w:rsid w:val="008C5994"/>
    <w:rsid w:val="008C5F54"/>
    <w:rsid w:val="008D0A29"/>
    <w:rsid w:val="008D0A56"/>
    <w:rsid w:val="008D0C09"/>
    <w:rsid w:val="008D3257"/>
    <w:rsid w:val="008D6096"/>
    <w:rsid w:val="008D6128"/>
    <w:rsid w:val="008D62BB"/>
    <w:rsid w:val="008D62E3"/>
    <w:rsid w:val="008D6D0F"/>
    <w:rsid w:val="008D724E"/>
    <w:rsid w:val="008D7958"/>
    <w:rsid w:val="008E1DDC"/>
    <w:rsid w:val="008E2841"/>
    <w:rsid w:val="008E2E0C"/>
    <w:rsid w:val="008E39EA"/>
    <w:rsid w:val="008E4162"/>
    <w:rsid w:val="008E4409"/>
    <w:rsid w:val="008E507C"/>
    <w:rsid w:val="008E5F9C"/>
    <w:rsid w:val="008E67A4"/>
    <w:rsid w:val="008E6A48"/>
    <w:rsid w:val="008E6F6B"/>
    <w:rsid w:val="008E7D20"/>
    <w:rsid w:val="008F0403"/>
    <w:rsid w:val="008F0A9F"/>
    <w:rsid w:val="008F0B95"/>
    <w:rsid w:val="008F0CFB"/>
    <w:rsid w:val="008F12A0"/>
    <w:rsid w:val="008F2895"/>
    <w:rsid w:val="008F2E07"/>
    <w:rsid w:val="008F3136"/>
    <w:rsid w:val="008F31FF"/>
    <w:rsid w:val="008F74D2"/>
    <w:rsid w:val="008F7A1C"/>
    <w:rsid w:val="00901A38"/>
    <w:rsid w:val="00901D86"/>
    <w:rsid w:val="00901E16"/>
    <w:rsid w:val="00905230"/>
    <w:rsid w:val="009104AB"/>
    <w:rsid w:val="00911BAF"/>
    <w:rsid w:val="00911D4B"/>
    <w:rsid w:val="009127EC"/>
    <w:rsid w:val="00912AA3"/>
    <w:rsid w:val="00912DAC"/>
    <w:rsid w:val="00914BDB"/>
    <w:rsid w:val="00917E63"/>
    <w:rsid w:val="009214CB"/>
    <w:rsid w:val="00923798"/>
    <w:rsid w:val="009245BE"/>
    <w:rsid w:val="0092576E"/>
    <w:rsid w:val="009258DF"/>
    <w:rsid w:val="00925FB4"/>
    <w:rsid w:val="009260B3"/>
    <w:rsid w:val="00931F2D"/>
    <w:rsid w:val="0093207F"/>
    <w:rsid w:val="00932455"/>
    <w:rsid w:val="009341A5"/>
    <w:rsid w:val="0093427F"/>
    <w:rsid w:val="009347C0"/>
    <w:rsid w:val="00934E2B"/>
    <w:rsid w:val="00934E9C"/>
    <w:rsid w:val="0093596A"/>
    <w:rsid w:val="00936276"/>
    <w:rsid w:val="00940502"/>
    <w:rsid w:val="009405E1"/>
    <w:rsid w:val="00940F86"/>
    <w:rsid w:val="00941574"/>
    <w:rsid w:val="00942AC1"/>
    <w:rsid w:val="00943341"/>
    <w:rsid w:val="00943F59"/>
    <w:rsid w:val="00944665"/>
    <w:rsid w:val="009470CD"/>
    <w:rsid w:val="0094716D"/>
    <w:rsid w:val="00951576"/>
    <w:rsid w:val="0095175A"/>
    <w:rsid w:val="00951D65"/>
    <w:rsid w:val="00952B8A"/>
    <w:rsid w:val="00952F18"/>
    <w:rsid w:val="00953ADB"/>
    <w:rsid w:val="00954257"/>
    <w:rsid w:val="00954BEC"/>
    <w:rsid w:val="009550AA"/>
    <w:rsid w:val="00955B2A"/>
    <w:rsid w:val="00955E53"/>
    <w:rsid w:val="00956BA2"/>
    <w:rsid w:val="00957EBF"/>
    <w:rsid w:val="00960F21"/>
    <w:rsid w:val="00961191"/>
    <w:rsid w:val="00961E00"/>
    <w:rsid w:val="00963922"/>
    <w:rsid w:val="00964BE9"/>
    <w:rsid w:val="00965183"/>
    <w:rsid w:val="009659AA"/>
    <w:rsid w:val="0096629E"/>
    <w:rsid w:val="00967A07"/>
    <w:rsid w:val="00970226"/>
    <w:rsid w:val="00971E04"/>
    <w:rsid w:val="00972596"/>
    <w:rsid w:val="00973142"/>
    <w:rsid w:val="00973BE8"/>
    <w:rsid w:val="00973C2B"/>
    <w:rsid w:val="009819E5"/>
    <w:rsid w:val="009827E1"/>
    <w:rsid w:val="009835C9"/>
    <w:rsid w:val="00986FFF"/>
    <w:rsid w:val="00987831"/>
    <w:rsid w:val="009919B3"/>
    <w:rsid w:val="00991A55"/>
    <w:rsid w:val="0099350B"/>
    <w:rsid w:val="00994B4C"/>
    <w:rsid w:val="00994E98"/>
    <w:rsid w:val="00996E32"/>
    <w:rsid w:val="009A00EB"/>
    <w:rsid w:val="009A16A1"/>
    <w:rsid w:val="009A58C3"/>
    <w:rsid w:val="009A7C96"/>
    <w:rsid w:val="009A7F67"/>
    <w:rsid w:val="009B0AC0"/>
    <w:rsid w:val="009B1F32"/>
    <w:rsid w:val="009B3845"/>
    <w:rsid w:val="009B4B00"/>
    <w:rsid w:val="009B5580"/>
    <w:rsid w:val="009B622F"/>
    <w:rsid w:val="009B6F53"/>
    <w:rsid w:val="009B765F"/>
    <w:rsid w:val="009C02AE"/>
    <w:rsid w:val="009C02D3"/>
    <w:rsid w:val="009C02E9"/>
    <w:rsid w:val="009C0392"/>
    <w:rsid w:val="009C10CA"/>
    <w:rsid w:val="009C1C02"/>
    <w:rsid w:val="009C25C1"/>
    <w:rsid w:val="009C57BF"/>
    <w:rsid w:val="009C7612"/>
    <w:rsid w:val="009D09E2"/>
    <w:rsid w:val="009D0DF7"/>
    <w:rsid w:val="009D0FAE"/>
    <w:rsid w:val="009D1E46"/>
    <w:rsid w:val="009D31D9"/>
    <w:rsid w:val="009D34BC"/>
    <w:rsid w:val="009D3ECA"/>
    <w:rsid w:val="009D48CC"/>
    <w:rsid w:val="009D5C7B"/>
    <w:rsid w:val="009D7039"/>
    <w:rsid w:val="009D7299"/>
    <w:rsid w:val="009D7331"/>
    <w:rsid w:val="009E2184"/>
    <w:rsid w:val="009E3088"/>
    <w:rsid w:val="009E351E"/>
    <w:rsid w:val="009E55BD"/>
    <w:rsid w:val="009E6853"/>
    <w:rsid w:val="009E7F85"/>
    <w:rsid w:val="009E7FFB"/>
    <w:rsid w:val="009F1102"/>
    <w:rsid w:val="009F1B48"/>
    <w:rsid w:val="009F6403"/>
    <w:rsid w:val="009F6B5B"/>
    <w:rsid w:val="009F74C6"/>
    <w:rsid w:val="00A00104"/>
    <w:rsid w:val="00A002A5"/>
    <w:rsid w:val="00A00F19"/>
    <w:rsid w:val="00A0115A"/>
    <w:rsid w:val="00A03C18"/>
    <w:rsid w:val="00A03C94"/>
    <w:rsid w:val="00A04442"/>
    <w:rsid w:val="00A064E3"/>
    <w:rsid w:val="00A067DC"/>
    <w:rsid w:val="00A07BBA"/>
    <w:rsid w:val="00A07BE5"/>
    <w:rsid w:val="00A128F8"/>
    <w:rsid w:val="00A132B2"/>
    <w:rsid w:val="00A1376A"/>
    <w:rsid w:val="00A13DC7"/>
    <w:rsid w:val="00A14403"/>
    <w:rsid w:val="00A15C90"/>
    <w:rsid w:val="00A17FE6"/>
    <w:rsid w:val="00A202A9"/>
    <w:rsid w:val="00A21413"/>
    <w:rsid w:val="00A22D29"/>
    <w:rsid w:val="00A236B6"/>
    <w:rsid w:val="00A248F7"/>
    <w:rsid w:val="00A24EA7"/>
    <w:rsid w:val="00A25381"/>
    <w:rsid w:val="00A27854"/>
    <w:rsid w:val="00A30561"/>
    <w:rsid w:val="00A3411F"/>
    <w:rsid w:val="00A3413D"/>
    <w:rsid w:val="00A342B9"/>
    <w:rsid w:val="00A366F3"/>
    <w:rsid w:val="00A37D19"/>
    <w:rsid w:val="00A40073"/>
    <w:rsid w:val="00A414A3"/>
    <w:rsid w:val="00A42034"/>
    <w:rsid w:val="00A4260C"/>
    <w:rsid w:val="00A44A22"/>
    <w:rsid w:val="00A450D3"/>
    <w:rsid w:val="00A455DA"/>
    <w:rsid w:val="00A45826"/>
    <w:rsid w:val="00A458D0"/>
    <w:rsid w:val="00A46690"/>
    <w:rsid w:val="00A46694"/>
    <w:rsid w:val="00A473B3"/>
    <w:rsid w:val="00A47483"/>
    <w:rsid w:val="00A50319"/>
    <w:rsid w:val="00A506DC"/>
    <w:rsid w:val="00A51527"/>
    <w:rsid w:val="00A521A1"/>
    <w:rsid w:val="00A52701"/>
    <w:rsid w:val="00A528DC"/>
    <w:rsid w:val="00A53F5B"/>
    <w:rsid w:val="00A557B5"/>
    <w:rsid w:val="00A5581F"/>
    <w:rsid w:val="00A609BB"/>
    <w:rsid w:val="00A62C98"/>
    <w:rsid w:val="00A62E46"/>
    <w:rsid w:val="00A62EFA"/>
    <w:rsid w:val="00A62FF6"/>
    <w:rsid w:val="00A63D85"/>
    <w:rsid w:val="00A63EDD"/>
    <w:rsid w:val="00A6601E"/>
    <w:rsid w:val="00A6627D"/>
    <w:rsid w:val="00A66B47"/>
    <w:rsid w:val="00A67FD6"/>
    <w:rsid w:val="00A71BAE"/>
    <w:rsid w:val="00A71E72"/>
    <w:rsid w:val="00A721CA"/>
    <w:rsid w:val="00A7396D"/>
    <w:rsid w:val="00A74899"/>
    <w:rsid w:val="00A752E3"/>
    <w:rsid w:val="00A76750"/>
    <w:rsid w:val="00A76F1F"/>
    <w:rsid w:val="00A77109"/>
    <w:rsid w:val="00A77545"/>
    <w:rsid w:val="00A776CE"/>
    <w:rsid w:val="00A77E59"/>
    <w:rsid w:val="00A81462"/>
    <w:rsid w:val="00A8479C"/>
    <w:rsid w:val="00A84A13"/>
    <w:rsid w:val="00A854C6"/>
    <w:rsid w:val="00A85B45"/>
    <w:rsid w:val="00A85DF1"/>
    <w:rsid w:val="00A866DC"/>
    <w:rsid w:val="00A86A76"/>
    <w:rsid w:val="00A86C58"/>
    <w:rsid w:val="00A86EBE"/>
    <w:rsid w:val="00A87972"/>
    <w:rsid w:val="00A9018C"/>
    <w:rsid w:val="00A9103E"/>
    <w:rsid w:val="00A92089"/>
    <w:rsid w:val="00A921AC"/>
    <w:rsid w:val="00A9258A"/>
    <w:rsid w:val="00A9275D"/>
    <w:rsid w:val="00A9312D"/>
    <w:rsid w:val="00A938AC"/>
    <w:rsid w:val="00A94EF4"/>
    <w:rsid w:val="00A950D4"/>
    <w:rsid w:val="00A951EA"/>
    <w:rsid w:val="00A96023"/>
    <w:rsid w:val="00A97F85"/>
    <w:rsid w:val="00AA0DA1"/>
    <w:rsid w:val="00AA2F2B"/>
    <w:rsid w:val="00AA473C"/>
    <w:rsid w:val="00AA62B1"/>
    <w:rsid w:val="00AB0946"/>
    <w:rsid w:val="00AB18A0"/>
    <w:rsid w:val="00AB1EDE"/>
    <w:rsid w:val="00AB22B0"/>
    <w:rsid w:val="00AB304D"/>
    <w:rsid w:val="00AB3F3B"/>
    <w:rsid w:val="00AB45C5"/>
    <w:rsid w:val="00AB51A3"/>
    <w:rsid w:val="00AB5CD1"/>
    <w:rsid w:val="00AB753D"/>
    <w:rsid w:val="00AC0877"/>
    <w:rsid w:val="00AC0EF0"/>
    <w:rsid w:val="00AC0F1B"/>
    <w:rsid w:val="00AC2E49"/>
    <w:rsid w:val="00AC30B5"/>
    <w:rsid w:val="00AC342A"/>
    <w:rsid w:val="00AC3E38"/>
    <w:rsid w:val="00AC732B"/>
    <w:rsid w:val="00AD1DDD"/>
    <w:rsid w:val="00AD22BE"/>
    <w:rsid w:val="00AD244C"/>
    <w:rsid w:val="00AD2FF6"/>
    <w:rsid w:val="00AD411D"/>
    <w:rsid w:val="00AD54E9"/>
    <w:rsid w:val="00AD5564"/>
    <w:rsid w:val="00AD69D3"/>
    <w:rsid w:val="00AD6B24"/>
    <w:rsid w:val="00AE1717"/>
    <w:rsid w:val="00AE3D8A"/>
    <w:rsid w:val="00AE5E50"/>
    <w:rsid w:val="00AE672E"/>
    <w:rsid w:val="00AE6A73"/>
    <w:rsid w:val="00AE6EB1"/>
    <w:rsid w:val="00AE713E"/>
    <w:rsid w:val="00AE7791"/>
    <w:rsid w:val="00AF13C2"/>
    <w:rsid w:val="00AF1B19"/>
    <w:rsid w:val="00AF28AF"/>
    <w:rsid w:val="00AF2BAD"/>
    <w:rsid w:val="00AF372D"/>
    <w:rsid w:val="00AF6FA7"/>
    <w:rsid w:val="00AF7416"/>
    <w:rsid w:val="00AF781B"/>
    <w:rsid w:val="00AF7B0B"/>
    <w:rsid w:val="00B01A6C"/>
    <w:rsid w:val="00B01CB1"/>
    <w:rsid w:val="00B02080"/>
    <w:rsid w:val="00B02A93"/>
    <w:rsid w:val="00B03DA9"/>
    <w:rsid w:val="00B04F95"/>
    <w:rsid w:val="00B063AE"/>
    <w:rsid w:val="00B063CC"/>
    <w:rsid w:val="00B0655F"/>
    <w:rsid w:val="00B11F18"/>
    <w:rsid w:val="00B12409"/>
    <w:rsid w:val="00B12C79"/>
    <w:rsid w:val="00B12C8C"/>
    <w:rsid w:val="00B1369B"/>
    <w:rsid w:val="00B13CAC"/>
    <w:rsid w:val="00B14A79"/>
    <w:rsid w:val="00B14E60"/>
    <w:rsid w:val="00B15D23"/>
    <w:rsid w:val="00B21090"/>
    <w:rsid w:val="00B2159E"/>
    <w:rsid w:val="00B21C2A"/>
    <w:rsid w:val="00B239D0"/>
    <w:rsid w:val="00B23AC4"/>
    <w:rsid w:val="00B24279"/>
    <w:rsid w:val="00B25C7C"/>
    <w:rsid w:val="00B26BCB"/>
    <w:rsid w:val="00B2727F"/>
    <w:rsid w:val="00B3104B"/>
    <w:rsid w:val="00B31A49"/>
    <w:rsid w:val="00B31B9F"/>
    <w:rsid w:val="00B3216C"/>
    <w:rsid w:val="00B33255"/>
    <w:rsid w:val="00B3378E"/>
    <w:rsid w:val="00B33ED6"/>
    <w:rsid w:val="00B3405A"/>
    <w:rsid w:val="00B34B55"/>
    <w:rsid w:val="00B370E9"/>
    <w:rsid w:val="00B3719A"/>
    <w:rsid w:val="00B37893"/>
    <w:rsid w:val="00B40EF8"/>
    <w:rsid w:val="00B42644"/>
    <w:rsid w:val="00B445B7"/>
    <w:rsid w:val="00B4472C"/>
    <w:rsid w:val="00B4534F"/>
    <w:rsid w:val="00B453A8"/>
    <w:rsid w:val="00B4592E"/>
    <w:rsid w:val="00B45A0E"/>
    <w:rsid w:val="00B4770F"/>
    <w:rsid w:val="00B47B2D"/>
    <w:rsid w:val="00B520E4"/>
    <w:rsid w:val="00B52619"/>
    <w:rsid w:val="00B52F4F"/>
    <w:rsid w:val="00B549E8"/>
    <w:rsid w:val="00B54AB3"/>
    <w:rsid w:val="00B5541D"/>
    <w:rsid w:val="00B5545B"/>
    <w:rsid w:val="00B5620A"/>
    <w:rsid w:val="00B565C9"/>
    <w:rsid w:val="00B56D6B"/>
    <w:rsid w:val="00B56E44"/>
    <w:rsid w:val="00B5736B"/>
    <w:rsid w:val="00B6048A"/>
    <w:rsid w:val="00B608C4"/>
    <w:rsid w:val="00B62836"/>
    <w:rsid w:val="00B640D4"/>
    <w:rsid w:val="00B64841"/>
    <w:rsid w:val="00B64F65"/>
    <w:rsid w:val="00B668CA"/>
    <w:rsid w:val="00B670C2"/>
    <w:rsid w:val="00B708D2"/>
    <w:rsid w:val="00B715BB"/>
    <w:rsid w:val="00B72081"/>
    <w:rsid w:val="00B73F8B"/>
    <w:rsid w:val="00B75E73"/>
    <w:rsid w:val="00B770F5"/>
    <w:rsid w:val="00B773F3"/>
    <w:rsid w:val="00B8020C"/>
    <w:rsid w:val="00B807F6"/>
    <w:rsid w:val="00B81928"/>
    <w:rsid w:val="00B81B1E"/>
    <w:rsid w:val="00B83F9B"/>
    <w:rsid w:val="00B84990"/>
    <w:rsid w:val="00B85B76"/>
    <w:rsid w:val="00B8750B"/>
    <w:rsid w:val="00B8755C"/>
    <w:rsid w:val="00B87CCC"/>
    <w:rsid w:val="00B91CA4"/>
    <w:rsid w:val="00B92A49"/>
    <w:rsid w:val="00B94309"/>
    <w:rsid w:val="00B94B3A"/>
    <w:rsid w:val="00B95666"/>
    <w:rsid w:val="00B95A21"/>
    <w:rsid w:val="00B967BA"/>
    <w:rsid w:val="00B96B06"/>
    <w:rsid w:val="00BA1037"/>
    <w:rsid w:val="00BA433F"/>
    <w:rsid w:val="00BA5404"/>
    <w:rsid w:val="00BA5B0A"/>
    <w:rsid w:val="00BA657D"/>
    <w:rsid w:val="00BA7074"/>
    <w:rsid w:val="00BA7E11"/>
    <w:rsid w:val="00BB0A8A"/>
    <w:rsid w:val="00BB316E"/>
    <w:rsid w:val="00BB3E81"/>
    <w:rsid w:val="00BB45F5"/>
    <w:rsid w:val="00BB48D7"/>
    <w:rsid w:val="00BB59E3"/>
    <w:rsid w:val="00BB5C3D"/>
    <w:rsid w:val="00BB5E7D"/>
    <w:rsid w:val="00BB6094"/>
    <w:rsid w:val="00BB7629"/>
    <w:rsid w:val="00BB7C9F"/>
    <w:rsid w:val="00BC0318"/>
    <w:rsid w:val="00BC0784"/>
    <w:rsid w:val="00BC0CCA"/>
    <w:rsid w:val="00BC4311"/>
    <w:rsid w:val="00BC68B0"/>
    <w:rsid w:val="00BC7F63"/>
    <w:rsid w:val="00BD183B"/>
    <w:rsid w:val="00BD1C56"/>
    <w:rsid w:val="00BD2F05"/>
    <w:rsid w:val="00BD355F"/>
    <w:rsid w:val="00BD4308"/>
    <w:rsid w:val="00BD47F5"/>
    <w:rsid w:val="00BD4896"/>
    <w:rsid w:val="00BD4CC2"/>
    <w:rsid w:val="00BE0568"/>
    <w:rsid w:val="00BE1773"/>
    <w:rsid w:val="00BE1B48"/>
    <w:rsid w:val="00BE1B9C"/>
    <w:rsid w:val="00BE2DFF"/>
    <w:rsid w:val="00BE535C"/>
    <w:rsid w:val="00BE5F8A"/>
    <w:rsid w:val="00BE6C13"/>
    <w:rsid w:val="00BE7076"/>
    <w:rsid w:val="00BE75E0"/>
    <w:rsid w:val="00BF005C"/>
    <w:rsid w:val="00BF3714"/>
    <w:rsid w:val="00BF3E68"/>
    <w:rsid w:val="00BF440A"/>
    <w:rsid w:val="00BF580B"/>
    <w:rsid w:val="00BF5A47"/>
    <w:rsid w:val="00BF5A76"/>
    <w:rsid w:val="00BF5F87"/>
    <w:rsid w:val="00C02626"/>
    <w:rsid w:val="00C03D98"/>
    <w:rsid w:val="00C04265"/>
    <w:rsid w:val="00C051EE"/>
    <w:rsid w:val="00C05C1F"/>
    <w:rsid w:val="00C0627C"/>
    <w:rsid w:val="00C07256"/>
    <w:rsid w:val="00C073BF"/>
    <w:rsid w:val="00C076B7"/>
    <w:rsid w:val="00C10839"/>
    <w:rsid w:val="00C10CB7"/>
    <w:rsid w:val="00C111A6"/>
    <w:rsid w:val="00C12BD5"/>
    <w:rsid w:val="00C137D8"/>
    <w:rsid w:val="00C13C14"/>
    <w:rsid w:val="00C141C8"/>
    <w:rsid w:val="00C1458C"/>
    <w:rsid w:val="00C150F5"/>
    <w:rsid w:val="00C16355"/>
    <w:rsid w:val="00C1750C"/>
    <w:rsid w:val="00C1793C"/>
    <w:rsid w:val="00C17C4B"/>
    <w:rsid w:val="00C20AE1"/>
    <w:rsid w:val="00C20E02"/>
    <w:rsid w:val="00C22827"/>
    <w:rsid w:val="00C23046"/>
    <w:rsid w:val="00C23B5A"/>
    <w:rsid w:val="00C24FB2"/>
    <w:rsid w:val="00C254DA"/>
    <w:rsid w:val="00C255EC"/>
    <w:rsid w:val="00C257CF"/>
    <w:rsid w:val="00C30D02"/>
    <w:rsid w:val="00C32140"/>
    <w:rsid w:val="00C3285C"/>
    <w:rsid w:val="00C32B65"/>
    <w:rsid w:val="00C336E6"/>
    <w:rsid w:val="00C35DF3"/>
    <w:rsid w:val="00C37BAD"/>
    <w:rsid w:val="00C40BE5"/>
    <w:rsid w:val="00C42A6F"/>
    <w:rsid w:val="00C44BF5"/>
    <w:rsid w:val="00C46338"/>
    <w:rsid w:val="00C46396"/>
    <w:rsid w:val="00C46D64"/>
    <w:rsid w:val="00C47EC6"/>
    <w:rsid w:val="00C52114"/>
    <w:rsid w:val="00C52209"/>
    <w:rsid w:val="00C54E32"/>
    <w:rsid w:val="00C54F35"/>
    <w:rsid w:val="00C563C8"/>
    <w:rsid w:val="00C60D18"/>
    <w:rsid w:val="00C61316"/>
    <w:rsid w:val="00C63F3C"/>
    <w:rsid w:val="00C6488A"/>
    <w:rsid w:val="00C65457"/>
    <w:rsid w:val="00C65719"/>
    <w:rsid w:val="00C65740"/>
    <w:rsid w:val="00C6799B"/>
    <w:rsid w:val="00C729F9"/>
    <w:rsid w:val="00C72C6D"/>
    <w:rsid w:val="00C72DAF"/>
    <w:rsid w:val="00C7321B"/>
    <w:rsid w:val="00C74F54"/>
    <w:rsid w:val="00C75CA0"/>
    <w:rsid w:val="00C75D24"/>
    <w:rsid w:val="00C765FD"/>
    <w:rsid w:val="00C7758C"/>
    <w:rsid w:val="00C77622"/>
    <w:rsid w:val="00C77E4B"/>
    <w:rsid w:val="00C77F77"/>
    <w:rsid w:val="00C80679"/>
    <w:rsid w:val="00C81183"/>
    <w:rsid w:val="00C8158D"/>
    <w:rsid w:val="00C81807"/>
    <w:rsid w:val="00C82737"/>
    <w:rsid w:val="00C833D5"/>
    <w:rsid w:val="00C8572C"/>
    <w:rsid w:val="00C860E1"/>
    <w:rsid w:val="00C869BA"/>
    <w:rsid w:val="00C87F29"/>
    <w:rsid w:val="00C90818"/>
    <w:rsid w:val="00C908F2"/>
    <w:rsid w:val="00C90CDD"/>
    <w:rsid w:val="00C94907"/>
    <w:rsid w:val="00C95EEE"/>
    <w:rsid w:val="00C9671C"/>
    <w:rsid w:val="00C968F1"/>
    <w:rsid w:val="00CA081D"/>
    <w:rsid w:val="00CA254C"/>
    <w:rsid w:val="00CA3947"/>
    <w:rsid w:val="00CA54D6"/>
    <w:rsid w:val="00CA729E"/>
    <w:rsid w:val="00CA7E25"/>
    <w:rsid w:val="00CA7EAB"/>
    <w:rsid w:val="00CB0051"/>
    <w:rsid w:val="00CB18A9"/>
    <w:rsid w:val="00CB1B6F"/>
    <w:rsid w:val="00CB3240"/>
    <w:rsid w:val="00CB451A"/>
    <w:rsid w:val="00CB4825"/>
    <w:rsid w:val="00CB5226"/>
    <w:rsid w:val="00CB5A8A"/>
    <w:rsid w:val="00CB5C16"/>
    <w:rsid w:val="00CB6E75"/>
    <w:rsid w:val="00CC00DE"/>
    <w:rsid w:val="00CC0C13"/>
    <w:rsid w:val="00CC1B12"/>
    <w:rsid w:val="00CC25A3"/>
    <w:rsid w:val="00CC2DAC"/>
    <w:rsid w:val="00CC3350"/>
    <w:rsid w:val="00CC3F05"/>
    <w:rsid w:val="00CC55F1"/>
    <w:rsid w:val="00CC58D2"/>
    <w:rsid w:val="00CD04A6"/>
    <w:rsid w:val="00CD04E3"/>
    <w:rsid w:val="00CD078D"/>
    <w:rsid w:val="00CD1090"/>
    <w:rsid w:val="00CD4AC2"/>
    <w:rsid w:val="00CD5AC7"/>
    <w:rsid w:val="00CD6718"/>
    <w:rsid w:val="00CD6CF8"/>
    <w:rsid w:val="00CD729C"/>
    <w:rsid w:val="00CD7D1D"/>
    <w:rsid w:val="00CE00AB"/>
    <w:rsid w:val="00CE1C0A"/>
    <w:rsid w:val="00CE2495"/>
    <w:rsid w:val="00CE32EF"/>
    <w:rsid w:val="00CE35A1"/>
    <w:rsid w:val="00CE429D"/>
    <w:rsid w:val="00CE4BBE"/>
    <w:rsid w:val="00CE6753"/>
    <w:rsid w:val="00CE6783"/>
    <w:rsid w:val="00CE6E44"/>
    <w:rsid w:val="00CE6EFC"/>
    <w:rsid w:val="00CE7F48"/>
    <w:rsid w:val="00CF05B0"/>
    <w:rsid w:val="00CF1716"/>
    <w:rsid w:val="00CF17BD"/>
    <w:rsid w:val="00CF5760"/>
    <w:rsid w:val="00CF7ECB"/>
    <w:rsid w:val="00D011B6"/>
    <w:rsid w:val="00D01643"/>
    <w:rsid w:val="00D01D7E"/>
    <w:rsid w:val="00D02CF1"/>
    <w:rsid w:val="00D046CA"/>
    <w:rsid w:val="00D04C19"/>
    <w:rsid w:val="00D050AD"/>
    <w:rsid w:val="00D054A9"/>
    <w:rsid w:val="00D05599"/>
    <w:rsid w:val="00D05644"/>
    <w:rsid w:val="00D05CC9"/>
    <w:rsid w:val="00D06197"/>
    <w:rsid w:val="00D07011"/>
    <w:rsid w:val="00D10494"/>
    <w:rsid w:val="00D11008"/>
    <w:rsid w:val="00D115CB"/>
    <w:rsid w:val="00D1300B"/>
    <w:rsid w:val="00D13313"/>
    <w:rsid w:val="00D13876"/>
    <w:rsid w:val="00D13C86"/>
    <w:rsid w:val="00D1515F"/>
    <w:rsid w:val="00D15225"/>
    <w:rsid w:val="00D15835"/>
    <w:rsid w:val="00D21738"/>
    <w:rsid w:val="00D22CC4"/>
    <w:rsid w:val="00D25FBE"/>
    <w:rsid w:val="00D26D44"/>
    <w:rsid w:val="00D26D9F"/>
    <w:rsid w:val="00D309C5"/>
    <w:rsid w:val="00D3160F"/>
    <w:rsid w:val="00D320E3"/>
    <w:rsid w:val="00D33168"/>
    <w:rsid w:val="00D3403A"/>
    <w:rsid w:val="00D34BCE"/>
    <w:rsid w:val="00D34D18"/>
    <w:rsid w:val="00D36BEE"/>
    <w:rsid w:val="00D44406"/>
    <w:rsid w:val="00D45D3D"/>
    <w:rsid w:val="00D45EFA"/>
    <w:rsid w:val="00D465DF"/>
    <w:rsid w:val="00D46817"/>
    <w:rsid w:val="00D47084"/>
    <w:rsid w:val="00D47D8B"/>
    <w:rsid w:val="00D50385"/>
    <w:rsid w:val="00D51D97"/>
    <w:rsid w:val="00D523AF"/>
    <w:rsid w:val="00D535FA"/>
    <w:rsid w:val="00D536AB"/>
    <w:rsid w:val="00D54E9D"/>
    <w:rsid w:val="00D56430"/>
    <w:rsid w:val="00D5695C"/>
    <w:rsid w:val="00D57387"/>
    <w:rsid w:val="00D603BC"/>
    <w:rsid w:val="00D609A5"/>
    <w:rsid w:val="00D6390A"/>
    <w:rsid w:val="00D64E5E"/>
    <w:rsid w:val="00D65364"/>
    <w:rsid w:val="00D6576B"/>
    <w:rsid w:val="00D73C35"/>
    <w:rsid w:val="00D73F06"/>
    <w:rsid w:val="00D74831"/>
    <w:rsid w:val="00D754D4"/>
    <w:rsid w:val="00D77AA8"/>
    <w:rsid w:val="00D8040C"/>
    <w:rsid w:val="00D8120A"/>
    <w:rsid w:val="00D81E47"/>
    <w:rsid w:val="00D82368"/>
    <w:rsid w:val="00D82838"/>
    <w:rsid w:val="00D85249"/>
    <w:rsid w:val="00D853EC"/>
    <w:rsid w:val="00D856C9"/>
    <w:rsid w:val="00D85BB3"/>
    <w:rsid w:val="00D85CBC"/>
    <w:rsid w:val="00D86C46"/>
    <w:rsid w:val="00D9099E"/>
    <w:rsid w:val="00D915A1"/>
    <w:rsid w:val="00D941BB"/>
    <w:rsid w:val="00D96771"/>
    <w:rsid w:val="00D96851"/>
    <w:rsid w:val="00D9692C"/>
    <w:rsid w:val="00D978FD"/>
    <w:rsid w:val="00DA1596"/>
    <w:rsid w:val="00DA17AC"/>
    <w:rsid w:val="00DA37A5"/>
    <w:rsid w:val="00DA47B5"/>
    <w:rsid w:val="00DA4B68"/>
    <w:rsid w:val="00DA5439"/>
    <w:rsid w:val="00DA592B"/>
    <w:rsid w:val="00DB14D4"/>
    <w:rsid w:val="00DB1538"/>
    <w:rsid w:val="00DB175A"/>
    <w:rsid w:val="00DB26FA"/>
    <w:rsid w:val="00DB70B5"/>
    <w:rsid w:val="00DC0A58"/>
    <w:rsid w:val="00DC1274"/>
    <w:rsid w:val="00DC1C96"/>
    <w:rsid w:val="00DC2345"/>
    <w:rsid w:val="00DC25DB"/>
    <w:rsid w:val="00DC2772"/>
    <w:rsid w:val="00DC3D11"/>
    <w:rsid w:val="00DC42E0"/>
    <w:rsid w:val="00DC5C8F"/>
    <w:rsid w:val="00DC6660"/>
    <w:rsid w:val="00DD1964"/>
    <w:rsid w:val="00DD4434"/>
    <w:rsid w:val="00DD5835"/>
    <w:rsid w:val="00DD609E"/>
    <w:rsid w:val="00DD67AD"/>
    <w:rsid w:val="00DD7267"/>
    <w:rsid w:val="00DD7FEB"/>
    <w:rsid w:val="00DE287D"/>
    <w:rsid w:val="00DE37EC"/>
    <w:rsid w:val="00DE4A62"/>
    <w:rsid w:val="00DE5A32"/>
    <w:rsid w:val="00DE5EFB"/>
    <w:rsid w:val="00DE7878"/>
    <w:rsid w:val="00DF0667"/>
    <w:rsid w:val="00DF1056"/>
    <w:rsid w:val="00DF18A4"/>
    <w:rsid w:val="00DF30E6"/>
    <w:rsid w:val="00DF3278"/>
    <w:rsid w:val="00DF3BB1"/>
    <w:rsid w:val="00DF3CB1"/>
    <w:rsid w:val="00DF4DE1"/>
    <w:rsid w:val="00DF4ECC"/>
    <w:rsid w:val="00DF4F9E"/>
    <w:rsid w:val="00DF62BA"/>
    <w:rsid w:val="00DF684E"/>
    <w:rsid w:val="00DF6B4F"/>
    <w:rsid w:val="00DF7A01"/>
    <w:rsid w:val="00DF7CD5"/>
    <w:rsid w:val="00E008A7"/>
    <w:rsid w:val="00E035B1"/>
    <w:rsid w:val="00E04465"/>
    <w:rsid w:val="00E04780"/>
    <w:rsid w:val="00E04BD5"/>
    <w:rsid w:val="00E05658"/>
    <w:rsid w:val="00E05825"/>
    <w:rsid w:val="00E06A7A"/>
    <w:rsid w:val="00E06DBD"/>
    <w:rsid w:val="00E1091D"/>
    <w:rsid w:val="00E126FF"/>
    <w:rsid w:val="00E12D59"/>
    <w:rsid w:val="00E13A02"/>
    <w:rsid w:val="00E13C52"/>
    <w:rsid w:val="00E140D0"/>
    <w:rsid w:val="00E1497E"/>
    <w:rsid w:val="00E15AC3"/>
    <w:rsid w:val="00E16C82"/>
    <w:rsid w:val="00E16D23"/>
    <w:rsid w:val="00E16D92"/>
    <w:rsid w:val="00E16FE2"/>
    <w:rsid w:val="00E205E2"/>
    <w:rsid w:val="00E205FA"/>
    <w:rsid w:val="00E20E46"/>
    <w:rsid w:val="00E21596"/>
    <w:rsid w:val="00E2384E"/>
    <w:rsid w:val="00E25FA4"/>
    <w:rsid w:val="00E26E7A"/>
    <w:rsid w:val="00E30055"/>
    <w:rsid w:val="00E30B04"/>
    <w:rsid w:val="00E31E50"/>
    <w:rsid w:val="00E32465"/>
    <w:rsid w:val="00E33B3B"/>
    <w:rsid w:val="00E36008"/>
    <w:rsid w:val="00E425F3"/>
    <w:rsid w:val="00E43176"/>
    <w:rsid w:val="00E4322F"/>
    <w:rsid w:val="00E4355B"/>
    <w:rsid w:val="00E44B41"/>
    <w:rsid w:val="00E45B06"/>
    <w:rsid w:val="00E45F0C"/>
    <w:rsid w:val="00E4627D"/>
    <w:rsid w:val="00E478D2"/>
    <w:rsid w:val="00E507A5"/>
    <w:rsid w:val="00E50B81"/>
    <w:rsid w:val="00E5119A"/>
    <w:rsid w:val="00E523CA"/>
    <w:rsid w:val="00E52A47"/>
    <w:rsid w:val="00E52D9A"/>
    <w:rsid w:val="00E537AA"/>
    <w:rsid w:val="00E57C88"/>
    <w:rsid w:val="00E6280F"/>
    <w:rsid w:val="00E63FC8"/>
    <w:rsid w:val="00E70013"/>
    <w:rsid w:val="00E71AD4"/>
    <w:rsid w:val="00E72450"/>
    <w:rsid w:val="00E72FB3"/>
    <w:rsid w:val="00E741A3"/>
    <w:rsid w:val="00E74A9D"/>
    <w:rsid w:val="00E758A8"/>
    <w:rsid w:val="00E809D0"/>
    <w:rsid w:val="00E8295E"/>
    <w:rsid w:val="00E82965"/>
    <w:rsid w:val="00E83113"/>
    <w:rsid w:val="00E831B7"/>
    <w:rsid w:val="00E84327"/>
    <w:rsid w:val="00E846F8"/>
    <w:rsid w:val="00E85E4F"/>
    <w:rsid w:val="00E87432"/>
    <w:rsid w:val="00E87D6E"/>
    <w:rsid w:val="00E909CC"/>
    <w:rsid w:val="00E922DD"/>
    <w:rsid w:val="00E93539"/>
    <w:rsid w:val="00E93579"/>
    <w:rsid w:val="00E93588"/>
    <w:rsid w:val="00E9512D"/>
    <w:rsid w:val="00E97384"/>
    <w:rsid w:val="00E97879"/>
    <w:rsid w:val="00EA12F8"/>
    <w:rsid w:val="00EA1EB3"/>
    <w:rsid w:val="00EA325E"/>
    <w:rsid w:val="00EA6174"/>
    <w:rsid w:val="00EA6371"/>
    <w:rsid w:val="00EA7276"/>
    <w:rsid w:val="00EA79C4"/>
    <w:rsid w:val="00EA7F88"/>
    <w:rsid w:val="00EB199B"/>
    <w:rsid w:val="00EB1B6D"/>
    <w:rsid w:val="00EB3269"/>
    <w:rsid w:val="00EB3552"/>
    <w:rsid w:val="00EB5256"/>
    <w:rsid w:val="00EB5429"/>
    <w:rsid w:val="00EB5FEE"/>
    <w:rsid w:val="00EB6550"/>
    <w:rsid w:val="00EC0D98"/>
    <w:rsid w:val="00EC1773"/>
    <w:rsid w:val="00EC1FF9"/>
    <w:rsid w:val="00EC3B3E"/>
    <w:rsid w:val="00EC4FF4"/>
    <w:rsid w:val="00EC508F"/>
    <w:rsid w:val="00EC6CB3"/>
    <w:rsid w:val="00EC6D76"/>
    <w:rsid w:val="00EC6EDA"/>
    <w:rsid w:val="00ED0694"/>
    <w:rsid w:val="00ED19E8"/>
    <w:rsid w:val="00ED2152"/>
    <w:rsid w:val="00ED243B"/>
    <w:rsid w:val="00ED24DD"/>
    <w:rsid w:val="00ED3629"/>
    <w:rsid w:val="00ED510F"/>
    <w:rsid w:val="00ED5120"/>
    <w:rsid w:val="00ED5CBF"/>
    <w:rsid w:val="00ED60ED"/>
    <w:rsid w:val="00ED6124"/>
    <w:rsid w:val="00ED67DE"/>
    <w:rsid w:val="00ED77A2"/>
    <w:rsid w:val="00EE188A"/>
    <w:rsid w:val="00EE1A2F"/>
    <w:rsid w:val="00EE2015"/>
    <w:rsid w:val="00EE2B4A"/>
    <w:rsid w:val="00EE3AA9"/>
    <w:rsid w:val="00EE3CDD"/>
    <w:rsid w:val="00EE3EB2"/>
    <w:rsid w:val="00EE439D"/>
    <w:rsid w:val="00EE450A"/>
    <w:rsid w:val="00EE5E4A"/>
    <w:rsid w:val="00EE7DEB"/>
    <w:rsid w:val="00EF05B1"/>
    <w:rsid w:val="00EF37C0"/>
    <w:rsid w:val="00EF4818"/>
    <w:rsid w:val="00EF5A1C"/>
    <w:rsid w:val="00EF6D7B"/>
    <w:rsid w:val="00EF7A0F"/>
    <w:rsid w:val="00F018E4"/>
    <w:rsid w:val="00F019AD"/>
    <w:rsid w:val="00F04A42"/>
    <w:rsid w:val="00F05C4C"/>
    <w:rsid w:val="00F07E1B"/>
    <w:rsid w:val="00F105EF"/>
    <w:rsid w:val="00F11BEA"/>
    <w:rsid w:val="00F121CD"/>
    <w:rsid w:val="00F1258A"/>
    <w:rsid w:val="00F12E1E"/>
    <w:rsid w:val="00F1303C"/>
    <w:rsid w:val="00F13216"/>
    <w:rsid w:val="00F13C44"/>
    <w:rsid w:val="00F13F1E"/>
    <w:rsid w:val="00F14A5F"/>
    <w:rsid w:val="00F1760A"/>
    <w:rsid w:val="00F178A0"/>
    <w:rsid w:val="00F17DAB"/>
    <w:rsid w:val="00F20F95"/>
    <w:rsid w:val="00F232E3"/>
    <w:rsid w:val="00F2396C"/>
    <w:rsid w:val="00F24424"/>
    <w:rsid w:val="00F25219"/>
    <w:rsid w:val="00F26472"/>
    <w:rsid w:val="00F26C7D"/>
    <w:rsid w:val="00F26CA7"/>
    <w:rsid w:val="00F270E9"/>
    <w:rsid w:val="00F32E96"/>
    <w:rsid w:val="00F34D89"/>
    <w:rsid w:val="00F35F09"/>
    <w:rsid w:val="00F36480"/>
    <w:rsid w:val="00F414B3"/>
    <w:rsid w:val="00F4225C"/>
    <w:rsid w:val="00F43EC0"/>
    <w:rsid w:val="00F444F4"/>
    <w:rsid w:val="00F450D8"/>
    <w:rsid w:val="00F45448"/>
    <w:rsid w:val="00F45CA3"/>
    <w:rsid w:val="00F461FF"/>
    <w:rsid w:val="00F50A57"/>
    <w:rsid w:val="00F5186F"/>
    <w:rsid w:val="00F56333"/>
    <w:rsid w:val="00F56B5E"/>
    <w:rsid w:val="00F56D9E"/>
    <w:rsid w:val="00F6045F"/>
    <w:rsid w:val="00F60708"/>
    <w:rsid w:val="00F609A9"/>
    <w:rsid w:val="00F60C11"/>
    <w:rsid w:val="00F60E89"/>
    <w:rsid w:val="00F61672"/>
    <w:rsid w:val="00F61BE0"/>
    <w:rsid w:val="00F65893"/>
    <w:rsid w:val="00F66260"/>
    <w:rsid w:val="00F67CD5"/>
    <w:rsid w:val="00F72ED6"/>
    <w:rsid w:val="00F74564"/>
    <w:rsid w:val="00F74AF1"/>
    <w:rsid w:val="00F76187"/>
    <w:rsid w:val="00F76516"/>
    <w:rsid w:val="00F7715F"/>
    <w:rsid w:val="00F772F4"/>
    <w:rsid w:val="00F77399"/>
    <w:rsid w:val="00F779BB"/>
    <w:rsid w:val="00F77D8C"/>
    <w:rsid w:val="00F8090A"/>
    <w:rsid w:val="00F81AF4"/>
    <w:rsid w:val="00F81C77"/>
    <w:rsid w:val="00F82A27"/>
    <w:rsid w:val="00F83B7E"/>
    <w:rsid w:val="00F8502B"/>
    <w:rsid w:val="00F865E9"/>
    <w:rsid w:val="00F87899"/>
    <w:rsid w:val="00F907CF"/>
    <w:rsid w:val="00F914BE"/>
    <w:rsid w:val="00F92147"/>
    <w:rsid w:val="00F9598B"/>
    <w:rsid w:val="00F95DDB"/>
    <w:rsid w:val="00F960FD"/>
    <w:rsid w:val="00F96E40"/>
    <w:rsid w:val="00F97CC5"/>
    <w:rsid w:val="00FA213A"/>
    <w:rsid w:val="00FA3545"/>
    <w:rsid w:val="00FA4194"/>
    <w:rsid w:val="00FA43AE"/>
    <w:rsid w:val="00FA45DA"/>
    <w:rsid w:val="00FA4A5A"/>
    <w:rsid w:val="00FA5166"/>
    <w:rsid w:val="00FA72BB"/>
    <w:rsid w:val="00FB132E"/>
    <w:rsid w:val="00FB1DA1"/>
    <w:rsid w:val="00FB249E"/>
    <w:rsid w:val="00FB393A"/>
    <w:rsid w:val="00FB4FBC"/>
    <w:rsid w:val="00FB5E1E"/>
    <w:rsid w:val="00FB62F5"/>
    <w:rsid w:val="00FB7A79"/>
    <w:rsid w:val="00FC1A51"/>
    <w:rsid w:val="00FC2317"/>
    <w:rsid w:val="00FC289D"/>
    <w:rsid w:val="00FC28B5"/>
    <w:rsid w:val="00FC2DF4"/>
    <w:rsid w:val="00FC36CF"/>
    <w:rsid w:val="00FC37BB"/>
    <w:rsid w:val="00FC4CA3"/>
    <w:rsid w:val="00FC6231"/>
    <w:rsid w:val="00FD00E5"/>
    <w:rsid w:val="00FD0A34"/>
    <w:rsid w:val="00FD0AF2"/>
    <w:rsid w:val="00FD1946"/>
    <w:rsid w:val="00FD343B"/>
    <w:rsid w:val="00FD6326"/>
    <w:rsid w:val="00FD66E4"/>
    <w:rsid w:val="00FD6C2A"/>
    <w:rsid w:val="00FD6D3B"/>
    <w:rsid w:val="00FE0CD5"/>
    <w:rsid w:val="00FE0D2F"/>
    <w:rsid w:val="00FE2982"/>
    <w:rsid w:val="00FE3454"/>
    <w:rsid w:val="00FE4CE4"/>
    <w:rsid w:val="00FE50FC"/>
    <w:rsid w:val="00FE630A"/>
    <w:rsid w:val="00FE6696"/>
    <w:rsid w:val="00FE7BAB"/>
    <w:rsid w:val="00FF24B0"/>
    <w:rsid w:val="00FF26CC"/>
    <w:rsid w:val="00FF2A73"/>
    <w:rsid w:val="00FF2D6E"/>
    <w:rsid w:val="00FF39A0"/>
    <w:rsid w:val="00FF40B7"/>
    <w:rsid w:val="00FF4118"/>
    <w:rsid w:val="00FF4A8A"/>
    <w:rsid w:val="00FF6AA3"/>
    <w:rsid w:val="00FF7BAE"/>
    <w:rsid w:val="010E6C43"/>
    <w:rsid w:val="0112363F"/>
    <w:rsid w:val="011937D7"/>
    <w:rsid w:val="011E1FE4"/>
    <w:rsid w:val="01236216"/>
    <w:rsid w:val="013158F0"/>
    <w:rsid w:val="01550DE3"/>
    <w:rsid w:val="015B535E"/>
    <w:rsid w:val="016A347B"/>
    <w:rsid w:val="017936BE"/>
    <w:rsid w:val="01A16631"/>
    <w:rsid w:val="01BD736D"/>
    <w:rsid w:val="01DB6727"/>
    <w:rsid w:val="01EB45BC"/>
    <w:rsid w:val="01EB7C12"/>
    <w:rsid w:val="01EF5C40"/>
    <w:rsid w:val="0203680B"/>
    <w:rsid w:val="020D0966"/>
    <w:rsid w:val="023201D6"/>
    <w:rsid w:val="02354ACF"/>
    <w:rsid w:val="0289112A"/>
    <w:rsid w:val="02C00D19"/>
    <w:rsid w:val="02CF64F1"/>
    <w:rsid w:val="02E3404B"/>
    <w:rsid w:val="02EF722F"/>
    <w:rsid w:val="03100052"/>
    <w:rsid w:val="03265180"/>
    <w:rsid w:val="03310D13"/>
    <w:rsid w:val="034D6BB0"/>
    <w:rsid w:val="035F6558"/>
    <w:rsid w:val="038A570F"/>
    <w:rsid w:val="03A42B44"/>
    <w:rsid w:val="03D60954"/>
    <w:rsid w:val="03DB2E91"/>
    <w:rsid w:val="03EE24E5"/>
    <w:rsid w:val="03F80240"/>
    <w:rsid w:val="04074FB1"/>
    <w:rsid w:val="04131A94"/>
    <w:rsid w:val="043F0BEF"/>
    <w:rsid w:val="044F2D16"/>
    <w:rsid w:val="047221B6"/>
    <w:rsid w:val="04761B50"/>
    <w:rsid w:val="04AB0032"/>
    <w:rsid w:val="04C53E52"/>
    <w:rsid w:val="04C64E6C"/>
    <w:rsid w:val="04CB5DCD"/>
    <w:rsid w:val="04D00630"/>
    <w:rsid w:val="04E86441"/>
    <w:rsid w:val="04F86A74"/>
    <w:rsid w:val="05074670"/>
    <w:rsid w:val="05157BA2"/>
    <w:rsid w:val="052070C2"/>
    <w:rsid w:val="052838D4"/>
    <w:rsid w:val="052D58C8"/>
    <w:rsid w:val="053022E6"/>
    <w:rsid w:val="05373E90"/>
    <w:rsid w:val="053A13B6"/>
    <w:rsid w:val="05584EC0"/>
    <w:rsid w:val="056B74D2"/>
    <w:rsid w:val="057F4928"/>
    <w:rsid w:val="05924D4E"/>
    <w:rsid w:val="05A36730"/>
    <w:rsid w:val="05B37F10"/>
    <w:rsid w:val="05C60112"/>
    <w:rsid w:val="05D12697"/>
    <w:rsid w:val="05F76362"/>
    <w:rsid w:val="06052E39"/>
    <w:rsid w:val="06162B35"/>
    <w:rsid w:val="0618068D"/>
    <w:rsid w:val="0633208D"/>
    <w:rsid w:val="063D4CBA"/>
    <w:rsid w:val="06420522"/>
    <w:rsid w:val="064909A8"/>
    <w:rsid w:val="06655C57"/>
    <w:rsid w:val="066B13F4"/>
    <w:rsid w:val="06AE5BB8"/>
    <w:rsid w:val="06B5464B"/>
    <w:rsid w:val="06BD229F"/>
    <w:rsid w:val="06D3561E"/>
    <w:rsid w:val="06D51397"/>
    <w:rsid w:val="06DF73FD"/>
    <w:rsid w:val="06FE3D2F"/>
    <w:rsid w:val="0710758D"/>
    <w:rsid w:val="071F5017"/>
    <w:rsid w:val="0721332C"/>
    <w:rsid w:val="072F3D43"/>
    <w:rsid w:val="073562D9"/>
    <w:rsid w:val="073E7E6D"/>
    <w:rsid w:val="07571DAC"/>
    <w:rsid w:val="07575C0C"/>
    <w:rsid w:val="075D2134"/>
    <w:rsid w:val="0767616B"/>
    <w:rsid w:val="076D0538"/>
    <w:rsid w:val="078850F7"/>
    <w:rsid w:val="07927938"/>
    <w:rsid w:val="07A80BAC"/>
    <w:rsid w:val="07AE5EFC"/>
    <w:rsid w:val="07DB2526"/>
    <w:rsid w:val="07DF3D76"/>
    <w:rsid w:val="07E27EE6"/>
    <w:rsid w:val="07E96B98"/>
    <w:rsid w:val="08055FC8"/>
    <w:rsid w:val="080F2686"/>
    <w:rsid w:val="081A2399"/>
    <w:rsid w:val="081D6FC0"/>
    <w:rsid w:val="08432FFE"/>
    <w:rsid w:val="084C7874"/>
    <w:rsid w:val="085F0792"/>
    <w:rsid w:val="087D5A9C"/>
    <w:rsid w:val="089402A1"/>
    <w:rsid w:val="08964B56"/>
    <w:rsid w:val="089E2486"/>
    <w:rsid w:val="08AF63E6"/>
    <w:rsid w:val="08B1198F"/>
    <w:rsid w:val="08D119D4"/>
    <w:rsid w:val="08DA1979"/>
    <w:rsid w:val="08EB05C3"/>
    <w:rsid w:val="08F32C0B"/>
    <w:rsid w:val="090443DB"/>
    <w:rsid w:val="091C6B64"/>
    <w:rsid w:val="091C7B14"/>
    <w:rsid w:val="09383E5F"/>
    <w:rsid w:val="09552FEF"/>
    <w:rsid w:val="09576FA6"/>
    <w:rsid w:val="095C513F"/>
    <w:rsid w:val="097369F0"/>
    <w:rsid w:val="097A71CB"/>
    <w:rsid w:val="097A7FD3"/>
    <w:rsid w:val="09B171D3"/>
    <w:rsid w:val="09BE2F69"/>
    <w:rsid w:val="09CB4CD3"/>
    <w:rsid w:val="09CF44E7"/>
    <w:rsid w:val="09D50F7A"/>
    <w:rsid w:val="09E55D95"/>
    <w:rsid w:val="09FF4BC5"/>
    <w:rsid w:val="0A162A88"/>
    <w:rsid w:val="0A316FD7"/>
    <w:rsid w:val="0A4244B6"/>
    <w:rsid w:val="0A430DBE"/>
    <w:rsid w:val="0A684EDE"/>
    <w:rsid w:val="0A6A44EC"/>
    <w:rsid w:val="0A996768"/>
    <w:rsid w:val="0A9E7CF1"/>
    <w:rsid w:val="0ABD6ED7"/>
    <w:rsid w:val="0ADD2F10"/>
    <w:rsid w:val="0AE147AE"/>
    <w:rsid w:val="0AE4604C"/>
    <w:rsid w:val="0AF34668"/>
    <w:rsid w:val="0B00275A"/>
    <w:rsid w:val="0B0317F9"/>
    <w:rsid w:val="0B1B4456"/>
    <w:rsid w:val="0B266DBA"/>
    <w:rsid w:val="0B2705C9"/>
    <w:rsid w:val="0B36617C"/>
    <w:rsid w:val="0B373AC0"/>
    <w:rsid w:val="0B3A0868"/>
    <w:rsid w:val="0B3D575C"/>
    <w:rsid w:val="0B424DC7"/>
    <w:rsid w:val="0B64079B"/>
    <w:rsid w:val="0B765A76"/>
    <w:rsid w:val="0B8C1816"/>
    <w:rsid w:val="0BB93035"/>
    <w:rsid w:val="0BD47E6F"/>
    <w:rsid w:val="0BDC4BEA"/>
    <w:rsid w:val="0BE01BDD"/>
    <w:rsid w:val="0C1464BD"/>
    <w:rsid w:val="0C1E558E"/>
    <w:rsid w:val="0C346B5F"/>
    <w:rsid w:val="0C3D3FF4"/>
    <w:rsid w:val="0C452B1A"/>
    <w:rsid w:val="0C4F4A2F"/>
    <w:rsid w:val="0C8C054F"/>
    <w:rsid w:val="0C97180A"/>
    <w:rsid w:val="0CDA0E71"/>
    <w:rsid w:val="0CF84031"/>
    <w:rsid w:val="0CFB142B"/>
    <w:rsid w:val="0D023289"/>
    <w:rsid w:val="0D137151"/>
    <w:rsid w:val="0D1B387B"/>
    <w:rsid w:val="0D4211C8"/>
    <w:rsid w:val="0D502D2C"/>
    <w:rsid w:val="0D8001A1"/>
    <w:rsid w:val="0D8A12CC"/>
    <w:rsid w:val="0D8A2C79"/>
    <w:rsid w:val="0D8D11E7"/>
    <w:rsid w:val="0D9249D1"/>
    <w:rsid w:val="0D985869"/>
    <w:rsid w:val="0DA1285F"/>
    <w:rsid w:val="0DBB7AFD"/>
    <w:rsid w:val="0DE50052"/>
    <w:rsid w:val="0DF822BA"/>
    <w:rsid w:val="0E023AB6"/>
    <w:rsid w:val="0E3877D4"/>
    <w:rsid w:val="0E556D85"/>
    <w:rsid w:val="0E794CFD"/>
    <w:rsid w:val="0E7E51A7"/>
    <w:rsid w:val="0E967DEA"/>
    <w:rsid w:val="0EA94428"/>
    <w:rsid w:val="0EAD6F1D"/>
    <w:rsid w:val="0EB6653A"/>
    <w:rsid w:val="0ECA5559"/>
    <w:rsid w:val="0ED86C2A"/>
    <w:rsid w:val="0EDC703A"/>
    <w:rsid w:val="0EE32CD7"/>
    <w:rsid w:val="0EEE31A0"/>
    <w:rsid w:val="0EF67B8F"/>
    <w:rsid w:val="0EFE79A1"/>
    <w:rsid w:val="0F0D5F33"/>
    <w:rsid w:val="0F113015"/>
    <w:rsid w:val="0F1666D0"/>
    <w:rsid w:val="0F184EBF"/>
    <w:rsid w:val="0F1B7B63"/>
    <w:rsid w:val="0F213506"/>
    <w:rsid w:val="0F2F7662"/>
    <w:rsid w:val="0F30271A"/>
    <w:rsid w:val="0F3B6855"/>
    <w:rsid w:val="0F3C74F6"/>
    <w:rsid w:val="0F3F75AE"/>
    <w:rsid w:val="0F484BB3"/>
    <w:rsid w:val="0F6A3605"/>
    <w:rsid w:val="0F7554C5"/>
    <w:rsid w:val="0F7665F5"/>
    <w:rsid w:val="0F792EFA"/>
    <w:rsid w:val="0F82599B"/>
    <w:rsid w:val="0F927EF5"/>
    <w:rsid w:val="0F940A78"/>
    <w:rsid w:val="0FAD4DBB"/>
    <w:rsid w:val="0FB70128"/>
    <w:rsid w:val="0FC91CB4"/>
    <w:rsid w:val="0FCC70AF"/>
    <w:rsid w:val="0FD416EA"/>
    <w:rsid w:val="0FDC439A"/>
    <w:rsid w:val="0FF22FB9"/>
    <w:rsid w:val="0FF52AA9"/>
    <w:rsid w:val="10082B1E"/>
    <w:rsid w:val="101678A4"/>
    <w:rsid w:val="101822F4"/>
    <w:rsid w:val="101C1B9B"/>
    <w:rsid w:val="102872BF"/>
    <w:rsid w:val="10401F77"/>
    <w:rsid w:val="10484987"/>
    <w:rsid w:val="108034B9"/>
    <w:rsid w:val="10967DE9"/>
    <w:rsid w:val="10A0748A"/>
    <w:rsid w:val="10E35600"/>
    <w:rsid w:val="10EC2078"/>
    <w:rsid w:val="10FA552C"/>
    <w:rsid w:val="1103430E"/>
    <w:rsid w:val="11062D60"/>
    <w:rsid w:val="11201A80"/>
    <w:rsid w:val="112F78F5"/>
    <w:rsid w:val="114353A6"/>
    <w:rsid w:val="114A472F"/>
    <w:rsid w:val="114E06C3"/>
    <w:rsid w:val="11611C5A"/>
    <w:rsid w:val="116D75F2"/>
    <w:rsid w:val="11702945"/>
    <w:rsid w:val="11A31BF6"/>
    <w:rsid w:val="11AC0F46"/>
    <w:rsid w:val="11B8663B"/>
    <w:rsid w:val="11C12C43"/>
    <w:rsid w:val="11C72BD9"/>
    <w:rsid w:val="11CD3B0E"/>
    <w:rsid w:val="11D70A9A"/>
    <w:rsid w:val="11DD72D5"/>
    <w:rsid w:val="11E20E0C"/>
    <w:rsid w:val="11E517BE"/>
    <w:rsid w:val="12017F2B"/>
    <w:rsid w:val="12092610"/>
    <w:rsid w:val="120D1767"/>
    <w:rsid w:val="122030D5"/>
    <w:rsid w:val="124621B8"/>
    <w:rsid w:val="12476A5B"/>
    <w:rsid w:val="125C0BBE"/>
    <w:rsid w:val="12614426"/>
    <w:rsid w:val="12641C51"/>
    <w:rsid w:val="12661A3D"/>
    <w:rsid w:val="126B4C24"/>
    <w:rsid w:val="12705F50"/>
    <w:rsid w:val="128B3075"/>
    <w:rsid w:val="129739A4"/>
    <w:rsid w:val="12AA7B7B"/>
    <w:rsid w:val="12BC165D"/>
    <w:rsid w:val="12C119AD"/>
    <w:rsid w:val="12D93FBD"/>
    <w:rsid w:val="12ED1816"/>
    <w:rsid w:val="12ED27DE"/>
    <w:rsid w:val="130557FA"/>
    <w:rsid w:val="1338532D"/>
    <w:rsid w:val="134C4C5C"/>
    <w:rsid w:val="13653E95"/>
    <w:rsid w:val="1383403E"/>
    <w:rsid w:val="13AC72E2"/>
    <w:rsid w:val="13B37E2C"/>
    <w:rsid w:val="13C42463"/>
    <w:rsid w:val="13CB27B4"/>
    <w:rsid w:val="13D4139D"/>
    <w:rsid w:val="13F148A3"/>
    <w:rsid w:val="13F47F99"/>
    <w:rsid w:val="13FE6F33"/>
    <w:rsid w:val="14027543"/>
    <w:rsid w:val="144875EA"/>
    <w:rsid w:val="145D29CB"/>
    <w:rsid w:val="14627C80"/>
    <w:rsid w:val="147E34B5"/>
    <w:rsid w:val="14972381"/>
    <w:rsid w:val="1497412F"/>
    <w:rsid w:val="14A10B0A"/>
    <w:rsid w:val="14A63AEF"/>
    <w:rsid w:val="14AD5701"/>
    <w:rsid w:val="14C71605"/>
    <w:rsid w:val="14E24E33"/>
    <w:rsid w:val="14F71BA0"/>
    <w:rsid w:val="14F80DAF"/>
    <w:rsid w:val="1505092F"/>
    <w:rsid w:val="15136F24"/>
    <w:rsid w:val="155C0D17"/>
    <w:rsid w:val="155D0ED5"/>
    <w:rsid w:val="15890ECE"/>
    <w:rsid w:val="158A3984"/>
    <w:rsid w:val="1593533C"/>
    <w:rsid w:val="15AE2FF0"/>
    <w:rsid w:val="15B825AF"/>
    <w:rsid w:val="15DC27B6"/>
    <w:rsid w:val="160C5ADD"/>
    <w:rsid w:val="161C5B29"/>
    <w:rsid w:val="16310B22"/>
    <w:rsid w:val="163C55C2"/>
    <w:rsid w:val="16583490"/>
    <w:rsid w:val="165E3157"/>
    <w:rsid w:val="16677749"/>
    <w:rsid w:val="1671055A"/>
    <w:rsid w:val="168C1346"/>
    <w:rsid w:val="169638C4"/>
    <w:rsid w:val="169B393B"/>
    <w:rsid w:val="16EA45E5"/>
    <w:rsid w:val="16F850CD"/>
    <w:rsid w:val="170715A7"/>
    <w:rsid w:val="170760AA"/>
    <w:rsid w:val="170B670F"/>
    <w:rsid w:val="171656BD"/>
    <w:rsid w:val="17325312"/>
    <w:rsid w:val="17326590"/>
    <w:rsid w:val="1733471B"/>
    <w:rsid w:val="174F2A9F"/>
    <w:rsid w:val="17505BAF"/>
    <w:rsid w:val="175207E1"/>
    <w:rsid w:val="17550AFC"/>
    <w:rsid w:val="17667C71"/>
    <w:rsid w:val="1770715F"/>
    <w:rsid w:val="17C02842"/>
    <w:rsid w:val="17D567AE"/>
    <w:rsid w:val="17DB78DA"/>
    <w:rsid w:val="18073BF6"/>
    <w:rsid w:val="180E00F1"/>
    <w:rsid w:val="18175BA3"/>
    <w:rsid w:val="182A0E16"/>
    <w:rsid w:val="18345C98"/>
    <w:rsid w:val="18385D2A"/>
    <w:rsid w:val="183B6B74"/>
    <w:rsid w:val="18422604"/>
    <w:rsid w:val="18461624"/>
    <w:rsid w:val="184C5231"/>
    <w:rsid w:val="184E3D90"/>
    <w:rsid w:val="18601DBF"/>
    <w:rsid w:val="187A35CD"/>
    <w:rsid w:val="18842C1C"/>
    <w:rsid w:val="18950986"/>
    <w:rsid w:val="18AA2B26"/>
    <w:rsid w:val="18D55226"/>
    <w:rsid w:val="18DC65B5"/>
    <w:rsid w:val="18E662B5"/>
    <w:rsid w:val="18EE5B0E"/>
    <w:rsid w:val="18FF177F"/>
    <w:rsid w:val="19045B0B"/>
    <w:rsid w:val="190539E8"/>
    <w:rsid w:val="191D0975"/>
    <w:rsid w:val="19321C05"/>
    <w:rsid w:val="19340C8C"/>
    <w:rsid w:val="19411EA9"/>
    <w:rsid w:val="19577654"/>
    <w:rsid w:val="19612E6F"/>
    <w:rsid w:val="19743835"/>
    <w:rsid w:val="199E386A"/>
    <w:rsid w:val="19A02E49"/>
    <w:rsid w:val="19A741B6"/>
    <w:rsid w:val="19A85A59"/>
    <w:rsid w:val="19AA0461"/>
    <w:rsid w:val="19AC242B"/>
    <w:rsid w:val="19B41F38"/>
    <w:rsid w:val="19BC4A04"/>
    <w:rsid w:val="19BE3B45"/>
    <w:rsid w:val="19C92FDD"/>
    <w:rsid w:val="19D04163"/>
    <w:rsid w:val="19DA170E"/>
    <w:rsid w:val="19FC4A21"/>
    <w:rsid w:val="1A1461BE"/>
    <w:rsid w:val="1A165AF6"/>
    <w:rsid w:val="1A252111"/>
    <w:rsid w:val="1A4C7A4F"/>
    <w:rsid w:val="1A69031C"/>
    <w:rsid w:val="1A805E18"/>
    <w:rsid w:val="1A83328C"/>
    <w:rsid w:val="1A841F86"/>
    <w:rsid w:val="1A90643A"/>
    <w:rsid w:val="1A93058D"/>
    <w:rsid w:val="1A983253"/>
    <w:rsid w:val="1A9D7745"/>
    <w:rsid w:val="1AAC0209"/>
    <w:rsid w:val="1ABD41C4"/>
    <w:rsid w:val="1AC90DBB"/>
    <w:rsid w:val="1ACC431B"/>
    <w:rsid w:val="1AE806AE"/>
    <w:rsid w:val="1AEF6D83"/>
    <w:rsid w:val="1AF00724"/>
    <w:rsid w:val="1AFD11C6"/>
    <w:rsid w:val="1B1F7E17"/>
    <w:rsid w:val="1B2F1FAB"/>
    <w:rsid w:val="1B4C6CF6"/>
    <w:rsid w:val="1B6140A3"/>
    <w:rsid w:val="1B7755CC"/>
    <w:rsid w:val="1B776A68"/>
    <w:rsid w:val="1B811695"/>
    <w:rsid w:val="1B8A19B0"/>
    <w:rsid w:val="1BA01A42"/>
    <w:rsid w:val="1BA05DA1"/>
    <w:rsid w:val="1BAB62C4"/>
    <w:rsid w:val="1BB5493B"/>
    <w:rsid w:val="1BDB2B53"/>
    <w:rsid w:val="1BFF1B8A"/>
    <w:rsid w:val="1C0D333D"/>
    <w:rsid w:val="1C150917"/>
    <w:rsid w:val="1C1C2090"/>
    <w:rsid w:val="1C533314"/>
    <w:rsid w:val="1C5B79EF"/>
    <w:rsid w:val="1C60064E"/>
    <w:rsid w:val="1C6D2469"/>
    <w:rsid w:val="1C7F5B54"/>
    <w:rsid w:val="1C88783A"/>
    <w:rsid w:val="1C8E735A"/>
    <w:rsid w:val="1CBA50B3"/>
    <w:rsid w:val="1CFA50B8"/>
    <w:rsid w:val="1CFC0128"/>
    <w:rsid w:val="1D3E22F3"/>
    <w:rsid w:val="1D4462F8"/>
    <w:rsid w:val="1D4A79F3"/>
    <w:rsid w:val="1D5C7CC4"/>
    <w:rsid w:val="1D5E0687"/>
    <w:rsid w:val="1D5E601D"/>
    <w:rsid w:val="1D661986"/>
    <w:rsid w:val="1D79232A"/>
    <w:rsid w:val="1D7A3D05"/>
    <w:rsid w:val="1D7E37E1"/>
    <w:rsid w:val="1D8035E4"/>
    <w:rsid w:val="1D8F1314"/>
    <w:rsid w:val="1DE270A3"/>
    <w:rsid w:val="1DE657E0"/>
    <w:rsid w:val="1DE85BF9"/>
    <w:rsid w:val="1E1C7453"/>
    <w:rsid w:val="1E1F575D"/>
    <w:rsid w:val="1E3E4DFA"/>
    <w:rsid w:val="1E482238"/>
    <w:rsid w:val="1E5315D0"/>
    <w:rsid w:val="1E574FEF"/>
    <w:rsid w:val="1E5D0198"/>
    <w:rsid w:val="1E6C5F91"/>
    <w:rsid w:val="1E7F03C3"/>
    <w:rsid w:val="1E8132CB"/>
    <w:rsid w:val="1E8A0861"/>
    <w:rsid w:val="1E972EAB"/>
    <w:rsid w:val="1EAB1B45"/>
    <w:rsid w:val="1EB8717C"/>
    <w:rsid w:val="1EBE2E91"/>
    <w:rsid w:val="1EE347A1"/>
    <w:rsid w:val="1EF90112"/>
    <w:rsid w:val="1EFF4DAB"/>
    <w:rsid w:val="1F023604"/>
    <w:rsid w:val="1F1E6718"/>
    <w:rsid w:val="1F26368F"/>
    <w:rsid w:val="1F2C1918"/>
    <w:rsid w:val="1F3339B3"/>
    <w:rsid w:val="1F401B32"/>
    <w:rsid w:val="1F487DF4"/>
    <w:rsid w:val="1F645556"/>
    <w:rsid w:val="1F6E694A"/>
    <w:rsid w:val="1F817EB6"/>
    <w:rsid w:val="1FB20BA0"/>
    <w:rsid w:val="1FB8780A"/>
    <w:rsid w:val="1FBA4278"/>
    <w:rsid w:val="1FC14846"/>
    <w:rsid w:val="1FD45C2F"/>
    <w:rsid w:val="1FDE361C"/>
    <w:rsid w:val="1FFB2068"/>
    <w:rsid w:val="2001051F"/>
    <w:rsid w:val="202A0FFF"/>
    <w:rsid w:val="20514977"/>
    <w:rsid w:val="205C66A4"/>
    <w:rsid w:val="208A2D9A"/>
    <w:rsid w:val="208F6602"/>
    <w:rsid w:val="209D2ACD"/>
    <w:rsid w:val="20A03D98"/>
    <w:rsid w:val="20A53730"/>
    <w:rsid w:val="20B15584"/>
    <w:rsid w:val="20C718F8"/>
    <w:rsid w:val="20D63403"/>
    <w:rsid w:val="20D95BBA"/>
    <w:rsid w:val="20DA04EA"/>
    <w:rsid w:val="20DD35D9"/>
    <w:rsid w:val="210655D2"/>
    <w:rsid w:val="2110329F"/>
    <w:rsid w:val="2112446B"/>
    <w:rsid w:val="211263F3"/>
    <w:rsid w:val="215315A3"/>
    <w:rsid w:val="21633526"/>
    <w:rsid w:val="21667DBF"/>
    <w:rsid w:val="21845475"/>
    <w:rsid w:val="21FA27FC"/>
    <w:rsid w:val="220A4192"/>
    <w:rsid w:val="221617FA"/>
    <w:rsid w:val="2223484D"/>
    <w:rsid w:val="223A081C"/>
    <w:rsid w:val="22525628"/>
    <w:rsid w:val="229B12D2"/>
    <w:rsid w:val="22AF4D3A"/>
    <w:rsid w:val="22D13998"/>
    <w:rsid w:val="22DA283C"/>
    <w:rsid w:val="22FB36A7"/>
    <w:rsid w:val="230054CC"/>
    <w:rsid w:val="230E1A60"/>
    <w:rsid w:val="230F07B2"/>
    <w:rsid w:val="231C1E27"/>
    <w:rsid w:val="23264FFC"/>
    <w:rsid w:val="233245EB"/>
    <w:rsid w:val="23443A89"/>
    <w:rsid w:val="235D015D"/>
    <w:rsid w:val="23607839"/>
    <w:rsid w:val="237431DD"/>
    <w:rsid w:val="2376000D"/>
    <w:rsid w:val="238364F0"/>
    <w:rsid w:val="239E1790"/>
    <w:rsid w:val="23A778FA"/>
    <w:rsid w:val="23A959FE"/>
    <w:rsid w:val="23C126AC"/>
    <w:rsid w:val="23CB681B"/>
    <w:rsid w:val="23E37BEC"/>
    <w:rsid w:val="24004903"/>
    <w:rsid w:val="24036EFC"/>
    <w:rsid w:val="24217955"/>
    <w:rsid w:val="242A35B7"/>
    <w:rsid w:val="2438308A"/>
    <w:rsid w:val="24482D50"/>
    <w:rsid w:val="247C0DC2"/>
    <w:rsid w:val="248E761B"/>
    <w:rsid w:val="249E051C"/>
    <w:rsid w:val="249F2767"/>
    <w:rsid w:val="24A71B82"/>
    <w:rsid w:val="24C1228E"/>
    <w:rsid w:val="24C20D54"/>
    <w:rsid w:val="24EE4037"/>
    <w:rsid w:val="25012FEF"/>
    <w:rsid w:val="25491638"/>
    <w:rsid w:val="257F27A2"/>
    <w:rsid w:val="25A66A89"/>
    <w:rsid w:val="25A70838"/>
    <w:rsid w:val="25AC5561"/>
    <w:rsid w:val="25B0117A"/>
    <w:rsid w:val="25BB6FAC"/>
    <w:rsid w:val="25C94509"/>
    <w:rsid w:val="25E71D9C"/>
    <w:rsid w:val="25EB4F1A"/>
    <w:rsid w:val="26137AED"/>
    <w:rsid w:val="26375BE2"/>
    <w:rsid w:val="26391088"/>
    <w:rsid w:val="264771E2"/>
    <w:rsid w:val="26510B04"/>
    <w:rsid w:val="265313D6"/>
    <w:rsid w:val="26536735"/>
    <w:rsid w:val="266519CE"/>
    <w:rsid w:val="268A7C11"/>
    <w:rsid w:val="26920CEC"/>
    <w:rsid w:val="26990B1F"/>
    <w:rsid w:val="26A3248C"/>
    <w:rsid w:val="26A35677"/>
    <w:rsid w:val="26B1387B"/>
    <w:rsid w:val="26BE4157"/>
    <w:rsid w:val="26CA0394"/>
    <w:rsid w:val="26D260B7"/>
    <w:rsid w:val="26D7485F"/>
    <w:rsid w:val="26E26C4E"/>
    <w:rsid w:val="26EF34B7"/>
    <w:rsid w:val="27003DB6"/>
    <w:rsid w:val="270A6E8A"/>
    <w:rsid w:val="270B59FD"/>
    <w:rsid w:val="273E043A"/>
    <w:rsid w:val="27462CA3"/>
    <w:rsid w:val="274E07FC"/>
    <w:rsid w:val="27693709"/>
    <w:rsid w:val="276F41FD"/>
    <w:rsid w:val="27A76063"/>
    <w:rsid w:val="27C32964"/>
    <w:rsid w:val="27DC520D"/>
    <w:rsid w:val="27E51677"/>
    <w:rsid w:val="27FA0805"/>
    <w:rsid w:val="2826007F"/>
    <w:rsid w:val="282D0BDB"/>
    <w:rsid w:val="28386DEB"/>
    <w:rsid w:val="283F41D5"/>
    <w:rsid w:val="283F66DF"/>
    <w:rsid w:val="286376F4"/>
    <w:rsid w:val="286758DC"/>
    <w:rsid w:val="286A7756"/>
    <w:rsid w:val="28793BB4"/>
    <w:rsid w:val="288D72C1"/>
    <w:rsid w:val="28967154"/>
    <w:rsid w:val="289F5C3A"/>
    <w:rsid w:val="28DE56DA"/>
    <w:rsid w:val="28F1412B"/>
    <w:rsid w:val="28FD3D8A"/>
    <w:rsid w:val="290A1D9A"/>
    <w:rsid w:val="290C07F0"/>
    <w:rsid w:val="29440437"/>
    <w:rsid w:val="295D6047"/>
    <w:rsid w:val="29676621"/>
    <w:rsid w:val="297B5B80"/>
    <w:rsid w:val="29820AB2"/>
    <w:rsid w:val="298365D8"/>
    <w:rsid w:val="29954928"/>
    <w:rsid w:val="299D5402"/>
    <w:rsid w:val="29B822DE"/>
    <w:rsid w:val="29C56BF1"/>
    <w:rsid w:val="29D8188F"/>
    <w:rsid w:val="29DA08EE"/>
    <w:rsid w:val="29E77F7E"/>
    <w:rsid w:val="2A006FF2"/>
    <w:rsid w:val="2A1127A5"/>
    <w:rsid w:val="2A224043"/>
    <w:rsid w:val="2A390EC5"/>
    <w:rsid w:val="2A4207D7"/>
    <w:rsid w:val="2A4E2E99"/>
    <w:rsid w:val="2A6E0C28"/>
    <w:rsid w:val="2A6E69A9"/>
    <w:rsid w:val="2A822165"/>
    <w:rsid w:val="2AA44A58"/>
    <w:rsid w:val="2AC82E3D"/>
    <w:rsid w:val="2B0977BA"/>
    <w:rsid w:val="2B0F281A"/>
    <w:rsid w:val="2B4A5600"/>
    <w:rsid w:val="2B7D03AC"/>
    <w:rsid w:val="2B96021B"/>
    <w:rsid w:val="2B977943"/>
    <w:rsid w:val="2B99505F"/>
    <w:rsid w:val="2B996587"/>
    <w:rsid w:val="2B9D4F9E"/>
    <w:rsid w:val="2BB37649"/>
    <w:rsid w:val="2BD93E16"/>
    <w:rsid w:val="2BDA4BD6"/>
    <w:rsid w:val="2BE573F1"/>
    <w:rsid w:val="2BF95B17"/>
    <w:rsid w:val="2BFE2063"/>
    <w:rsid w:val="2C0020D5"/>
    <w:rsid w:val="2C0A3CD6"/>
    <w:rsid w:val="2C635239"/>
    <w:rsid w:val="2C775458"/>
    <w:rsid w:val="2C81149E"/>
    <w:rsid w:val="2C8B33B1"/>
    <w:rsid w:val="2C8D74B4"/>
    <w:rsid w:val="2C8E3C12"/>
    <w:rsid w:val="2C907188"/>
    <w:rsid w:val="2C931354"/>
    <w:rsid w:val="2C960613"/>
    <w:rsid w:val="2C972AC7"/>
    <w:rsid w:val="2C9C00DD"/>
    <w:rsid w:val="2C9D0E95"/>
    <w:rsid w:val="2CA20A31"/>
    <w:rsid w:val="2CA43435"/>
    <w:rsid w:val="2CAB3F5A"/>
    <w:rsid w:val="2CAC3151"/>
    <w:rsid w:val="2CAC68C5"/>
    <w:rsid w:val="2CC75328"/>
    <w:rsid w:val="2CD83DA4"/>
    <w:rsid w:val="2CE80D6A"/>
    <w:rsid w:val="2CEC66FF"/>
    <w:rsid w:val="2D0E20C8"/>
    <w:rsid w:val="2D151C3D"/>
    <w:rsid w:val="2D29684A"/>
    <w:rsid w:val="2D5631DB"/>
    <w:rsid w:val="2D611067"/>
    <w:rsid w:val="2D6F1B28"/>
    <w:rsid w:val="2D764C9B"/>
    <w:rsid w:val="2D7A16DF"/>
    <w:rsid w:val="2D7F638E"/>
    <w:rsid w:val="2D8A4A05"/>
    <w:rsid w:val="2DA00AFF"/>
    <w:rsid w:val="2DA82688"/>
    <w:rsid w:val="2DAE399D"/>
    <w:rsid w:val="2DBE68EC"/>
    <w:rsid w:val="2DF07CB3"/>
    <w:rsid w:val="2E15356A"/>
    <w:rsid w:val="2E1672B4"/>
    <w:rsid w:val="2E2109E0"/>
    <w:rsid w:val="2E2B0B29"/>
    <w:rsid w:val="2E305BBA"/>
    <w:rsid w:val="2E346C81"/>
    <w:rsid w:val="2E3B56D4"/>
    <w:rsid w:val="2E56075F"/>
    <w:rsid w:val="2E7362CB"/>
    <w:rsid w:val="2E794C42"/>
    <w:rsid w:val="2E7C01C6"/>
    <w:rsid w:val="2E8B491A"/>
    <w:rsid w:val="2EA77830"/>
    <w:rsid w:val="2EBE3815"/>
    <w:rsid w:val="2EED10C4"/>
    <w:rsid w:val="2EF04710"/>
    <w:rsid w:val="2EF101E2"/>
    <w:rsid w:val="2F0B154A"/>
    <w:rsid w:val="2F406DA4"/>
    <w:rsid w:val="2F4746A1"/>
    <w:rsid w:val="2F600C08"/>
    <w:rsid w:val="2F707ABB"/>
    <w:rsid w:val="2F8B7F95"/>
    <w:rsid w:val="2F963509"/>
    <w:rsid w:val="2F9875CB"/>
    <w:rsid w:val="2FA3175F"/>
    <w:rsid w:val="2FAD0853"/>
    <w:rsid w:val="2FD227E0"/>
    <w:rsid w:val="2FE95603"/>
    <w:rsid w:val="2FFA0E06"/>
    <w:rsid w:val="300C351C"/>
    <w:rsid w:val="30260A69"/>
    <w:rsid w:val="302F00F8"/>
    <w:rsid w:val="304C24F9"/>
    <w:rsid w:val="30731750"/>
    <w:rsid w:val="307B1E51"/>
    <w:rsid w:val="30864FB3"/>
    <w:rsid w:val="30AE2FAC"/>
    <w:rsid w:val="30B06559"/>
    <w:rsid w:val="30CE282F"/>
    <w:rsid w:val="30EE0208"/>
    <w:rsid w:val="30EE07A4"/>
    <w:rsid w:val="30F1251B"/>
    <w:rsid w:val="311B378E"/>
    <w:rsid w:val="31496359"/>
    <w:rsid w:val="314A2E16"/>
    <w:rsid w:val="314C5AA9"/>
    <w:rsid w:val="31576AD2"/>
    <w:rsid w:val="31585F09"/>
    <w:rsid w:val="316B18F9"/>
    <w:rsid w:val="317F32EF"/>
    <w:rsid w:val="318E5F0C"/>
    <w:rsid w:val="31AA329C"/>
    <w:rsid w:val="31BF5D8A"/>
    <w:rsid w:val="31C679AA"/>
    <w:rsid w:val="31CE1060"/>
    <w:rsid w:val="31D532CE"/>
    <w:rsid w:val="31D66EE3"/>
    <w:rsid w:val="31F06323"/>
    <w:rsid w:val="320069AB"/>
    <w:rsid w:val="321B7CF6"/>
    <w:rsid w:val="3232528E"/>
    <w:rsid w:val="324E38E7"/>
    <w:rsid w:val="32593DEA"/>
    <w:rsid w:val="325C76F0"/>
    <w:rsid w:val="32645C38"/>
    <w:rsid w:val="32786EF6"/>
    <w:rsid w:val="3278795C"/>
    <w:rsid w:val="3292066C"/>
    <w:rsid w:val="32B34D3A"/>
    <w:rsid w:val="32BF7425"/>
    <w:rsid w:val="32C164D8"/>
    <w:rsid w:val="32E25B03"/>
    <w:rsid w:val="32E8427B"/>
    <w:rsid w:val="32F860CE"/>
    <w:rsid w:val="32FD0450"/>
    <w:rsid w:val="32FE4BFC"/>
    <w:rsid w:val="33011DC7"/>
    <w:rsid w:val="33463770"/>
    <w:rsid w:val="334A49CE"/>
    <w:rsid w:val="335778FF"/>
    <w:rsid w:val="335A310A"/>
    <w:rsid w:val="336F0DDC"/>
    <w:rsid w:val="33C6263F"/>
    <w:rsid w:val="33FA282F"/>
    <w:rsid w:val="34086058"/>
    <w:rsid w:val="34254561"/>
    <w:rsid w:val="344F1ED9"/>
    <w:rsid w:val="345230E3"/>
    <w:rsid w:val="34524761"/>
    <w:rsid w:val="345445D7"/>
    <w:rsid w:val="34774B3F"/>
    <w:rsid w:val="34827C54"/>
    <w:rsid w:val="348C6D6F"/>
    <w:rsid w:val="34B059AD"/>
    <w:rsid w:val="34B16F93"/>
    <w:rsid w:val="34D714FA"/>
    <w:rsid w:val="34E268A9"/>
    <w:rsid w:val="34E27F55"/>
    <w:rsid w:val="34FF4A63"/>
    <w:rsid w:val="350031D3"/>
    <w:rsid w:val="35024DB0"/>
    <w:rsid w:val="354F36F2"/>
    <w:rsid w:val="3553285E"/>
    <w:rsid w:val="35715B00"/>
    <w:rsid w:val="35745C84"/>
    <w:rsid w:val="35836658"/>
    <w:rsid w:val="35A34CB6"/>
    <w:rsid w:val="35A61FCC"/>
    <w:rsid w:val="35AC5BF8"/>
    <w:rsid w:val="35B530BD"/>
    <w:rsid w:val="35B53FBD"/>
    <w:rsid w:val="35D11DB2"/>
    <w:rsid w:val="35E02D14"/>
    <w:rsid w:val="35F072D7"/>
    <w:rsid w:val="35F5085E"/>
    <w:rsid w:val="35FB2318"/>
    <w:rsid w:val="360B7CCC"/>
    <w:rsid w:val="360E1D3B"/>
    <w:rsid w:val="36117920"/>
    <w:rsid w:val="36157648"/>
    <w:rsid w:val="36193561"/>
    <w:rsid w:val="361D6379"/>
    <w:rsid w:val="366826CD"/>
    <w:rsid w:val="36866514"/>
    <w:rsid w:val="3687595A"/>
    <w:rsid w:val="36910587"/>
    <w:rsid w:val="369B2ADB"/>
    <w:rsid w:val="369D6F2B"/>
    <w:rsid w:val="36D06F37"/>
    <w:rsid w:val="36D07E23"/>
    <w:rsid w:val="36D6243D"/>
    <w:rsid w:val="36FB26D8"/>
    <w:rsid w:val="371D62BE"/>
    <w:rsid w:val="37224B36"/>
    <w:rsid w:val="373A6E70"/>
    <w:rsid w:val="37420CE6"/>
    <w:rsid w:val="375A12C0"/>
    <w:rsid w:val="376653D9"/>
    <w:rsid w:val="37736005"/>
    <w:rsid w:val="377C71B6"/>
    <w:rsid w:val="37860BFA"/>
    <w:rsid w:val="379105D4"/>
    <w:rsid w:val="379D63C4"/>
    <w:rsid w:val="37A03683"/>
    <w:rsid w:val="37A45D49"/>
    <w:rsid w:val="37AB5B16"/>
    <w:rsid w:val="37AE1EB8"/>
    <w:rsid w:val="37C32395"/>
    <w:rsid w:val="37C3691B"/>
    <w:rsid w:val="37DC59B4"/>
    <w:rsid w:val="380726AF"/>
    <w:rsid w:val="380803DD"/>
    <w:rsid w:val="381334DD"/>
    <w:rsid w:val="381C3D8E"/>
    <w:rsid w:val="3825443A"/>
    <w:rsid w:val="382D42DF"/>
    <w:rsid w:val="382D57A1"/>
    <w:rsid w:val="38353194"/>
    <w:rsid w:val="38397128"/>
    <w:rsid w:val="38631140"/>
    <w:rsid w:val="38647824"/>
    <w:rsid w:val="388D17D9"/>
    <w:rsid w:val="388F0AF6"/>
    <w:rsid w:val="38A55EB5"/>
    <w:rsid w:val="38B16CBE"/>
    <w:rsid w:val="38C04F90"/>
    <w:rsid w:val="38D17360"/>
    <w:rsid w:val="38DC3BBD"/>
    <w:rsid w:val="38F848ED"/>
    <w:rsid w:val="39044CAB"/>
    <w:rsid w:val="390908A8"/>
    <w:rsid w:val="39351ABD"/>
    <w:rsid w:val="3936598C"/>
    <w:rsid w:val="39397864"/>
    <w:rsid w:val="397E60B8"/>
    <w:rsid w:val="39977436"/>
    <w:rsid w:val="39A5234C"/>
    <w:rsid w:val="39C12178"/>
    <w:rsid w:val="39D2513E"/>
    <w:rsid w:val="3A043FBC"/>
    <w:rsid w:val="3A12378C"/>
    <w:rsid w:val="3A240320"/>
    <w:rsid w:val="3A341738"/>
    <w:rsid w:val="3A6D0EEC"/>
    <w:rsid w:val="3A842CC0"/>
    <w:rsid w:val="3A8B243C"/>
    <w:rsid w:val="3A8B781B"/>
    <w:rsid w:val="3AA55A81"/>
    <w:rsid w:val="3AA83B9E"/>
    <w:rsid w:val="3AA9434F"/>
    <w:rsid w:val="3AB23503"/>
    <w:rsid w:val="3AD379F0"/>
    <w:rsid w:val="3AD76784"/>
    <w:rsid w:val="3AEB4F1C"/>
    <w:rsid w:val="3B1E7497"/>
    <w:rsid w:val="3B2A6911"/>
    <w:rsid w:val="3B343BD6"/>
    <w:rsid w:val="3B46549A"/>
    <w:rsid w:val="3B4C7C85"/>
    <w:rsid w:val="3B557A2C"/>
    <w:rsid w:val="3B8E32E7"/>
    <w:rsid w:val="3B977986"/>
    <w:rsid w:val="3BA61C17"/>
    <w:rsid w:val="3BA67076"/>
    <w:rsid w:val="3BB92CB6"/>
    <w:rsid w:val="3BC35686"/>
    <w:rsid w:val="3BC96E17"/>
    <w:rsid w:val="3BCC23C7"/>
    <w:rsid w:val="3BD51CB4"/>
    <w:rsid w:val="3BDF3DFC"/>
    <w:rsid w:val="3BE21564"/>
    <w:rsid w:val="3BFC41C2"/>
    <w:rsid w:val="3C0C53B1"/>
    <w:rsid w:val="3C4A1903"/>
    <w:rsid w:val="3C602F68"/>
    <w:rsid w:val="3C6560A3"/>
    <w:rsid w:val="3C670777"/>
    <w:rsid w:val="3C6B3628"/>
    <w:rsid w:val="3C93514F"/>
    <w:rsid w:val="3C996ABF"/>
    <w:rsid w:val="3C9C1629"/>
    <w:rsid w:val="3CA42084"/>
    <w:rsid w:val="3CAC611A"/>
    <w:rsid w:val="3CCE07EF"/>
    <w:rsid w:val="3CCF02EC"/>
    <w:rsid w:val="3CE91FF6"/>
    <w:rsid w:val="3CFE2191"/>
    <w:rsid w:val="3CFE5C95"/>
    <w:rsid w:val="3D0B6E4A"/>
    <w:rsid w:val="3D120DFA"/>
    <w:rsid w:val="3D30438A"/>
    <w:rsid w:val="3D611C46"/>
    <w:rsid w:val="3D622AC8"/>
    <w:rsid w:val="3D6B09C3"/>
    <w:rsid w:val="3D7430F2"/>
    <w:rsid w:val="3D9A6107"/>
    <w:rsid w:val="3D9B1CEB"/>
    <w:rsid w:val="3D9F2A12"/>
    <w:rsid w:val="3DAD378B"/>
    <w:rsid w:val="3DB95069"/>
    <w:rsid w:val="3DC206DC"/>
    <w:rsid w:val="3DC96989"/>
    <w:rsid w:val="3DD0360A"/>
    <w:rsid w:val="3DEE43DE"/>
    <w:rsid w:val="3E43103C"/>
    <w:rsid w:val="3E686983"/>
    <w:rsid w:val="3E7A0E1D"/>
    <w:rsid w:val="3E856F7E"/>
    <w:rsid w:val="3EAE3246"/>
    <w:rsid w:val="3EBB346D"/>
    <w:rsid w:val="3EC20865"/>
    <w:rsid w:val="3EC7548D"/>
    <w:rsid w:val="3EE626C8"/>
    <w:rsid w:val="3EEC033C"/>
    <w:rsid w:val="3EFA7D76"/>
    <w:rsid w:val="3F022566"/>
    <w:rsid w:val="3F2917B8"/>
    <w:rsid w:val="3F47212A"/>
    <w:rsid w:val="3F4B392D"/>
    <w:rsid w:val="3F6820A1"/>
    <w:rsid w:val="3F8931B5"/>
    <w:rsid w:val="3F9D6219"/>
    <w:rsid w:val="3FE96429"/>
    <w:rsid w:val="3FEB51AC"/>
    <w:rsid w:val="3FEC15A5"/>
    <w:rsid w:val="3FF41070"/>
    <w:rsid w:val="3FF44198"/>
    <w:rsid w:val="3FFF7917"/>
    <w:rsid w:val="400718BA"/>
    <w:rsid w:val="40347989"/>
    <w:rsid w:val="40404565"/>
    <w:rsid w:val="4042142A"/>
    <w:rsid w:val="404F6A17"/>
    <w:rsid w:val="407357A1"/>
    <w:rsid w:val="40A5718E"/>
    <w:rsid w:val="40A8243D"/>
    <w:rsid w:val="40AB6274"/>
    <w:rsid w:val="40C25664"/>
    <w:rsid w:val="40F17163"/>
    <w:rsid w:val="40FC085C"/>
    <w:rsid w:val="410F357E"/>
    <w:rsid w:val="41173D7E"/>
    <w:rsid w:val="41390C59"/>
    <w:rsid w:val="41517290"/>
    <w:rsid w:val="41617795"/>
    <w:rsid w:val="419B3B4A"/>
    <w:rsid w:val="41AC1FAB"/>
    <w:rsid w:val="41AD023F"/>
    <w:rsid w:val="41B3449C"/>
    <w:rsid w:val="41B62399"/>
    <w:rsid w:val="41D61B0D"/>
    <w:rsid w:val="41D63722"/>
    <w:rsid w:val="41D703BC"/>
    <w:rsid w:val="41E4279A"/>
    <w:rsid w:val="41EE64BE"/>
    <w:rsid w:val="41FC4A51"/>
    <w:rsid w:val="421232C8"/>
    <w:rsid w:val="42191A02"/>
    <w:rsid w:val="42330D06"/>
    <w:rsid w:val="42576B28"/>
    <w:rsid w:val="425B1F0F"/>
    <w:rsid w:val="42664FBD"/>
    <w:rsid w:val="42707BEA"/>
    <w:rsid w:val="4274748A"/>
    <w:rsid w:val="428752AA"/>
    <w:rsid w:val="42B45E9A"/>
    <w:rsid w:val="42C910A8"/>
    <w:rsid w:val="42CF2B62"/>
    <w:rsid w:val="42D75573"/>
    <w:rsid w:val="42DA32B5"/>
    <w:rsid w:val="42F01A7D"/>
    <w:rsid w:val="430210EA"/>
    <w:rsid w:val="43212EF5"/>
    <w:rsid w:val="433A5519"/>
    <w:rsid w:val="433E1A96"/>
    <w:rsid w:val="434B43BD"/>
    <w:rsid w:val="43741C39"/>
    <w:rsid w:val="437C72D0"/>
    <w:rsid w:val="43A13601"/>
    <w:rsid w:val="43B43B06"/>
    <w:rsid w:val="43B6162D"/>
    <w:rsid w:val="43B706C6"/>
    <w:rsid w:val="43C04259"/>
    <w:rsid w:val="43E84027"/>
    <w:rsid w:val="43EA09FA"/>
    <w:rsid w:val="441C734C"/>
    <w:rsid w:val="444A6219"/>
    <w:rsid w:val="44566FF3"/>
    <w:rsid w:val="447F5EC2"/>
    <w:rsid w:val="44A40300"/>
    <w:rsid w:val="44AD76AA"/>
    <w:rsid w:val="44B70F82"/>
    <w:rsid w:val="44CD4D6A"/>
    <w:rsid w:val="45112D35"/>
    <w:rsid w:val="45196317"/>
    <w:rsid w:val="4529072A"/>
    <w:rsid w:val="45311AE8"/>
    <w:rsid w:val="453264E1"/>
    <w:rsid w:val="4536346A"/>
    <w:rsid w:val="4554734F"/>
    <w:rsid w:val="4563661D"/>
    <w:rsid w:val="458530E9"/>
    <w:rsid w:val="45894D2B"/>
    <w:rsid w:val="4589735D"/>
    <w:rsid w:val="459E681C"/>
    <w:rsid w:val="45B070A0"/>
    <w:rsid w:val="45C31ED4"/>
    <w:rsid w:val="45EB1EB5"/>
    <w:rsid w:val="45F0214F"/>
    <w:rsid w:val="45F14B9E"/>
    <w:rsid w:val="45FA1ED7"/>
    <w:rsid w:val="460D53EE"/>
    <w:rsid w:val="46465642"/>
    <w:rsid w:val="46592743"/>
    <w:rsid w:val="46704C76"/>
    <w:rsid w:val="4677165D"/>
    <w:rsid w:val="46803B4E"/>
    <w:rsid w:val="46841EB6"/>
    <w:rsid w:val="46C202E8"/>
    <w:rsid w:val="46CA389F"/>
    <w:rsid w:val="46D423C5"/>
    <w:rsid w:val="46EE5581"/>
    <w:rsid w:val="46FF2C6C"/>
    <w:rsid w:val="470422FD"/>
    <w:rsid w:val="470B7EE1"/>
    <w:rsid w:val="47144E48"/>
    <w:rsid w:val="471825FE"/>
    <w:rsid w:val="471F4992"/>
    <w:rsid w:val="473A07C7"/>
    <w:rsid w:val="47424E1F"/>
    <w:rsid w:val="47430A83"/>
    <w:rsid w:val="47451645"/>
    <w:rsid w:val="47503678"/>
    <w:rsid w:val="47507FEA"/>
    <w:rsid w:val="476D2268"/>
    <w:rsid w:val="47867568"/>
    <w:rsid w:val="47880B6B"/>
    <w:rsid w:val="47A75E8E"/>
    <w:rsid w:val="47B075BE"/>
    <w:rsid w:val="47B265AF"/>
    <w:rsid w:val="47B75973"/>
    <w:rsid w:val="47BA3DD9"/>
    <w:rsid w:val="47C0769A"/>
    <w:rsid w:val="47C760CC"/>
    <w:rsid w:val="47EC5B7F"/>
    <w:rsid w:val="480B5C6B"/>
    <w:rsid w:val="481B3C45"/>
    <w:rsid w:val="483154E0"/>
    <w:rsid w:val="48413D65"/>
    <w:rsid w:val="4846500A"/>
    <w:rsid w:val="48482A6F"/>
    <w:rsid w:val="48501D84"/>
    <w:rsid w:val="48723E9B"/>
    <w:rsid w:val="48777B65"/>
    <w:rsid w:val="488E621A"/>
    <w:rsid w:val="48932BB6"/>
    <w:rsid w:val="48A203D1"/>
    <w:rsid w:val="48CA3F2C"/>
    <w:rsid w:val="48D168BD"/>
    <w:rsid w:val="48D34A2F"/>
    <w:rsid w:val="48EB7FCA"/>
    <w:rsid w:val="48F76B95"/>
    <w:rsid w:val="49001429"/>
    <w:rsid w:val="492E6927"/>
    <w:rsid w:val="494D1368"/>
    <w:rsid w:val="49534635"/>
    <w:rsid w:val="496E6505"/>
    <w:rsid w:val="49781D4F"/>
    <w:rsid w:val="49891591"/>
    <w:rsid w:val="498D4A21"/>
    <w:rsid w:val="49A511D4"/>
    <w:rsid w:val="49AD5280"/>
    <w:rsid w:val="49EE14BB"/>
    <w:rsid w:val="49F11610"/>
    <w:rsid w:val="49FB620F"/>
    <w:rsid w:val="4A5230F5"/>
    <w:rsid w:val="4A557B85"/>
    <w:rsid w:val="4A5E745F"/>
    <w:rsid w:val="4A7E6C1C"/>
    <w:rsid w:val="4A8C1AC2"/>
    <w:rsid w:val="4A8E12A0"/>
    <w:rsid w:val="4AA63EBB"/>
    <w:rsid w:val="4AAD305D"/>
    <w:rsid w:val="4AAE2C0E"/>
    <w:rsid w:val="4AAF0E80"/>
    <w:rsid w:val="4ABC4527"/>
    <w:rsid w:val="4AD04041"/>
    <w:rsid w:val="4ADD1B95"/>
    <w:rsid w:val="4AE271AB"/>
    <w:rsid w:val="4AF55130"/>
    <w:rsid w:val="4AF93E35"/>
    <w:rsid w:val="4AFB0342"/>
    <w:rsid w:val="4B0613F2"/>
    <w:rsid w:val="4B096751"/>
    <w:rsid w:val="4B1273AC"/>
    <w:rsid w:val="4B180726"/>
    <w:rsid w:val="4B2371D2"/>
    <w:rsid w:val="4B3C4B05"/>
    <w:rsid w:val="4B4C2876"/>
    <w:rsid w:val="4B6253B9"/>
    <w:rsid w:val="4B83598F"/>
    <w:rsid w:val="4B960018"/>
    <w:rsid w:val="4B960BFC"/>
    <w:rsid w:val="4BA3693A"/>
    <w:rsid w:val="4BC92FD4"/>
    <w:rsid w:val="4BCD7E5B"/>
    <w:rsid w:val="4C0163F0"/>
    <w:rsid w:val="4C03562B"/>
    <w:rsid w:val="4C070814"/>
    <w:rsid w:val="4C2B7556"/>
    <w:rsid w:val="4C4D7906"/>
    <w:rsid w:val="4C6C31D0"/>
    <w:rsid w:val="4C73639E"/>
    <w:rsid w:val="4C77137C"/>
    <w:rsid w:val="4C83242D"/>
    <w:rsid w:val="4C8B0365"/>
    <w:rsid w:val="4C90126D"/>
    <w:rsid w:val="4C912091"/>
    <w:rsid w:val="4C940979"/>
    <w:rsid w:val="4C9E2016"/>
    <w:rsid w:val="4CA97DD5"/>
    <w:rsid w:val="4CAE1A3B"/>
    <w:rsid w:val="4CC10780"/>
    <w:rsid w:val="4CD30603"/>
    <w:rsid w:val="4CF11927"/>
    <w:rsid w:val="4D0C6B88"/>
    <w:rsid w:val="4D2B4E39"/>
    <w:rsid w:val="4D4721DD"/>
    <w:rsid w:val="4D4B37D0"/>
    <w:rsid w:val="4D5169BA"/>
    <w:rsid w:val="4D7560B4"/>
    <w:rsid w:val="4D7F09B1"/>
    <w:rsid w:val="4DAD5669"/>
    <w:rsid w:val="4DB23DDF"/>
    <w:rsid w:val="4DC14130"/>
    <w:rsid w:val="4DD52FF7"/>
    <w:rsid w:val="4DD84ECC"/>
    <w:rsid w:val="4DDA47CA"/>
    <w:rsid w:val="4DE46461"/>
    <w:rsid w:val="4DF67580"/>
    <w:rsid w:val="4DFE42FC"/>
    <w:rsid w:val="4E006DA4"/>
    <w:rsid w:val="4E0B7129"/>
    <w:rsid w:val="4E0C2C35"/>
    <w:rsid w:val="4E0D3EA6"/>
    <w:rsid w:val="4E2D2E33"/>
    <w:rsid w:val="4E3C5478"/>
    <w:rsid w:val="4E426DF2"/>
    <w:rsid w:val="4E5928F7"/>
    <w:rsid w:val="4E5B2E59"/>
    <w:rsid w:val="4E60721C"/>
    <w:rsid w:val="4E812777"/>
    <w:rsid w:val="4E93535E"/>
    <w:rsid w:val="4EA2737D"/>
    <w:rsid w:val="4EA713E8"/>
    <w:rsid w:val="4EA97CD4"/>
    <w:rsid w:val="4EFA3CD1"/>
    <w:rsid w:val="4F3124AF"/>
    <w:rsid w:val="4F687206"/>
    <w:rsid w:val="4F710244"/>
    <w:rsid w:val="4F89269A"/>
    <w:rsid w:val="4F95440F"/>
    <w:rsid w:val="4F9C7917"/>
    <w:rsid w:val="4FA15035"/>
    <w:rsid w:val="4FAF6FEC"/>
    <w:rsid w:val="4FB872B2"/>
    <w:rsid w:val="4FD23C92"/>
    <w:rsid w:val="4FF2431E"/>
    <w:rsid w:val="501201FE"/>
    <w:rsid w:val="501550A3"/>
    <w:rsid w:val="501A3974"/>
    <w:rsid w:val="501E4AF7"/>
    <w:rsid w:val="502D0EC8"/>
    <w:rsid w:val="50360DDF"/>
    <w:rsid w:val="50751A73"/>
    <w:rsid w:val="50C80218"/>
    <w:rsid w:val="50CB2475"/>
    <w:rsid w:val="50E55710"/>
    <w:rsid w:val="50E62923"/>
    <w:rsid w:val="50F4276C"/>
    <w:rsid w:val="50FD1CE5"/>
    <w:rsid w:val="5114337B"/>
    <w:rsid w:val="511B39FD"/>
    <w:rsid w:val="51397D22"/>
    <w:rsid w:val="5151508A"/>
    <w:rsid w:val="51531A7A"/>
    <w:rsid w:val="517D7C2E"/>
    <w:rsid w:val="518B6FF5"/>
    <w:rsid w:val="51AE73D5"/>
    <w:rsid w:val="51B573C7"/>
    <w:rsid w:val="51CB0467"/>
    <w:rsid w:val="51E31929"/>
    <w:rsid w:val="52032571"/>
    <w:rsid w:val="520A1843"/>
    <w:rsid w:val="52150AE5"/>
    <w:rsid w:val="524D7832"/>
    <w:rsid w:val="52567130"/>
    <w:rsid w:val="526E4730"/>
    <w:rsid w:val="5278234D"/>
    <w:rsid w:val="528C52D4"/>
    <w:rsid w:val="52A1525C"/>
    <w:rsid w:val="52BC4786"/>
    <w:rsid w:val="52DB7818"/>
    <w:rsid w:val="52F3258C"/>
    <w:rsid w:val="5317166F"/>
    <w:rsid w:val="531C1F20"/>
    <w:rsid w:val="531D5224"/>
    <w:rsid w:val="531D5A56"/>
    <w:rsid w:val="532B3906"/>
    <w:rsid w:val="533E4D5A"/>
    <w:rsid w:val="53433B57"/>
    <w:rsid w:val="535B4063"/>
    <w:rsid w:val="5362532D"/>
    <w:rsid w:val="536A1E5A"/>
    <w:rsid w:val="536F35A6"/>
    <w:rsid w:val="5371089E"/>
    <w:rsid w:val="53795458"/>
    <w:rsid w:val="539F3E8B"/>
    <w:rsid w:val="53AC65A8"/>
    <w:rsid w:val="53AE1B52"/>
    <w:rsid w:val="53C37E77"/>
    <w:rsid w:val="53D457EE"/>
    <w:rsid w:val="53D77077"/>
    <w:rsid w:val="53DE32C0"/>
    <w:rsid w:val="53E775E0"/>
    <w:rsid w:val="53F80700"/>
    <w:rsid w:val="53FD0BB2"/>
    <w:rsid w:val="53FD6E04"/>
    <w:rsid w:val="541505F1"/>
    <w:rsid w:val="543506B8"/>
    <w:rsid w:val="54363EAB"/>
    <w:rsid w:val="543C1C63"/>
    <w:rsid w:val="545822E2"/>
    <w:rsid w:val="54690C98"/>
    <w:rsid w:val="546E1AB7"/>
    <w:rsid w:val="547A3C22"/>
    <w:rsid w:val="54A263C6"/>
    <w:rsid w:val="54A7328D"/>
    <w:rsid w:val="54DD64E0"/>
    <w:rsid w:val="54DF34CE"/>
    <w:rsid w:val="54FA643B"/>
    <w:rsid w:val="55045D33"/>
    <w:rsid w:val="551121D8"/>
    <w:rsid w:val="55144405"/>
    <w:rsid w:val="551D428E"/>
    <w:rsid w:val="5531632D"/>
    <w:rsid w:val="55457E67"/>
    <w:rsid w:val="554A7E27"/>
    <w:rsid w:val="55526B27"/>
    <w:rsid w:val="55575074"/>
    <w:rsid w:val="556D67DD"/>
    <w:rsid w:val="559B17C5"/>
    <w:rsid w:val="559C633F"/>
    <w:rsid w:val="55B92CB5"/>
    <w:rsid w:val="55B958A7"/>
    <w:rsid w:val="55BC5C00"/>
    <w:rsid w:val="55C44DE6"/>
    <w:rsid w:val="55C6311D"/>
    <w:rsid w:val="55EE6A6A"/>
    <w:rsid w:val="55F1544B"/>
    <w:rsid w:val="56382375"/>
    <w:rsid w:val="56426CE9"/>
    <w:rsid w:val="564651B0"/>
    <w:rsid w:val="56633896"/>
    <w:rsid w:val="566E3BDE"/>
    <w:rsid w:val="5697353F"/>
    <w:rsid w:val="56A24F6D"/>
    <w:rsid w:val="56B41C04"/>
    <w:rsid w:val="56C255AE"/>
    <w:rsid w:val="56DF29B8"/>
    <w:rsid w:val="573A3649"/>
    <w:rsid w:val="5741418D"/>
    <w:rsid w:val="57591C2C"/>
    <w:rsid w:val="575D1A65"/>
    <w:rsid w:val="57792C45"/>
    <w:rsid w:val="5798756F"/>
    <w:rsid w:val="579F7ABE"/>
    <w:rsid w:val="57A37CC2"/>
    <w:rsid w:val="57AA4223"/>
    <w:rsid w:val="57B43C7D"/>
    <w:rsid w:val="57BD5228"/>
    <w:rsid w:val="57C71C02"/>
    <w:rsid w:val="57D45CF1"/>
    <w:rsid w:val="57E63A48"/>
    <w:rsid w:val="58021001"/>
    <w:rsid w:val="580F2DB9"/>
    <w:rsid w:val="58335952"/>
    <w:rsid w:val="585A2A77"/>
    <w:rsid w:val="585B7D62"/>
    <w:rsid w:val="586F55C6"/>
    <w:rsid w:val="587804D3"/>
    <w:rsid w:val="58890FAB"/>
    <w:rsid w:val="589F0489"/>
    <w:rsid w:val="58AA4A05"/>
    <w:rsid w:val="58B312FE"/>
    <w:rsid w:val="58B57CAD"/>
    <w:rsid w:val="58C5369E"/>
    <w:rsid w:val="58D20294"/>
    <w:rsid w:val="58E047BA"/>
    <w:rsid w:val="58EA2A52"/>
    <w:rsid w:val="58EB16F5"/>
    <w:rsid w:val="58EB454D"/>
    <w:rsid w:val="59042A44"/>
    <w:rsid w:val="590D0F8F"/>
    <w:rsid w:val="5919574D"/>
    <w:rsid w:val="592E60FC"/>
    <w:rsid w:val="59696569"/>
    <w:rsid w:val="59A62C9C"/>
    <w:rsid w:val="59CA78FF"/>
    <w:rsid w:val="59FF5AEB"/>
    <w:rsid w:val="5A2313F8"/>
    <w:rsid w:val="5A3B68D8"/>
    <w:rsid w:val="5A42491F"/>
    <w:rsid w:val="5A623E64"/>
    <w:rsid w:val="5A724412"/>
    <w:rsid w:val="5A744019"/>
    <w:rsid w:val="5A9B424F"/>
    <w:rsid w:val="5AC47D17"/>
    <w:rsid w:val="5AE64A95"/>
    <w:rsid w:val="5AE8410B"/>
    <w:rsid w:val="5AF67D5E"/>
    <w:rsid w:val="5B21787C"/>
    <w:rsid w:val="5B385C87"/>
    <w:rsid w:val="5B3F7D02"/>
    <w:rsid w:val="5B482822"/>
    <w:rsid w:val="5B6441F1"/>
    <w:rsid w:val="5B7200D7"/>
    <w:rsid w:val="5B7420A1"/>
    <w:rsid w:val="5B78274F"/>
    <w:rsid w:val="5B795DD6"/>
    <w:rsid w:val="5B7C0F56"/>
    <w:rsid w:val="5B855C7C"/>
    <w:rsid w:val="5BA66F9B"/>
    <w:rsid w:val="5BD13092"/>
    <w:rsid w:val="5BE57AA5"/>
    <w:rsid w:val="5BFE1125"/>
    <w:rsid w:val="5C142F3C"/>
    <w:rsid w:val="5C191149"/>
    <w:rsid w:val="5C384E7D"/>
    <w:rsid w:val="5C567452"/>
    <w:rsid w:val="5C61710D"/>
    <w:rsid w:val="5C670772"/>
    <w:rsid w:val="5CA12D09"/>
    <w:rsid w:val="5CA70254"/>
    <w:rsid w:val="5CB401B7"/>
    <w:rsid w:val="5CBC7723"/>
    <w:rsid w:val="5CD602AA"/>
    <w:rsid w:val="5D1551BE"/>
    <w:rsid w:val="5D222359"/>
    <w:rsid w:val="5D290C69"/>
    <w:rsid w:val="5D2B2022"/>
    <w:rsid w:val="5D2D0472"/>
    <w:rsid w:val="5D475B2E"/>
    <w:rsid w:val="5D880229"/>
    <w:rsid w:val="5D8F563D"/>
    <w:rsid w:val="5DAA6271"/>
    <w:rsid w:val="5DB60677"/>
    <w:rsid w:val="5DBA0909"/>
    <w:rsid w:val="5DBB2728"/>
    <w:rsid w:val="5DE97AE8"/>
    <w:rsid w:val="5E0B5683"/>
    <w:rsid w:val="5E394EDC"/>
    <w:rsid w:val="5E5F6C96"/>
    <w:rsid w:val="5E6265D9"/>
    <w:rsid w:val="5E6C7060"/>
    <w:rsid w:val="5E6F4D0E"/>
    <w:rsid w:val="5E86549B"/>
    <w:rsid w:val="5E8B6B86"/>
    <w:rsid w:val="5E900467"/>
    <w:rsid w:val="5E9B3B66"/>
    <w:rsid w:val="5EA677CC"/>
    <w:rsid w:val="5EC46BD9"/>
    <w:rsid w:val="5EF62DCD"/>
    <w:rsid w:val="5F182293"/>
    <w:rsid w:val="5F230066"/>
    <w:rsid w:val="5F287D04"/>
    <w:rsid w:val="5F2A4A2E"/>
    <w:rsid w:val="5F2C67EF"/>
    <w:rsid w:val="5F451392"/>
    <w:rsid w:val="5F666149"/>
    <w:rsid w:val="5F6C7F59"/>
    <w:rsid w:val="5F7D37C3"/>
    <w:rsid w:val="5F832A73"/>
    <w:rsid w:val="5FAF255F"/>
    <w:rsid w:val="5FB82384"/>
    <w:rsid w:val="5FC02A17"/>
    <w:rsid w:val="5FC901D9"/>
    <w:rsid w:val="5FD87AA6"/>
    <w:rsid w:val="5FDC14B0"/>
    <w:rsid w:val="5FE46517"/>
    <w:rsid w:val="5FE62499"/>
    <w:rsid w:val="5FEA0B84"/>
    <w:rsid w:val="600256D9"/>
    <w:rsid w:val="60067040"/>
    <w:rsid w:val="6023547F"/>
    <w:rsid w:val="603B171B"/>
    <w:rsid w:val="603E008C"/>
    <w:rsid w:val="604751DF"/>
    <w:rsid w:val="606D7E68"/>
    <w:rsid w:val="60730B79"/>
    <w:rsid w:val="60762A44"/>
    <w:rsid w:val="60903B8D"/>
    <w:rsid w:val="6094486B"/>
    <w:rsid w:val="60DF4232"/>
    <w:rsid w:val="60E05A44"/>
    <w:rsid w:val="60F33A68"/>
    <w:rsid w:val="61026087"/>
    <w:rsid w:val="61134B9B"/>
    <w:rsid w:val="611A7E38"/>
    <w:rsid w:val="611D498A"/>
    <w:rsid w:val="612C0D28"/>
    <w:rsid w:val="612D669A"/>
    <w:rsid w:val="61596B36"/>
    <w:rsid w:val="61611A87"/>
    <w:rsid w:val="6164123F"/>
    <w:rsid w:val="617C0DC9"/>
    <w:rsid w:val="618736EF"/>
    <w:rsid w:val="618B24B6"/>
    <w:rsid w:val="61961A2E"/>
    <w:rsid w:val="619E0AFB"/>
    <w:rsid w:val="61AD6BA8"/>
    <w:rsid w:val="61BE181F"/>
    <w:rsid w:val="61CD6067"/>
    <w:rsid w:val="62491FE5"/>
    <w:rsid w:val="62612C54"/>
    <w:rsid w:val="6271590A"/>
    <w:rsid w:val="62C44B21"/>
    <w:rsid w:val="62D919CE"/>
    <w:rsid w:val="62E02FC9"/>
    <w:rsid w:val="62E826FF"/>
    <w:rsid w:val="630C0C40"/>
    <w:rsid w:val="630D43FD"/>
    <w:rsid w:val="632C0729"/>
    <w:rsid w:val="633256F0"/>
    <w:rsid w:val="63436DD5"/>
    <w:rsid w:val="635A2987"/>
    <w:rsid w:val="63652E30"/>
    <w:rsid w:val="636724EC"/>
    <w:rsid w:val="6377272F"/>
    <w:rsid w:val="63791A33"/>
    <w:rsid w:val="639C051F"/>
    <w:rsid w:val="639F7A6A"/>
    <w:rsid w:val="63AB5A8E"/>
    <w:rsid w:val="63AD2E6B"/>
    <w:rsid w:val="63B05C41"/>
    <w:rsid w:val="63F43A32"/>
    <w:rsid w:val="63F659DC"/>
    <w:rsid w:val="63FD4DFF"/>
    <w:rsid w:val="63FE2EAA"/>
    <w:rsid w:val="640146EE"/>
    <w:rsid w:val="64030BE2"/>
    <w:rsid w:val="64047D3A"/>
    <w:rsid w:val="64347B0E"/>
    <w:rsid w:val="6451669A"/>
    <w:rsid w:val="64591356"/>
    <w:rsid w:val="646B44B9"/>
    <w:rsid w:val="64793A31"/>
    <w:rsid w:val="64832097"/>
    <w:rsid w:val="648B24EC"/>
    <w:rsid w:val="64A53500"/>
    <w:rsid w:val="64D96188"/>
    <w:rsid w:val="64E83AFE"/>
    <w:rsid w:val="64EA2BE9"/>
    <w:rsid w:val="6506438E"/>
    <w:rsid w:val="65171BFD"/>
    <w:rsid w:val="651B358E"/>
    <w:rsid w:val="653607B2"/>
    <w:rsid w:val="6548618A"/>
    <w:rsid w:val="654C70B1"/>
    <w:rsid w:val="656E792D"/>
    <w:rsid w:val="658513E4"/>
    <w:rsid w:val="65AA14C9"/>
    <w:rsid w:val="65C84576"/>
    <w:rsid w:val="65F27444"/>
    <w:rsid w:val="660027D6"/>
    <w:rsid w:val="6605420B"/>
    <w:rsid w:val="66082D77"/>
    <w:rsid w:val="66091638"/>
    <w:rsid w:val="661B6EB6"/>
    <w:rsid w:val="661C56E5"/>
    <w:rsid w:val="662468A4"/>
    <w:rsid w:val="663F07B1"/>
    <w:rsid w:val="66482160"/>
    <w:rsid w:val="664D0D42"/>
    <w:rsid w:val="66545717"/>
    <w:rsid w:val="66585612"/>
    <w:rsid w:val="669E6224"/>
    <w:rsid w:val="66A22F2F"/>
    <w:rsid w:val="66B02FFC"/>
    <w:rsid w:val="66D34BBC"/>
    <w:rsid w:val="66D66E6E"/>
    <w:rsid w:val="66EB717F"/>
    <w:rsid w:val="67057CD6"/>
    <w:rsid w:val="67180CC9"/>
    <w:rsid w:val="67215034"/>
    <w:rsid w:val="673C44D9"/>
    <w:rsid w:val="67660B73"/>
    <w:rsid w:val="676A3BD2"/>
    <w:rsid w:val="678E6299"/>
    <w:rsid w:val="67CB20D7"/>
    <w:rsid w:val="680D4B7A"/>
    <w:rsid w:val="683106C4"/>
    <w:rsid w:val="6834366B"/>
    <w:rsid w:val="683C3591"/>
    <w:rsid w:val="685E4F90"/>
    <w:rsid w:val="68677780"/>
    <w:rsid w:val="686C3C81"/>
    <w:rsid w:val="6894168D"/>
    <w:rsid w:val="68A571FC"/>
    <w:rsid w:val="68B30A4E"/>
    <w:rsid w:val="68E32DDD"/>
    <w:rsid w:val="68F84CE8"/>
    <w:rsid w:val="68FB4800"/>
    <w:rsid w:val="69064C87"/>
    <w:rsid w:val="6909589B"/>
    <w:rsid w:val="69097082"/>
    <w:rsid w:val="690D5EEA"/>
    <w:rsid w:val="692F3959"/>
    <w:rsid w:val="69321B18"/>
    <w:rsid w:val="693B6C1F"/>
    <w:rsid w:val="693D530D"/>
    <w:rsid w:val="69401815"/>
    <w:rsid w:val="69456E2B"/>
    <w:rsid w:val="694D5CE0"/>
    <w:rsid w:val="696574CD"/>
    <w:rsid w:val="69747F55"/>
    <w:rsid w:val="697E3C33"/>
    <w:rsid w:val="6981782C"/>
    <w:rsid w:val="69967687"/>
    <w:rsid w:val="69B6665A"/>
    <w:rsid w:val="69BF1297"/>
    <w:rsid w:val="69F50800"/>
    <w:rsid w:val="69FF0C25"/>
    <w:rsid w:val="6A0727BE"/>
    <w:rsid w:val="6A170919"/>
    <w:rsid w:val="6A191705"/>
    <w:rsid w:val="6A226039"/>
    <w:rsid w:val="6A3B37CB"/>
    <w:rsid w:val="6A444B2E"/>
    <w:rsid w:val="6A457150"/>
    <w:rsid w:val="6A47013F"/>
    <w:rsid w:val="6A4D6CD6"/>
    <w:rsid w:val="6A554E4C"/>
    <w:rsid w:val="6A826355"/>
    <w:rsid w:val="6A8774FD"/>
    <w:rsid w:val="6AC42525"/>
    <w:rsid w:val="6AC767D8"/>
    <w:rsid w:val="6AE1694B"/>
    <w:rsid w:val="6AF90984"/>
    <w:rsid w:val="6AFC176B"/>
    <w:rsid w:val="6B3410B7"/>
    <w:rsid w:val="6B347157"/>
    <w:rsid w:val="6B373D02"/>
    <w:rsid w:val="6B3B44D5"/>
    <w:rsid w:val="6B513865"/>
    <w:rsid w:val="6B574014"/>
    <w:rsid w:val="6B7E4876"/>
    <w:rsid w:val="6B881251"/>
    <w:rsid w:val="6B8C1E2F"/>
    <w:rsid w:val="6BA51E03"/>
    <w:rsid w:val="6BE90F8E"/>
    <w:rsid w:val="6C2E1CB9"/>
    <w:rsid w:val="6C2E436D"/>
    <w:rsid w:val="6C395EB0"/>
    <w:rsid w:val="6C417D7E"/>
    <w:rsid w:val="6C427652"/>
    <w:rsid w:val="6C4F4041"/>
    <w:rsid w:val="6C7C7F53"/>
    <w:rsid w:val="6C800EAA"/>
    <w:rsid w:val="6C8534D4"/>
    <w:rsid w:val="6C867F8B"/>
    <w:rsid w:val="6CBD0599"/>
    <w:rsid w:val="6CE04F11"/>
    <w:rsid w:val="6CE4102A"/>
    <w:rsid w:val="6D125FCD"/>
    <w:rsid w:val="6D234AC1"/>
    <w:rsid w:val="6D2F0592"/>
    <w:rsid w:val="6D45498E"/>
    <w:rsid w:val="6D5B0C2D"/>
    <w:rsid w:val="6D5D40D0"/>
    <w:rsid w:val="6D6266C3"/>
    <w:rsid w:val="6D943EDD"/>
    <w:rsid w:val="6D95518D"/>
    <w:rsid w:val="6D9A377B"/>
    <w:rsid w:val="6DA77FEA"/>
    <w:rsid w:val="6DD93130"/>
    <w:rsid w:val="6E045169"/>
    <w:rsid w:val="6E135FAE"/>
    <w:rsid w:val="6E294BDB"/>
    <w:rsid w:val="6E310D05"/>
    <w:rsid w:val="6E3951D1"/>
    <w:rsid w:val="6E3F6062"/>
    <w:rsid w:val="6E5F098F"/>
    <w:rsid w:val="6E7A58F8"/>
    <w:rsid w:val="6E8D72AA"/>
    <w:rsid w:val="6E9D4431"/>
    <w:rsid w:val="6EA24065"/>
    <w:rsid w:val="6EAB07D5"/>
    <w:rsid w:val="6EBF6F77"/>
    <w:rsid w:val="6EC407F2"/>
    <w:rsid w:val="6EE37550"/>
    <w:rsid w:val="6EF2481B"/>
    <w:rsid w:val="6F0A722C"/>
    <w:rsid w:val="6F207EA6"/>
    <w:rsid w:val="6F412879"/>
    <w:rsid w:val="6F5311A2"/>
    <w:rsid w:val="6F60051B"/>
    <w:rsid w:val="6F7945FE"/>
    <w:rsid w:val="6FA7691A"/>
    <w:rsid w:val="6FB30182"/>
    <w:rsid w:val="6FB9753F"/>
    <w:rsid w:val="6FC90B59"/>
    <w:rsid w:val="6FD07D18"/>
    <w:rsid w:val="6FD1767B"/>
    <w:rsid w:val="6FDB2CC8"/>
    <w:rsid w:val="6FE3114C"/>
    <w:rsid w:val="6FED7581"/>
    <w:rsid w:val="6FF11ABB"/>
    <w:rsid w:val="70117065"/>
    <w:rsid w:val="70132305"/>
    <w:rsid w:val="70274AB7"/>
    <w:rsid w:val="703B69BE"/>
    <w:rsid w:val="705C6106"/>
    <w:rsid w:val="706B047E"/>
    <w:rsid w:val="706E568F"/>
    <w:rsid w:val="70820965"/>
    <w:rsid w:val="70830D7C"/>
    <w:rsid w:val="709F169E"/>
    <w:rsid w:val="709F6B8F"/>
    <w:rsid w:val="70AD0DB3"/>
    <w:rsid w:val="70B90006"/>
    <w:rsid w:val="70D2041D"/>
    <w:rsid w:val="70FA499F"/>
    <w:rsid w:val="70FE1F2F"/>
    <w:rsid w:val="71085298"/>
    <w:rsid w:val="713C0BCC"/>
    <w:rsid w:val="713E63D0"/>
    <w:rsid w:val="7176139F"/>
    <w:rsid w:val="71A94F40"/>
    <w:rsid w:val="71B33EB1"/>
    <w:rsid w:val="71B70F06"/>
    <w:rsid w:val="71CA4371"/>
    <w:rsid w:val="71DA3F89"/>
    <w:rsid w:val="71E66FEC"/>
    <w:rsid w:val="71ED3F64"/>
    <w:rsid w:val="72112918"/>
    <w:rsid w:val="721E0095"/>
    <w:rsid w:val="721F1191"/>
    <w:rsid w:val="72225F5B"/>
    <w:rsid w:val="722C57FD"/>
    <w:rsid w:val="7238752D"/>
    <w:rsid w:val="723C2DEC"/>
    <w:rsid w:val="724B6F12"/>
    <w:rsid w:val="72514479"/>
    <w:rsid w:val="72593224"/>
    <w:rsid w:val="7264624E"/>
    <w:rsid w:val="72646574"/>
    <w:rsid w:val="729A1F96"/>
    <w:rsid w:val="729F57DE"/>
    <w:rsid w:val="72B8241C"/>
    <w:rsid w:val="72BB3614"/>
    <w:rsid w:val="72D94035"/>
    <w:rsid w:val="72DB43CF"/>
    <w:rsid w:val="72E6342D"/>
    <w:rsid w:val="72EC1828"/>
    <w:rsid w:val="72ED5F61"/>
    <w:rsid w:val="730544A7"/>
    <w:rsid w:val="73154D53"/>
    <w:rsid w:val="731C6E4F"/>
    <w:rsid w:val="732E045C"/>
    <w:rsid w:val="73330050"/>
    <w:rsid w:val="733F2B3D"/>
    <w:rsid w:val="735318F2"/>
    <w:rsid w:val="735C724B"/>
    <w:rsid w:val="736C6BE2"/>
    <w:rsid w:val="737137EB"/>
    <w:rsid w:val="73722F12"/>
    <w:rsid w:val="737422F8"/>
    <w:rsid w:val="7374779E"/>
    <w:rsid w:val="73832E69"/>
    <w:rsid w:val="738F426F"/>
    <w:rsid w:val="739B459A"/>
    <w:rsid w:val="73A27B7F"/>
    <w:rsid w:val="73A34687"/>
    <w:rsid w:val="73BC0DDA"/>
    <w:rsid w:val="73BF35DF"/>
    <w:rsid w:val="73D067BF"/>
    <w:rsid w:val="73EB05CF"/>
    <w:rsid w:val="744A4DC1"/>
    <w:rsid w:val="747E68CA"/>
    <w:rsid w:val="74EA5957"/>
    <w:rsid w:val="74EB6AD9"/>
    <w:rsid w:val="74EE0377"/>
    <w:rsid w:val="74F80B5F"/>
    <w:rsid w:val="74F8794A"/>
    <w:rsid w:val="750D182D"/>
    <w:rsid w:val="750E4A06"/>
    <w:rsid w:val="7522503C"/>
    <w:rsid w:val="752E4A79"/>
    <w:rsid w:val="753B5760"/>
    <w:rsid w:val="753C5586"/>
    <w:rsid w:val="753E34BA"/>
    <w:rsid w:val="75424457"/>
    <w:rsid w:val="75516AA5"/>
    <w:rsid w:val="75546CD0"/>
    <w:rsid w:val="75675C3C"/>
    <w:rsid w:val="756F3734"/>
    <w:rsid w:val="75742F72"/>
    <w:rsid w:val="757D5F71"/>
    <w:rsid w:val="75855E2A"/>
    <w:rsid w:val="759F2263"/>
    <w:rsid w:val="75A209D7"/>
    <w:rsid w:val="75D94B83"/>
    <w:rsid w:val="75DF0C59"/>
    <w:rsid w:val="7610256F"/>
    <w:rsid w:val="761C0239"/>
    <w:rsid w:val="762D3121"/>
    <w:rsid w:val="764C7A4B"/>
    <w:rsid w:val="765D3A06"/>
    <w:rsid w:val="766D176F"/>
    <w:rsid w:val="767174B1"/>
    <w:rsid w:val="76755608"/>
    <w:rsid w:val="767766A3"/>
    <w:rsid w:val="76A04D78"/>
    <w:rsid w:val="76C572A2"/>
    <w:rsid w:val="76C8682A"/>
    <w:rsid w:val="76EE465E"/>
    <w:rsid w:val="77147E3D"/>
    <w:rsid w:val="772D622C"/>
    <w:rsid w:val="773F1351"/>
    <w:rsid w:val="775070C7"/>
    <w:rsid w:val="775A6197"/>
    <w:rsid w:val="779438DC"/>
    <w:rsid w:val="779C02A6"/>
    <w:rsid w:val="77A57835"/>
    <w:rsid w:val="77C96E79"/>
    <w:rsid w:val="77D824E4"/>
    <w:rsid w:val="77D93BEA"/>
    <w:rsid w:val="77EE6B9F"/>
    <w:rsid w:val="77FF4310"/>
    <w:rsid w:val="78232A2D"/>
    <w:rsid w:val="78386100"/>
    <w:rsid w:val="78567913"/>
    <w:rsid w:val="785A322B"/>
    <w:rsid w:val="78856159"/>
    <w:rsid w:val="788E02A5"/>
    <w:rsid w:val="78B56790"/>
    <w:rsid w:val="78B73395"/>
    <w:rsid w:val="78B93B78"/>
    <w:rsid w:val="78C16D2A"/>
    <w:rsid w:val="78D15FE5"/>
    <w:rsid w:val="78E00970"/>
    <w:rsid w:val="78E33F6B"/>
    <w:rsid w:val="78F12682"/>
    <w:rsid w:val="790D2590"/>
    <w:rsid w:val="79142376"/>
    <w:rsid w:val="79156AE5"/>
    <w:rsid w:val="79295565"/>
    <w:rsid w:val="79315BD1"/>
    <w:rsid w:val="795C3487"/>
    <w:rsid w:val="795F712D"/>
    <w:rsid w:val="796A384B"/>
    <w:rsid w:val="797D616D"/>
    <w:rsid w:val="79850DC6"/>
    <w:rsid w:val="79886C7C"/>
    <w:rsid w:val="79A10204"/>
    <w:rsid w:val="79A71551"/>
    <w:rsid w:val="79CB1244"/>
    <w:rsid w:val="79F02192"/>
    <w:rsid w:val="79FD2E0A"/>
    <w:rsid w:val="7A451544"/>
    <w:rsid w:val="7A7C6425"/>
    <w:rsid w:val="7AB37B4E"/>
    <w:rsid w:val="7B013C06"/>
    <w:rsid w:val="7B0501C8"/>
    <w:rsid w:val="7B170250"/>
    <w:rsid w:val="7B1F7502"/>
    <w:rsid w:val="7B232D97"/>
    <w:rsid w:val="7B2E32F4"/>
    <w:rsid w:val="7B340AAD"/>
    <w:rsid w:val="7B47147A"/>
    <w:rsid w:val="7B4D01D8"/>
    <w:rsid w:val="7B61515F"/>
    <w:rsid w:val="7B6B33BA"/>
    <w:rsid w:val="7B714171"/>
    <w:rsid w:val="7B736AAF"/>
    <w:rsid w:val="7B7A6702"/>
    <w:rsid w:val="7B811C50"/>
    <w:rsid w:val="7B8B34E9"/>
    <w:rsid w:val="7BAF6AFF"/>
    <w:rsid w:val="7BB06386"/>
    <w:rsid w:val="7BB10350"/>
    <w:rsid w:val="7BB265A2"/>
    <w:rsid w:val="7BC66370"/>
    <w:rsid w:val="7BC71D91"/>
    <w:rsid w:val="7BD46CB8"/>
    <w:rsid w:val="7BDA1655"/>
    <w:rsid w:val="7C3743CF"/>
    <w:rsid w:val="7C3F2265"/>
    <w:rsid w:val="7C551C8F"/>
    <w:rsid w:val="7C583248"/>
    <w:rsid w:val="7C594B4E"/>
    <w:rsid w:val="7C5B0D1F"/>
    <w:rsid w:val="7C5C02BC"/>
    <w:rsid w:val="7C623ACF"/>
    <w:rsid w:val="7C780A86"/>
    <w:rsid w:val="7C7C2A50"/>
    <w:rsid w:val="7C8B2414"/>
    <w:rsid w:val="7CAE5522"/>
    <w:rsid w:val="7CAF7989"/>
    <w:rsid w:val="7CBC56D1"/>
    <w:rsid w:val="7CED1117"/>
    <w:rsid w:val="7CEE5BA9"/>
    <w:rsid w:val="7CFF4568"/>
    <w:rsid w:val="7D0746CC"/>
    <w:rsid w:val="7D3D36DE"/>
    <w:rsid w:val="7D4F1BCF"/>
    <w:rsid w:val="7D5439AC"/>
    <w:rsid w:val="7D6F3438"/>
    <w:rsid w:val="7D713B97"/>
    <w:rsid w:val="7D735992"/>
    <w:rsid w:val="7D8F45BF"/>
    <w:rsid w:val="7D960715"/>
    <w:rsid w:val="7D9D0B8C"/>
    <w:rsid w:val="7DA0242A"/>
    <w:rsid w:val="7DA936AC"/>
    <w:rsid w:val="7DAC7216"/>
    <w:rsid w:val="7DCC76C3"/>
    <w:rsid w:val="7DEB07DD"/>
    <w:rsid w:val="7DFF35F5"/>
    <w:rsid w:val="7E287769"/>
    <w:rsid w:val="7E29217F"/>
    <w:rsid w:val="7E4D4360"/>
    <w:rsid w:val="7E9D2302"/>
    <w:rsid w:val="7E9D7E72"/>
    <w:rsid w:val="7EA47346"/>
    <w:rsid w:val="7EB22415"/>
    <w:rsid w:val="7EB370F0"/>
    <w:rsid w:val="7EB71545"/>
    <w:rsid w:val="7EC21404"/>
    <w:rsid w:val="7ECD38F2"/>
    <w:rsid w:val="7ED60D88"/>
    <w:rsid w:val="7EEE43CC"/>
    <w:rsid w:val="7EF22DB3"/>
    <w:rsid w:val="7EF46ED2"/>
    <w:rsid w:val="7EFC1C85"/>
    <w:rsid w:val="7F070A80"/>
    <w:rsid w:val="7F1B03F9"/>
    <w:rsid w:val="7F242655"/>
    <w:rsid w:val="7F397C8B"/>
    <w:rsid w:val="7F485EDA"/>
    <w:rsid w:val="7F4F5EB6"/>
    <w:rsid w:val="7F582037"/>
    <w:rsid w:val="7F78365F"/>
    <w:rsid w:val="7F967E1D"/>
    <w:rsid w:val="7FA03AD8"/>
    <w:rsid w:val="7FA402F8"/>
    <w:rsid w:val="7FC1179B"/>
    <w:rsid w:val="F9DD4E36"/>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semiHidden="0" w:name="toc 7"/>
    <w:lsdException w:qFormat="1" w:unhideWhenUsed="0" w:uiPriority="99" w:name="toc 8"/>
    <w:lsdException w:qFormat="1" w:unhideWhenUsed="0" w:uiPriority="99" w:name="toc 9"/>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qFormat="1" w:unhideWhenUsed="0" w:uiPriority="0" w:semiHidden="0"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qFormat="1" w:unhideWhenUsed="0" w:uiPriority="99" w:semiHidden="0" w:name="List"/>
    <w:lsdException w:qFormat="1" w:unhideWhenUsed="0" w:uiPriority="99" w:semiHidden="0" w:name="List Bullet"/>
    <w:lsdException w:qFormat="1" w:unhideWhenUsed="0" w:uiPriority="99" w:semiHidden="0" w:name="List Number"/>
    <w:lsdException w:qFormat="1" w:unhideWhenUsed="0" w:uiPriority="99" w:semiHidden="0" w:name="List 2"/>
    <w:lsdException w:uiPriority="99" w:name="List 3" w:locked="1"/>
    <w:lsdException w:qFormat="1" w:unhideWhenUsed="0" w:uiPriority="99" w:semiHidden="0" w:name="List 4"/>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qFormat="1" w:unhideWhenUsed="0" w:uiPriority="99" w:semiHidden="0" w:name="List Continue"/>
    <w:lsdException w:uiPriority="99" w:name="List Continue 2" w:locked="1"/>
    <w:lsdException w:uiPriority="99" w:name="List Continue 3" w:locked="1"/>
    <w:lsdException w:uiPriority="99" w:name="List Continue 4" w:locked="1"/>
    <w:lsdException w:uiPriority="99" w:name="List Continue 5" w:locked="1"/>
    <w:lsdException w:qFormat="1" w:uiPriority="0" w:semiHidden="0" w:name="Message Header" w:locked="1"/>
    <w:lsdException w:qFormat="1" w:unhideWhenUsed="0" w:uiPriority="0"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sdException w:qFormat="1" w:uiPriority="99" w:name="HTML Acronym" w:locked="1"/>
    <w:lsdException w:uiPriority="99" w:name="HTML Address" w:locked="1"/>
    <w:lsdException w:qFormat="1" w:uiPriority="99" w:name="HTML Cite" w:locked="1"/>
    <w:lsdException w:qFormat="1" w:uiPriority="99" w:name="HTML Code" w:locked="1"/>
    <w:lsdException w:qFormat="1" w:uiPriority="99" w:name="HTML Definition" w:locked="1"/>
    <w:lsdException w:qFormat="1" w:uiPriority="99" w:name="HTML Keyboard" w:locked="1"/>
    <w:lsdException w:qFormat="1" w:unhideWhenUsed="0" w:uiPriority="99" w:semiHidden="0" w:name="HTML Preformatted"/>
    <w:lsdException w:qFormat="1" w:uiPriority="99" w:name="HTML Sample" w:locked="1"/>
    <w:lsdException w:qFormat="1" w:uiPriority="99" w:name="HTML Typewriter" w:locked="1"/>
    <w:lsdException w:qFormat="1" w:uiPriority="99" w:name="HTML Variable" w:locked="1"/>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65"/>
    <w:autoRedefine/>
    <w:qFormat/>
    <w:uiPriority w:val="99"/>
    <w:pPr>
      <w:keepNext/>
      <w:keepLines/>
      <w:spacing w:before="340" w:after="330" w:line="576" w:lineRule="auto"/>
      <w:jc w:val="center"/>
      <w:outlineLvl w:val="0"/>
    </w:pPr>
    <w:rPr>
      <w:b/>
      <w:bCs/>
      <w:kern w:val="44"/>
      <w:sz w:val="44"/>
      <w:szCs w:val="44"/>
    </w:rPr>
  </w:style>
  <w:style w:type="paragraph" w:styleId="4">
    <w:name w:val="heading 2"/>
    <w:basedOn w:val="1"/>
    <w:next w:val="1"/>
    <w:link w:val="82"/>
    <w:autoRedefine/>
    <w:qFormat/>
    <w:uiPriority w:val="99"/>
    <w:pPr>
      <w:keepNext/>
      <w:keepLines/>
      <w:tabs>
        <w:tab w:val="left" w:pos="420"/>
        <w:tab w:val="left" w:pos="840"/>
      </w:tabs>
      <w:spacing w:before="260" w:after="260" w:line="413" w:lineRule="auto"/>
      <w:ind w:left="840" w:hanging="420"/>
      <w:jc w:val="center"/>
      <w:outlineLvl w:val="1"/>
    </w:pPr>
    <w:rPr>
      <w:rFonts w:ascii="Arial" w:hAnsi="Arial" w:eastAsia="黑体" w:cs="Arial"/>
      <w:b/>
      <w:bCs/>
      <w:kern w:val="0"/>
      <w:sz w:val="32"/>
      <w:szCs w:val="32"/>
    </w:rPr>
  </w:style>
  <w:style w:type="paragraph" w:styleId="5">
    <w:name w:val="heading 3"/>
    <w:basedOn w:val="1"/>
    <w:next w:val="1"/>
    <w:link w:val="83"/>
    <w:autoRedefine/>
    <w:qFormat/>
    <w:uiPriority w:val="99"/>
    <w:pPr>
      <w:keepNext/>
      <w:keepLines/>
      <w:spacing w:before="260" w:after="260" w:line="413" w:lineRule="auto"/>
      <w:outlineLvl w:val="2"/>
    </w:pPr>
    <w:rPr>
      <w:b/>
      <w:bCs/>
      <w:kern w:val="0"/>
      <w:sz w:val="32"/>
      <w:szCs w:val="32"/>
    </w:rPr>
  </w:style>
  <w:style w:type="paragraph" w:styleId="6">
    <w:name w:val="heading 4"/>
    <w:basedOn w:val="1"/>
    <w:next w:val="1"/>
    <w:link w:val="84"/>
    <w:autoRedefine/>
    <w:qFormat/>
    <w:uiPriority w:val="99"/>
    <w:pPr>
      <w:keepNext/>
      <w:keepLines/>
      <w:spacing w:before="280" w:after="290" w:line="372" w:lineRule="auto"/>
      <w:outlineLvl w:val="3"/>
    </w:pPr>
    <w:rPr>
      <w:rFonts w:ascii="Arial" w:hAnsi="Arial" w:eastAsia="黑体" w:cs="Arial"/>
      <w:b/>
      <w:bCs/>
      <w:sz w:val="28"/>
      <w:szCs w:val="28"/>
    </w:rPr>
  </w:style>
  <w:style w:type="paragraph" w:styleId="7">
    <w:name w:val="heading 5"/>
    <w:basedOn w:val="1"/>
    <w:next w:val="1"/>
    <w:link w:val="85"/>
    <w:autoRedefine/>
    <w:qFormat/>
    <w:uiPriority w:val="99"/>
    <w:pPr>
      <w:keepNext/>
      <w:keepLines/>
      <w:spacing w:before="280" w:after="290" w:line="376" w:lineRule="auto"/>
      <w:ind w:left="1008" w:hanging="1008"/>
      <w:outlineLvl w:val="4"/>
    </w:pPr>
    <w:rPr>
      <w:b/>
      <w:bCs/>
      <w:sz w:val="28"/>
      <w:szCs w:val="28"/>
    </w:rPr>
  </w:style>
  <w:style w:type="paragraph" w:styleId="8">
    <w:name w:val="heading 6"/>
    <w:basedOn w:val="1"/>
    <w:next w:val="1"/>
    <w:link w:val="86"/>
    <w:autoRedefine/>
    <w:qFormat/>
    <w:uiPriority w:val="99"/>
    <w:pPr>
      <w:keepNext/>
      <w:keepLines/>
      <w:spacing w:before="240" w:after="64" w:line="320" w:lineRule="auto"/>
      <w:ind w:left="1152" w:hanging="1152"/>
      <w:outlineLvl w:val="5"/>
    </w:pPr>
    <w:rPr>
      <w:rFonts w:ascii="Cambria" w:hAnsi="Cambria" w:cs="Cambria"/>
      <w:b/>
      <w:bCs/>
      <w:sz w:val="24"/>
      <w:szCs w:val="24"/>
    </w:rPr>
  </w:style>
  <w:style w:type="paragraph" w:styleId="9">
    <w:name w:val="heading 7"/>
    <w:basedOn w:val="1"/>
    <w:next w:val="1"/>
    <w:link w:val="87"/>
    <w:autoRedefine/>
    <w:qFormat/>
    <w:uiPriority w:val="99"/>
    <w:pPr>
      <w:keepNext/>
      <w:keepLines/>
      <w:spacing w:before="240" w:after="64" w:line="320" w:lineRule="auto"/>
      <w:ind w:left="1296" w:hanging="1296"/>
      <w:outlineLvl w:val="6"/>
    </w:pPr>
    <w:rPr>
      <w:b/>
      <w:bCs/>
      <w:sz w:val="24"/>
      <w:szCs w:val="24"/>
    </w:rPr>
  </w:style>
  <w:style w:type="paragraph" w:styleId="10">
    <w:name w:val="heading 8"/>
    <w:basedOn w:val="1"/>
    <w:next w:val="1"/>
    <w:link w:val="88"/>
    <w:autoRedefine/>
    <w:qFormat/>
    <w:uiPriority w:val="99"/>
    <w:pPr>
      <w:keepNext/>
      <w:keepLines/>
      <w:spacing w:before="240" w:after="64" w:line="320" w:lineRule="auto"/>
      <w:ind w:left="1440" w:hanging="1440"/>
      <w:outlineLvl w:val="7"/>
    </w:pPr>
    <w:rPr>
      <w:rFonts w:ascii="Cambria" w:hAnsi="Cambria" w:cs="Cambria"/>
      <w:sz w:val="24"/>
      <w:szCs w:val="24"/>
    </w:rPr>
  </w:style>
  <w:style w:type="paragraph" w:styleId="11">
    <w:name w:val="heading 9"/>
    <w:basedOn w:val="1"/>
    <w:next w:val="1"/>
    <w:link w:val="89"/>
    <w:autoRedefine/>
    <w:qFormat/>
    <w:uiPriority w:val="99"/>
    <w:pPr>
      <w:keepNext/>
      <w:keepLines/>
      <w:spacing w:before="240" w:after="64" w:line="320" w:lineRule="auto"/>
      <w:ind w:left="1584" w:hanging="1584"/>
      <w:outlineLvl w:val="8"/>
    </w:pPr>
    <w:rPr>
      <w:rFonts w:ascii="Cambria" w:hAnsi="Cambria" w:cs="Cambria"/>
    </w:rPr>
  </w:style>
  <w:style w:type="character" w:default="1" w:styleId="50">
    <w:name w:val="Default Paragraph Font"/>
    <w:autoRedefine/>
    <w:semiHidden/>
    <w:unhideWhenUsed/>
    <w:qFormat/>
    <w:uiPriority w:val="1"/>
  </w:style>
  <w:style w:type="table" w:default="1" w:styleId="48">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link w:val="90"/>
    <w:autoRedefine/>
    <w:qFormat/>
    <w:uiPriority w:val="99"/>
    <w:pPr>
      <w:adjustRightInd w:val="0"/>
      <w:jc w:val="left"/>
      <w:textAlignment w:val="baseline"/>
    </w:pPr>
    <w:rPr>
      <w:rFonts w:ascii="楷体_GB2312" w:eastAsia="楷体_GB2312" w:cs="楷体_GB2312"/>
      <w:kern w:val="0"/>
      <w:sz w:val="28"/>
      <w:szCs w:val="28"/>
    </w:rPr>
  </w:style>
  <w:style w:type="paragraph" w:styleId="12">
    <w:name w:val="toc 7"/>
    <w:basedOn w:val="1"/>
    <w:next w:val="1"/>
    <w:autoRedefine/>
    <w:qFormat/>
    <w:uiPriority w:val="99"/>
    <w:pPr>
      <w:ind w:left="1260"/>
      <w:jc w:val="left"/>
    </w:pPr>
    <w:rPr>
      <w:rFonts w:ascii="Calibri" w:hAnsi="Calibri" w:cs="Calibri"/>
      <w:sz w:val="18"/>
      <w:szCs w:val="18"/>
    </w:rPr>
  </w:style>
  <w:style w:type="paragraph" w:styleId="13">
    <w:name w:val="List Number"/>
    <w:basedOn w:val="1"/>
    <w:autoRedefine/>
    <w:qFormat/>
    <w:uiPriority w:val="99"/>
    <w:pPr>
      <w:tabs>
        <w:tab w:val="left" w:pos="360"/>
      </w:tabs>
      <w:ind w:left="360" w:hanging="360"/>
    </w:pPr>
  </w:style>
  <w:style w:type="paragraph" w:styleId="14">
    <w:name w:val="Normal Indent"/>
    <w:basedOn w:val="1"/>
    <w:next w:val="15"/>
    <w:autoRedefine/>
    <w:qFormat/>
    <w:uiPriority w:val="99"/>
    <w:pPr>
      <w:ind w:firstLine="420"/>
    </w:pPr>
  </w:style>
  <w:style w:type="paragraph" w:styleId="15">
    <w:name w:val="Body Text 2"/>
    <w:basedOn w:val="1"/>
    <w:next w:val="2"/>
    <w:link w:val="103"/>
    <w:autoRedefine/>
    <w:qFormat/>
    <w:uiPriority w:val="99"/>
    <w:pPr>
      <w:spacing w:after="120" w:line="480" w:lineRule="auto"/>
    </w:pPr>
    <w:rPr>
      <w:kern w:val="0"/>
      <w:sz w:val="20"/>
      <w:szCs w:val="20"/>
    </w:rPr>
  </w:style>
  <w:style w:type="paragraph" w:styleId="16">
    <w:name w:val="List Bullet"/>
    <w:basedOn w:val="1"/>
    <w:autoRedefine/>
    <w:qFormat/>
    <w:uiPriority w:val="99"/>
    <w:pPr>
      <w:tabs>
        <w:tab w:val="left" w:pos="360"/>
      </w:tabs>
      <w:ind w:left="360" w:hanging="360"/>
    </w:pPr>
  </w:style>
  <w:style w:type="paragraph" w:styleId="17">
    <w:name w:val="Document Map"/>
    <w:basedOn w:val="1"/>
    <w:link w:val="94"/>
    <w:autoRedefine/>
    <w:semiHidden/>
    <w:qFormat/>
    <w:uiPriority w:val="99"/>
    <w:rPr>
      <w:rFonts w:ascii="??" w:eastAsia="Times New Roman" w:cs="??"/>
      <w:sz w:val="18"/>
      <w:szCs w:val="18"/>
    </w:rPr>
  </w:style>
  <w:style w:type="paragraph" w:styleId="18">
    <w:name w:val="annotation text"/>
    <w:basedOn w:val="1"/>
    <w:link w:val="95"/>
    <w:autoRedefine/>
    <w:semiHidden/>
    <w:qFormat/>
    <w:uiPriority w:val="99"/>
    <w:pPr>
      <w:jc w:val="left"/>
    </w:pPr>
    <w:rPr>
      <w:sz w:val="24"/>
      <w:szCs w:val="24"/>
    </w:rPr>
  </w:style>
  <w:style w:type="paragraph" w:styleId="19">
    <w:name w:val="Body Text 3"/>
    <w:basedOn w:val="1"/>
    <w:link w:val="96"/>
    <w:autoRedefine/>
    <w:qFormat/>
    <w:uiPriority w:val="99"/>
    <w:pPr>
      <w:spacing w:after="120"/>
    </w:pPr>
    <w:rPr>
      <w:kern w:val="0"/>
      <w:sz w:val="16"/>
      <w:szCs w:val="16"/>
    </w:rPr>
  </w:style>
  <w:style w:type="paragraph" w:styleId="20">
    <w:name w:val="Body Text Indent"/>
    <w:basedOn w:val="1"/>
    <w:next w:val="1"/>
    <w:link w:val="92"/>
    <w:autoRedefine/>
    <w:qFormat/>
    <w:uiPriority w:val="99"/>
    <w:pPr>
      <w:adjustRightInd w:val="0"/>
      <w:ind w:left="960"/>
      <w:jc w:val="left"/>
      <w:textAlignment w:val="baseline"/>
    </w:pPr>
    <w:rPr>
      <w:kern w:val="0"/>
      <w:sz w:val="20"/>
      <w:szCs w:val="20"/>
    </w:rPr>
  </w:style>
  <w:style w:type="paragraph" w:styleId="21">
    <w:name w:val="List 2"/>
    <w:basedOn w:val="1"/>
    <w:autoRedefine/>
    <w:qFormat/>
    <w:uiPriority w:val="99"/>
    <w:pPr>
      <w:ind w:left="100" w:leftChars="200" w:hanging="200" w:hangingChars="200"/>
    </w:pPr>
  </w:style>
  <w:style w:type="paragraph" w:styleId="22">
    <w:name w:val="List Continue"/>
    <w:basedOn w:val="1"/>
    <w:autoRedefine/>
    <w:qFormat/>
    <w:uiPriority w:val="99"/>
    <w:pPr>
      <w:spacing w:after="120"/>
      <w:ind w:left="420" w:leftChars="200"/>
    </w:pPr>
  </w:style>
  <w:style w:type="paragraph" w:styleId="23">
    <w:name w:val="toc 5"/>
    <w:basedOn w:val="1"/>
    <w:next w:val="1"/>
    <w:autoRedefine/>
    <w:semiHidden/>
    <w:qFormat/>
    <w:uiPriority w:val="99"/>
    <w:pPr>
      <w:ind w:left="840"/>
      <w:jc w:val="left"/>
    </w:pPr>
    <w:rPr>
      <w:rFonts w:ascii="Calibri" w:hAnsi="Calibri" w:cs="Calibri"/>
      <w:sz w:val="18"/>
      <w:szCs w:val="18"/>
    </w:rPr>
  </w:style>
  <w:style w:type="paragraph" w:styleId="24">
    <w:name w:val="toc 3"/>
    <w:basedOn w:val="1"/>
    <w:next w:val="1"/>
    <w:autoRedefine/>
    <w:semiHidden/>
    <w:qFormat/>
    <w:uiPriority w:val="99"/>
    <w:pPr>
      <w:ind w:left="420"/>
      <w:jc w:val="left"/>
    </w:pPr>
    <w:rPr>
      <w:rFonts w:ascii="Calibri" w:hAnsi="Calibri" w:cs="Calibri"/>
      <w:i/>
      <w:iCs/>
      <w:sz w:val="20"/>
      <w:szCs w:val="20"/>
    </w:rPr>
  </w:style>
  <w:style w:type="paragraph" w:styleId="25">
    <w:name w:val="Plain Text"/>
    <w:basedOn w:val="1"/>
    <w:link w:val="97"/>
    <w:autoRedefine/>
    <w:qFormat/>
    <w:uiPriority w:val="99"/>
    <w:rPr>
      <w:rFonts w:ascii="??" w:hAnsi="Courier New" w:eastAsia="Times New Roman" w:cs="??"/>
    </w:rPr>
  </w:style>
  <w:style w:type="paragraph" w:styleId="26">
    <w:name w:val="toc 8"/>
    <w:basedOn w:val="1"/>
    <w:next w:val="1"/>
    <w:autoRedefine/>
    <w:semiHidden/>
    <w:qFormat/>
    <w:uiPriority w:val="99"/>
    <w:pPr>
      <w:ind w:left="1470"/>
      <w:jc w:val="left"/>
    </w:pPr>
    <w:rPr>
      <w:rFonts w:ascii="Calibri" w:hAnsi="Calibri" w:cs="Calibri"/>
      <w:sz w:val="18"/>
      <w:szCs w:val="18"/>
    </w:rPr>
  </w:style>
  <w:style w:type="paragraph" w:styleId="27">
    <w:name w:val="Date"/>
    <w:basedOn w:val="1"/>
    <w:next w:val="1"/>
    <w:link w:val="98"/>
    <w:autoRedefine/>
    <w:qFormat/>
    <w:uiPriority w:val="99"/>
    <w:pPr>
      <w:adjustRightInd w:val="0"/>
      <w:spacing w:line="360" w:lineRule="atLeast"/>
      <w:textAlignment w:val="baseline"/>
    </w:pPr>
    <w:rPr>
      <w:kern w:val="0"/>
      <w:sz w:val="20"/>
      <w:szCs w:val="20"/>
    </w:rPr>
  </w:style>
  <w:style w:type="paragraph" w:styleId="28">
    <w:name w:val="Body Text Indent 2"/>
    <w:basedOn w:val="1"/>
    <w:link w:val="99"/>
    <w:autoRedefine/>
    <w:qFormat/>
    <w:uiPriority w:val="99"/>
    <w:pPr>
      <w:tabs>
        <w:tab w:val="left" w:pos="-1134"/>
      </w:tabs>
      <w:spacing w:line="360" w:lineRule="auto"/>
      <w:ind w:left="2127" w:hanging="1701"/>
    </w:pPr>
    <w:rPr>
      <w:kern w:val="0"/>
      <w:sz w:val="20"/>
      <w:szCs w:val="20"/>
    </w:rPr>
  </w:style>
  <w:style w:type="paragraph" w:styleId="29">
    <w:name w:val="Balloon Text"/>
    <w:basedOn w:val="1"/>
    <w:link w:val="100"/>
    <w:autoRedefine/>
    <w:semiHidden/>
    <w:qFormat/>
    <w:uiPriority w:val="99"/>
    <w:rPr>
      <w:sz w:val="18"/>
      <w:szCs w:val="18"/>
    </w:rPr>
  </w:style>
  <w:style w:type="paragraph" w:styleId="30">
    <w:name w:val="footer"/>
    <w:basedOn w:val="1"/>
    <w:link w:val="101"/>
    <w:autoRedefine/>
    <w:qFormat/>
    <w:uiPriority w:val="99"/>
    <w:pPr>
      <w:tabs>
        <w:tab w:val="center" w:pos="4153"/>
        <w:tab w:val="right" w:pos="8306"/>
      </w:tabs>
      <w:snapToGrid w:val="0"/>
      <w:jc w:val="left"/>
    </w:pPr>
    <w:rPr>
      <w:sz w:val="18"/>
      <w:szCs w:val="18"/>
    </w:rPr>
  </w:style>
  <w:style w:type="paragraph" w:styleId="31">
    <w:name w:val="envelope return"/>
    <w:basedOn w:val="1"/>
    <w:autoRedefine/>
    <w:qFormat/>
    <w:locked/>
    <w:uiPriority w:val="0"/>
    <w:pPr>
      <w:snapToGrid w:val="0"/>
    </w:pPr>
    <w:rPr>
      <w:rFonts w:ascii="Arial" w:hAnsi="Arial"/>
    </w:rPr>
  </w:style>
  <w:style w:type="paragraph" w:styleId="32">
    <w:name w:val="header"/>
    <w:basedOn w:val="1"/>
    <w:link w:val="102"/>
    <w:autoRedefine/>
    <w:qFormat/>
    <w:uiPriority w:val="99"/>
    <w:pPr>
      <w:pBdr>
        <w:bottom w:val="single" w:color="auto" w:sz="6" w:space="1"/>
      </w:pBdr>
      <w:tabs>
        <w:tab w:val="center" w:pos="4153"/>
        <w:tab w:val="right" w:pos="8306"/>
      </w:tabs>
      <w:snapToGrid w:val="0"/>
      <w:jc w:val="center"/>
    </w:pPr>
    <w:rPr>
      <w:sz w:val="18"/>
      <w:szCs w:val="18"/>
    </w:rPr>
  </w:style>
  <w:style w:type="paragraph" w:styleId="33">
    <w:name w:val="toc 1"/>
    <w:basedOn w:val="1"/>
    <w:next w:val="1"/>
    <w:autoRedefine/>
    <w:qFormat/>
    <w:uiPriority w:val="39"/>
    <w:pPr>
      <w:spacing w:line="440" w:lineRule="exact"/>
      <w:jc w:val="left"/>
    </w:pPr>
    <w:rPr>
      <w:rFonts w:ascii="Calibri" w:hAnsi="Calibri" w:cs="Calibri"/>
      <w:b/>
      <w:bCs/>
      <w:caps/>
      <w:sz w:val="24"/>
      <w:szCs w:val="24"/>
    </w:rPr>
  </w:style>
  <w:style w:type="paragraph" w:styleId="34">
    <w:name w:val="toc 4"/>
    <w:basedOn w:val="1"/>
    <w:next w:val="1"/>
    <w:autoRedefine/>
    <w:semiHidden/>
    <w:qFormat/>
    <w:uiPriority w:val="99"/>
    <w:pPr>
      <w:ind w:left="630"/>
      <w:jc w:val="left"/>
    </w:pPr>
    <w:rPr>
      <w:rFonts w:ascii="Calibri" w:hAnsi="Calibri" w:cs="Calibri"/>
      <w:sz w:val="18"/>
      <w:szCs w:val="18"/>
    </w:rPr>
  </w:style>
  <w:style w:type="paragraph" w:styleId="35">
    <w:name w:val="List"/>
    <w:basedOn w:val="1"/>
    <w:autoRedefine/>
    <w:qFormat/>
    <w:uiPriority w:val="99"/>
    <w:pPr>
      <w:ind w:left="200" w:hanging="200" w:hangingChars="200"/>
    </w:pPr>
  </w:style>
  <w:style w:type="paragraph" w:styleId="36">
    <w:name w:val="toc 6"/>
    <w:basedOn w:val="1"/>
    <w:next w:val="1"/>
    <w:autoRedefine/>
    <w:semiHidden/>
    <w:qFormat/>
    <w:uiPriority w:val="99"/>
    <w:pPr>
      <w:ind w:left="1050"/>
      <w:jc w:val="left"/>
    </w:pPr>
    <w:rPr>
      <w:rFonts w:ascii="Calibri" w:hAnsi="Calibri" w:cs="Calibri"/>
      <w:sz w:val="18"/>
      <w:szCs w:val="18"/>
    </w:rPr>
  </w:style>
  <w:style w:type="paragraph" w:styleId="37">
    <w:name w:val="List 5"/>
    <w:basedOn w:val="1"/>
    <w:autoRedefine/>
    <w:qFormat/>
    <w:uiPriority w:val="99"/>
    <w:pPr>
      <w:ind w:left="2100" w:hanging="420"/>
    </w:pPr>
    <w:rPr>
      <w:rFonts w:eastAsia="楷体_GB2312"/>
      <w:sz w:val="32"/>
      <w:szCs w:val="32"/>
    </w:rPr>
  </w:style>
  <w:style w:type="paragraph" w:styleId="38">
    <w:name w:val="toc 2"/>
    <w:basedOn w:val="1"/>
    <w:next w:val="1"/>
    <w:autoRedefine/>
    <w:qFormat/>
    <w:uiPriority w:val="39"/>
    <w:pPr>
      <w:spacing w:line="440" w:lineRule="exact"/>
      <w:ind w:left="420"/>
      <w:jc w:val="left"/>
    </w:pPr>
    <w:rPr>
      <w:rFonts w:ascii="Calibri" w:hAnsi="Calibri" w:cs="Calibri"/>
      <w:smallCaps/>
      <w:sz w:val="20"/>
      <w:szCs w:val="20"/>
    </w:rPr>
  </w:style>
  <w:style w:type="paragraph" w:styleId="39">
    <w:name w:val="toc 9"/>
    <w:basedOn w:val="1"/>
    <w:next w:val="1"/>
    <w:autoRedefine/>
    <w:semiHidden/>
    <w:qFormat/>
    <w:uiPriority w:val="99"/>
    <w:pPr>
      <w:ind w:left="1680"/>
      <w:jc w:val="left"/>
    </w:pPr>
    <w:rPr>
      <w:rFonts w:ascii="Calibri" w:hAnsi="Calibri" w:cs="Calibri"/>
      <w:sz w:val="18"/>
      <w:szCs w:val="18"/>
    </w:rPr>
  </w:style>
  <w:style w:type="paragraph" w:styleId="40">
    <w:name w:val="List 4"/>
    <w:basedOn w:val="1"/>
    <w:autoRedefine/>
    <w:qFormat/>
    <w:uiPriority w:val="99"/>
    <w:pPr>
      <w:ind w:left="1680" w:hanging="420"/>
    </w:pPr>
    <w:rPr>
      <w:rFonts w:eastAsia="楷体_GB2312"/>
      <w:sz w:val="32"/>
      <w:szCs w:val="32"/>
    </w:rPr>
  </w:style>
  <w:style w:type="paragraph" w:styleId="41">
    <w:name w:val="Message Header"/>
    <w:basedOn w:val="1"/>
    <w:autoRedefine/>
    <w:unhideWhenUsed/>
    <w:qFormat/>
    <w:locked/>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42">
    <w:name w:val="HTML Preformatted"/>
    <w:basedOn w:val="1"/>
    <w:link w:val="104"/>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kern w:val="0"/>
      <w:sz w:val="20"/>
      <w:szCs w:val="20"/>
    </w:rPr>
  </w:style>
  <w:style w:type="paragraph" w:styleId="43">
    <w:name w:val="Normal (Web)"/>
    <w:basedOn w:val="1"/>
    <w:autoRedefine/>
    <w:qFormat/>
    <w:uiPriority w:val="99"/>
    <w:pPr>
      <w:widowControl/>
      <w:spacing w:before="100" w:beforeAutospacing="1" w:after="100" w:afterAutospacing="1"/>
      <w:jc w:val="left"/>
    </w:pPr>
    <w:rPr>
      <w:rFonts w:ascii="??" w:hAnsi="??" w:cs="??"/>
      <w:kern w:val="0"/>
      <w:sz w:val="24"/>
      <w:szCs w:val="24"/>
    </w:rPr>
  </w:style>
  <w:style w:type="paragraph" w:styleId="44">
    <w:name w:val="Title"/>
    <w:basedOn w:val="1"/>
    <w:link w:val="105"/>
    <w:autoRedefine/>
    <w:qFormat/>
    <w:uiPriority w:val="99"/>
    <w:pPr>
      <w:spacing w:before="240" w:after="60"/>
      <w:jc w:val="center"/>
      <w:outlineLvl w:val="0"/>
    </w:pPr>
    <w:rPr>
      <w:rFonts w:ascii="Arial" w:hAnsi="Arial" w:cs="Arial"/>
      <w:b/>
      <w:bCs/>
      <w:sz w:val="32"/>
      <w:szCs w:val="32"/>
    </w:rPr>
  </w:style>
  <w:style w:type="paragraph" w:styleId="45">
    <w:name w:val="annotation subject"/>
    <w:basedOn w:val="18"/>
    <w:next w:val="18"/>
    <w:link w:val="106"/>
    <w:autoRedefine/>
    <w:semiHidden/>
    <w:qFormat/>
    <w:uiPriority w:val="99"/>
    <w:rPr>
      <w:b/>
      <w:bCs/>
      <w:sz w:val="20"/>
      <w:szCs w:val="20"/>
    </w:rPr>
  </w:style>
  <w:style w:type="paragraph" w:styleId="46">
    <w:name w:val="Body Text First Indent"/>
    <w:basedOn w:val="2"/>
    <w:next w:val="47"/>
    <w:link w:val="91"/>
    <w:autoRedefine/>
    <w:qFormat/>
    <w:uiPriority w:val="99"/>
    <w:pPr>
      <w:adjustRightInd/>
      <w:spacing w:after="120"/>
      <w:ind w:firstLine="420"/>
      <w:jc w:val="both"/>
      <w:textAlignment w:val="auto"/>
    </w:pPr>
    <w:rPr>
      <w:kern w:val="2"/>
      <w:sz w:val="32"/>
      <w:szCs w:val="32"/>
    </w:rPr>
  </w:style>
  <w:style w:type="paragraph" w:styleId="47">
    <w:name w:val="Body Text First Indent 2"/>
    <w:basedOn w:val="20"/>
    <w:next w:val="1"/>
    <w:link w:val="93"/>
    <w:autoRedefine/>
    <w:qFormat/>
    <w:uiPriority w:val="99"/>
    <w:pPr>
      <w:spacing w:after="120"/>
      <w:ind w:left="420" w:leftChars="200" w:firstLine="420" w:firstLineChars="200"/>
    </w:pPr>
    <w:rPr>
      <w:kern w:val="2"/>
      <w:sz w:val="21"/>
      <w:szCs w:val="21"/>
    </w:rPr>
  </w:style>
  <w:style w:type="table" w:styleId="49">
    <w:name w:val="Table Grid"/>
    <w:basedOn w:val="48"/>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autoRedefine/>
    <w:qFormat/>
    <w:uiPriority w:val="99"/>
    <w:rPr>
      <w:rFonts w:cs="Times New Roman"/>
      <w:b/>
      <w:bCs/>
    </w:rPr>
  </w:style>
  <w:style w:type="character" w:styleId="52">
    <w:name w:val="page number"/>
    <w:basedOn w:val="50"/>
    <w:autoRedefine/>
    <w:qFormat/>
    <w:uiPriority w:val="99"/>
    <w:rPr>
      <w:rFonts w:cs="Times New Roman"/>
    </w:rPr>
  </w:style>
  <w:style w:type="character" w:styleId="53">
    <w:name w:val="FollowedHyperlink"/>
    <w:autoRedefine/>
    <w:qFormat/>
    <w:uiPriority w:val="99"/>
    <w:rPr>
      <w:rFonts w:cs="Times New Roman"/>
      <w:color w:val="000000"/>
      <w:u w:val="none"/>
    </w:rPr>
  </w:style>
  <w:style w:type="character" w:styleId="54">
    <w:name w:val="Emphasis"/>
    <w:autoRedefine/>
    <w:qFormat/>
    <w:uiPriority w:val="99"/>
    <w:rPr>
      <w:rFonts w:cs="Times New Roman"/>
      <w:i/>
      <w:iCs/>
    </w:rPr>
  </w:style>
  <w:style w:type="character" w:styleId="55">
    <w:name w:val="HTML Definition"/>
    <w:basedOn w:val="50"/>
    <w:autoRedefine/>
    <w:semiHidden/>
    <w:unhideWhenUsed/>
    <w:qFormat/>
    <w:locked/>
    <w:uiPriority w:val="99"/>
  </w:style>
  <w:style w:type="character" w:styleId="56">
    <w:name w:val="HTML Typewriter"/>
    <w:basedOn w:val="50"/>
    <w:autoRedefine/>
    <w:semiHidden/>
    <w:unhideWhenUsed/>
    <w:qFormat/>
    <w:locked/>
    <w:uiPriority w:val="99"/>
    <w:rPr>
      <w:rFonts w:hint="default" w:ascii="monospace" w:hAnsi="monospace" w:eastAsia="monospace" w:cs="monospace"/>
      <w:sz w:val="20"/>
    </w:rPr>
  </w:style>
  <w:style w:type="character" w:styleId="57">
    <w:name w:val="HTML Acronym"/>
    <w:basedOn w:val="50"/>
    <w:autoRedefine/>
    <w:semiHidden/>
    <w:unhideWhenUsed/>
    <w:qFormat/>
    <w:locked/>
    <w:uiPriority w:val="99"/>
  </w:style>
  <w:style w:type="character" w:styleId="58">
    <w:name w:val="HTML Variable"/>
    <w:basedOn w:val="50"/>
    <w:autoRedefine/>
    <w:semiHidden/>
    <w:unhideWhenUsed/>
    <w:qFormat/>
    <w:locked/>
    <w:uiPriority w:val="99"/>
  </w:style>
  <w:style w:type="character" w:styleId="59">
    <w:name w:val="Hyperlink"/>
    <w:autoRedefine/>
    <w:qFormat/>
    <w:uiPriority w:val="99"/>
    <w:rPr>
      <w:rFonts w:cs="Times New Roman"/>
      <w:color w:val="000000"/>
      <w:u w:val="none"/>
    </w:rPr>
  </w:style>
  <w:style w:type="character" w:styleId="60">
    <w:name w:val="HTML Code"/>
    <w:basedOn w:val="50"/>
    <w:autoRedefine/>
    <w:semiHidden/>
    <w:unhideWhenUsed/>
    <w:qFormat/>
    <w:locked/>
    <w:uiPriority w:val="99"/>
    <w:rPr>
      <w:rFonts w:ascii="monospace" w:hAnsi="monospace" w:eastAsia="monospace" w:cs="monospace"/>
      <w:sz w:val="20"/>
    </w:rPr>
  </w:style>
  <w:style w:type="character" w:styleId="61">
    <w:name w:val="annotation reference"/>
    <w:autoRedefine/>
    <w:semiHidden/>
    <w:qFormat/>
    <w:uiPriority w:val="99"/>
    <w:rPr>
      <w:rFonts w:cs="Times New Roman"/>
      <w:sz w:val="21"/>
      <w:szCs w:val="21"/>
    </w:rPr>
  </w:style>
  <w:style w:type="character" w:styleId="62">
    <w:name w:val="HTML Cite"/>
    <w:basedOn w:val="50"/>
    <w:autoRedefine/>
    <w:semiHidden/>
    <w:unhideWhenUsed/>
    <w:qFormat/>
    <w:locked/>
    <w:uiPriority w:val="99"/>
  </w:style>
  <w:style w:type="character" w:styleId="63">
    <w:name w:val="HTML Keyboard"/>
    <w:basedOn w:val="50"/>
    <w:autoRedefine/>
    <w:semiHidden/>
    <w:unhideWhenUsed/>
    <w:qFormat/>
    <w:locked/>
    <w:uiPriority w:val="99"/>
    <w:rPr>
      <w:rFonts w:hint="default" w:ascii="monospace" w:hAnsi="monospace" w:eastAsia="monospace" w:cs="monospace"/>
      <w:sz w:val="20"/>
    </w:rPr>
  </w:style>
  <w:style w:type="character" w:styleId="64">
    <w:name w:val="HTML Sample"/>
    <w:basedOn w:val="50"/>
    <w:autoRedefine/>
    <w:semiHidden/>
    <w:unhideWhenUsed/>
    <w:qFormat/>
    <w:locked/>
    <w:uiPriority w:val="99"/>
    <w:rPr>
      <w:rFonts w:hint="default" w:ascii="monospace" w:hAnsi="monospace" w:eastAsia="monospace" w:cs="monospace"/>
    </w:rPr>
  </w:style>
  <w:style w:type="character" w:customStyle="1" w:styleId="65">
    <w:name w:val="标题 1 字符"/>
    <w:link w:val="3"/>
    <w:autoRedefine/>
    <w:qFormat/>
    <w:locked/>
    <w:uiPriority w:val="99"/>
    <w:rPr>
      <w:rFonts w:cs="Times New Roman"/>
      <w:b/>
      <w:bCs/>
      <w:kern w:val="44"/>
      <w:sz w:val="44"/>
      <w:szCs w:val="44"/>
    </w:rPr>
  </w:style>
  <w:style w:type="paragraph" w:customStyle="1" w:styleId="66">
    <w:name w:val="BodyText"/>
    <w:basedOn w:val="1"/>
    <w:next w:val="67"/>
    <w:autoRedefine/>
    <w:qFormat/>
    <w:uiPriority w:val="0"/>
    <w:pPr>
      <w:spacing w:after="120"/>
      <w:textAlignment w:val="baseline"/>
    </w:pPr>
  </w:style>
  <w:style w:type="paragraph" w:customStyle="1" w:styleId="67">
    <w:name w:val="UserStyle_0"/>
    <w:autoRedefine/>
    <w:qFormat/>
    <w:uiPriority w:val="0"/>
    <w:pPr>
      <w:textAlignment w:val="baseline"/>
    </w:pPr>
    <w:rPr>
      <w:rFonts w:ascii="宋体" w:hAnsi="Times New Roman" w:eastAsia="宋体" w:cs="Times New Roman"/>
      <w:color w:val="000000"/>
      <w:sz w:val="24"/>
      <w:szCs w:val="24"/>
      <w:lang w:val="en-US" w:eastAsia="zh-CN" w:bidi="ar-SA"/>
    </w:rPr>
  </w:style>
  <w:style w:type="paragraph" w:customStyle="1" w:styleId="68">
    <w:name w:val="一级条标题"/>
    <w:basedOn w:val="69"/>
    <w:next w:val="70"/>
    <w:link w:val="155"/>
    <w:autoRedefine/>
    <w:qFormat/>
    <w:uiPriority w:val="99"/>
    <w:pPr>
      <w:tabs>
        <w:tab w:val="left" w:pos="360"/>
      </w:tabs>
      <w:spacing w:beforeLines="0" w:afterLines="0"/>
      <w:ind w:left="0"/>
      <w:outlineLvl w:val="2"/>
    </w:pPr>
  </w:style>
  <w:style w:type="paragraph" w:customStyle="1" w:styleId="69">
    <w:name w:val="章标题"/>
    <w:basedOn w:val="1"/>
    <w:next w:val="1"/>
    <w:link w:val="118"/>
    <w:autoRedefine/>
    <w:qFormat/>
    <w:uiPriority w:val="99"/>
    <w:pPr>
      <w:widowControl/>
      <w:spacing w:beforeLines="100" w:afterLines="100"/>
      <w:ind w:left="142"/>
      <w:outlineLvl w:val="1"/>
    </w:pPr>
    <w:rPr>
      <w:rFonts w:ascii="黑体" w:eastAsia="黑体"/>
      <w:kern w:val="0"/>
      <w:szCs w:val="20"/>
    </w:rPr>
  </w:style>
  <w:style w:type="paragraph" w:customStyle="1" w:styleId="70">
    <w:name w:val="段"/>
    <w:basedOn w:val="71"/>
    <w:next w:val="1"/>
    <w:autoRedefine/>
    <w:qFormat/>
    <w:uiPriority w:val="99"/>
    <w:pPr>
      <w:widowControl/>
      <w:autoSpaceDE w:val="0"/>
      <w:autoSpaceDN w:val="0"/>
      <w:ind w:firstLine="420" w:firstLineChars="200"/>
    </w:pPr>
    <w:rPr>
      <w:rFonts w:ascii="??" w:eastAsia="Times New Roman" w:cs="??"/>
      <w:kern w:val="0"/>
    </w:rPr>
  </w:style>
  <w:style w:type="paragraph" w:customStyle="1" w:styleId="71">
    <w:name w:val="正文1"/>
    <w:basedOn w:val="1"/>
    <w:next w:val="72"/>
    <w:autoRedefine/>
    <w:qFormat/>
    <w:uiPriority w:val="0"/>
    <w:pPr>
      <w:spacing w:line="360" w:lineRule="atLeast"/>
      <w:jc w:val="left"/>
    </w:pPr>
    <w:rPr>
      <w:rFonts w:ascii="宋体" w:hAnsi="Calibri"/>
      <w:sz w:val="24"/>
    </w:rPr>
  </w:style>
  <w:style w:type="paragraph" w:customStyle="1" w:styleId="72">
    <w:name w:val="脚注文本1"/>
    <w:basedOn w:val="71"/>
    <w:next w:val="73"/>
    <w:autoRedefine/>
    <w:qFormat/>
    <w:uiPriority w:val="0"/>
    <w:rPr>
      <w:rFonts w:eastAsia="Times New Roman"/>
      <w:sz w:val="18"/>
      <w:szCs w:val="18"/>
    </w:rPr>
  </w:style>
  <w:style w:type="paragraph" w:customStyle="1" w:styleId="73">
    <w:name w:val="索引 51"/>
    <w:basedOn w:val="71"/>
    <w:next w:val="71"/>
    <w:autoRedefine/>
    <w:qFormat/>
    <w:uiPriority w:val="0"/>
    <w:pPr>
      <w:ind w:left="798"/>
    </w:pPr>
    <w:rPr>
      <w:rFonts w:ascii="Calibri"/>
    </w:rPr>
  </w:style>
  <w:style w:type="paragraph" w:customStyle="1" w:styleId="74">
    <w:name w:val="Default"/>
    <w:autoRedefine/>
    <w:qFormat/>
    <w:uiPriority w:val="99"/>
    <w:pPr>
      <w:widowControl w:val="0"/>
      <w:autoSpaceDE w:val="0"/>
      <w:autoSpaceDN w:val="0"/>
      <w:adjustRightInd w:val="0"/>
    </w:pPr>
    <w:rPr>
      <w:rFonts w:ascii="Tahoma" w:hAnsi="Tahoma" w:eastAsia="宋体" w:cs="Tahoma"/>
      <w:color w:val="000000"/>
      <w:sz w:val="24"/>
      <w:szCs w:val="24"/>
      <w:lang w:val="en-US" w:eastAsia="zh-CN" w:bidi="ar-SA"/>
    </w:rPr>
  </w:style>
  <w:style w:type="paragraph" w:customStyle="1" w:styleId="75">
    <w:name w:val="Char Char10 Char Char Char Char"/>
    <w:basedOn w:val="1"/>
    <w:next w:val="76"/>
    <w:autoRedefine/>
    <w:qFormat/>
    <w:uiPriority w:val="0"/>
    <w:rPr>
      <w:rFonts w:ascii="Calibri" w:hAnsi="Calibri"/>
      <w:kern w:val="0"/>
    </w:rPr>
  </w:style>
  <w:style w:type="paragraph" w:customStyle="1" w:styleId="76">
    <w:name w:val="xl87"/>
    <w:basedOn w:val="1"/>
    <w:next w:val="77"/>
    <w:autoRedefine/>
    <w:qFormat/>
    <w:uiPriority w:val="0"/>
    <w:pPr>
      <w:widowControl/>
      <w:pBdr>
        <w:top w:val="single" w:color="auto" w:sz="4" w:space="0"/>
        <w:left w:val="double" w:color="auto" w:sz="6" w:space="0"/>
        <w:bottom w:val="double" w:color="auto" w:sz="6"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7">
    <w:name w:val="xl72"/>
    <w:basedOn w:val="1"/>
    <w:next w:val="27"/>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78">
    <w:name w:val="无间隔1"/>
    <w:next w:val="79"/>
    <w:autoRedefine/>
    <w:qFormat/>
    <w:uiPriority w:val="99"/>
    <w:pPr>
      <w:widowControl w:val="0"/>
      <w:jc w:val="both"/>
    </w:pPr>
    <w:rPr>
      <w:rFonts w:ascii="Calibri" w:hAnsi="Calibri" w:eastAsia="宋体" w:cs="Calibri"/>
      <w:kern w:val="2"/>
      <w:sz w:val="21"/>
      <w:szCs w:val="21"/>
      <w:lang w:val="en-US" w:eastAsia="zh-CN" w:bidi="ar-SA"/>
    </w:rPr>
  </w:style>
  <w:style w:type="paragraph" w:customStyle="1" w:styleId="79">
    <w:name w:val="正文（首行缩进） Char"/>
    <w:basedOn w:val="1"/>
    <w:next w:val="80"/>
    <w:autoRedefine/>
    <w:qFormat/>
    <w:uiPriority w:val="0"/>
    <w:pPr>
      <w:spacing w:line="360" w:lineRule="auto"/>
      <w:ind w:firstLine="480"/>
    </w:pPr>
    <w:rPr>
      <w:rFonts w:ascii="Arial"/>
      <w:color w:val="000000"/>
      <w:sz w:val="24"/>
    </w:rPr>
  </w:style>
  <w:style w:type="paragraph" w:customStyle="1" w:styleId="80">
    <w:name w:val="2号黑体加粗"/>
    <w:basedOn w:val="1"/>
    <w:next w:val="81"/>
    <w:autoRedefine/>
    <w:qFormat/>
    <w:uiPriority w:val="0"/>
    <w:pPr>
      <w:jc w:val="center"/>
    </w:pPr>
    <w:rPr>
      <w:rFonts w:ascii="Calibri" w:eastAsia="黑体"/>
      <w:b/>
      <w:sz w:val="44"/>
    </w:rPr>
  </w:style>
  <w:style w:type="paragraph" w:customStyle="1" w:styleId="81">
    <w:name w:val="表格文字"/>
    <w:basedOn w:val="1"/>
    <w:next w:val="1"/>
    <w:autoRedefine/>
    <w:qFormat/>
    <w:uiPriority w:val="0"/>
    <w:pPr>
      <w:adjustRightInd w:val="0"/>
      <w:spacing w:line="420" w:lineRule="atLeast"/>
      <w:jc w:val="left"/>
      <w:textAlignment w:val="baseline"/>
    </w:pPr>
    <w:rPr>
      <w:kern w:val="0"/>
      <w:szCs w:val="20"/>
    </w:rPr>
  </w:style>
  <w:style w:type="character" w:customStyle="1" w:styleId="82">
    <w:name w:val="标题 2 字符"/>
    <w:link w:val="4"/>
    <w:autoRedefine/>
    <w:qFormat/>
    <w:locked/>
    <w:uiPriority w:val="99"/>
    <w:rPr>
      <w:rFonts w:ascii="Arial" w:hAnsi="Arial" w:eastAsia="黑体" w:cs="Arial"/>
      <w:b/>
      <w:bCs/>
      <w:sz w:val="32"/>
      <w:szCs w:val="32"/>
    </w:rPr>
  </w:style>
  <w:style w:type="character" w:customStyle="1" w:styleId="83">
    <w:name w:val="标题 3 字符"/>
    <w:link w:val="5"/>
    <w:autoRedefine/>
    <w:qFormat/>
    <w:locked/>
    <w:uiPriority w:val="99"/>
    <w:rPr>
      <w:rFonts w:cs="Times New Roman"/>
      <w:b/>
      <w:bCs/>
      <w:sz w:val="32"/>
      <w:szCs w:val="32"/>
    </w:rPr>
  </w:style>
  <w:style w:type="character" w:customStyle="1" w:styleId="84">
    <w:name w:val="标题 4 字符"/>
    <w:link w:val="6"/>
    <w:autoRedefine/>
    <w:semiHidden/>
    <w:qFormat/>
    <w:locked/>
    <w:uiPriority w:val="99"/>
    <w:rPr>
      <w:rFonts w:ascii="Arial" w:hAnsi="Arial" w:eastAsia="黑体" w:cs="Arial"/>
      <w:b/>
      <w:bCs/>
      <w:kern w:val="2"/>
      <w:sz w:val="28"/>
      <w:szCs w:val="28"/>
      <w:lang w:val="en-US" w:eastAsia="zh-CN"/>
    </w:rPr>
  </w:style>
  <w:style w:type="character" w:customStyle="1" w:styleId="85">
    <w:name w:val="标题 5 字符"/>
    <w:link w:val="7"/>
    <w:autoRedefine/>
    <w:semiHidden/>
    <w:qFormat/>
    <w:locked/>
    <w:uiPriority w:val="99"/>
    <w:rPr>
      <w:rFonts w:eastAsia="Times New Roman" w:cs="Times New Roman"/>
      <w:b/>
      <w:bCs/>
      <w:kern w:val="2"/>
      <w:sz w:val="28"/>
      <w:szCs w:val="28"/>
      <w:lang w:val="en-US" w:eastAsia="zh-CN"/>
    </w:rPr>
  </w:style>
  <w:style w:type="character" w:customStyle="1" w:styleId="86">
    <w:name w:val="标题 6 字符"/>
    <w:link w:val="8"/>
    <w:autoRedefine/>
    <w:semiHidden/>
    <w:qFormat/>
    <w:locked/>
    <w:uiPriority w:val="99"/>
    <w:rPr>
      <w:rFonts w:ascii="Cambria" w:hAnsi="Cambria" w:cs="Cambria"/>
      <w:b/>
      <w:bCs/>
      <w:kern w:val="2"/>
      <w:sz w:val="24"/>
      <w:szCs w:val="24"/>
      <w:lang w:val="en-US" w:eastAsia="zh-CN"/>
    </w:rPr>
  </w:style>
  <w:style w:type="character" w:customStyle="1" w:styleId="87">
    <w:name w:val="标题 7 字符"/>
    <w:link w:val="9"/>
    <w:autoRedefine/>
    <w:semiHidden/>
    <w:qFormat/>
    <w:locked/>
    <w:uiPriority w:val="99"/>
    <w:rPr>
      <w:rFonts w:eastAsia="Times New Roman" w:cs="Times New Roman"/>
      <w:b/>
      <w:bCs/>
      <w:kern w:val="2"/>
      <w:sz w:val="24"/>
      <w:szCs w:val="24"/>
      <w:lang w:val="en-US" w:eastAsia="zh-CN"/>
    </w:rPr>
  </w:style>
  <w:style w:type="character" w:customStyle="1" w:styleId="88">
    <w:name w:val="标题 8 字符"/>
    <w:link w:val="10"/>
    <w:autoRedefine/>
    <w:semiHidden/>
    <w:qFormat/>
    <w:locked/>
    <w:uiPriority w:val="99"/>
    <w:rPr>
      <w:rFonts w:ascii="Cambria" w:hAnsi="Cambria" w:cs="Cambria"/>
      <w:kern w:val="2"/>
      <w:sz w:val="24"/>
      <w:szCs w:val="24"/>
      <w:lang w:val="en-US" w:eastAsia="zh-CN"/>
    </w:rPr>
  </w:style>
  <w:style w:type="character" w:customStyle="1" w:styleId="89">
    <w:name w:val="标题 9 字符"/>
    <w:link w:val="11"/>
    <w:autoRedefine/>
    <w:semiHidden/>
    <w:qFormat/>
    <w:locked/>
    <w:uiPriority w:val="99"/>
    <w:rPr>
      <w:rFonts w:ascii="Cambria" w:hAnsi="Cambria" w:cs="Cambria"/>
      <w:kern w:val="2"/>
      <w:sz w:val="21"/>
      <w:szCs w:val="21"/>
      <w:lang w:val="en-US" w:eastAsia="zh-CN"/>
    </w:rPr>
  </w:style>
  <w:style w:type="character" w:customStyle="1" w:styleId="90">
    <w:name w:val="正文文本 字符"/>
    <w:link w:val="2"/>
    <w:autoRedefine/>
    <w:qFormat/>
    <w:locked/>
    <w:uiPriority w:val="99"/>
    <w:rPr>
      <w:rFonts w:ascii="楷体_GB2312" w:eastAsia="楷体_GB2312" w:cs="楷体_GB2312"/>
      <w:sz w:val="28"/>
      <w:szCs w:val="28"/>
      <w:lang w:val="en-US" w:eastAsia="zh-CN"/>
    </w:rPr>
  </w:style>
  <w:style w:type="character" w:customStyle="1" w:styleId="91">
    <w:name w:val="正文文本首行缩进 字符"/>
    <w:link w:val="46"/>
    <w:autoRedefine/>
    <w:qFormat/>
    <w:locked/>
    <w:uiPriority w:val="99"/>
    <w:rPr>
      <w:rFonts w:ascii="楷体_GB2312" w:eastAsia="楷体_GB2312" w:cs="楷体_GB2312"/>
      <w:kern w:val="2"/>
      <w:sz w:val="32"/>
      <w:szCs w:val="32"/>
      <w:lang w:val="en-US" w:eastAsia="zh-CN"/>
    </w:rPr>
  </w:style>
  <w:style w:type="character" w:customStyle="1" w:styleId="92">
    <w:name w:val="正文文本缩进 字符"/>
    <w:link w:val="20"/>
    <w:autoRedefine/>
    <w:semiHidden/>
    <w:qFormat/>
    <w:locked/>
    <w:uiPriority w:val="99"/>
    <w:rPr>
      <w:rFonts w:cs="Times New Roman"/>
      <w:sz w:val="20"/>
      <w:szCs w:val="20"/>
    </w:rPr>
  </w:style>
  <w:style w:type="character" w:customStyle="1" w:styleId="93">
    <w:name w:val="正文文本首行缩进 2 字符"/>
    <w:basedOn w:val="92"/>
    <w:link w:val="47"/>
    <w:autoRedefine/>
    <w:semiHidden/>
    <w:qFormat/>
    <w:locked/>
    <w:uiPriority w:val="99"/>
    <w:rPr>
      <w:rFonts w:cs="Times New Roman"/>
      <w:sz w:val="20"/>
      <w:szCs w:val="20"/>
    </w:rPr>
  </w:style>
  <w:style w:type="character" w:customStyle="1" w:styleId="94">
    <w:name w:val="文档结构图 字符"/>
    <w:link w:val="17"/>
    <w:autoRedefine/>
    <w:qFormat/>
    <w:locked/>
    <w:uiPriority w:val="99"/>
    <w:rPr>
      <w:rFonts w:ascii="??" w:eastAsia="Times New Roman" w:cs="??"/>
      <w:kern w:val="2"/>
      <w:sz w:val="18"/>
      <w:szCs w:val="18"/>
    </w:rPr>
  </w:style>
  <w:style w:type="character" w:customStyle="1" w:styleId="95">
    <w:name w:val="批注文字 字符"/>
    <w:link w:val="18"/>
    <w:autoRedefine/>
    <w:qFormat/>
    <w:locked/>
    <w:uiPriority w:val="99"/>
    <w:rPr>
      <w:rFonts w:eastAsia="Times New Roman" w:cs="Times New Roman"/>
      <w:kern w:val="2"/>
      <w:sz w:val="24"/>
      <w:szCs w:val="24"/>
      <w:lang w:val="en-US" w:eastAsia="zh-CN"/>
    </w:rPr>
  </w:style>
  <w:style w:type="character" w:customStyle="1" w:styleId="96">
    <w:name w:val="正文文本 3 字符"/>
    <w:link w:val="19"/>
    <w:autoRedefine/>
    <w:semiHidden/>
    <w:qFormat/>
    <w:locked/>
    <w:uiPriority w:val="99"/>
    <w:rPr>
      <w:rFonts w:cs="Times New Roman"/>
      <w:sz w:val="16"/>
      <w:szCs w:val="16"/>
    </w:rPr>
  </w:style>
  <w:style w:type="character" w:customStyle="1" w:styleId="97">
    <w:name w:val="纯文本 字符"/>
    <w:link w:val="25"/>
    <w:autoRedefine/>
    <w:qFormat/>
    <w:locked/>
    <w:uiPriority w:val="99"/>
    <w:rPr>
      <w:rFonts w:ascii="??" w:hAnsi="Courier New" w:eastAsia="Times New Roman" w:cs="??"/>
      <w:kern w:val="2"/>
      <w:sz w:val="21"/>
      <w:szCs w:val="21"/>
      <w:lang w:val="en-US" w:eastAsia="zh-CN"/>
    </w:rPr>
  </w:style>
  <w:style w:type="character" w:customStyle="1" w:styleId="98">
    <w:name w:val="日期 字符"/>
    <w:link w:val="27"/>
    <w:autoRedefine/>
    <w:semiHidden/>
    <w:qFormat/>
    <w:locked/>
    <w:uiPriority w:val="99"/>
    <w:rPr>
      <w:rFonts w:cs="Times New Roman"/>
      <w:sz w:val="20"/>
      <w:szCs w:val="20"/>
    </w:rPr>
  </w:style>
  <w:style w:type="character" w:customStyle="1" w:styleId="99">
    <w:name w:val="正文文本缩进 2 字符"/>
    <w:link w:val="28"/>
    <w:autoRedefine/>
    <w:semiHidden/>
    <w:qFormat/>
    <w:locked/>
    <w:uiPriority w:val="99"/>
    <w:rPr>
      <w:rFonts w:cs="Times New Roman"/>
      <w:sz w:val="20"/>
      <w:szCs w:val="20"/>
    </w:rPr>
  </w:style>
  <w:style w:type="character" w:customStyle="1" w:styleId="100">
    <w:name w:val="批注框文本 字符"/>
    <w:link w:val="29"/>
    <w:autoRedefine/>
    <w:qFormat/>
    <w:locked/>
    <w:uiPriority w:val="99"/>
    <w:rPr>
      <w:rFonts w:eastAsia="Times New Roman" w:cs="Times New Roman"/>
      <w:kern w:val="2"/>
      <w:sz w:val="18"/>
      <w:szCs w:val="18"/>
      <w:lang w:val="en-US" w:eastAsia="zh-CN"/>
    </w:rPr>
  </w:style>
  <w:style w:type="character" w:customStyle="1" w:styleId="101">
    <w:name w:val="页脚 字符"/>
    <w:link w:val="30"/>
    <w:autoRedefine/>
    <w:qFormat/>
    <w:locked/>
    <w:uiPriority w:val="99"/>
    <w:rPr>
      <w:rFonts w:eastAsia="Times New Roman" w:cs="Times New Roman"/>
      <w:kern w:val="2"/>
      <w:sz w:val="18"/>
      <w:szCs w:val="18"/>
      <w:lang w:val="en-US" w:eastAsia="zh-CN"/>
    </w:rPr>
  </w:style>
  <w:style w:type="character" w:customStyle="1" w:styleId="102">
    <w:name w:val="页眉 字符"/>
    <w:link w:val="32"/>
    <w:autoRedefine/>
    <w:qFormat/>
    <w:locked/>
    <w:uiPriority w:val="99"/>
    <w:rPr>
      <w:rFonts w:eastAsia="Times New Roman" w:cs="Times New Roman"/>
      <w:kern w:val="2"/>
      <w:sz w:val="18"/>
      <w:szCs w:val="18"/>
      <w:lang w:val="en-US" w:eastAsia="zh-CN"/>
    </w:rPr>
  </w:style>
  <w:style w:type="character" w:customStyle="1" w:styleId="103">
    <w:name w:val="正文文本 2 字符"/>
    <w:link w:val="15"/>
    <w:autoRedefine/>
    <w:semiHidden/>
    <w:qFormat/>
    <w:locked/>
    <w:uiPriority w:val="99"/>
    <w:rPr>
      <w:rFonts w:cs="Times New Roman"/>
      <w:sz w:val="20"/>
      <w:szCs w:val="20"/>
    </w:rPr>
  </w:style>
  <w:style w:type="character" w:customStyle="1" w:styleId="104">
    <w:name w:val="HTML 预设格式 字符"/>
    <w:link w:val="42"/>
    <w:autoRedefine/>
    <w:semiHidden/>
    <w:qFormat/>
    <w:locked/>
    <w:uiPriority w:val="99"/>
    <w:rPr>
      <w:rFonts w:ascii="Courier New" w:hAnsi="Courier New" w:cs="Courier New"/>
      <w:sz w:val="20"/>
      <w:szCs w:val="20"/>
    </w:rPr>
  </w:style>
  <w:style w:type="character" w:customStyle="1" w:styleId="105">
    <w:name w:val="标题 字符"/>
    <w:link w:val="44"/>
    <w:autoRedefine/>
    <w:qFormat/>
    <w:locked/>
    <w:uiPriority w:val="99"/>
    <w:rPr>
      <w:rFonts w:ascii="Arial" w:hAnsi="Arial" w:cs="Arial"/>
      <w:b/>
      <w:bCs/>
      <w:kern w:val="2"/>
      <w:sz w:val="32"/>
      <w:szCs w:val="32"/>
      <w:lang w:val="en-US" w:eastAsia="zh-CN"/>
    </w:rPr>
  </w:style>
  <w:style w:type="character" w:customStyle="1" w:styleId="106">
    <w:name w:val="批注主题 字符"/>
    <w:link w:val="45"/>
    <w:autoRedefine/>
    <w:semiHidden/>
    <w:qFormat/>
    <w:locked/>
    <w:uiPriority w:val="99"/>
    <w:rPr>
      <w:rFonts w:eastAsia="Times New Roman" w:cs="Times New Roman"/>
      <w:b/>
      <w:bCs/>
      <w:kern w:val="2"/>
      <w:sz w:val="20"/>
      <w:szCs w:val="20"/>
      <w:lang w:val="en-US" w:eastAsia="zh-CN"/>
    </w:rPr>
  </w:style>
  <w:style w:type="character" w:customStyle="1" w:styleId="107">
    <w:name w:val="hz4"/>
    <w:autoRedefine/>
    <w:qFormat/>
    <w:uiPriority w:val="99"/>
    <w:rPr>
      <w:rFonts w:cs="Times New Roman"/>
    </w:rPr>
  </w:style>
  <w:style w:type="character" w:customStyle="1" w:styleId="108">
    <w:name w:val="font21"/>
    <w:autoRedefine/>
    <w:qFormat/>
    <w:uiPriority w:val="99"/>
    <w:rPr>
      <w:rFonts w:ascii="??" w:hAnsi="??"/>
      <w:color w:val="000000"/>
      <w:sz w:val="24"/>
      <w:u w:val="none"/>
    </w:rPr>
  </w:style>
  <w:style w:type="character" w:customStyle="1" w:styleId="109">
    <w:name w:val="Char Char5"/>
    <w:autoRedefine/>
    <w:qFormat/>
    <w:uiPriority w:val="99"/>
    <w:rPr>
      <w:rFonts w:eastAsia="Times New Roman"/>
      <w:kern w:val="2"/>
      <w:sz w:val="18"/>
      <w:lang w:val="en-US" w:eastAsia="zh-CN"/>
    </w:rPr>
  </w:style>
  <w:style w:type="character" w:customStyle="1" w:styleId="110">
    <w:name w:val="10"/>
    <w:autoRedefine/>
    <w:qFormat/>
    <w:uiPriority w:val="99"/>
    <w:rPr>
      <w:rFonts w:ascii="Times New Roman" w:hAnsi="Times New Roman"/>
    </w:rPr>
  </w:style>
  <w:style w:type="character" w:customStyle="1" w:styleId="111">
    <w:name w:val="style8"/>
    <w:autoRedefine/>
    <w:qFormat/>
    <w:uiPriority w:val="99"/>
    <w:rPr>
      <w:rFonts w:cs="Times New Roman"/>
    </w:rPr>
  </w:style>
  <w:style w:type="character" w:customStyle="1" w:styleId="112">
    <w:name w:val="icon_ds"/>
    <w:autoRedefine/>
    <w:qFormat/>
    <w:uiPriority w:val="99"/>
  </w:style>
  <w:style w:type="character" w:customStyle="1" w:styleId="113">
    <w:name w:val="style941"/>
    <w:autoRedefine/>
    <w:qFormat/>
    <w:uiPriority w:val="99"/>
    <w:rPr>
      <w:color w:val="auto"/>
    </w:rPr>
  </w:style>
  <w:style w:type="character" w:customStyle="1" w:styleId="114">
    <w:name w:val="style51"/>
    <w:autoRedefine/>
    <w:qFormat/>
    <w:uiPriority w:val="99"/>
    <w:rPr>
      <w:sz w:val="18"/>
    </w:rPr>
  </w:style>
  <w:style w:type="character" w:customStyle="1" w:styleId="115">
    <w:name w:val="表格 Char Char"/>
    <w:link w:val="116"/>
    <w:autoRedefine/>
    <w:qFormat/>
    <w:locked/>
    <w:uiPriority w:val="99"/>
    <w:rPr>
      <w:rFonts w:ascii="??" w:hAnsi="??"/>
      <w:lang w:val="en-US" w:eastAsia="zh-CN"/>
    </w:rPr>
  </w:style>
  <w:style w:type="paragraph" w:customStyle="1" w:styleId="116">
    <w:name w:val="表格"/>
    <w:basedOn w:val="1"/>
    <w:link w:val="115"/>
    <w:autoRedefine/>
    <w:qFormat/>
    <w:uiPriority w:val="99"/>
    <w:pPr>
      <w:snapToGrid w:val="0"/>
      <w:ind w:firstLine="42" w:firstLineChars="21"/>
    </w:pPr>
    <w:rPr>
      <w:rFonts w:ascii="??" w:hAnsi="??"/>
      <w:kern w:val="0"/>
      <w:sz w:val="20"/>
      <w:szCs w:val="20"/>
    </w:rPr>
  </w:style>
  <w:style w:type="character" w:customStyle="1" w:styleId="117">
    <w:name w:val="main"/>
    <w:autoRedefine/>
    <w:qFormat/>
    <w:uiPriority w:val="99"/>
    <w:rPr>
      <w:rFonts w:cs="Times New Roman"/>
    </w:rPr>
  </w:style>
  <w:style w:type="character" w:customStyle="1" w:styleId="118">
    <w:name w:val="章标题 Char"/>
    <w:link w:val="69"/>
    <w:autoRedefine/>
    <w:qFormat/>
    <w:locked/>
    <w:uiPriority w:val="99"/>
    <w:rPr>
      <w:rFonts w:ascii="黑体" w:eastAsia="黑体"/>
      <w:sz w:val="21"/>
      <w:lang w:val="en-US" w:eastAsia="zh-CN"/>
    </w:rPr>
  </w:style>
  <w:style w:type="character" w:customStyle="1" w:styleId="119">
    <w:name w:val="140"/>
    <w:autoRedefine/>
    <w:qFormat/>
    <w:uiPriority w:val="99"/>
    <w:rPr>
      <w:rFonts w:eastAsia="Times New Roman"/>
      <w:kern w:val="2"/>
      <w:sz w:val="24"/>
      <w:lang w:val="en-US" w:eastAsia="zh-CN"/>
    </w:rPr>
  </w:style>
  <w:style w:type="character" w:customStyle="1" w:styleId="120">
    <w:name w:val="style"/>
    <w:autoRedefine/>
    <w:qFormat/>
    <w:uiPriority w:val="99"/>
    <w:rPr>
      <w:rFonts w:cs="Times New Roman"/>
    </w:rPr>
  </w:style>
  <w:style w:type="character" w:customStyle="1" w:styleId="121">
    <w:name w:val="htm10"/>
    <w:autoRedefine/>
    <w:qFormat/>
    <w:uiPriority w:val="99"/>
    <w:rPr>
      <w:rFonts w:cs="Times New Roman"/>
    </w:rPr>
  </w:style>
  <w:style w:type="character" w:customStyle="1" w:styleId="122">
    <w:name w:val="xiadan"/>
    <w:autoRedefine/>
    <w:qFormat/>
    <w:uiPriority w:val="99"/>
    <w:rPr>
      <w:shd w:val="clear" w:color="auto" w:fill="auto"/>
    </w:rPr>
  </w:style>
  <w:style w:type="character" w:customStyle="1" w:styleId="123">
    <w:name w:val="H4 Char"/>
    <w:autoRedefine/>
    <w:qFormat/>
    <w:uiPriority w:val="99"/>
    <w:rPr>
      <w:rFonts w:ascii="Arial" w:hAnsi="Arial" w:eastAsia="黑体"/>
      <w:b/>
      <w:kern w:val="2"/>
      <w:sz w:val="28"/>
      <w:lang w:val="en-US" w:eastAsia="zh-CN"/>
    </w:rPr>
  </w:style>
  <w:style w:type="character" w:customStyle="1" w:styleId="124">
    <w:name w:val="at_4"/>
    <w:autoRedefine/>
    <w:qFormat/>
    <w:uiPriority w:val="99"/>
    <w:rPr>
      <w:rFonts w:eastAsia="Times New Roman"/>
      <w:kern w:val="2"/>
      <w:sz w:val="24"/>
      <w:lang w:val="en-US" w:eastAsia="zh-CN"/>
    </w:rPr>
  </w:style>
  <w:style w:type="character" w:customStyle="1" w:styleId="125">
    <w:name w:val="xiangxicanshu_txt21"/>
    <w:autoRedefine/>
    <w:qFormat/>
    <w:uiPriority w:val="99"/>
    <w:rPr>
      <w:rFonts w:ascii="Arial" w:hAnsi="Arial"/>
      <w:color w:val="auto"/>
      <w:sz w:val="18"/>
    </w:rPr>
  </w:style>
  <w:style w:type="character" w:customStyle="1" w:styleId="126">
    <w:name w:val="列出段落 Char"/>
    <w:link w:val="127"/>
    <w:autoRedefine/>
    <w:qFormat/>
    <w:locked/>
    <w:uiPriority w:val="99"/>
    <w:rPr>
      <w:rFonts w:eastAsia="Times New Roman"/>
      <w:kern w:val="2"/>
      <w:sz w:val="24"/>
      <w:lang w:val="en-US" w:eastAsia="zh-CN"/>
    </w:rPr>
  </w:style>
  <w:style w:type="paragraph" w:customStyle="1" w:styleId="127">
    <w:name w:val="List Paragraph1"/>
    <w:basedOn w:val="1"/>
    <w:link w:val="126"/>
    <w:autoRedefine/>
    <w:qFormat/>
    <w:uiPriority w:val="99"/>
    <w:pPr>
      <w:ind w:firstLine="420" w:firstLineChars="200"/>
    </w:pPr>
    <w:rPr>
      <w:rFonts w:eastAsia="Times New Roman"/>
      <w:sz w:val="24"/>
      <w:szCs w:val="20"/>
    </w:rPr>
  </w:style>
  <w:style w:type="character" w:customStyle="1" w:styleId="128">
    <w:name w:val="font01"/>
    <w:autoRedefine/>
    <w:qFormat/>
    <w:uiPriority w:val="99"/>
    <w:rPr>
      <w:rFonts w:ascii="??" w:hAnsi="??"/>
      <w:color w:val="000000"/>
      <w:sz w:val="24"/>
      <w:u w:val="none"/>
    </w:rPr>
  </w:style>
  <w:style w:type="character" w:customStyle="1" w:styleId="129">
    <w:name w:val="style2"/>
    <w:autoRedefine/>
    <w:qFormat/>
    <w:uiPriority w:val="99"/>
    <w:rPr>
      <w:rFonts w:cs="Times New Roman"/>
    </w:rPr>
  </w:style>
  <w:style w:type="character" w:customStyle="1" w:styleId="130">
    <w:name w:val="blue1"/>
    <w:autoRedefine/>
    <w:qFormat/>
    <w:uiPriority w:val="99"/>
    <w:rPr>
      <w:rFonts w:cs="Times New Roman"/>
    </w:rPr>
  </w:style>
  <w:style w:type="character" w:customStyle="1" w:styleId="131">
    <w:name w:val="style11"/>
    <w:autoRedefine/>
    <w:qFormat/>
    <w:uiPriority w:val="99"/>
    <w:rPr>
      <w:sz w:val="18"/>
    </w:rPr>
  </w:style>
  <w:style w:type="character" w:customStyle="1" w:styleId="132">
    <w:name w:val="zong12"/>
    <w:autoRedefine/>
    <w:qFormat/>
    <w:uiPriority w:val="99"/>
    <w:rPr>
      <w:rFonts w:eastAsia="Times New Roman"/>
      <w:kern w:val="2"/>
      <w:sz w:val="24"/>
      <w:lang w:val="en-US" w:eastAsia="zh-CN"/>
    </w:rPr>
  </w:style>
  <w:style w:type="character" w:customStyle="1" w:styleId="133">
    <w:name w:val="hui3"/>
    <w:autoRedefine/>
    <w:qFormat/>
    <w:uiPriority w:val="99"/>
    <w:rPr>
      <w:color w:val="333333"/>
    </w:rPr>
  </w:style>
  <w:style w:type="character" w:customStyle="1" w:styleId="134">
    <w:name w:val="param-name"/>
    <w:autoRedefine/>
    <w:qFormat/>
    <w:uiPriority w:val="99"/>
    <w:rPr>
      <w:rFonts w:cs="Times New Roman"/>
    </w:rPr>
  </w:style>
  <w:style w:type="character" w:customStyle="1" w:styleId="135">
    <w:name w:val="正文缩进 Char Char"/>
    <w:link w:val="136"/>
    <w:autoRedefine/>
    <w:qFormat/>
    <w:locked/>
    <w:uiPriority w:val="99"/>
    <w:rPr>
      <w:rFonts w:ascii="Arial" w:hAnsi="Arial"/>
      <w:snapToGrid w:val="0"/>
      <w:kern w:val="2"/>
      <w:sz w:val="21"/>
    </w:rPr>
  </w:style>
  <w:style w:type="paragraph" w:customStyle="1" w:styleId="136">
    <w:name w:val="正文缩进1"/>
    <w:basedOn w:val="1"/>
    <w:link w:val="135"/>
    <w:autoRedefine/>
    <w:qFormat/>
    <w:uiPriority w:val="99"/>
    <w:pPr>
      <w:ind w:firstLine="420"/>
    </w:pPr>
    <w:rPr>
      <w:rFonts w:ascii="Arial" w:hAnsi="Arial"/>
      <w:snapToGrid w:val="0"/>
      <w:szCs w:val="20"/>
    </w:rPr>
  </w:style>
  <w:style w:type="character" w:customStyle="1" w:styleId="137">
    <w:name w:val="超链接1"/>
    <w:autoRedefine/>
    <w:qFormat/>
    <w:uiPriority w:val="99"/>
    <w:rPr>
      <w:color w:val="auto"/>
      <w:u w:val="none"/>
    </w:rPr>
  </w:style>
  <w:style w:type="character" w:customStyle="1" w:styleId="138">
    <w:name w:val="text_title"/>
    <w:autoRedefine/>
    <w:qFormat/>
    <w:uiPriority w:val="99"/>
    <w:rPr>
      <w:rFonts w:cs="Times New Roman"/>
    </w:rPr>
  </w:style>
  <w:style w:type="character" w:customStyle="1" w:styleId="139">
    <w:name w:val="普通文字 Char Char Char Char"/>
    <w:autoRedefine/>
    <w:qFormat/>
    <w:uiPriority w:val="99"/>
    <w:rPr>
      <w:rFonts w:ascii="??" w:hAnsi="Courier New" w:eastAsia="Times New Roman"/>
      <w:kern w:val="2"/>
      <w:sz w:val="21"/>
      <w:lang w:val="en-US" w:eastAsia="zh-CN"/>
    </w:rPr>
  </w:style>
  <w:style w:type="character" w:customStyle="1" w:styleId="140">
    <w:name w:val="gray6"/>
    <w:autoRedefine/>
    <w:qFormat/>
    <w:uiPriority w:val="99"/>
    <w:rPr>
      <w:rFonts w:cs="Times New Roman"/>
    </w:rPr>
  </w:style>
  <w:style w:type="character" w:customStyle="1" w:styleId="141">
    <w:name w:val="bei1"/>
    <w:autoRedefine/>
    <w:qFormat/>
    <w:uiPriority w:val="99"/>
    <w:rPr>
      <w:rFonts w:cs="Times New Roman"/>
    </w:rPr>
  </w:style>
  <w:style w:type="character" w:customStyle="1" w:styleId="142">
    <w:name w:val="fr"/>
    <w:autoRedefine/>
    <w:qFormat/>
    <w:uiPriority w:val="99"/>
    <w:rPr>
      <w:rFonts w:cs="Times New Roman"/>
    </w:rPr>
  </w:style>
  <w:style w:type="character" w:customStyle="1" w:styleId="143">
    <w:name w:val="wz1"/>
    <w:autoRedefine/>
    <w:qFormat/>
    <w:uiPriority w:val="99"/>
    <w:rPr>
      <w:rFonts w:ascii="??" w:hAnsi="??"/>
      <w:color w:val="000000"/>
      <w:sz w:val="18"/>
      <w:u w:val="none"/>
    </w:rPr>
  </w:style>
  <w:style w:type="character" w:customStyle="1" w:styleId="144">
    <w:name w:val="icon_gys"/>
    <w:autoRedefine/>
    <w:qFormat/>
    <w:uiPriority w:val="99"/>
    <w:rPr>
      <w:sz w:val="21"/>
    </w:rPr>
  </w:style>
  <w:style w:type="character" w:customStyle="1" w:styleId="145">
    <w:name w:val="style161"/>
    <w:autoRedefine/>
    <w:qFormat/>
    <w:uiPriority w:val="99"/>
    <w:rPr>
      <w:rFonts w:ascii="??" w:hAnsi="??"/>
      <w:color w:val="000000"/>
      <w:sz w:val="21"/>
    </w:rPr>
  </w:style>
  <w:style w:type="character" w:customStyle="1" w:styleId="146">
    <w:name w:val="apple-converted-space"/>
    <w:autoRedefine/>
    <w:qFormat/>
    <w:uiPriority w:val="99"/>
    <w:rPr>
      <w:rFonts w:cs="Times New Roman"/>
    </w:rPr>
  </w:style>
  <w:style w:type="character" w:customStyle="1" w:styleId="147">
    <w:name w:val="font11"/>
    <w:basedOn w:val="50"/>
    <w:autoRedefine/>
    <w:qFormat/>
    <w:uiPriority w:val="99"/>
    <w:rPr>
      <w:rFonts w:ascii="??" w:hAnsi="??"/>
      <w:color w:val="000000"/>
      <w:sz w:val="22"/>
      <w:u w:val="none"/>
    </w:rPr>
  </w:style>
  <w:style w:type="character" w:customStyle="1" w:styleId="148">
    <w:name w:val="style9"/>
    <w:autoRedefine/>
    <w:qFormat/>
    <w:uiPriority w:val="99"/>
    <w:rPr>
      <w:rFonts w:cs="Times New Roman"/>
    </w:rPr>
  </w:style>
  <w:style w:type="character" w:customStyle="1" w:styleId="149">
    <w:name w:val="er1"/>
    <w:autoRedefine/>
    <w:qFormat/>
    <w:uiPriority w:val="99"/>
    <w:rPr>
      <w:rFonts w:cs="Times New Roman"/>
    </w:rPr>
  </w:style>
  <w:style w:type="character" w:customStyle="1" w:styleId="150">
    <w:name w:val="普通文字 Char Char1"/>
    <w:autoRedefine/>
    <w:qFormat/>
    <w:uiPriority w:val="99"/>
    <w:rPr>
      <w:rFonts w:ascii="??" w:hAnsi="Courier New" w:eastAsia="Times New Roman"/>
      <w:kern w:val="2"/>
      <w:sz w:val="21"/>
      <w:lang w:val="en-US" w:eastAsia="zh-CN"/>
    </w:rPr>
  </w:style>
  <w:style w:type="character" w:customStyle="1" w:styleId="151">
    <w:name w:val="15"/>
    <w:autoRedefine/>
    <w:qFormat/>
    <w:uiPriority w:val="99"/>
    <w:rPr>
      <w:rFonts w:ascii="Times New Roman" w:hAnsi="Times New Roman"/>
      <w:sz w:val="20"/>
    </w:rPr>
  </w:style>
  <w:style w:type="character" w:customStyle="1" w:styleId="152">
    <w:name w:val="normal1"/>
    <w:autoRedefine/>
    <w:qFormat/>
    <w:uiPriority w:val="99"/>
    <w:rPr>
      <w:rFonts w:ascii="??" w:hAnsi="??"/>
      <w:sz w:val="20"/>
      <w:u w:val="none"/>
    </w:rPr>
  </w:style>
  <w:style w:type="character" w:customStyle="1" w:styleId="153">
    <w:name w:val="style6"/>
    <w:autoRedefine/>
    <w:qFormat/>
    <w:uiPriority w:val="99"/>
    <w:rPr>
      <w:rFonts w:cs="Times New Roman"/>
    </w:rPr>
  </w:style>
  <w:style w:type="character" w:customStyle="1" w:styleId="154">
    <w:name w:val="icon_ds1"/>
    <w:autoRedefine/>
    <w:qFormat/>
    <w:uiPriority w:val="99"/>
    <w:rPr>
      <w:sz w:val="21"/>
    </w:rPr>
  </w:style>
  <w:style w:type="character" w:customStyle="1" w:styleId="155">
    <w:name w:val="一级条标题 Char"/>
    <w:link w:val="68"/>
    <w:autoRedefine/>
    <w:qFormat/>
    <w:locked/>
    <w:uiPriority w:val="99"/>
    <w:rPr>
      <w:rFonts w:ascii="黑体" w:eastAsia="黑体" w:cs="黑体"/>
      <w:sz w:val="21"/>
      <w:szCs w:val="21"/>
      <w:lang w:val="en-US" w:eastAsia="zh-CN"/>
    </w:rPr>
  </w:style>
  <w:style w:type="character" w:customStyle="1" w:styleId="156">
    <w:name w:val="16"/>
    <w:autoRedefine/>
    <w:qFormat/>
    <w:uiPriority w:val="99"/>
    <w:rPr>
      <w:rFonts w:ascii="Times New Roman" w:hAnsi="Times New Roman"/>
      <w:color w:val="0000FF"/>
      <w:u w:val="single"/>
    </w:rPr>
  </w:style>
  <w:style w:type="character" w:customStyle="1" w:styleId="157">
    <w:name w:val="style201"/>
    <w:autoRedefine/>
    <w:qFormat/>
    <w:uiPriority w:val="99"/>
    <w:rPr>
      <w:rFonts w:ascii="Arial" w:hAnsi="Arial"/>
      <w:b/>
      <w:sz w:val="21"/>
    </w:rPr>
  </w:style>
  <w:style w:type="paragraph" w:customStyle="1" w:styleId="158">
    <w:name w:val="默认段落字体 Para Char Char Char Char"/>
    <w:basedOn w:val="1"/>
    <w:autoRedefine/>
    <w:qFormat/>
    <w:uiPriority w:val="99"/>
    <w:pPr>
      <w:snapToGrid w:val="0"/>
      <w:spacing w:line="360" w:lineRule="auto"/>
      <w:ind w:firstLine="200" w:firstLineChars="200"/>
    </w:pPr>
    <w:rPr>
      <w:rFonts w:eastAsia="仿宋_GB2312"/>
      <w:sz w:val="24"/>
      <w:szCs w:val="24"/>
    </w:rPr>
  </w:style>
  <w:style w:type="paragraph" w:customStyle="1" w:styleId="159">
    <w:name w:val="No Spacing1"/>
    <w:autoRedefine/>
    <w:qFormat/>
    <w:uiPriority w:val="99"/>
    <w:pPr>
      <w:widowControl w:val="0"/>
      <w:jc w:val="both"/>
    </w:pPr>
    <w:rPr>
      <w:rFonts w:ascii="Calibri" w:hAnsi="Calibri" w:eastAsia="宋体" w:cs="Calibri"/>
      <w:kern w:val="2"/>
      <w:sz w:val="21"/>
      <w:szCs w:val="21"/>
      <w:lang w:val="en-US" w:eastAsia="zh-CN" w:bidi="ar-SA"/>
    </w:rPr>
  </w:style>
  <w:style w:type="paragraph" w:customStyle="1" w:styleId="160">
    <w:name w:val="正文首行缩进2字"/>
    <w:basedOn w:val="1"/>
    <w:autoRedefine/>
    <w:qFormat/>
    <w:uiPriority w:val="99"/>
    <w:pPr>
      <w:spacing w:before="100" w:beforeAutospacing="1" w:after="100" w:afterAutospacing="1"/>
      <w:ind w:firstLine="560" w:firstLineChars="200"/>
    </w:pPr>
    <w:rPr>
      <w:rFonts w:eastAsia="楷体_GB2312"/>
      <w:kern w:val="0"/>
      <w:sz w:val="28"/>
      <w:szCs w:val="28"/>
    </w:rPr>
  </w:style>
  <w:style w:type="paragraph" w:customStyle="1" w:styleId="161">
    <w:name w:val="style4"/>
    <w:basedOn w:val="1"/>
    <w:autoRedefine/>
    <w:qFormat/>
    <w:uiPriority w:val="99"/>
    <w:pPr>
      <w:widowControl/>
      <w:spacing w:before="100" w:beforeAutospacing="1" w:after="100" w:afterAutospacing="1"/>
      <w:jc w:val="left"/>
    </w:pPr>
    <w:rPr>
      <w:rFonts w:ascii="??" w:hAnsi="??" w:cs="??"/>
      <w:kern w:val="0"/>
      <w:sz w:val="18"/>
      <w:szCs w:val="18"/>
    </w:rPr>
  </w:style>
  <w:style w:type="paragraph" w:customStyle="1" w:styleId="162">
    <w:name w:val="Char Char Char Char Char Char Char Char Char Char"/>
    <w:basedOn w:val="1"/>
    <w:autoRedefine/>
    <w:qFormat/>
    <w:uiPriority w:val="99"/>
  </w:style>
  <w:style w:type="paragraph" w:customStyle="1" w:styleId="163">
    <w:name w:val="Char Char1 Char Char Char Char Char Char"/>
    <w:basedOn w:val="1"/>
    <w:autoRedefine/>
    <w:qFormat/>
    <w:uiPriority w:val="99"/>
    <w:pPr>
      <w:widowControl/>
      <w:adjustRightInd w:val="0"/>
      <w:snapToGrid w:val="0"/>
      <w:spacing w:beforeLines="25" w:afterLines="25" w:line="240" w:lineRule="exact"/>
      <w:ind w:firstLine="560" w:firstLineChars="192"/>
      <w:jc w:val="left"/>
    </w:pPr>
    <w:rPr>
      <w:rFonts w:ascii="??" w:hAnsi="??" w:cs="??"/>
      <w:kern w:val="0"/>
      <w:sz w:val="28"/>
      <w:szCs w:val="28"/>
      <w:lang w:eastAsia="en-US"/>
    </w:rPr>
  </w:style>
  <w:style w:type="paragraph" w:customStyle="1" w:styleId="164">
    <w:name w:val="编号行"/>
    <w:basedOn w:val="1"/>
    <w:autoRedefine/>
    <w:qFormat/>
    <w:uiPriority w:val="99"/>
    <w:pPr>
      <w:adjustRightInd w:val="0"/>
      <w:spacing w:line="360" w:lineRule="atLeast"/>
      <w:textAlignment w:val="baseline"/>
    </w:pPr>
    <w:rPr>
      <w:rFonts w:ascii="_x000B__x000C_" w:hAnsi="_x000B__x000C_" w:cs="_x000B__x000C_"/>
      <w:b/>
      <w:bCs/>
      <w:color w:val="000000"/>
      <w:kern w:val="0"/>
      <w:sz w:val="24"/>
      <w:szCs w:val="24"/>
    </w:rPr>
  </w:style>
  <w:style w:type="paragraph" w:customStyle="1" w:styleId="165">
    <w:name w:val="图"/>
    <w:basedOn w:val="1"/>
    <w:autoRedefine/>
    <w:qFormat/>
    <w:uiPriority w:val="99"/>
    <w:pPr>
      <w:keepNext/>
      <w:adjustRightInd w:val="0"/>
      <w:spacing w:before="60" w:after="60" w:line="300" w:lineRule="auto"/>
      <w:jc w:val="center"/>
      <w:textAlignment w:val="center"/>
    </w:pPr>
    <w:rPr>
      <w:spacing w:val="20"/>
      <w:kern w:val="0"/>
      <w:sz w:val="24"/>
      <w:szCs w:val="24"/>
    </w:rPr>
  </w:style>
  <w:style w:type="paragraph" w:customStyle="1" w:styleId="166">
    <w:name w:val="表 靠左"/>
    <w:basedOn w:val="1"/>
    <w:autoRedefine/>
    <w:qFormat/>
    <w:uiPriority w:val="99"/>
    <w:pPr>
      <w:tabs>
        <w:tab w:val="left" w:pos="2160"/>
      </w:tabs>
      <w:spacing w:line="360" w:lineRule="auto"/>
      <w:jc w:val="left"/>
    </w:pPr>
    <w:rPr>
      <w:rFonts w:hAnsi="??" w:eastAsia="Times New Roman"/>
    </w:rPr>
  </w:style>
  <w:style w:type="paragraph" w:customStyle="1" w:styleId="167">
    <w:name w:val="Char Char1 Char Char Char Char Char Char1"/>
    <w:basedOn w:val="1"/>
    <w:autoRedefine/>
    <w:qFormat/>
    <w:uiPriority w:val="99"/>
    <w:pPr>
      <w:widowControl/>
      <w:spacing w:after="160" w:line="240" w:lineRule="exact"/>
      <w:jc w:val="left"/>
    </w:pPr>
    <w:rPr>
      <w:rFonts w:ascii="Verdana" w:hAnsi="Verdana" w:eastAsia="仿宋_GB2312" w:cs="Verdana"/>
      <w:kern w:val="0"/>
      <w:sz w:val="24"/>
      <w:szCs w:val="24"/>
      <w:lang w:eastAsia="en-US"/>
    </w:rPr>
  </w:style>
  <w:style w:type="paragraph" w:customStyle="1" w:styleId="168">
    <w:name w:val="样式2"/>
    <w:basedOn w:val="1"/>
    <w:link w:val="221"/>
    <w:autoRedefine/>
    <w:qFormat/>
    <w:uiPriority w:val="99"/>
    <w:pPr>
      <w:tabs>
        <w:tab w:val="left" w:pos="420"/>
      </w:tabs>
      <w:ind w:left="420" w:hanging="420"/>
    </w:pPr>
    <w:rPr>
      <w:szCs w:val="20"/>
    </w:rPr>
  </w:style>
  <w:style w:type="paragraph" w:customStyle="1" w:styleId="169">
    <w:name w:val="Char Char Char"/>
    <w:basedOn w:val="1"/>
    <w:autoRedefine/>
    <w:qFormat/>
    <w:uiPriority w:val="99"/>
    <w:rPr>
      <w:rFonts w:ascii="Tahoma" w:hAnsi="Tahoma" w:cs="Tahoma"/>
      <w:sz w:val="24"/>
      <w:szCs w:val="24"/>
    </w:rPr>
  </w:style>
  <w:style w:type="paragraph" w:customStyle="1" w:styleId="170">
    <w:name w:val="五级条标题"/>
    <w:basedOn w:val="171"/>
    <w:next w:val="1"/>
    <w:autoRedefine/>
    <w:qFormat/>
    <w:uiPriority w:val="99"/>
    <w:pPr>
      <w:tabs>
        <w:tab w:val="left" w:pos="360"/>
      </w:tabs>
      <w:outlineLvl w:val="6"/>
    </w:pPr>
  </w:style>
  <w:style w:type="paragraph" w:customStyle="1" w:styleId="171">
    <w:name w:val="四级条标题"/>
    <w:basedOn w:val="172"/>
    <w:next w:val="1"/>
    <w:autoRedefine/>
    <w:qFormat/>
    <w:uiPriority w:val="99"/>
    <w:pPr>
      <w:tabs>
        <w:tab w:val="left" w:pos="360"/>
      </w:tabs>
      <w:outlineLvl w:val="5"/>
    </w:pPr>
  </w:style>
  <w:style w:type="paragraph" w:customStyle="1" w:styleId="172">
    <w:name w:val="三级条标题"/>
    <w:basedOn w:val="173"/>
    <w:next w:val="1"/>
    <w:autoRedefine/>
    <w:qFormat/>
    <w:uiPriority w:val="99"/>
    <w:pPr>
      <w:tabs>
        <w:tab w:val="left" w:pos="360"/>
      </w:tabs>
      <w:outlineLvl w:val="4"/>
    </w:pPr>
  </w:style>
  <w:style w:type="paragraph" w:customStyle="1" w:styleId="173">
    <w:name w:val="二级条标题"/>
    <w:basedOn w:val="68"/>
    <w:next w:val="1"/>
    <w:autoRedefine/>
    <w:qFormat/>
    <w:uiPriority w:val="99"/>
    <w:pPr>
      <w:ind w:left="360" w:hanging="360"/>
      <w:outlineLvl w:val="3"/>
    </w:pPr>
  </w:style>
  <w:style w:type="paragraph" w:customStyle="1" w:styleId="174">
    <w:name w:val="正文符号1"/>
    <w:basedOn w:val="160"/>
    <w:autoRedefine/>
    <w:qFormat/>
    <w:uiPriority w:val="99"/>
    <w:pPr>
      <w:tabs>
        <w:tab w:val="left" w:pos="987"/>
        <w:tab w:val="left" w:pos="1080"/>
      </w:tabs>
      <w:ind w:left="987" w:hanging="420" w:firstLineChars="0"/>
    </w:pPr>
  </w:style>
  <w:style w:type="paragraph" w:customStyle="1" w:styleId="175">
    <w:name w:val="Char Char Char Char Char Char Char Char Char Char1"/>
    <w:basedOn w:val="1"/>
    <w:autoRedefine/>
    <w:qFormat/>
    <w:uiPriority w:val="99"/>
  </w:style>
  <w:style w:type="paragraph" w:customStyle="1" w:styleId="176">
    <w:name w:val="Char"/>
    <w:basedOn w:val="1"/>
    <w:autoRedefine/>
    <w:qFormat/>
    <w:uiPriority w:val="99"/>
    <w:pPr>
      <w:widowControl/>
      <w:spacing w:line="400" w:lineRule="exact"/>
      <w:jc w:val="center"/>
    </w:pPr>
    <w:rPr>
      <w:rFonts w:ascii="Verdana" w:hAnsi="Verdana" w:cs="Verdana"/>
      <w:kern w:val="0"/>
      <w:lang w:eastAsia="en-US"/>
    </w:rPr>
  </w:style>
  <w:style w:type="paragraph" w:customStyle="1" w:styleId="177">
    <w:name w:val="_Style 2"/>
    <w:basedOn w:val="1"/>
    <w:autoRedefine/>
    <w:qFormat/>
    <w:uiPriority w:val="99"/>
    <w:pPr>
      <w:ind w:firstLine="420" w:firstLineChars="200"/>
    </w:pPr>
    <w:rPr>
      <w:rFonts w:ascii="Calibri" w:hAnsi="Calibri" w:cs="Calibri"/>
    </w:rPr>
  </w:style>
  <w:style w:type="paragraph" w:customStyle="1" w:styleId="178">
    <w:name w:val="p"/>
    <w:basedOn w:val="1"/>
    <w:autoRedefine/>
    <w:qFormat/>
    <w:uiPriority w:val="99"/>
    <w:pPr>
      <w:widowControl/>
      <w:spacing w:line="432" w:lineRule="auto"/>
      <w:jc w:val="left"/>
    </w:pPr>
    <w:rPr>
      <w:rFonts w:ascii="??" w:hAnsi="??" w:cs="??"/>
      <w:kern w:val="0"/>
      <w:sz w:val="24"/>
      <w:szCs w:val="24"/>
    </w:rPr>
  </w:style>
  <w:style w:type="paragraph" w:customStyle="1" w:styleId="179">
    <w:name w:val="标题 2（绿盟科技）"/>
    <w:basedOn w:val="4"/>
    <w:next w:val="1"/>
    <w:autoRedefine/>
    <w:qFormat/>
    <w:uiPriority w:val="99"/>
    <w:pPr>
      <w:spacing w:line="360" w:lineRule="auto"/>
      <w:ind w:left="1154" w:hanging="794"/>
      <w:jc w:val="left"/>
    </w:pPr>
    <w:rPr>
      <w:color w:val="000000"/>
    </w:rPr>
  </w:style>
  <w:style w:type="paragraph" w:customStyle="1" w:styleId="180">
    <w:name w:val="样式 小四 行距: 1.5 倍行距 首行缩进:  2 字符"/>
    <w:basedOn w:val="1"/>
    <w:autoRedefine/>
    <w:qFormat/>
    <w:uiPriority w:val="99"/>
    <w:pPr>
      <w:spacing w:line="360" w:lineRule="auto"/>
      <w:ind w:firstLine="480" w:firstLineChars="200"/>
    </w:pPr>
    <w:rPr>
      <w:sz w:val="24"/>
      <w:szCs w:val="24"/>
    </w:rPr>
  </w:style>
  <w:style w:type="paragraph" w:customStyle="1" w:styleId="181">
    <w:name w:val="_Style 4"/>
    <w:basedOn w:val="1"/>
    <w:autoRedefine/>
    <w:qFormat/>
    <w:uiPriority w:val="99"/>
    <w:pPr>
      <w:adjustRightInd w:val="0"/>
      <w:snapToGrid w:val="0"/>
      <w:spacing w:line="360" w:lineRule="auto"/>
      <w:ind w:firstLine="420" w:firstLineChars="200"/>
    </w:pPr>
    <w:rPr>
      <w:rFonts w:ascii="Calibri" w:hAnsi="Calibri" w:cs="Calibri"/>
      <w:sz w:val="24"/>
      <w:szCs w:val="24"/>
    </w:rPr>
  </w:style>
  <w:style w:type="paragraph" w:customStyle="1" w:styleId="182">
    <w:name w:val="Char Char Char Char Char"/>
    <w:basedOn w:val="1"/>
    <w:autoRedefine/>
    <w:qFormat/>
    <w:uiPriority w:val="99"/>
    <w:pPr>
      <w:widowControl/>
      <w:spacing w:after="160" w:line="240" w:lineRule="exact"/>
      <w:jc w:val="left"/>
    </w:pPr>
    <w:rPr>
      <w:rFonts w:ascii="Verdana" w:hAnsi="Verdana" w:cs="Verdana"/>
      <w:kern w:val="0"/>
      <w:sz w:val="20"/>
      <w:szCs w:val="20"/>
      <w:lang w:eastAsia="en-US"/>
    </w:rPr>
  </w:style>
  <w:style w:type="paragraph" w:customStyle="1" w:styleId="183">
    <w:name w:val="List Paragraph11"/>
    <w:basedOn w:val="1"/>
    <w:autoRedefine/>
    <w:qFormat/>
    <w:uiPriority w:val="99"/>
    <w:pPr>
      <w:ind w:firstLine="420" w:firstLineChars="200"/>
    </w:pPr>
  </w:style>
  <w:style w:type="paragraph" w:customStyle="1" w:styleId="184">
    <w:name w:val="w"/>
    <w:basedOn w:val="1"/>
    <w:autoRedefine/>
    <w:qFormat/>
    <w:uiPriority w:val="99"/>
    <w:pPr>
      <w:widowControl/>
      <w:spacing w:before="100" w:beforeAutospacing="1" w:after="100" w:afterAutospacing="1" w:line="375" w:lineRule="atLeast"/>
      <w:jc w:val="left"/>
    </w:pPr>
    <w:rPr>
      <w:rFonts w:ascii="??" w:hAnsi="??" w:cs="??"/>
      <w:color w:val="000000"/>
      <w:kern w:val="0"/>
      <w:sz w:val="24"/>
      <w:szCs w:val="24"/>
    </w:rPr>
  </w:style>
  <w:style w:type="paragraph" w:customStyle="1" w:styleId="185">
    <w:name w:val="前言、引言标题"/>
    <w:next w:val="1"/>
    <w:autoRedefine/>
    <w:qFormat/>
    <w:uiPriority w:val="99"/>
    <w:pPr>
      <w:shd w:val="clear" w:color="FFFFFF" w:fill="FFFFFF"/>
      <w:spacing w:before="640" w:after="560"/>
      <w:jc w:val="center"/>
      <w:outlineLvl w:val="0"/>
    </w:pPr>
    <w:rPr>
      <w:rFonts w:ascii="黑体" w:hAnsi="Times New Roman" w:eastAsia="黑体" w:cs="黑体"/>
      <w:sz w:val="32"/>
      <w:szCs w:val="32"/>
      <w:lang w:val="en-US" w:eastAsia="zh-CN" w:bidi="ar-SA"/>
    </w:rPr>
  </w:style>
  <w:style w:type="paragraph" w:customStyle="1" w:styleId="186">
    <w:name w:val="文档正文"/>
    <w:basedOn w:val="1"/>
    <w:autoRedefine/>
    <w:qFormat/>
    <w:uiPriority w:val="99"/>
    <w:pPr>
      <w:adjustRightInd w:val="0"/>
      <w:spacing w:line="480" w:lineRule="atLeast"/>
      <w:ind w:firstLine="567"/>
      <w:textAlignment w:val="baseline"/>
    </w:pPr>
    <w:rPr>
      <w:rFonts w:ascii="仿宋_GB2312" w:eastAsia="仿宋_GB2312" w:cs="仿宋_GB2312"/>
      <w:kern w:val="0"/>
      <w:sz w:val="28"/>
      <w:szCs w:val="28"/>
    </w:rPr>
  </w:style>
  <w:style w:type="paragraph" w:customStyle="1" w:styleId="187">
    <w:name w:val="Char Char Char Char Char Char Char Char Char Char Char Char"/>
    <w:basedOn w:val="1"/>
    <w:autoRedefine/>
    <w:qFormat/>
    <w:uiPriority w:val="99"/>
    <w:pPr>
      <w:spacing w:line="300" w:lineRule="auto"/>
    </w:pPr>
    <w:rPr>
      <w:rFonts w:ascii="??" w:hAnsi="??" w:cs="??"/>
      <w:b/>
      <w:bCs/>
      <w:color w:val="000000"/>
      <w:spacing w:val="8"/>
      <w:kern w:val="0"/>
      <w:sz w:val="24"/>
      <w:szCs w:val="24"/>
    </w:rPr>
  </w:style>
  <w:style w:type="paragraph" w:customStyle="1" w:styleId="188">
    <w:name w:val="_Style 3"/>
    <w:basedOn w:val="1"/>
    <w:autoRedefine/>
    <w:qFormat/>
    <w:uiPriority w:val="99"/>
    <w:pPr>
      <w:adjustRightInd w:val="0"/>
      <w:snapToGrid w:val="0"/>
      <w:spacing w:line="360" w:lineRule="auto"/>
      <w:ind w:firstLine="420" w:firstLineChars="200"/>
    </w:pPr>
    <w:rPr>
      <w:rFonts w:ascii="Calibri" w:hAnsi="Calibri" w:cs="Calibri"/>
      <w:sz w:val="24"/>
      <w:szCs w:val="24"/>
    </w:rPr>
  </w:style>
  <w:style w:type="paragraph" w:customStyle="1" w:styleId="189">
    <w:name w:val="Char1"/>
    <w:basedOn w:val="1"/>
    <w:autoRedefine/>
    <w:qFormat/>
    <w:uiPriority w:val="99"/>
    <w:rPr>
      <w:rFonts w:ascii="Tahoma" w:hAnsi="Tahoma" w:cs="Tahoma"/>
      <w:sz w:val="24"/>
      <w:szCs w:val="24"/>
    </w:rPr>
  </w:style>
  <w:style w:type="paragraph" w:customStyle="1" w:styleId="190">
    <w:name w:val="列表内容"/>
    <w:basedOn w:val="1"/>
    <w:next w:val="1"/>
    <w:autoRedefine/>
    <w:qFormat/>
    <w:uiPriority w:val="99"/>
    <w:pPr>
      <w:widowControl/>
      <w:tabs>
        <w:tab w:val="left" w:pos="840"/>
        <w:tab w:val="left" w:pos="1425"/>
      </w:tabs>
      <w:ind w:left="1425" w:hanging="720"/>
      <w:jc w:val="left"/>
    </w:pPr>
    <w:rPr>
      <w:kern w:val="0"/>
      <w:sz w:val="18"/>
      <w:szCs w:val="18"/>
    </w:rPr>
  </w:style>
  <w:style w:type="paragraph" w:customStyle="1" w:styleId="191">
    <w:name w:val="Item List"/>
    <w:autoRedefine/>
    <w:qFormat/>
    <w:uiPriority w:val="99"/>
    <w:pPr>
      <w:tabs>
        <w:tab w:val="left" w:pos="709"/>
      </w:tabs>
      <w:adjustRightInd w:val="0"/>
      <w:snapToGrid w:val="0"/>
      <w:spacing w:before="80" w:after="80" w:line="240" w:lineRule="atLeast"/>
      <w:ind w:left="709" w:hanging="425"/>
    </w:pPr>
    <w:rPr>
      <w:rFonts w:ascii="Times New Roman" w:hAnsi="Times New Roman" w:eastAsia="宋体" w:cs="Times New Roman"/>
      <w:kern w:val="2"/>
      <w:sz w:val="21"/>
      <w:szCs w:val="21"/>
      <w:lang w:val="en-US" w:eastAsia="zh-CN" w:bidi="ar-SA"/>
    </w:rPr>
  </w:style>
  <w:style w:type="paragraph" w:customStyle="1" w:styleId="192">
    <w:name w:val="Char Char Char Char Char Char Char Char2 Char Char Char Char"/>
    <w:basedOn w:val="1"/>
    <w:autoRedefine/>
    <w:qFormat/>
    <w:uiPriority w:val="99"/>
    <w:pPr>
      <w:tabs>
        <w:tab w:val="left" w:pos="360"/>
      </w:tabs>
      <w:ind w:left="360" w:hanging="360" w:hangingChars="200"/>
    </w:pPr>
    <w:rPr>
      <w:sz w:val="24"/>
      <w:szCs w:val="24"/>
    </w:rPr>
  </w:style>
  <w:style w:type="paragraph" w:customStyle="1" w:styleId="193">
    <w:name w:val="样式3"/>
    <w:basedOn w:val="4"/>
    <w:link w:val="222"/>
    <w:autoRedefine/>
    <w:qFormat/>
    <w:uiPriority w:val="99"/>
    <w:rPr>
      <w:rFonts w:ascii="黑体" w:cs="Times New Roman"/>
      <w:b w:val="0"/>
      <w:bCs w:val="0"/>
      <w:kern w:val="2"/>
      <w:szCs w:val="20"/>
    </w:rPr>
  </w:style>
  <w:style w:type="paragraph" w:customStyle="1" w:styleId="194">
    <w:name w:val="样式 列表编号 + 红色"/>
    <w:basedOn w:val="13"/>
    <w:autoRedefine/>
    <w:qFormat/>
    <w:uiPriority w:val="99"/>
    <w:pPr>
      <w:ind w:hanging="200" w:hangingChars="200"/>
    </w:pPr>
    <w:rPr>
      <w:sz w:val="24"/>
      <w:szCs w:val="24"/>
    </w:rPr>
  </w:style>
  <w:style w:type="paragraph" w:customStyle="1" w:styleId="195">
    <w:name w:val="lvzy"/>
    <w:basedOn w:val="1"/>
    <w:autoRedefine/>
    <w:qFormat/>
    <w:uiPriority w:val="99"/>
    <w:pPr>
      <w:widowControl/>
      <w:spacing w:before="100" w:beforeAutospacing="1" w:after="100" w:afterAutospacing="1" w:line="300" w:lineRule="atLeast"/>
      <w:jc w:val="left"/>
    </w:pPr>
    <w:rPr>
      <w:rFonts w:ascii="??" w:hAnsi="??" w:cs="??"/>
      <w:b/>
      <w:bCs/>
      <w:color w:val="649363"/>
      <w:kern w:val="0"/>
      <w:sz w:val="18"/>
      <w:szCs w:val="18"/>
    </w:rPr>
  </w:style>
  <w:style w:type="paragraph" w:customStyle="1" w:styleId="196">
    <w:name w:val="Char Char1 Char Char Char Char Char Char Char Char"/>
    <w:basedOn w:val="1"/>
    <w:autoRedefine/>
    <w:qFormat/>
    <w:uiPriority w:val="99"/>
    <w:pPr>
      <w:widowControl/>
      <w:spacing w:after="160" w:line="240" w:lineRule="exact"/>
      <w:jc w:val="left"/>
    </w:pPr>
    <w:rPr>
      <w:rFonts w:ascii="Verdana" w:hAnsi="Verdana" w:cs="Verdana"/>
      <w:kern w:val="0"/>
      <w:sz w:val="20"/>
      <w:szCs w:val="20"/>
      <w:lang w:eastAsia="en-US"/>
    </w:rPr>
  </w:style>
  <w:style w:type="paragraph" w:customStyle="1" w:styleId="197">
    <w:name w:val="列出段落1"/>
    <w:basedOn w:val="1"/>
    <w:autoRedefine/>
    <w:qFormat/>
    <w:uiPriority w:val="99"/>
    <w:pPr>
      <w:spacing w:line="360" w:lineRule="auto"/>
      <w:ind w:firstLine="420" w:firstLineChars="200"/>
    </w:pPr>
    <w:rPr>
      <w:rFonts w:ascii="Calibri" w:hAnsi="Calibri" w:cs="Calibri"/>
      <w:kern w:val="0"/>
      <w:sz w:val="20"/>
      <w:szCs w:val="20"/>
    </w:rPr>
  </w:style>
  <w:style w:type="paragraph" w:customStyle="1" w:styleId="198">
    <w:name w:val="图表中 居中加粗"/>
    <w:basedOn w:val="1"/>
    <w:autoRedefine/>
    <w:qFormat/>
    <w:uiPriority w:val="99"/>
    <w:pPr>
      <w:spacing w:line="360" w:lineRule="auto"/>
      <w:jc w:val="center"/>
    </w:pPr>
    <w:rPr>
      <w:b/>
      <w:bCs/>
      <w:sz w:val="18"/>
      <w:szCs w:val="18"/>
    </w:rPr>
  </w:style>
  <w:style w:type="paragraph" w:customStyle="1" w:styleId="199">
    <w:name w:val="列出段落2"/>
    <w:basedOn w:val="1"/>
    <w:autoRedefine/>
    <w:qFormat/>
    <w:uiPriority w:val="99"/>
    <w:pPr>
      <w:ind w:firstLine="420" w:firstLineChars="200"/>
    </w:pPr>
    <w:rPr>
      <w:rFonts w:ascii="Calibri" w:hAnsi="Calibri" w:cs="Calibri"/>
    </w:rPr>
  </w:style>
  <w:style w:type="paragraph" w:customStyle="1" w:styleId="200">
    <w:name w:val="bt1"/>
    <w:basedOn w:val="25"/>
    <w:autoRedefine/>
    <w:qFormat/>
    <w:uiPriority w:val="99"/>
  </w:style>
  <w:style w:type="paragraph" w:customStyle="1" w:styleId="201">
    <w:name w:val="技术方案正文样式"/>
    <w:basedOn w:val="1"/>
    <w:autoRedefine/>
    <w:qFormat/>
    <w:uiPriority w:val="99"/>
    <w:pPr>
      <w:autoSpaceDE w:val="0"/>
      <w:autoSpaceDN w:val="0"/>
      <w:adjustRightInd w:val="0"/>
      <w:spacing w:line="400" w:lineRule="exact"/>
      <w:ind w:firstLine="480" w:firstLineChars="200"/>
    </w:pPr>
    <w:rPr>
      <w:rFonts w:ascii="??" w:hAnsi="??" w:cs="??"/>
      <w:sz w:val="24"/>
      <w:szCs w:val="24"/>
    </w:rPr>
  </w:style>
  <w:style w:type="paragraph" w:customStyle="1" w:styleId="202">
    <w:name w:val="默认段落字体 Para Char"/>
    <w:basedOn w:val="1"/>
    <w:autoRedefine/>
    <w:qFormat/>
    <w:uiPriority w:val="99"/>
    <w:pPr>
      <w:widowControl/>
      <w:jc w:val="left"/>
    </w:pPr>
    <w:rPr>
      <w:rFonts w:ascii="??" w:hAnsi="??" w:cs="??"/>
      <w:kern w:val="0"/>
      <w:sz w:val="24"/>
      <w:szCs w:val="24"/>
    </w:rPr>
  </w:style>
  <w:style w:type="paragraph" w:customStyle="1" w:styleId="203">
    <w:name w:val="Char Char Char1 Char Char Char Char Char Char1 Char"/>
    <w:basedOn w:val="1"/>
    <w:autoRedefine/>
    <w:qFormat/>
    <w:uiPriority w:val="99"/>
    <w:pPr>
      <w:ind w:right="420"/>
      <w:jc w:val="right"/>
    </w:pPr>
    <w:rPr>
      <w:rFonts w:ascii="??" w:hAnsi="??" w:cs="??"/>
      <w:kern w:val="0"/>
    </w:rPr>
  </w:style>
  <w:style w:type="paragraph" w:customStyle="1" w:styleId="204">
    <w:name w:val="p0"/>
    <w:basedOn w:val="1"/>
    <w:autoRedefine/>
    <w:qFormat/>
    <w:uiPriority w:val="99"/>
    <w:pPr>
      <w:widowControl/>
    </w:pPr>
    <w:rPr>
      <w:kern w:val="0"/>
    </w:rPr>
  </w:style>
  <w:style w:type="paragraph" w:customStyle="1" w:styleId="205">
    <w:name w:val="Char Char1"/>
    <w:basedOn w:val="1"/>
    <w:autoRedefine/>
    <w:qFormat/>
    <w:uiPriority w:val="99"/>
    <w:pPr>
      <w:widowControl/>
      <w:spacing w:after="160" w:line="240" w:lineRule="exact"/>
      <w:jc w:val="left"/>
    </w:pPr>
    <w:rPr>
      <w:rFonts w:ascii="Verdana" w:hAnsi="Verdana" w:cs="Verdana"/>
      <w:kern w:val="0"/>
      <w:sz w:val="20"/>
      <w:szCs w:val="20"/>
      <w:lang w:eastAsia="en-US"/>
    </w:rPr>
  </w:style>
  <w:style w:type="paragraph" w:customStyle="1" w:styleId="206">
    <w:name w:val="Char1 Char Char Char Char Char Char"/>
    <w:basedOn w:val="1"/>
    <w:autoRedefine/>
    <w:qFormat/>
    <w:uiPriority w:val="99"/>
    <w:rPr>
      <w:rFonts w:ascii="Tahoma" w:hAnsi="Tahoma" w:cs="Tahoma"/>
      <w:sz w:val="24"/>
      <w:szCs w:val="24"/>
    </w:rPr>
  </w:style>
  <w:style w:type="paragraph" w:customStyle="1" w:styleId="207">
    <w:name w:val="自定义正文"/>
    <w:basedOn w:val="1"/>
    <w:autoRedefine/>
    <w:qFormat/>
    <w:uiPriority w:val="99"/>
    <w:pPr>
      <w:spacing w:line="360" w:lineRule="auto"/>
      <w:ind w:firstLine="200" w:firstLineChars="200"/>
      <w:jc w:val="left"/>
    </w:pPr>
    <w:rPr>
      <w:rFonts w:ascii="Calibri" w:hAnsi="Calibri" w:cs="Calibri"/>
      <w:sz w:val="24"/>
      <w:szCs w:val="24"/>
    </w:rPr>
  </w:style>
  <w:style w:type="paragraph" w:customStyle="1" w:styleId="208">
    <w:name w:val="Char Char Char Char Char Char Char Char Char Char Char Char1"/>
    <w:basedOn w:val="1"/>
    <w:autoRedefine/>
    <w:qFormat/>
    <w:uiPriority w:val="99"/>
    <w:pPr>
      <w:spacing w:line="300" w:lineRule="auto"/>
    </w:pPr>
    <w:rPr>
      <w:rFonts w:ascii="??" w:hAnsi="??" w:cs="??"/>
      <w:b/>
      <w:bCs/>
      <w:color w:val="000000"/>
      <w:spacing w:val="8"/>
      <w:kern w:val="0"/>
      <w:sz w:val="24"/>
      <w:szCs w:val="24"/>
    </w:rPr>
  </w:style>
  <w:style w:type="paragraph" w:customStyle="1" w:styleId="209">
    <w:name w:val="正文表标题"/>
    <w:next w:val="1"/>
    <w:autoRedefine/>
    <w:qFormat/>
    <w:uiPriority w:val="99"/>
    <w:pPr>
      <w:jc w:val="center"/>
    </w:pPr>
    <w:rPr>
      <w:rFonts w:ascii="黑体" w:hAnsi="Times New Roman" w:eastAsia="黑体" w:cs="黑体"/>
      <w:sz w:val="21"/>
      <w:szCs w:val="21"/>
      <w:lang w:val="en-US" w:eastAsia="zh-CN" w:bidi="ar-SA"/>
    </w:rPr>
  </w:style>
  <w:style w:type="paragraph" w:customStyle="1" w:styleId="210">
    <w:name w:val="样式1"/>
    <w:basedOn w:val="1"/>
    <w:link w:val="234"/>
    <w:autoRedefine/>
    <w:qFormat/>
    <w:uiPriority w:val="99"/>
    <w:pPr>
      <w:spacing w:line="360" w:lineRule="auto"/>
      <w:ind w:firstLine="471" w:firstLineChars="200"/>
    </w:pPr>
    <w:rPr>
      <w:rFonts w:ascii="??" w:eastAsia="Times New Roman"/>
      <w:sz w:val="24"/>
      <w:szCs w:val="20"/>
    </w:rPr>
  </w:style>
  <w:style w:type="paragraph" w:customStyle="1" w:styleId="211">
    <w:name w:val="tableheading"/>
    <w:basedOn w:val="1"/>
    <w:autoRedefine/>
    <w:qFormat/>
    <w:uiPriority w:val="99"/>
    <w:pPr>
      <w:widowControl/>
      <w:spacing w:before="100" w:beforeAutospacing="1" w:after="100" w:afterAutospacing="1"/>
      <w:jc w:val="left"/>
    </w:pPr>
    <w:rPr>
      <w:rFonts w:ascii="??" w:hAnsi="??" w:cs="??"/>
      <w:kern w:val="0"/>
      <w:sz w:val="24"/>
      <w:szCs w:val="24"/>
    </w:rPr>
  </w:style>
  <w:style w:type="paragraph" w:customStyle="1" w:styleId="212">
    <w:name w:val="Char Char"/>
    <w:basedOn w:val="1"/>
    <w:autoRedefine/>
    <w:qFormat/>
    <w:uiPriority w:val="99"/>
    <w:rPr>
      <w:rFonts w:ascii="Tahoma" w:hAnsi="Tahoma" w:cs="Tahoma"/>
      <w:sz w:val="24"/>
      <w:szCs w:val="24"/>
    </w:rPr>
  </w:style>
  <w:style w:type="paragraph" w:customStyle="1" w:styleId="213">
    <w:name w:val="reader-word-layer reader-word-s1-7"/>
    <w:basedOn w:val="1"/>
    <w:autoRedefine/>
    <w:qFormat/>
    <w:uiPriority w:val="99"/>
    <w:pPr>
      <w:widowControl/>
      <w:spacing w:before="100" w:beforeAutospacing="1" w:after="100" w:afterAutospacing="1"/>
      <w:jc w:val="left"/>
    </w:pPr>
    <w:rPr>
      <w:rFonts w:ascii="??" w:hAnsi="??" w:cs="??"/>
      <w:kern w:val="0"/>
      <w:sz w:val="24"/>
      <w:szCs w:val="24"/>
    </w:rPr>
  </w:style>
  <w:style w:type="paragraph" w:customStyle="1" w:styleId="214">
    <w:name w:val="p15"/>
    <w:basedOn w:val="1"/>
    <w:autoRedefine/>
    <w:qFormat/>
    <w:uiPriority w:val="99"/>
    <w:pPr>
      <w:widowControl/>
      <w:ind w:firstLine="420"/>
    </w:pPr>
    <w:rPr>
      <w:rFonts w:ascii="Calibri" w:hAnsi="Calibri" w:cs="Calibri"/>
    </w:rPr>
  </w:style>
  <w:style w:type="paragraph" w:customStyle="1" w:styleId="215">
    <w:name w:val="样式"/>
    <w:basedOn w:val="1"/>
    <w:autoRedefine/>
    <w:qFormat/>
    <w:uiPriority w:val="99"/>
    <w:pPr>
      <w:autoSpaceDE w:val="0"/>
      <w:autoSpaceDN w:val="0"/>
      <w:adjustRightInd w:val="0"/>
      <w:jc w:val="left"/>
    </w:pPr>
    <w:rPr>
      <w:rFonts w:ascii="??" w:hAnsi="??" w:cs="??"/>
      <w:kern w:val="0"/>
      <w:sz w:val="24"/>
      <w:szCs w:val="24"/>
    </w:rPr>
  </w:style>
  <w:style w:type="paragraph" w:customStyle="1" w:styleId="216">
    <w:name w:val="正文_3_0"/>
    <w:basedOn w:val="1"/>
    <w:autoRedefine/>
    <w:qFormat/>
    <w:uiPriority w:val="99"/>
  </w:style>
  <w:style w:type="paragraph" w:customStyle="1" w:styleId="217">
    <w:name w:val="正文_13_0"/>
    <w:basedOn w:val="1"/>
    <w:autoRedefine/>
    <w:qFormat/>
    <w:uiPriority w:val="99"/>
  </w:style>
  <w:style w:type="paragraph" w:customStyle="1" w:styleId="218">
    <w:name w:val="正文_5_0"/>
    <w:basedOn w:val="1"/>
    <w:autoRedefine/>
    <w:qFormat/>
    <w:uiPriority w:val="99"/>
  </w:style>
  <w:style w:type="paragraph" w:customStyle="1" w:styleId="219">
    <w:name w:val="正文_6_0"/>
    <w:basedOn w:val="1"/>
    <w:autoRedefine/>
    <w:qFormat/>
    <w:uiPriority w:val="99"/>
  </w:style>
  <w:style w:type="character" w:customStyle="1" w:styleId="220">
    <w:name w:val="样式1 Char"/>
    <w:autoRedefine/>
    <w:qFormat/>
    <w:locked/>
    <w:uiPriority w:val="99"/>
    <w:rPr>
      <w:rFonts w:ascii="??" w:eastAsia="Times New Roman"/>
      <w:kern w:val="2"/>
      <w:sz w:val="24"/>
    </w:rPr>
  </w:style>
  <w:style w:type="character" w:customStyle="1" w:styleId="221">
    <w:name w:val="样式2 Char"/>
    <w:link w:val="168"/>
    <w:autoRedefine/>
    <w:qFormat/>
    <w:locked/>
    <w:uiPriority w:val="99"/>
    <w:rPr>
      <w:kern w:val="2"/>
      <w:sz w:val="21"/>
    </w:rPr>
  </w:style>
  <w:style w:type="character" w:customStyle="1" w:styleId="222">
    <w:name w:val="样式3 Char"/>
    <w:link w:val="193"/>
    <w:autoRedefine/>
    <w:qFormat/>
    <w:locked/>
    <w:uiPriority w:val="99"/>
    <w:rPr>
      <w:rFonts w:ascii="黑体" w:hAnsi="Arial" w:eastAsia="黑体"/>
      <w:kern w:val="2"/>
      <w:sz w:val="32"/>
    </w:rPr>
  </w:style>
  <w:style w:type="paragraph" w:customStyle="1" w:styleId="223">
    <w:name w:val="无间隔2"/>
    <w:basedOn w:val="1"/>
    <w:autoRedefine/>
    <w:qFormat/>
    <w:uiPriority w:val="99"/>
    <w:pPr>
      <w:spacing w:line="400" w:lineRule="exact"/>
    </w:pPr>
    <w:rPr>
      <w:sz w:val="24"/>
      <w:szCs w:val="24"/>
    </w:rPr>
  </w:style>
  <w:style w:type="paragraph" w:customStyle="1" w:styleId="224">
    <w:name w:val="TOC 标题1"/>
    <w:basedOn w:val="3"/>
    <w:next w:val="1"/>
    <w:autoRedefine/>
    <w:qFormat/>
    <w:uiPriority w:val="99"/>
    <w:pPr>
      <w:spacing w:before="240" w:line="259" w:lineRule="auto"/>
      <w:jc w:val="left"/>
      <w:outlineLvl w:val="9"/>
    </w:pPr>
    <w:rPr>
      <w:rFonts w:ascii="Cambria" w:hAnsi="Cambria" w:cs="Cambria"/>
      <w:color w:val="365F91"/>
      <w:kern w:val="0"/>
      <w:sz w:val="32"/>
      <w:szCs w:val="32"/>
    </w:rPr>
  </w:style>
  <w:style w:type="character" w:customStyle="1" w:styleId="225">
    <w:name w:val="on"/>
    <w:autoRedefine/>
    <w:qFormat/>
    <w:uiPriority w:val="99"/>
    <w:rPr>
      <w:rFonts w:cs="Times New Roman"/>
      <w:b/>
      <w:bCs/>
      <w:color w:val="auto"/>
    </w:rPr>
  </w:style>
  <w:style w:type="character" w:customStyle="1" w:styleId="226">
    <w:name w:val="on1"/>
    <w:autoRedefine/>
    <w:qFormat/>
    <w:uiPriority w:val="99"/>
    <w:rPr>
      <w:rFonts w:cs="Times New Roman"/>
      <w:b/>
      <w:bCs/>
      <w:color w:val="auto"/>
    </w:rPr>
  </w:style>
  <w:style w:type="character" w:customStyle="1" w:styleId="227">
    <w:name w:val="on2"/>
    <w:autoRedefine/>
    <w:qFormat/>
    <w:uiPriority w:val="99"/>
    <w:rPr>
      <w:rFonts w:cs="Times New Roman"/>
      <w:color w:val="auto"/>
    </w:rPr>
  </w:style>
  <w:style w:type="character" w:customStyle="1" w:styleId="228">
    <w:name w:val="on3"/>
    <w:autoRedefine/>
    <w:qFormat/>
    <w:uiPriority w:val="99"/>
    <w:rPr>
      <w:rFonts w:cs="Times New Roman"/>
      <w:b/>
      <w:bCs/>
      <w:color w:val="auto"/>
    </w:rPr>
  </w:style>
  <w:style w:type="character" w:customStyle="1" w:styleId="229">
    <w:name w:val="current"/>
    <w:autoRedefine/>
    <w:qFormat/>
    <w:uiPriority w:val="99"/>
    <w:rPr>
      <w:rFonts w:cs="Times New Roman"/>
      <w:color w:val="333333"/>
    </w:rPr>
  </w:style>
  <w:style w:type="character" w:customStyle="1" w:styleId="230">
    <w:name w:val="NormalCharacter"/>
    <w:link w:val="231"/>
    <w:autoRedefine/>
    <w:semiHidden/>
    <w:qFormat/>
    <w:uiPriority w:val="0"/>
    <w:rPr>
      <w:kern w:val="2"/>
      <w:sz w:val="24"/>
      <w:szCs w:val="24"/>
      <w:lang w:val="en-US" w:eastAsia="zh-CN" w:bidi="ar-SA"/>
    </w:rPr>
  </w:style>
  <w:style w:type="paragraph" w:customStyle="1" w:styleId="231">
    <w:name w:val="UserStyle_12"/>
    <w:basedOn w:val="1"/>
    <w:link w:val="230"/>
    <w:autoRedefine/>
    <w:qFormat/>
    <w:uiPriority w:val="0"/>
    <w:pPr>
      <w:tabs>
        <w:tab w:val="left" w:pos="840"/>
      </w:tabs>
      <w:ind w:left="840" w:hanging="420"/>
      <w:textAlignment w:val="baseline"/>
    </w:pPr>
    <w:rPr>
      <w:sz w:val="24"/>
      <w:szCs w:val="24"/>
    </w:rPr>
  </w:style>
  <w:style w:type="character" w:customStyle="1" w:styleId="232">
    <w:name w:val="PageNumber"/>
    <w:basedOn w:val="230"/>
    <w:autoRedefine/>
    <w:qFormat/>
    <w:uiPriority w:val="0"/>
    <w:rPr>
      <w:kern w:val="2"/>
      <w:sz w:val="24"/>
      <w:szCs w:val="24"/>
      <w:lang w:val="en-US" w:eastAsia="zh-CN" w:bidi="ar-SA"/>
    </w:rPr>
  </w:style>
  <w:style w:type="paragraph" w:styleId="233">
    <w:name w:val="List Paragraph"/>
    <w:basedOn w:val="1"/>
    <w:autoRedefine/>
    <w:qFormat/>
    <w:uiPriority w:val="34"/>
    <w:pPr>
      <w:ind w:firstLine="420" w:firstLineChars="200"/>
    </w:pPr>
  </w:style>
  <w:style w:type="character" w:customStyle="1" w:styleId="234">
    <w:name w:val="样式1 字符"/>
    <w:link w:val="210"/>
    <w:autoRedefine/>
    <w:qFormat/>
    <w:uiPriority w:val="0"/>
    <w:rPr>
      <w:rFonts w:ascii="Calibri" w:hAnsi="Calibri"/>
      <w:kern w:val="2"/>
      <w:sz w:val="21"/>
      <w:szCs w:val="24"/>
    </w:rPr>
  </w:style>
  <w:style w:type="paragraph" w:customStyle="1" w:styleId="235">
    <w:name w:val="Table Paragraph"/>
    <w:basedOn w:val="1"/>
    <w:autoRedefine/>
    <w:qFormat/>
    <w:uiPriority w:val="1"/>
    <w:rPr>
      <w:rFonts w:ascii="宋体" w:hAnsi="宋体" w:cs="宋体"/>
      <w:lang w:val="zh-CN" w:bidi="zh-CN"/>
    </w:rPr>
  </w:style>
  <w:style w:type="paragraph" w:styleId="236">
    <w:name w:val="No Spacing"/>
    <w:autoRedefine/>
    <w:qFormat/>
    <w:uiPriority w:val="1"/>
    <w:pPr>
      <w:widowControl w:val="0"/>
      <w:jc w:val="both"/>
    </w:pPr>
    <w:rPr>
      <w:rFonts w:ascii="Calibri" w:hAnsi="Calibri" w:eastAsia="宋体" w:cs="Times New Roman"/>
      <w:kern w:val="2"/>
      <w:sz w:val="21"/>
      <w:szCs w:val="22"/>
      <w:lang w:val="en-US" w:eastAsia="zh-CN" w:bidi="ar-SA"/>
    </w:rPr>
  </w:style>
  <w:style w:type="character" w:customStyle="1" w:styleId="237">
    <w:name w:val="font31"/>
    <w:basedOn w:val="50"/>
    <w:autoRedefine/>
    <w:qFormat/>
    <w:uiPriority w:val="0"/>
    <w:rPr>
      <w:rFonts w:hint="eastAsia" w:ascii="宋体" w:hAnsi="宋体" w:eastAsia="宋体" w:cs="宋体"/>
      <w:color w:val="000000"/>
      <w:sz w:val="24"/>
      <w:szCs w:val="24"/>
      <w:u w:val="none"/>
    </w:rPr>
  </w:style>
  <w:style w:type="character" w:customStyle="1" w:styleId="238">
    <w:name w:val="font71"/>
    <w:basedOn w:val="50"/>
    <w:autoRedefine/>
    <w:qFormat/>
    <w:uiPriority w:val="0"/>
    <w:rPr>
      <w:rFonts w:hint="eastAsia" w:ascii="宋体" w:hAnsi="宋体" w:eastAsia="宋体" w:cs="宋体"/>
      <w:color w:val="000000"/>
      <w:sz w:val="22"/>
      <w:szCs w:val="22"/>
      <w:u w:val="none"/>
    </w:rPr>
  </w:style>
  <w:style w:type="character" w:customStyle="1" w:styleId="239">
    <w:name w:val="hover"/>
    <w:basedOn w:val="50"/>
    <w:autoRedefine/>
    <w:qFormat/>
    <w:uiPriority w:val="0"/>
    <w:rPr>
      <w:color w:val="2590EB"/>
    </w:rPr>
  </w:style>
  <w:style w:type="character" w:customStyle="1" w:styleId="240">
    <w:name w:val="hover1"/>
    <w:basedOn w:val="50"/>
    <w:autoRedefine/>
    <w:qFormat/>
    <w:uiPriority w:val="0"/>
    <w:rPr>
      <w:color w:val="2590EB"/>
    </w:rPr>
  </w:style>
  <w:style w:type="character" w:customStyle="1" w:styleId="241">
    <w:name w:val="hover2"/>
    <w:basedOn w:val="50"/>
    <w:autoRedefine/>
    <w:qFormat/>
    <w:uiPriority w:val="0"/>
  </w:style>
  <w:style w:type="character" w:customStyle="1" w:styleId="242">
    <w:name w:val="hover3"/>
    <w:basedOn w:val="50"/>
    <w:autoRedefine/>
    <w:qFormat/>
    <w:uiPriority w:val="0"/>
    <w:rPr>
      <w:color w:val="2590EB"/>
      <w:shd w:val="clear" w:color="auto" w:fill="E9F4FD"/>
    </w:rPr>
  </w:style>
  <w:style w:type="character" w:customStyle="1" w:styleId="243">
    <w:name w:val="hover4"/>
    <w:basedOn w:val="50"/>
    <w:autoRedefine/>
    <w:qFormat/>
    <w:uiPriority w:val="0"/>
    <w:rPr>
      <w:color w:val="2590EB"/>
      <w:shd w:val="clear" w:color="auto" w:fill="E9F4FD"/>
    </w:rPr>
  </w:style>
  <w:style w:type="paragraph" w:customStyle="1" w:styleId="244">
    <w:name w:val="Heading2"/>
    <w:basedOn w:val="1"/>
    <w:next w:val="1"/>
    <w:autoRedefine/>
    <w:qFormat/>
    <w:uiPriority w:val="0"/>
    <w:pPr>
      <w:keepNext/>
      <w:keepLines/>
      <w:spacing w:before="260" w:after="260" w:line="416" w:lineRule="auto"/>
    </w:pPr>
    <w:rPr>
      <w:rFonts w:ascii="Arial" w:hAnsi="Arial" w:eastAsia="黑体"/>
      <w:b/>
      <w:bCs/>
      <w:sz w:val="30"/>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jpe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_rels/foot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93</Pages>
  <Words>45841</Words>
  <Characters>50737</Characters>
  <Lines>353</Lines>
  <Paragraphs>99</Paragraphs>
  <TotalTime>69</TotalTime>
  <ScaleCrop>false</ScaleCrop>
  <LinksUpToDate>false</LinksUpToDate>
  <CharactersWithSpaces>53451</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2020-08-07T15:23:00Z</dcterms:created>
  <dc:creator>USER</dc:creator>
  <cp:lastModifiedBy>赵玉</cp:lastModifiedBy>
  <cp:lastPrinted>2019-09-26T09:01:00Z</cp:lastPrinted>
  <dcterms:modified xsi:type="dcterms:W3CDTF">2024-07-26T04:15:26Z</dcterms:modified>
  <dc:title>总 目 录</dc:title>
  <cp:revision>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CAB00346E2374755BABCE96CA397C12A_13</vt:lpwstr>
  </property>
</Properties>
</file>