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3"/>
        <w:spacing w:line="700" w:lineRule="exact"/>
        <w:jc w:val="center"/>
        <w:rPr>
          <w:rFonts w:ascii="宋体" w:hAnsi="宋体" w:cs="宋体"/>
          <w:b/>
          <w:bCs/>
          <w:color w:val="auto"/>
          <w:spacing w:val="-20"/>
          <w:sz w:val="40"/>
          <w:szCs w:val="40"/>
          <w:highlight w:val="none"/>
        </w:rPr>
      </w:pPr>
      <w:bookmarkStart w:id="500" w:name="_GoBack"/>
      <w:bookmarkEnd w:id="500"/>
    </w:p>
    <w:p>
      <w:pPr>
        <w:pStyle w:val="223"/>
        <w:spacing w:line="360" w:lineRule="auto"/>
        <w:jc w:val="center"/>
        <w:rPr>
          <w:rFonts w:hint="eastAsia" w:ascii="??" w:eastAsia="宋体"/>
          <w:b/>
          <w:bCs/>
          <w:color w:val="auto"/>
          <w:spacing w:val="6"/>
          <w:sz w:val="40"/>
          <w:szCs w:val="40"/>
          <w:highlight w:val="none"/>
          <w:lang w:eastAsia="zh-CN"/>
        </w:rPr>
      </w:pPr>
      <w:r>
        <w:rPr>
          <w:rFonts w:hint="eastAsia" w:ascii="宋体" w:hAnsi="宋体" w:cs="宋体"/>
          <w:b/>
          <w:bCs/>
          <w:color w:val="auto"/>
          <w:spacing w:val="6"/>
          <w:sz w:val="44"/>
          <w:szCs w:val="44"/>
          <w:highlight w:val="none"/>
          <w:lang w:eastAsia="zh-CN"/>
        </w:rPr>
        <w:t>尧山实验室2024年陶瓷基复合材料实验设备采购项目</w:t>
      </w:r>
    </w:p>
    <w:p>
      <w:pPr>
        <w:jc w:val="center"/>
        <w:rPr>
          <w:rFonts w:ascii="宋体" w:hAnsi="宋体" w:cs="宋体"/>
          <w:b/>
          <w:bCs/>
          <w:color w:val="auto"/>
          <w:sz w:val="24"/>
          <w:szCs w:val="24"/>
          <w:highlight w:val="none"/>
        </w:rPr>
      </w:pPr>
    </w:p>
    <w:p>
      <w:pPr>
        <w:pStyle w:val="2"/>
        <w:rPr>
          <w:color w:val="auto"/>
          <w:sz w:val="24"/>
          <w:szCs w:val="24"/>
          <w:highlight w:val="none"/>
        </w:rPr>
      </w:pPr>
    </w:p>
    <w:p>
      <w:pPr>
        <w:pStyle w:val="47"/>
        <w:ind w:firstLine="480"/>
        <w:rPr>
          <w:color w:val="auto"/>
          <w:sz w:val="24"/>
          <w:szCs w:val="24"/>
          <w:highlight w:val="none"/>
        </w:rPr>
      </w:pPr>
    </w:p>
    <w:p>
      <w:pPr>
        <w:pStyle w:val="47"/>
        <w:ind w:firstLine="480"/>
        <w:rPr>
          <w:color w:val="auto"/>
          <w:sz w:val="24"/>
          <w:szCs w:val="24"/>
          <w:highlight w:val="none"/>
        </w:rPr>
      </w:pPr>
    </w:p>
    <w:p>
      <w:pPr>
        <w:pStyle w:val="47"/>
        <w:ind w:firstLine="480"/>
        <w:rPr>
          <w:color w:val="auto"/>
          <w:sz w:val="24"/>
          <w:szCs w:val="24"/>
          <w:highlight w:val="none"/>
        </w:rPr>
      </w:pPr>
    </w:p>
    <w:p>
      <w:pPr>
        <w:jc w:val="center"/>
        <w:rPr>
          <w:rFonts w:ascii="??"/>
          <w:b/>
          <w:bCs/>
          <w:color w:val="auto"/>
          <w:sz w:val="32"/>
          <w:szCs w:val="32"/>
          <w:highlight w:val="none"/>
        </w:rPr>
      </w:pPr>
      <w:r>
        <w:rPr>
          <w:rFonts w:hint="eastAsia" w:ascii="宋体" w:hAnsi="宋体" w:cs="宋体"/>
          <w:b/>
          <w:bCs/>
          <w:color w:val="auto"/>
          <w:sz w:val="96"/>
          <w:szCs w:val="96"/>
          <w:highlight w:val="none"/>
        </w:rPr>
        <w:t>招标文件</w:t>
      </w:r>
    </w:p>
    <w:p>
      <w:pPr>
        <w:spacing w:line="360" w:lineRule="auto"/>
        <w:jc w:val="center"/>
        <w:rPr>
          <w:rFonts w:hint="eastAsia" w:ascii="??" w:eastAsia="宋体"/>
          <w:b/>
          <w:bCs/>
          <w:color w:val="auto"/>
          <w:sz w:val="32"/>
          <w:szCs w:val="32"/>
          <w:highlight w:val="yellow"/>
          <w:lang w:val="en-US" w:eastAsia="zh-CN"/>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平采招标-2024-79</w:t>
      </w:r>
    </w:p>
    <w:p>
      <w:pPr>
        <w:tabs>
          <w:tab w:val="left" w:pos="-1155"/>
          <w:tab w:val="left" w:pos="-1050"/>
        </w:tabs>
        <w:spacing w:line="360" w:lineRule="auto"/>
        <w:ind w:right="-334" w:rightChars="-159"/>
        <w:jc w:val="center"/>
        <w:rPr>
          <w:rFonts w:ascii="??"/>
          <w:b/>
          <w:bCs/>
          <w:color w:val="auto"/>
          <w:spacing w:val="-6"/>
          <w:sz w:val="32"/>
          <w:szCs w:val="32"/>
          <w:highlight w:val="none"/>
        </w:rPr>
      </w:pPr>
      <w:r>
        <w:rPr>
          <w:rFonts w:ascii="??"/>
          <w:color w:val="auto"/>
          <w:highlight w:val="none"/>
        </w:rPr>
        <w:drawing>
          <wp:inline distT="0" distB="0" distL="114300" distR="114300">
            <wp:extent cx="2701925" cy="2107565"/>
            <wp:effectExtent l="0" t="0" r="3175" b="6985"/>
            <wp:docPr id="1" name="图片 1" descr="图标，改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改过"/>
                    <pic:cNvPicPr>
                      <a:picLocks noChangeAspect="1"/>
                    </pic:cNvPicPr>
                  </pic:nvPicPr>
                  <pic:blipFill>
                    <a:blip r:embed="rId12"/>
                    <a:stretch>
                      <a:fillRect/>
                    </a:stretch>
                  </pic:blipFill>
                  <pic:spPr>
                    <a:xfrm>
                      <a:off x="0" y="0"/>
                      <a:ext cx="2701925" cy="2107565"/>
                    </a:xfrm>
                    <a:prstGeom prst="rect">
                      <a:avLst/>
                    </a:prstGeom>
                    <a:noFill/>
                    <a:ln>
                      <a:noFill/>
                    </a:ln>
                  </pic:spPr>
                </pic:pic>
              </a:graphicData>
            </a:graphic>
          </wp:inline>
        </w:drawing>
      </w:r>
    </w:p>
    <w:p>
      <w:pPr>
        <w:tabs>
          <w:tab w:val="left" w:pos="-1155"/>
          <w:tab w:val="left" w:pos="-1050"/>
        </w:tabs>
        <w:spacing w:line="360" w:lineRule="auto"/>
        <w:ind w:right="-334" w:rightChars="-159" w:firstLine="1682" w:firstLineChars="544"/>
        <w:rPr>
          <w:rFonts w:ascii="??"/>
          <w:b/>
          <w:bCs/>
          <w:color w:val="auto"/>
          <w:spacing w:val="-6"/>
          <w:sz w:val="32"/>
          <w:szCs w:val="32"/>
          <w:highlight w:val="none"/>
        </w:rPr>
      </w:pPr>
    </w:p>
    <w:p>
      <w:pPr>
        <w:pStyle w:val="74"/>
        <w:rPr>
          <w:color w:val="auto"/>
          <w:highlight w:val="none"/>
        </w:rPr>
      </w:pPr>
    </w:p>
    <w:p>
      <w:pPr>
        <w:pStyle w:val="74"/>
        <w:rPr>
          <w:color w:val="auto"/>
          <w:highlight w:val="none"/>
        </w:rPr>
      </w:pPr>
    </w:p>
    <w:p>
      <w:pPr>
        <w:pStyle w:val="74"/>
        <w:rPr>
          <w:color w:val="auto"/>
          <w:highlight w:val="none"/>
        </w:rPr>
      </w:pPr>
    </w:p>
    <w:p>
      <w:pPr>
        <w:pStyle w:val="74"/>
        <w:rPr>
          <w:color w:val="auto"/>
          <w:highlight w:val="none"/>
        </w:rPr>
      </w:pPr>
    </w:p>
    <w:p>
      <w:pPr>
        <w:pStyle w:val="75"/>
        <w:rPr>
          <w:color w:val="auto"/>
          <w:highlight w:val="none"/>
        </w:rPr>
      </w:pPr>
    </w:p>
    <w:p>
      <w:pPr>
        <w:spacing w:line="360" w:lineRule="auto"/>
        <w:ind w:left="1134" w:leftChars="540"/>
        <w:rPr>
          <w:rFonts w:hint="default" w:ascii="??" w:eastAsia="宋体"/>
          <w:b/>
          <w:bCs/>
          <w:color w:val="auto"/>
          <w:spacing w:val="-23"/>
          <w:kern w:val="0"/>
          <w:sz w:val="36"/>
          <w:szCs w:val="36"/>
          <w:highlight w:val="none"/>
          <w:lang w:val="en-US" w:eastAsia="zh-CN"/>
        </w:rPr>
      </w:pPr>
      <w:r>
        <w:rPr>
          <w:rFonts w:hint="eastAsia" w:ascii="宋体" w:hAnsi="宋体" w:cs="宋体"/>
          <w:b/>
          <w:bCs/>
          <w:color w:val="auto"/>
          <w:spacing w:val="272"/>
          <w:kern w:val="0"/>
          <w:sz w:val="36"/>
          <w:szCs w:val="36"/>
          <w:highlight w:val="none"/>
        </w:rPr>
        <w:t>采购</w:t>
      </w:r>
      <w:r>
        <w:rPr>
          <w:rFonts w:hint="eastAsia" w:ascii="宋体" w:hAnsi="宋体" w:cs="宋体"/>
          <w:b/>
          <w:bCs/>
          <w:color w:val="auto"/>
          <w:kern w:val="0"/>
          <w:sz w:val="36"/>
          <w:szCs w:val="36"/>
          <w:highlight w:val="none"/>
        </w:rPr>
        <w:t>人：</w:t>
      </w:r>
      <w:r>
        <w:rPr>
          <w:rFonts w:hint="eastAsia" w:ascii="宋体" w:hAnsi="宋体" w:cs="宋体"/>
          <w:b/>
          <w:bCs/>
          <w:color w:val="auto"/>
          <w:kern w:val="0"/>
          <w:sz w:val="36"/>
          <w:szCs w:val="36"/>
          <w:highlight w:val="none"/>
          <w:lang w:val="en-US" w:eastAsia="zh-CN"/>
        </w:rPr>
        <w:t>尧山实验室</w:t>
      </w:r>
    </w:p>
    <w:p>
      <w:pPr>
        <w:spacing w:line="360" w:lineRule="auto"/>
        <w:ind w:left="1134" w:leftChars="540"/>
        <w:rPr>
          <w:rFonts w:ascii="??"/>
          <w:b/>
          <w:bCs/>
          <w:color w:val="auto"/>
          <w:spacing w:val="14"/>
          <w:kern w:val="0"/>
          <w:sz w:val="36"/>
          <w:szCs w:val="36"/>
          <w:highlight w:val="none"/>
        </w:rPr>
      </w:pPr>
      <w:r>
        <w:rPr>
          <w:rFonts w:hint="eastAsia" w:ascii="宋体" w:hAnsi="宋体" w:cs="宋体"/>
          <w:b/>
          <w:bCs/>
          <w:color w:val="auto"/>
          <w:kern w:val="0"/>
          <w:sz w:val="36"/>
          <w:szCs w:val="36"/>
          <w:highlight w:val="none"/>
        </w:rPr>
        <w:t>采购代理机构：</w:t>
      </w:r>
      <w:r>
        <w:rPr>
          <w:rFonts w:hint="eastAsia" w:ascii="宋体" w:hAnsi="宋体" w:cs="宋体"/>
          <w:b/>
          <w:bCs/>
          <w:color w:val="auto"/>
          <w:spacing w:val="14"/>
          <w:kern w:val="0"/>
          <w:sz w:val="36"/>
          <w:szCs w:val="36"/>
          <w:highlight w:val="none"/>
        </w:rPr>
        <w:t>河</w:t>
      </w:r>
      <w:r>
        <w:rPr>
          <w:rFonts w:hint="eastAsia" w:ascii="宋体" w:hAnsi="宋体" w:cs="宋体"/>
          <w:b/>
          <w:bCs/>
          <w:color w:val="auto"/>
          <w:kern w:val="0"/>
          <w:sz w:val="36"/>
          <w:szCs w:val="36"/>
          <w:highlight w:val="none"/>
        </w:rPr>
        <w:t>南大明建设工程管理有限公司</w:t>
      </w:r>
    </w:p>
    <w:p>
      <w:pPr>
        <w:spacing w:line="360" w:lineRule="auto"/>
        <w:jc w:val="center"/>
        <w:rPr>
          <w:color w:val="auto"/>
          <w:highlight w:val="none"/>
        </w:rPr>
        <w:sectPr>
          <w:headerReference r:id="rId5" w:type="first"/>
          <w:headerReference r:id="rId3" w:type="default"/>
          <w:footerReference r:id="rId6" w:type="default"/>
          <w:headerReference r:id="rId4" w:type="even"/>
          <w:footerReference r:id="rId7" w:type="even"/>
          <w:pgSz w:w="11906" w:h="16838"/>
          <w:pgMar w:top="1361" w:right="1361" w:bottom="1361" w:left="1361" w:header="851" w:footer="992" w:gutter="0"/>
          <w:pgNumType w:start="0"/>
          <w:cols w:space="0" w:num="1"/>
          <w:titlePg/>
          <w:docGrid w:type="lines" w:linePitch="312" w:charSpace="0"/>
        </w:sectPr>
      </w:pPr>
      <w:r>
        <w:rPr>
          <w:rFonts w:hint="eastAsia" w:ascii="宋体" w:hAnsi="宋体" w:cs="宋体"/>
          <w:b/>
          <w:bCs/>
          <w:color w:val="auto"/>
          <w:spacing w:val="20"/>
          <w:kern w:val="0"/>
          <w:sz w:val="36"/>
          <w:szCs w:val="36"/>
          <w:highlight w:val="none"/>
        </w:rPr>
        <w:t>二</w:t>
      </w:r>
      <w:r>
        <w:rPr>
          <w:rFonts w:hint="eastAsia" w:ascii="Arial" w:hAnsi="Arial" w:cs="宋体"/>
          <w:b/>
          <w:bCs/>
          <w:color w:val="auto"/>
          <w:spacing w:val="20"/>
          <w:kern w:val="0"/>
          <w:sz w:val="36"/>
          <w:szCs w:val="36"/>
          <w:highlight w:val="none"/>
        </w:rPr>
        <w:t>〇</w:t>
      </w:r>
      <w:r>
        <w:rPr>
          <w:rFonts w:hint="eastAsia" w:ascii="宋体" w:hAnsi="宋体" w:cs="宋体"/>
          <w:b/>
          <w:bCs/>
          <w:color w:val="auto"/>
          <w:spacing w:val="20"/>
          <w:kern w:val="0"/>
          <w:sz w:val="36"/>
          <w:szCs w:val="36"/>
          <w:highlight w:val="none"/>
        </w:rPr>
        <w:t>二</w:t>
      </w:r>
      <w:r>
        <w:rPr>
          <w:rFonts w:hint="eastAsia" w:ascii="Arial" w:hAnsi="Arial" w:cs="宋体"/>
          <w:b/>
          <w:bCs/>
          <w:color w:val="auto"/>
          <w:spacing w:val="20"/>
          <w:kern w:val="0"/>
          <w:sz w:val="36"/>
          <w:szCs w:val="36"/>
          <w:highlight w:val="none"/>
        </w:rPr>
        <w:t>四</w:t>
      </w:r>
      <w:r>
        <w:rPr>
          <w:rFonts w:hint="eastAsia" w:ascii="宋体" w:hAnsi="宋体" w:cs="宋体"/>
          <w:b/>
          <w:bCs/>
          <w:color w:val="auto"/>
          <w:spacing w:val="20"/>
          <w:kern w:val="0"/>
          <w:sz w:val="36"/>
          <w:szCs w:val="36"/>
          <w:highlight w:val="none"/>
        </w:rPr>
        <w:t>年</w:t>
      </w:r>
      <w:r>
        <w:rPr>
          <w:rFonts w:hint="eastAsia" w:ascii="宋体" w:hAnsi="宋体" w:cs="宋体"/>
          <w:b/>
          <w:bCs/>
          <w:color w:val="auto"/>
          <w:spacing w:val="20"/>
          <w:kern w:val="0"/>
          <w:sz w:val="36"/>
          <w:szCs w:val="36"/>
          <w:highlight w:val="none"/>
          <w:lang w:val="en-US" w:eastAsia="zh-CN"/>
        </w:rPr>
        <w:t>七</w:t>
      </w:r>
      <w:r>
        <w:rPr>
          <w:rFonts w:hint="eastAsia" w:ascii="宋体" w:hAnsi="宋体" w:cs="宋体"/>
          <w:b/>
          <w:bCs/>
          <w:color w:val="auto"/>
          <w:spacing w:val="20"/>
          <w:kern w:val="0"/>
          <w:sz w:val="36"/>
          <w:szCs w:val="36"/>
          <w:highlight w:val="none"/>
        </w:rPr>
        <w:t>月</w:t>
      </w:r>
    </w:p>
    <w:p>
      <w:pPr>
        <w:pStyle w:val="74"/>
        <w:spacing w:after="156" w:afterLines="50" w:line="400" w:lineRule="exact"/>
        <w:jc w:val="center"/>
        <w:rPr>
          <w:rFonts w:ascii="??" w:cs="Times New Roman"/>
          <w:b/>
          <w:bCs/>
          <w:color w:val="auto"/>
          <w:sz w:val="32"/>
          <w:szCs w:val="32"/>
          <w:highlight w:val="none"/>
        </w:rPr>
      </w:pPr>
      <w:r>
        <w:rPr>
          <w:rFonts w:hint="eastAsia" w:ascii="宋体" w:hAnsi="宋体" w:cs="宋体"/>
          <w:b/>
          <w:bCs/>
          <w:color w:val="auto"/>
          <w:sz w:val="32"/>
          <w:szCs w:val="32"/>
          <w:highlight w:val="none"/>
        </w:rPr>
        <w:t>目 录</w:t>
      </w:r>
    </w:p>
    <w:p>
      <w:pPr>
        <w:pStyle w:val="33"/>
        <w:tabs>
          <w:tab w:val="right" w:leader="dot" w:pos="9071"/>
        </w:tabs>
      </w:pP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TOC \o "1-2" \h \z \u </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Cs w:val="0"/>
          <w:color w:val="auto"/>
          <w:szCs w:val="21"/>
          <w:highlight w:val="none"/>
        </w:rPr>
        <w:fldChar w:fldCharType="begin"/>
      </w:r>
      <w:r>
        <w:rPr>
          <w:rFonts w:hint="eastAsia" w:ascii="宋体" w:hAnsi="宋体" w:eastAsia="宋体" w:cs="宋体"/>
          <w:bCs w:val="0"/>
          <w:szCs w:val="21"/>
          <w:highlight w:val="none"/>
        </w:rPr>
        <w:instrText xml:space="preserve"> HYPERLINK \l _Toc32690 </w:instrText>
      </w:r>
      <w:r>
        <w:rPr>
          <w:rFonts w:hint="eastAsia" w:ascii="宋体" w:hAnsi="宋体" w:eastAsia="宋体" w:cs="宋体"/>
          <w:bCs w:val="0"/>
          <w:szCs w:val="21"/>
          <w:highlight w:val="none"/>
        </w:rPr>
        <w:fldChar w:fldCharType="separate"/>
      </w:r>
      <w:r>
        <w:rPr>
          <w:rFonts w:hint="eastAsia" w:ascii="宋体" w:hAnsi="宋体" w:cs="宋体"/>
          <w:szCs w:val="32"/>
          <w:highlight w:val="none"/>
        </w:rPr>
        <w:t>第一章 招标公告</w:t>
      </w:r>
      <w:r>
        <w:tab/>
      </w:r>
      <w:r>
        <w:fldChar w:fldCharType="begin"/>
      </w:r>
      <w:r>
        <w:instrText xml:space="preserve"> PAGEREF _Toc32690 \h </w:instrText>
      </w:r>
      <w:r>
        <w:fldChar w:fldCharType="separate"/>
      </w:r>
      <w:r>
        <w:t>5</w:t>
      </w:r>
      <w:r>
        <w:fldChar w:fldCharType="end"/>
      </w:r>
      <w:r>
        <w:rPr>
          <w:rFonts w:hint="eastAsia" w:ascii="宋体" w:hAnsi="宋体" w:eastAsia="宋体" w:cs="宋体"/>
          <w:bCs w:val="0"/>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_Toc1125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第二章 投标人须知</w:t>
      </w:r>
      <w:r>
        <w:tab/>
      </w:r>
      <w:r>
        <w:fldChar w:fldCharType="begin"/>
      </w:r>
      <w:r>
        <w:instrText xml:space="preserve"> PAGEREF _Toc1125 \h </w:instrText>
      </w:r>
      <w:r>
        <w:fldChar w:fldCharType="separate"/>
      </w:r>
      <w:r>
        <w:t>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_Toc12391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1. </w:t>
      </w:r>
      <w:r>
        <w:rPr>
          <w:rFonts w:hint="eastAsia" w:asciiTheme="minorEastAsia" w:hAnsiTheme="minorEastAsia" w:eastAsiaTheme="minorEastAsia" w:cstheme="minorEastAsia"/>
          <w:szCs w:val="21"/>
          <w:highlight w:val="none"/>
        </w:rPr>
        <w:t>说明</w:t>
      </w:r>
      <w:r>
        <w:tab/>
      </w:r>
      <w:r>
        <w:fldChar w:fldCharType="begin"/>
      </w:r>
      <w:r>
        <w:instrText xml:space="preserve"> PAGEREF _Toc12391 \h </w:instrText>
      </w:r>
      <w:r>
        <w:fldChar w:fldCharType="separate"/>
      </w:r>
      <w:r>
        <w:t>17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_Toc17470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2. </w:t>
      </w:r>
      <w:r>
        <w:rPr>
          <w:rFonts w:hint="eastAsia" w:asciiTheme="minorEastAsia" w:hAnsiTheme="minorEastAsia" w:eastAsiaTheme="minorEastAsia" w:cstheme="minorEastAsia"/>
          <w:szCs w:val="21"/>
          <w:highlight w:val="none"/>
        </w:rPr>
        <w:t>招标文件</w:t>
      </w:r>
      <w:r>
        <w:tab/>
      </w:r>
      <w:r>
        <w:fldChar w:fldCharType="begin"/>
      </w:r>
      <w:r>
        <w:instrText xml:space="preserve"> PAGEREF _Toc17470 \h </w:instrText>
      </w:r>
      <w:r>
        <w:fldChar w:fldCharType="separate"/>
      </w:r>
      <w:r>
        <w:t>19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_Toc11922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3. </w:t>
      </w:r>
      <w:r>
        <w:rPr>
          <w:rFonts w:hint="eastAsia" w:asciiTheme="minorEastAsia" w:hAnsiTheme="minorEastAsia" w:eastAsiaTheme="minorEastAsia" w:cstheme="minorEastAsia"/>
          <w:szCs w:val="21"/>
          <w:highlight w:val="none"/>
        </w:rPr>
        <w:t>投标文件的编写</w:t>
      </w:r>
      <w:r>
        <w:tab/>
      </w:r>
      <w:r>
        <w:fldChar w:fldCharType="begin"/>
      </w:r>
      <w:r>
        <w:instrText xml:space="preserve"> PAGEREF _Toc11922 \h </w:instrText>
      </w:r>
      <w:r>
        <w:fldChar w:fldCharType="separate"/>
      </w:r>
      <w:r>
        <w:t>19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_Toc30136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4. </w:t>
      </w:r>
      <w:r>
        <w:rPr>
          <w:rFonts w:hint="eastAsia" w:asciiTheme="minorEastAsia" w:hAnsiTheme="minorEastAsia" w:eastAsiaTheme="minorEastAsia" w:cstheme="minorEastAsia"/>
          <w:szCs w:val="21"/>
          <w:highlight w:val="none"/>
        </w:rPr>
        <w:t>投标文件的递交</w:t>
      </w:r>
      <w:r>
        <w:tab/>
      </w:r>
      <w:r>
        <w:fldChar w:fldCharType="begin"/>
      </w:r>
      <w:r>
        <w:instrText xml:space="preserve"> PAGEREF _Toc30136 \h </w:instrText>
      </w:r>
      <w:r>
        <w:fldChar w:fldCharType="separate"/>
      </w:r>
      <w:r>
        <w:t>21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_Toc26321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5. </w:t>
      </w:r>
      <w:r>
        <w:rPr>
          <w:rFonts w:hint="eastAsia" w:asciiTheme="minorEastAsia" w:hAnsiTheme="minorEastAsia" w:eastAsiaTheme="minorEastAsia" w:cstheme="minorEastAsia"/>
          <w:szCs w:val="21"/>
          <w:highlight w:val="none"/>
        </w:rPr>
        <w:t>开标</w:t>
      </w:r>
      <w:r>
        <w:tab/>
      </w:r>
      <w:r>
        <w:fldChar w:fldCharType="begin"/>
      </w:r>
      <w:r>
        <w:instrText xml:space="preserve"> PAGEREF _Toc26321 \h </w:instrText>
      </w:r>
      <w:r>
        <w:fldChar w:fldCharType="separate"/>
      </w:r>
      <w:r>
        <w:t>22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_Toc29972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6. </w:t>
      </w:r>
      <w:r>
        <w:rPr>
          <w:rFonts w:hint="eastAsia" w:asciiTheme="minorEastAsia" w:hAnsiTheme="minorEastAsia" w:eastAsiaTheme="minorEastAsia" w:cstheme="minorEastAsia"/>
          <w:szCs w:val="21"/>
          <w:highlight w:val="none"/>
        </w:rPr>
        <w:t>评标</w:t>
      </w:r>
      <w:r>
        <w:tab/>
      </w:r>
      <w:r>
        <w:fldChar w:fldCharType="begin"/>
      </w:r>
      <w:r>
        <w:instrText xml:space="preserve"> PAGEREF _Toc29972 \h </w:instrText>
      </w:r>
      <w:r>
        <w:fldChar w:fldCharType="separate"/>
      </w:r>
      <w:r>
        <w:t>22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_Toc17940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7. </w:t>
      </w:r>
      <w:r>
        <w:rPr>
          <w:rFonts w:hint="eastAsia" w:asciiTheme="minorEastAsia" w:hAnsiTheme="minorEastAsia" w:eastAsiaTheme="minorEastAsia" w:cstheme="minorEastAsia"/>
          <w:szCs w:val="21"/>
          <w:highlight w:val="none"/>
        </w:rPr>
        <w:t>授予合同</w:t>
      </w:r>
      <w:r>
        <w:tab/>
      </w:r>
      <w:r>
        <w:fldChar w:fldCharType="begin"/>
      </w:r>
      <w:r>
        <w:instrText xml:space="preserve"> PAGEREF _Toc17940 \h </w:instrText>
      </w:r>
      <w:r>
        <w:fldChar w:fldCharType="separate"/>
      </w:r>
      <w:r>
        <w:t>24</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_Toc15980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8. </w:t>
      </w:r>
      <w:r>
        <w:rPr>
          <w:rFonts w:hint="eastAsia" w:asciiTheme="minorEastAsia" w:hAnsiTheme="minorEastAsia" w:eastAsiaTheme="minorEastAsia" w:cstheme="minorEastAsia"/>
          <w:szCs w:val="21"/>
          <w:highlight w:val="none"/>
        </w:rPr>
        <w:t>重新招标</w:t>
      </w:r>
      <w:r>
        <w:tab/>
      </w:r>
      <w:r>
        <w:fldChar w:fldCharType="begin"/>
      </w:r>
      <w:r>
        <w:instrText xml:space="preserve"> PAGEREF _Toc15980 \h </w:instrText>
      </w:r>
      <w:r>
        <w:fldChar w:fldCharType="separate"/>
      </w:r>
      <w:r>
        <w:t>26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_Toc14156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9. </w:t>
      </w:r>
      <w:r>
        <w:rPr>
          <w:rFonts w:hint="eastAsia" w:asciiTheme="minorEastAsia" w:hAnsiTheme="minorEastAsia" w:eastAsiaTheme="minorEastAsia" w:cstheme="minorEastAsia"/>
          <w:szCs w:val="21"/>
          <w:highlight w:val="none"/>
        </w:rPr>
        <w:t>纪律和监督</w:t>
      </w:r>
      <w:r>
        <w:tab/>
      </w:r>
      <w:r>
        <w:fldChar w:fldCharType="begin"/>
      </w:r>
      <w:r>
        <w:instrText xml:space="preserve"> PAGEREF _Toc14156 \h </w:instrText>
      </w:r>
      <w:r>
        <w:fldChar w:fldCharType="separate"/>
      </w:r>
      <w:r>
        <w:t>26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_Toc31526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10. </w:t>
      </w:r>
      <w:r>
        <w:rPr>
          <w:rFonts w:hint="eastAsia" w:asciiTheme="minorEastAsia" w:hAnsiTheme="minorEastAsia" w:eastAsiaTheme="minorEastAsia" w:cstheme="minorEastAsia"/>
          <w:szCs w:val="21"/>
          <w:highlight w:val="none"/>
        </w:rPr>
        <w:t>需要补充的其他内容</w:t>
      </w:r>
      <w:r>
        <w:tab/>
      </w:r>
      <w:r>
        <w:fldChar w:fldCharType="begin"/>
      </w:r>
      <w:r>
        <w:instrText xml:space="preserve"> PAGEREF _Toc31526 \h </w:instrText>
      </w:r>
      <w:r>
        <w:fldChar w:fldCharType="separate"/>
      </w:r>
      <w:r>
        <w:t>28</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_Toc26520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第三章 评标办法</w:t>
      </w:r>
      <w:r>
        <w:tab/>
      </w:r>
      <w:r>
        <w:fldChar w:fldCharType="begin"/>
      </w:r>
      <w:r>
        <w:instrText xml:space="preserve"> PAGEREF _Toc26520 \h </w:instrText>
      </w:r>
      <w:r>
        <w:fldChar w:fldCharType="separate"/>
      </w:r>
      <w:r>
        <w:t>29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_Toc28655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1. </w:t>
      </w:r>
      <w:r>
        <w:rPr>
          <w:rFonts w:hint="eastAsia" w:ascii="宋体" w:hAnsi="宋体" w:eastAsia="宋体" w:cs="宋体"/>
          <w:szCs w:val="21"/>
        </w:rPr>
        <w:t>评审方法</w:t>
      </w:r>
      <w:r>
        <w:tab/>
      </w:r>
      <w:r>
        <w:fldChar w:fldCharType="begin"/>
      </w:r>
      <w:r>
        <w:instrText xml:space="preserve"> PAGEREF _Toc28655 \h </w:instrText>
      </w:r>
      <w:r>
        <w:fldChar w:fldCharType="separate"/>
      </w:r>
      <w:r>
        <w:t>31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_Toc19671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2. </w:t>
      </w:r>
      <w:r>
        <w:rPr>
          <w:rFonts w:hint="eastAsia" w:ascii="宋体" w:hAnsi="宋体" w:eastAsia="宋体" w:cs="宋体"/>
          <w:szCs w:val="21"/>
        </w:rPr>
        <w:t>评审程序</w:t>
      </w:r>
      <w:r>
        <w:tab/>
      </w:r>
      <w:r>
        <w:fldChar w:fldCharType="begin"/>
      </w:r>
      <w:r>
        <w:instrText xml:space="preserve"> PAGEREF _Toc19671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_Toc30594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3. </w:t>
      </w:r>
      <w:r>
        <w:rPr>
          <w:rFonts w:hint="eastAsia" w:ascii="宋体" w:hAnsi="宋体" w:eastAsia="宋体" w:cs="宋体"/>
          <w:szCs w:val="21"/>
        </w:rPr>
        <w:t>投标文件初审</w:t>
      </w:r>
      <w:r>
        <w:tab/>
      </w:r>
      <w:r>
        <w:fldChar w:fldCharType="begin"/>
      </w:r>
      <w:r>
        <w:instrText xml:space="preserve"> PAGEREF _Toc30594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_Toc2504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4. </w:t>
      </w:r>
      <w:r>
        <w:rPr>
          <w:rFonts w:hint="eastAsia" w:ascii="宋体" w:hAnsi="宋体" w:eastAsia="宋体" w:cs="宋体"/>
          <w:szCs w:val="21"/>
        </w:rPr>
        <w:t>澄清有关问题</w:t>
      </w:r>
      <w:r>
        <w:tab/>
      </w:r>
      <w:r>
        <w:fldChar w:fldCharType="begin"/>
      </w:r>
      <w:r>
        <w:instrText xml:space="preserve"> PAGEREF _Toc2504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_Toc22736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5. </w:t>
      </w:r>
      <w:r>
        <w:rPr>
          <w:rFonts w:hint="eastAsia" w:ascii="宋体" w:hAnsi="宋体" w:eastAsia="宋体" w:cs="宋体"/>
          <w:szCs w:val="21"/>
        </w:rPr>
        <w:t>比较与评价</w:t>
      </w:r>
      <w:r>
        <w:tab/>
      </w:r>
      <w:r>
        <w:fldChar w:fldCharType="begin"/>
      </w:r>
      <w:r>
        <w:instrText xml:space="preserve"> PAGEREF _Toc22736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_Toc25626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6. </w:t>
      </w:r>
      <w:r>
        <w:rPr>
          <w:rFonts w:hint="eastAsia" w:ascii="宋体" w:hAnsi="宋体" w:eastAsia="宋体" w:cs="宋体"/>
          <w:szCs w:val="21"/>
        </w:rPr>
        <w:t>评审结果</w:t>
      </w:r>
      <w:r>
        <w:tab/>
      </w:r>
      <w:r>
        <w:fldChar w:fldCharType="begin"/>
      </w:r>
      <w:r>
        <w:instrText xml:space="preserve"> PAGEREF _Toc25626 \h </w:instrText>
      </w:r>
      <w:r>
        <w:fldChar w:fldCharType="separate"/>
      </w:r>
      <w:r>
        <w:t>33</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_Toc31556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第四章 合同条款与格式</w:t>
      </w:r>
      <w:r>
        <w:rPr>
          <w:rFonts w:hint="eastAsia" w:ascii="宋体" w:hAnsi="宋体" w:cs="宋体"/>
          <w:szCs w:val="32"/>
          <w:highlight w:val="none"/>
          <w:lang w:eastAsia="zh-CN"/>
        </w:rPr>
        <w:t>（</w:t>
      </w:r>
      <w:r>
        <w:rPr>
          <w:rFonts w:hint="eastAsia" w:ascii="宋体" w:hAnsi="宋体" w:cs="宋体"/>
          <w:szCs w:val="32"/>
          <w:highlight w:val="none"/>
          <w:lang w:val="en-US" w:eastAsia="zh-CN"/>
        </w:rPr>
        <w:t>参考</w:t>
      </w:r>
      <w:r>
        <w:rPr>
          <w:rFonts w:hint="eastAsia" w:ascii="宋体" w:hAnsi="宋体" w:cs="宋体"/>
          <w:szCs w:val="32"/>
          <w:highlight w:val="none"/>
          <w:lang w:eastAsia="zh-CN"/>
        </w:rPr>
        <w:t>）</w:t>
      </w:r>
      <w:r>
        <w:tab/>
      </w:r>
      <w:r>
        <w:fldChar w:fldCharType="begin"/>
      </w:r>
      <w:r>
        <w:instrText xml:space="preserve"> PAGEREF _Toc31556 \h </w:instrText>
      </w:r>
      <w:r>
        <w:fldChar w:fldCharType="separate"/>
      </w:r>
      <w:r>
        <w:t>34</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_Toc25633 </w:instrText>
      </w:r>
      <w:r>
        <w:rPr>
          <w:rFonts w:hint="eastAsia" w:ascii="宋体" w:hAnsi="宋体" w:eastAsia="宋体" w:cs="宋体"/>
          <w:bCs/>
          <w:szCs w:val="21"/>
          <w:highlight w:val="none"/>
        </w:rPr>
        <w:fldChar w:fldCharType="separate"/>
      </w:r>
      <w:r>
        <w:rPr>
          <w:rFonts w:hint="eastAsia" w:ascii="宋体" w:hAnsi="宋体" w:eastAsia="宋体" w:cs="宋体"/>
          <w:bCs/>
        </w:rPr>
        <w:t xml:space="preserve">第五章 </w:t>
      </w:r>
      <w:r>
        <w:rPr>
          <w:rFonts w:hint="eastAsia" w:ascii="宋体" w:hAnsi="宋体" w:eastAsia="宋体" w:cs="宋体"/>
          <w:bCs/>
          <w:highlight w:val="none"/>
        </w:rPr>
        <w:t>技术标准和要求</w:t>
      </w:r>
      <w:r>
        <w:tab/>
      </w:r>
      <w:r>
        <w:fldChar w:fldCharType="begin"/>
      </w:r>
      <w:r>
        <w:instrText xml:space="preserve"> PAGEREF _Toc25633 \h </w:instrText>
      </w:r>
      <w:r>
        <w:fldChar w:fldCharType="separate"/>
      </w:r>
      <w:r>
        <w:t>45</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_Toc21039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第六章 投标文件格式</w:t>
      </w:r>
      <w:r>
        <w:tab/>
      </w:r>
      <w:r>
        <w:fldChar w:fldCharType="begin"/>
      </w:r>
      <w:r>
        <w:instrText xml:space="preserve"> PAGEREF _Toc21039 \h </w:instrText>
      </w:r>
      <w:r>
        <w:fldChar w:fldCharType="separate"/>
      </w:r>
      <w:r>
        <w:t>65</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_Toc13061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一、投标函</w:t>
      </w:r>
      <w:r>
        <w:tab/>
      </w:r>
      <w:r>
        <w:fldChar w:fldCharType="begin"/>
      </w:r>
      <w:r>
        <w:instrText xml:space="preserve"> PAGEREF _Toc13061 \h </w:instrText>
      </w:r>
      <w:r>
        <w:fldChar w:fldCharType="separate"/>
      </w:r>
      <w:r>
        <w:t>66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_Toc24748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二、开标一览表</w:t>
      </w:r>
      <w:r>
        <w:tab/>
      </w:r>
      <w:r>
        <w:fldChar w:fldCharType="begin"/>
      </w:r>
      <w:r>
        <w:instrText xml:space="preserve"> PAGEREF _Toc24748 \h </w:instrText>
      </w:r>
      <w:r>
        <w:fldChar w:fldCharType="separate"/>
      </w:r>
      <w:r>
        <w:t>67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_Toc13231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三、法定代表人身份证明</w:t>
      </w:r>
      <w:r>
        <w:tab/>
      </w:r>
      <w:r>
        <w:fldChar w:fldCharType="begin"/>
      </w:r>
      <w:r>
        <w:instrText xml:space="preserve"> PAGEREF _Toc13231 \h </w:instrText>
      </w:r>
      <w:r>
        <w:fldChar w:fldCharType="separate"/>
      </w:r>
      <w:r>
        <w:t>68</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_Toc371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四、授权委托书</w:t>
      </w:r>
      <w:r>
        <w:tab/>
      </w:r>
      <w:r>
        <w:fldChar w:fldCharType="begin"/>
      </w:r>
      <w:r>
        <w:instrText xml:space="preserve"> PAGEREF _Toc371 \h </w:instrText>
      </w:r>
      <w:r>
        <w:fldChar w:fldCharType="separate"/>
      </w:r>
      <w:r>
        <w:t>69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_Toc29621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五、投标承诺函</w:t>
      </w:r>
      <w:r>
        <w:tab/>
      </w:r>
      <w:r>
        <w:fldChar w:fldCharType="begin"/>
      </w:r>
      <w:r>
        <w:instrText xml:space="preserve"> PAGEREF _Toc29621 \h </w:instrText>
      </w:r>
      <w:r>
        <w:fldChar w:fldCharType="separate"/>
      </w:r>
      <w:r>
        <w:t>70</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_Toc14964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六、分项报价明细表</w:t>
      </w:r>
      <w:r>
        <w:tab/>
      </w:r>
      <w:r>
        <w:fldChar w:fldCharType="begin"/>
      </w:r>
      <w:r>
        <w:instrText xml:space="preserve"> PAGEREF _Toc14964 \h </w:instrText>
      </w:r>
      <w:r>
        <w:fldChar w:fldCharType="separate"/>
      </w:r>
      <w:r>
        <w:t>71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_Toc15639 </w:instrText>
      </w:r>
      <w:r>
        <w:rPr>
          <w:rFonts w:hint="eastAsia" w:ascii="宋体" w:hAnsi="宋体" w:eastAsia="宋体" w:cs="宋体"/>
          <w:bCs/>
          <w:szCs w:val="21"/>
          <w:highlight w:val="none"/>
        </w:rPr>
        <w:fldChar w:fldCharType="separate"/>
      </w:r>
      <w:r>
        <w:rPr>
          <w:rFonts w:hint="eastAsia" w:ascii="宋体" w:hAnsi="宋体"/>
          <w:szCs w:val="28"/>
          <w:highlight w:val="none"/>
          <w:lang w:val="en-US" w:eastAsia="zh-CN"/>
        </w:rPr>
        <w:t>七</w:t>
      </w:r>
      <w:r>
        <w:rPr>
          <w:rFonts w:hint="eastAsia" w:ascii="宋体" w:hAnsi="宋体"/>
          <w:szCs w:val="28"/>
          <w:highlight w:val="none"/>
        </w:rPr>
        <w:t>、资格证明文件</w:t>
      </w:r>
      <w:r>
        <w:tab/>
      </w:r>
      <w:r>
        <w:fldChar w:fldCharType="begin"/>
      </w:r>
      <w:r>
        <w:instrText xml:space="preserve"> PAGEREF _Toc15639 \h </w:instrText>
      </w:r>
      <w:r>
        <w:fldChar w:fldCharType="separate"/>
      </w:r>
      <w:r>
        <w:t>72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_Toc25147 </w:instrText>
      </w:r>
      <w:r>
        <w:rPr>
          <w:rFonts w:hint="eastAsia" w:ascii="宋体" w:hAnsi="宋体" w:eastAsia="宋体" w:cs="宋体"/>
          <w:bCs/>
          <w:szCs w:val="21"/>
          <w:highlight w:val="none"/>
        </w:rPr>
        <w:fldChar w:fldCharType="separate"/>
      </w:r>
      <w:r>
        <w:rPr>
          <w:rFonts w:hint="eastAsia" w:ascii="宋体" w:hAnsi="宋体" w:cs="宋体"/>
          <w:szCs w:val="28"/>
          <w:highlight w:val="none"/>
          <w:lang w:val="en-US" w:eastAsia="zh-CN"/>
        </w:rPr>
        <w:t>八</w:t>
      </w:r>
      <w:r>
        <w:rPr>
          <w:rFonts w:hint="eastAsia" w:ascii="宋体" w:hAnsi="宋体" w:cs="宋体"/>
          <w:szCs w:val="28"/>
          <w:highlight w:val="none"/>
        </w:rPr>
        <w:t>、商务及技术要求偏离表</w:t>
      </w:r>
      <w:r>
        <w:tab/>
      </w:r>
      <w:r>
        <w:fldChar w:fldCharType="begin"/>
      </w:r>
      <w:r>
        <w:instrText xml:space="preserve"> PAGEREF _Toc25147 \h </w:instrText>
      </w:r>
      <w:r>
        <w:fldChar w:fldCharType="separate"/>
      </w:r>
      <w:r>
        <w:t>75</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_Toc5783 </w:instrText>
      </w:r>
      <w:r>
        <w:rPr>
          <w:rFonts w:hint="eastAsia" w:ascii="宋体" w:hAnsi="宋体" w:eastAsia="宋体" w:cs="宋体"/>
          <w:bCs/>
          <w:szCs w:val="21"/>
          <w:highlight w:val="none"/>
        </w:rPr>
        <w:fldChar w:fldCharType="separate"/>
      </w:r>
      <w:r>
        <w:rPr>
          <w:rFonts w:hint="eastAsia" w:ascii="宋体" w:hAnsi="宋体"/>
          <w:szCs w:val="28"/>
          <w:highlight w:val="none"/>
        </w:rPr>
        <w:t>九、</w:t>
      </w:r>
      <w:r>
        <w:rPr>
          <w:rFonts w:hint="eastAsia" w:ascii="宋体" w:hAnsi="宋体" w:cs="宋体"/>
          <w:szCs w:val="28"/>
          <w:highlight w:val="none"/>
        </w:rPr>
        <w:t>技术证明文件</w:t>
      </w:r>
      <w:r>
        <w:tab/>
      </w:r>
      <w:r>
        <w:fldChar w:fldCharType="begin"/>
      </w:r>
      <w:r>
        <w:instrText xml:space="preserve"> PAGEREF _Toc5783 \h </w:instrText>
      </w:r>
      <w:r>
        <w:fldChar w:fldCharType="separate"/>
      </w:r>
      <w:r>
        <w:t>77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_Toc12251 </w:instrText>
      </w:r>
      <w:r>
        <w:rPr>
          <w:rFonts w:hint="eastAsia" w:ascii="宋体" w:hAnsi="宋体" w:eastAsia="宋体" w:cs="宋体"/>
          <w:bCs/>
          <w:szCs w:val="21"/>
          <w:highlight w:val="none"/>
        </w:rPr>
        <w:fldChar w:fldCharType="separate"/>
      </w:r>
      <w:r>
        <w:rPr>
          <w:rFonts w:hint="eastAsia"/>
          <w:lang w:val="en-US" w:eastAsia="zh-CN"/>
        </w:rPr>
        <w:t xml:space="preserve">十、 </w:t>
      </w:r>
      <w:r>
        <w:rPr>
          <w:rFonts w:hint="eastAsia" w:ascii="宋体" w:hAnsi="宋体"/>
          <w:szCs w:val="28"/>
          <w:highlight w:val="none"/>
          <w:lang w:val="en-US" w:eastAsia="zh-CN"/>
        </w:rPr>
        <w:t>商务部分</w:t>
      </w:r>
      <w:r>
        <w:tab/>
      </w:r>
      <w:r>
        <w:fldChar w:fldCharType="begin"/>
      </w:r>
      <w:r>
        <w:instrText xml:space="preserve"> PAGEREF _Toc12251 \h </w:instrText>
      </w:r>
      <w:r>
        <w:fldChar w:fldCharType="separate"/>
      </w:r>
      <w:r>
        <w:t>78</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_Toc11414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一</w:t>
      </w:r>
      <w:r>
        <w:rPr>
          <w:rFonts w:hint="eastAsia" w:ascii="宋体" w:hAnsi="宋体" w:cs="宋体"/>
          <w:szCs w:val="28"/>
          <w:highlight w:val="none"/>
        </w:rPr>
        <w:t>、</w:t>
      </w:r>
      <w:r>
        <w:rPr>
          <w:rFonts w:hint="eastAsia" w:ascii="宋体" w:hAnsi="宋体" w:cs="宋体"/>
          <w:szCs w:val="28"/>
          <w:highlight w:val="none"/>
          <w:lang w:val="en-US" w:eastAsia="zh-CN"/>
        </w:rPr>
        <w:t>售后服务</w:t>
      </w:r>
      <w:r>
        <w:tab/>
      </w:r>
      <w:r>
        <w:fldChar w:fldCharType="begin"/>
      </w:r>
      <w:r>
        <w:instrText xml:space="preserve"> PAGEREF _Toc11414 \h </w:instrText>
      </w:r>
      <w:r>
        <w:fldChar w:fldCharType="separate"/>
      </w:r>
      <w:r>
        <w:t>79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_Toc24527 </w:instrText>
      </w:r>
      <w:r>
        <w:rPr>
          <w:rFonts w:hint="eastAsia" w:ascii="宋体" w:hAnsi="宋体" w:eastAsia="宋体" w:cs="宋体"/>
          <w:bCs/>
          <w:szCs w:val="21"/>
          <w:highlight w:val="none"/>
        </w:rPr>
        <w:fldChar w:fldCharType="separate"/>
      </w:r>
      <w:r>
        <w:rPr>
          <w:rFonts w:hint="eastAsia" w:ascii="宋体" w:hAnsi="宋体" w:cs="宋体"/>
          <w:szCs w:val="28"/>
          <w:highlight w:val="none"/>
          <w:lang w:val="en-US" w:eastAsia="zh-CN"/>
        </w:rPr>
        <w:t>十二、</w:t>
      </w:r>
      <w:r>
        <w:rPr>
          <w:rFonts w:hint="eastAsia" w:ascii="宋体" w:hAnsi="宋体" w:cs="宋体"/>
          <w:szCs w:val="28"/>
          <w:highlight w:val="none"/>
        </w:rPr>
        <w:t>反商业贿赂承诺书</w:t>
      </w:r>
      <w:r>
        <w:tab/>
      </w:r>
      <w:r>
        <w:fldChar w:fldCharType="begin"/>
      </w:r>
      <w:r>
        <w:instrText xml:space="preserve"> PAGEREF _Toc24527 \h </w:instrText>
      </w:r>
      <w:r>
        <w:fldChar w:fldCharType="separate"/>
      </w:r>
      <w:r>
        <w:t>80</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_Toc18454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三</w:t>
      </w:r>
      <w:r>
        <w:rPr>
          <w:rFonts w:hint="eastAsia" w:ascii="宋体" w:hAnsi="宋体" w:cs="宋体"/>
          <w:szCs w:val="28"/>
          <w:highlight w:val="none"/>
        </w:rPr>
        <w:t>、其他资料</w:t>
      </w:r>
      <w:r>
        <w:tab/>
      </w:r>
      <w:r>
        <w:fldChar w:fldCharType="begin"/>
      </w:r>
      <w:r>
        <w:instrText xml:space="preserve"> PAGEREF _Toc18454 \h </w:instrText>
      </w:r>
      <w:r>
        <w:fldChar w:fldCharType="separate"/>
      </w:r>
      <w:r>
        <w:t>81</w:t>
      </w:r>
      <w:r>
        <w:fldChar w:fldCharType="end"/>
      </w:r>
      <w:r>
        <w:rPr>
          <w:rFonts w:hint="eastAsia" w:ascii="宋体" w:hAnsi="宋体" w:eastAsia="宋体" w:cs="宋体"/>
          <w:bCs/>
          <w:color w:val="auto"/>
          <w:szCs w:val="21"/>
          <w:highlight w:val="none"/>
        </w:rPr>
        <w:fldChar w:fldCharType="end"/>
      </w:r>
    </w:p>
    <w:p>
      <w:pPr>
        <w:pStyle w:val="38"/>
        <w:tabs>
          <w:tab w:val="right" w:leader="dot" w:pos="8505"/>
          <w:tab w:val="right" w:leader="dot" w:pos="9350"/>
        </w:tabs>
        <w:spacing w:line="360" w:lineRule="auto"/>
        <w:rPr>
          <w:color w:val="auto"/>
          <w:highlight w:val="none"/>
        </w:rPr>
      </w:pPr>
      <w:r>
        <w:rPr>
          <w:rFonts w:hint="eastAsia" w:ascii="宋体" w:hAnsi="宋体" w:eastAsia="宋体" w:cs="宋体"/>
          <w:bCs/>
          <w:color w:val="auto"/>
          <w:szCs w:val="21"/>
          <w:highlight w:val="none"/>
        </w:rPr>
        <w:fldChar w:fldCharType="end"/>
      </w:r>
      <w:bookmarkStart w:id="0" w:name="_Toc22953396"/>
      <w:bookmarkStart w:id="1" w:name="_Toc22962877"/>
      <w:bookmarkStart w:id="2" w:name="_Toc22568788"/>
      <w:bookmarkStart w:id="3" w:name="_Toc22804074"/>
      <w:bookmarkStart w:id="4" w:name="_Toc22570495"/>
      <w:bookmarkStart w:id="5" w:name="_Toc99423253"/>
      <w:bookmarkStart w:id="6" w:name="_Toc22723955"/>
      <w:r>
        <w:rPr>
          <w:color w:val="auto"/>
          <w:highlight w:val="none"/>
        </w:rPr>
        <w:br w:type="page"/>
      </w:r>
    </w:p>
    <w:p>
      <w:pPr>
        <w:spacing w:line="520" w:lineRule="exact"/>
        <w:jc w:val="center"/>
        <w:rPr>
          <w:rFonts w:ascii="??"/>
          <w:color w:val="auto"/>
          <w:sz w:val="32"/>
          <w:szCs w:val="32"/>
          <w:highlight w:val="none"/>
        </w:rPr>
      </w:pPr>
      <w:r>
        <w:rPr>
          <w:rFonts w:hint="eastAsia" w:ascii="宋体" w:hAnsi="宋体" w:cs="宋体"/>
          <w:color w:val="auto"/>
          <w:sz w:val="32"/>
          <w:szCs w:val="32"/>
          <w:highlight w:val="none"/>
        </w:rPr>
        <w:t>特别提示</w:t>
      </w:r>
    </w:p>
    <w:p>
      <w:pPr>
        <w:spacing w:line="440" w:lineRule="exact"/>
        <w:ind w:left="420" w:hanging="422" w:hangingChars="200"/>
        <w:jc w:val="center"/>
        <w:rPr>
          <w:rFonts w:hint="eastAsia" w:ascii="宋体" w:hAnsi="宋体" w:cs="宋体"/>
          <w:b/>
          <w:bCs/>
          <w:color w:val="auto"/>
          <w:highlight w:val="none"/>
        </w:rPr>
      </w:pPr>
      <w:r>
        <w:rPr>
          <w:rFonts w:hint="eastAsia" w:ascii="宋体" w:hAnsi="宋体" w:cs="宋体"/>
          <w:b/>
          <w:bCs/>
          <w:color w:val="auto"/>
          <w:highlight w:val="none"/>
        </w:rPr>
        <w:t>“不见面”开标注意事项及操作流程注意事项</w:t>
      </w:r>
    </w:p>
    <w:p>
      <w:pPr>
        <w:spacing w:line="440" w:lineRule="exact"/>
        <w:ind w:left="420" w:hanging="420" w:hangingChars="200"/>
        <w:jc w:val="left"/>
        <w:rPr>
          <w:rFonts w:hint="eastAsia" w:ascii="宋体" w:hAnsi="宋体" w:cs="宋体"/>
          <w:color w:val="auto"/>
          <w:highlight w:val="none"/>
        </w:rPr>
      </w:pP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温馨提示：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本项目为全流程电子化交易项目，请认真阅读招标文件，并注意以下事项。</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1.投标人应按招标文件规定编制、提交电子投标文件。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2.本项目投标人不用再提供纸质投标文件。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3.电子文件下载、制作、提交期间和开标（电子投标文件的解密）环节，投标人须使用CA数字证书（证书须在有效期内）。</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4.电子投标文件的制作</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4.1 投标人登录《全国公共资源交易平台(河南省▪平顶山市)》公共资源交易系统（http://221.176.192.166:8080/ggzy/）下载“平顶山投标文件制作系统”，按招标文件要求制作电子投标文件。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电子投标文件的制作，参考《全国公共资源交易平台(河南省▪平顶山市)》公共资源交易系统——组件下载——交易系统操作手册（投标人、投标人）。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4.2 投标人须将招标文件要求的资质、业绩、荣誉及相关人员证明材料等资料原件扫描件（或图片）制作到所提交的电子投标文件中。</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4.3投标人对同一项目多个标段进行投标的，应分别下载所投标段的招标文件，按标段制作电子投标文件，并按招标文件要求在相应位置加盖投标人电子印章和法人电子印章。</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5.加密电子投标文件的提交</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5.1加密电子投标文件应在招标文件规定的投标截止时间（开标时间）之前成功提交至《全国公共资源交易平台(河南省▪平顶山市)》公共资源交易系统（http://221.176.192.166:8080/ggzy/）。投标人应充分考虑并预留技术处理和上传数据所需时间。</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5.2 投标人对同一项目多个标段进行投标的，加密电子投标文件应按标段分别提交。</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“不见面”开标注意事项：</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1、招标人和代理机构应当提前做好各项准备工作，准时开标。</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3、如出现投标人的电子投标文件无法解密的情况，投标人应及时联系招标人（代理机构）进行说明。投标文件解密异常，按以下步骤进行处理：</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（1）如果是投标文件自身问题导致投标文件无法解密的，该投标文件将不予接收、解密。</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（2）如果是电子化交易系统问题造成投标文件无法解密的，将由技术人员进行排查处理。如短时间内问题无法解决的，将由招标人（代理机构）联系监督部门申请暂停开标，待问题解决后继续开标。</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4、所有投标文件解密完成后，由招标人（代理机构）操作，对开标结果进行公示。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5、投标人应保证在开标期间电话、电脑、网络等能够正常使用，投标人因停电、电脑病毒、网络堵塞等原因，未在规定的解密时间内对投标文件进行解密的，其投标文件不予接收。</w:t>
      </w:r>
    </w:p>
    <w:p>
      <w:pPr>
        <w:spacing w:line="440" w:lineRule="exact"/>
        <w:ind w:left="420" w:hanging="420" w:hangingChars="200"/>
        <w:jc w:val="left"/>
        <w:rPr>
          <w:rFonts w:ascii="宋体" w:hAnsi="宋体" w:cs="宋体"/>
          <w:color w:val="auto"/>
          <w:highlight w:val="none"/>
        </w:rPr>
      </w:pPr>
      <w:r>
        <w:rPr>
          <w:rFonts w:hint="eastAsia" w:ascii="宋体" w:hAnsi="宋体" w:cs="宋体"/>
          <w:color w:val="auto"/>
          <w:highlight w:val="none"/>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pPr>
        <w:widowControl/>
        <w:spacing w:line="240" w:lineRule="atLeast"/>
        <w:jc w:val="left"/>
        <w:rPr>
          <w:rFonts w:ascii="??"/>
          <w:b/>
          <w:bCs/>
          <w:color w:val="auto"/>
          <w:kern w:val="44"/>
          <w:sz w:val="32"/>
          <w:szCs w:val="32"/>
          <w:highlight w:val="none"/>
        </w:rPr>
      </w:pPr>
    </w:p>
    <w:p>
      <w:pPr>
        <w:pStyle w:val="3"/>
        <w:tabs>
          <w:tab w:val="left" w:pos="1134"/>
          <w:tab w:val="left" w:pos="4820"/>
        </w:tabs>
        <w:spacing w:before="45" w:after="45" w:line="440" w:lineRule="exact"/>
        <w:rPr>
          <w:rFonts w:ascii="??" w:hAnsi="??" w:cs="??"/>
          <w:color w:val="auto"/>
          <w:sz w:val="32"/>
          <w:szCs w:val="32"/>
          <w:highlight w:val="none"/>
        </w:rPr>
      </w:pPr>
      <w:r>
        <w:rPr>
          <w:rFonts w:hint="eastAsia" w:ascii="宋体" w:hAnsi="宋体" w:cs="宋体"/>
          <w:color w:val="auto"/>
          <w:sz w:val="32"/>
          <w:szCs w:val="32"/>
          <w:highlight w:val="none"/>
        </w:rPr>
        <w:br w:type="page"/>
      </w:r>
      <w:bookmarkStart w:id="7" w:name="_Toc32690"/>
      <w:r>
        <w:rPr>
          <w:rFonts w:hint="eastAsia" w:ascii="宋体" w:hAnsi="宋体" w:cs="宋体"/>
          <w:color w:val="auto"/>
          <w:sz w:val="32"/>
          <w:szCs w:val="32"/>
          <w:highlight w:val="none"/>
        </w:rPr>
        <w:t>第一章 招标公告</w:t>
      </w:r>
      <w:bookmarkEnd w:id="7"/>
    </w:p>
    <w:p>
      <w:pPr>
        <w:numPr>
          <w:ilvl w:val="1"/>
          <w:numId w:val="0"/>
        </w:numPr>
        <w:tabs>
          <w:tab w:val="left" w:pos="420"/>
          <w:tab w:val="left" w:pos="840"/>
        </w:tabs>
        <w:spacing w:line="440" w:lineRule="exact"/>
        <w:rPr>
          <w:rFonts w:ascii="??" w:hAnsi="??" w:cs="??"/>
          <w:color w:val="auto"/>
          <w:highlight w:val="none"/>
        </w:rPr>
      </w:pPr>
      <w:bookmarkStart w:id="8" w:name="_Toc945"/>
      <w:bookmarkStart w:id="9" w:name="_Toc10244"/>
      <w:bookmarkStart w:id="10" w:name="_Toc28359002"/>
      <w:bookmarkStart w:id="11" w:name="_Toc35393621"/>
      <w:bookmarkStart w:id="12" w:name="_Toc35393790"/>
      <w:bookmarkStart w:id="13" w:name="_Toc28359079"/>
      <w:bookmarkStart w:id="14" w:name="_Hlk24379207"/>
      <w:bookmarkStart w:id="15" w:name="_Toc496604949"/>
      <w:bookmarkStart w:id="16" w:name="_Toc496627135"/>
      <w:bookmarkStart w:id="17" w:name="_Toc496606438"/>
      <w:bookmarkStart w:id="18" w:name="_Toc496605306"/>
      <w:bookmarkStart w:id="19" w:name="_Toc496621886"/>
      <w:bookmarkStart w:id="20" w:name="_Toc496604846"/>
      <w:bookmarkStart w:id="21" w:name="_Toc496626971"/>
      <w:bookmarkStart w:id="22" w:name="_Toc496607664"/>
      <w:bookmarkStart w:id="23" w:name="_Toc496607901"/>
      <w:r>
        <w:rPr>
          <w:rFonts w:hint="eastAsia" w:ascii="宋体" w:hAnsi="宋体" w:cs="宋体"/>
          <w:color w:val="auto"/>
          <w:highlight w:val="none"/>
        </w:rPr>
        <w:t>项目概况</w:t>
      </w:r>
      <w:bookmarkEnd w:id="8"/>
      <w:bookmarkEnd w:id="9"/>
    </w:p>
    <w:p>
      <w:pPr>
        <w:numPr>
          <w:ilvl w:val="1"/>
          <w:numId w:val="0"/>
        </w:numPr>
        <w:tabs>
          <w:tab w:val="left" w:pos="420"/>
          <w:tab w:val="left" w:pos="840"/>
        </w:tabs>
        <w:spacing w:line="440" w:lineRule="exact"/>
        <w:ind w:firstLine="525" w:firstLineChars="250"/>
        <w:rPr>
          <w:rFonts w:ascii="??" w:hAnsi="??" w:cs="??"/>
          <w:color w:val="auto"/>
          <w:highlight w:val="none"/>
        </w:rPr>
      </w:pPr>
      <w:bookmarkStart w:id="24" w:name="_Toc3919"/>
      <w:bookmarkStart w:id="25" w:name="_Toc24570"/>
      <w:r>
        <w:rPr>
          <w:rFonts w:hint="eastAsia" w:ascii="宋体" w:hAnsi="宋体" w:cs="宋体"/>
          <w:color w:val="auto"/>
          <w:highlight w:val="none"/>
          <w:lang w:eastAsia="zh-CN"/>
        </w:rPr>
        <w:t>尧山实验室2024年陶瓷基复合材料实验设备采购项目</w:t>
      </w:r>
      <w:r>
        <w:rPr>
          <w:rFonts w:hint="eastAsia" w:ascii="宋体" w:hAnsi="宋体" w:cs="宋体"/>
          <w:color w:val="auto"/>
          <w:highlight w:val="none"/>
        </w:rPr>
        <w:t>的潜在投标人应在</w:t>
      </w:r>
      <w:r>
        <w:rPr>
          <w:rFonts w:hint="eastAsia" w:ascii="宋体" w:hAnsi="宋体" w:cs="宋体"/>
          <w:color w:val="auto"/>
          <w:highlight w:val="none"/>
          <w:lang w:eastAsia="zh-CN"/>
        </w:rPr>
        <w:t>平顶山市公共资源交易中心网</w:t>
      </w:r>
      <w:r>
        <w:rPr>
          <w:rFonts w:hint="eastAsia" w:ascii="宋体" w:hAnsi="宋体" w:cs="宋体"/>
          <w:color w:val="auto"/>
          <w:highlight w:val="none"/>
        </w:rPr>
        <w:t>获取招标文件，并于2024年</w:t>
      </w:r>
      <w:r>
        <w:rPr>
          <w:rFonts w:hint="eastAsia" w:ascii="宋体" w:hAnsi="宋体" w:cs="宋体"/>
          <w:color w:val="auto"/>
          <w:highlight w:val="none"/>
          <w:lang w:val="en-US" w:eastAsia="zh-CN"/>
        </w:rPr>
        <w:t>8</w:t>
      </w:r>
      <w:r>
        <w:rPr>
          <w:rFonts w:hint="eastAsia" w:ascii="宋体" w:hAnsi="宋体" w:cs="宋体"/>
          <w:color w:val="auto"/>
          <w:highlight w:val="none"/>
        </w:rPr>
        <w:t>月</w:t>
      </w:r>
      <w:r>
        <w:rPr>
          <w:rFonts w:hint="eastAsia" w:ascii="宋体" w:hAnsi="宋体" w:cs="宋体"/>
          <w:color w:val="auto"/>
          <w:highlight w:val="none"/>
          <w:lang w:val="en-US" w:eastAsia="zh-CN"/>
        </w:rPr>
        <w:t>19</w:t>
      </w:r>
      <w:r>
        <w:rPr>
          <w:rFonts w:hint="eastAsia" w:ascii="宋体" w:hAnsi="宋体" w:cs="宋体"/>
          <w:color w:val="auto"/>
          <w:highlight w:val="none"/>
        </w:rPr>
        <w:t>日09点00分（北京时间）前递交投标文件。</w:t>
      </w:r>
      <w:bookmarkEnd w:id="24"/>
      <w:bookmarkEnd w:id="25"/>
    </w:p>
    <w:p>
      <w:pPr>
        <w:spacing w:line="440" w:lineRule="exact"/>
        <w:rPr>
          <w:rFonts w:hint="eastAsia" w:ascii="宋体" w:hAnsi="宋体" w:cs="宋体"/>
          <w:color w:val="auto"/>
          <w:highlight w:val="none"/>
        </w:rPr>
      </w:pPr>
      <w:bookmarkStart w:id="26" w:name="_Toc1256"/>
      <w:r>
        <w:rPr>
          <w:rFonts w:hint="eastAsia" w:ascii="宋体" w:hAnsi="宋体" w:cs="宋体"/>
          <w:color w:val="auto"/>
          <w:highlight w:val="none"/>
        </w:rPr>
        <w:t>一、项目基本情况</w:t>
      </w:r>
      <w:bookmarkEnd w:id="10"/>
      <w:bookmarkEnd w:id="11"/>
      <w:bookmarkEnd w:id="12"/>
      <w:bookmarkEnd w:id="13"/>
      <w:bookmarkEnd w:id="26"/>
    </w:p>
    <w:p>
      <w:pPr>
        <w:spacing w:line="440" w:lineRule="exact"/>
        <w:ind w:firstLine="420" w:firstLineChars="200"/>
        <w:rPr>
          <w:rFonts w:hint="eastAsia" w:ascii="宋体" w:hAnsi="宋体" w:eastAsia="宋体" w:cs="宋体"/>
          <w:color w:val="auto"/>
          <w:highlight w:val="yellow"/>
          <w:lang w:val="en-US"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平采招标-2024-79</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2、项目名称：</w:t>
      </w:r>
      <w:bookmarkEnd w:id="14"/>
      <w:r>
        <w:rPr>
          <w:rFonts w:hint="eastAsia" w:ascii="宋体" w:hAnsi="宋体" w:cs="宋体"/>
          <w:color w:val="auto"/>
          <w:highlight w:val="none"/>
          <w:lang w:eastAsia="zh-CN"/>
        </w:rPr>
        <w:t>尧山实验室2024年陶瓷基复合材料实验设备采购项目</w:t>
      </w:r>
    </w:p>
    <w:p>
      <w:pPr>
        <w:spacing w:line="440" w:lineRule="exact"/>
        <w:ind w:firstLine="420" w:firstLineChars="200"/>
        <w:rPr>
          <w:rFonts w:ascii="宋体" w:hAnsi="宋体" w:cs="宋体"/>
          <w:color w:val="auto"/>
          <w:highlight w:val="none"/>
        </w:rPr>
      </w:pPr>
      <w:r>
        <w:rPr>
          <w:rFonts w:hint="eastAsia" w:ascii="宋体" w:hAnsi="宋体" w:cs="宋体"/>
          <w:color w:val="auto"/>
          <w:highlight w:val="none"/>
        </w:rPr>
        <w:t>3、采购方式：公开招标</w:t>
      </w:r>
    </w:p>
    <w:p>
      <w:pPr>
        <w:spacing w:line="440" w:lineRule="exact"/>
        <w:ind w:firstLine="420" w:firstLineChars="200"/>
        <w:rPr>
          <w:rFonts w:ascii="宋体" w:hAnsi="宋体" w:cs="宋体"/>
          <w:color w:val="auto"/>
          <w:highlight w:val="none"/>
        </w:rPr>
      </w:pPr>
      <w:r>
        <w:rPr>
          <w:rFonts w:hint="eastAsia" w:ascii="宋体" w:hAnsi="宋体" w:cs="宋体"/>
          <w:color w:val="auto"/>
          <w:highlight w:val="none"/>
        </w:rPr>
        <w:t>4、预算金额：</w:t>
      </w:r>
      <w:r>
        <w:rPr>
          <w:rFonts w:hint="eastAsia" w:ascii="宋体" w:hAnsi="宋体" w:cs="宋体"/>
          <w:color w:val="auto"/>
          <w:highlight w:val="none"/>
          <w:lang w:val="en-US" w:eastAsia="zh-CN"/>
        </w:rPr>
        <w:t>21290000</w:t>
      </w:r>
      <w:r>
        <w:rPr>
          <w:rFonts w:hint="eastAsia" w:ascii="宋体" w:hAnsi="宋体" w:cs="宋体"/>
          <w:color w:val="auto"/>
          <w:highlight w:val="none"/>
        </w:rPr>
        <w:t>元</w:t>
      </w:r>
    </w:p>
    <w:p>
      <w:pPr>
        <w:spacing w:line="440" w:lineRule="exact"/>
        <w:ind w:firstLine="840" w:firstLineChars="400"/>
        <w:rPr>
          <w:rFonts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2129</w:t>
      </w:r>
      <w:r>
        <w:rPr>
          <w:rFonts w:hint="eastAsia" w:ascii="宋体" w:hAnsi="宋体" w:cs="宋体"/>
          <w:color w:val="auto"/>
          <w:highlight w:val="none"/>
          <w:lang w:eastAsia="zh-CN"/>
        </w:rPr>
        <w:t>0000</w:t>
      </w:r>
      <w:r>
        <w:rPr>
          <w:rFonts w:hint="eastAsia" w:ascii="宋体" w:hAnsi="宋体" w:cs="宋体"/>
          <w:color w:val="auto"/>
          <w:highlight w:val="none"/>
        </w:rPr>
        <w:t>元</w:t>
      </w:r>
    </w:p>
    <w:tbl>
      <w:tblPr>
        <w:tblStyle w:val="48"/>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3576"/>
        <w:gridCol w:w="2255"/>
        <w:gridCol w:w="1050"/>
        <w:gridCol w:w="1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66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序号</w:t>
            </w:r>
          </w:p>
        </w:tc>
        <w:tc>
          <w:tcPr>
            <w:tcW w:w="357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包号</w:t>
            </w:r>
          </w:p>
        </w:tc>
        <w:tc>
          <w:tcPr>
            <w:tcW w:w="2255"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包名称</w:t>
            </w:r>
          </w:p>
        </w:tc>
        <w:tc>
          <w:tcPr>
            <w:tcW w:w="1050"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包预算（元）</w:t>
            </w:r>
          </w:p>
        </w:tc>
        <w:tc>
          <w:tcPr>
            <w:tcW w:w="1331"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1</w:t>
            </w:r>
          </w:p>
        </w:tc>
        <w:tc>
          <w:tcPr>
            <w:tcW w:w="3576" w:type="dxa"/>
            <w:noWrap/>
            <w:vAlign w:val="center"/>
          </w:tcPr>
          <w:p>
            <w:pPr>
              <w:spacing w:line="336" w:lineRule="auto"/>
              <w:jc w:val="center"/>
              <w:rPr>
                <w:rFonts w:ascii="宋体" w:hAnsi="宋体" w:cs="宋体"/>
                <w:bCs/>
                <w:color w:val="auto"/>
                <w:kern w:val="0"/>
                <w:highlight w:val="none"/>
              </w:rPr>
            </w:pPr>
            <w:r>
              <w:rPr>
                <w:rFonts w:hint="eastAsia" w:ascii="宋体" w:hAnsi="宋体" w:cs="宋体"/>
                <w:bCs/>
                <w:color w:val="auto"/>
                <w:kern w:val="0"/>
                <w:highlight w:val="none"/>
              </w:rPr>
              <w:t>平公资采2024609号-1</w:t>
            </w:r>
          </w:p>
        </w:tc>
        <w:tc>
          <w:tcPr>
            <w:tcW w:w="2255" w:type="dxa"/>
            <w:noWrap/>
            <w:vAlign w:val="center"/>
          </w:tcPr>
          <w:p>
            <w:pPr>
              <w:spacing w:line="336" w:lineRule="auto"/>
              <w:jc w:val="center"/>
              <w:rPr>
                <w:rFonts w:hint="eastAsia" w:ascii="宋体" w:hAnsi="宋体" w:eastAsia="宋体" w:cs="宋体"/>
                <w:bCs/>
                <w:color w:val="auto"/>
                <w:kern w:val="0"/>
                <w:highlight w:val="none"/>
                <w:lang w:eastAsia="zh-CN"/>
              </w:rPr>
            </w:pPr>
            <w:r>
              <w:rPr>
                <w:rFonts w:hint="eastAsia" w:ascii="宋体" w:hAnsi="宋体" w:cs="宋体"/>
                <w:color w:val="auto"/>
                <w:highlight w:val="none"/>
                <w:lang w:val="en-US" w:eastAsia="zh-CN"/>
              </w:rPr>
              <w:t>第一标段</w:t>
            </w:r>
          </w:p>
        </w:tc>
        <w:tc>
          <w:tcPr>
            <w:tcW w:w="1050"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2</w:t>
            </w:r>
            <w:r>
              <w:rPr>
                <w:rFonts w:hint="eastAsia" w:ascii="宋体" w:hAnsi="宋体" w:cs="宋体"/>
                <w:color w:val="auto"/>
                <w:highlight w:val="none"/>
                <w:lang w:val="en-US" w:eastAsia="zh-CN"/>
              </w:rPr>
              <w:t>08</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2</w:t>
            </w:r>
            <w:r>
              <w:rPr>
                <w:rFonts w:hint="eastAsia" w:ascii="宋体" w:hAnsi="宋体" w:cs="宋体"/>
                <w:color w:val="auto"/>
                <w:highlight w:val="none"/>
                <w:lang w:val="en-US" w:eastAsia="zh-CN"/>
              </w:rPr>
              <w:t>08</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2</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2</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第二标段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126</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126</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3</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3</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第三标段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650</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650</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4</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4</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第四标段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395</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395</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5</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5</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第五标段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1100000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6</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6</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第六标段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1600000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7</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7</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第七标段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4800000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4800000</w:t>
            </w:r>
          </w:p>
        </w:tc>
      </w:tr>
    </w:tbl>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5、采购需求（包括但不限于标的的名称、数量、简要技术需求或服务要求等）</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5.1项目采购内容：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1</w:t>
      </w:r>
      <w:r>
        <w:rPr>
          <w:rFonts w:hint="eastAsia" w:ascii="宋体" w:hAnsi="宋体" w:cs="宋体"/>
          <w:color w:val="auto"/>
          <w:highlight w:val="none"/>
        </w:rPr>
        <w:t>：1200℃不锈钢节能箱式电炉一套，1300℃节能箱式电炉一套，1600℃节能箱式电炉一套，1200℃单温区管式炉一套，1600℃真空气氛管式炉一套，高低温介电阻抗温谱仪一套，高温绝缘材料电阻率测量系统一套，高温压电温谱仪一套，HPC高性能计算集群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2</w:t>
      </w:r>
      <w:r>
        <w:rPr>
          <w:rFonts w:hint="eastAsia" w:ascii="宋体" w:hAnsi="宋体" w:cs="宋体"/>
          <w:color w:val="auto"/>
          <w:highlight w:val="none"/>
        </w:rPr>
        <w:t>：热重分析仪一套</w:t>
      </w:r>
      <w:r>
        <w:rPr>
          <w:rFonts w:hint="eastAsia" w:ascii="宋体" w:hAnsi="宋体" w:cs="宋体"/>
          <w:color w:val="auto"/>
          <w:highlight w:val="none"/>
          <w:lang w:eastAsia="zh-CN"/>
        </w:rPr>
        <w:t>、</w:t>
      </w:r>
      <w:r>
        <w:rPr>
          <w:rFonts w:hint="eastAsia" w:ascii="宋体" w:hAnsi="宋体" w:cs="宋体"/>
          <w:color w:val="auto"/>
          <w:highlight w:val="none"/>
        </w:rPr>
        <w:t>热膨胀仪一套。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3</w:t>
      </w:r>
      <w:r>
        <w:rPr>
          <w:rFonts w:hint="eastAsia" w:ascii="宋体" w:hAnsi="宋体" w:cs="宋体"/>
          <w:color w:val="auto"/>
          <w:highlight w:val="none"/>
        </w:rPr>
        <w:t>：X射线光电子能谱仪一套。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4</w:t>
      </w:r>
      <w:r>
        <w:rPr>
          <w:rFonts w:hint="eastAsia" w:ascii="宋体" w:hAnsi="宋体" w:cs="宋体"/>
          <w:color w:val="auto"/>
          <w:highlight w:val="none"/>
        </w:rPr>
        <w:t>：大功率微区X射线衍射仪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5</w:t>
      </w:r>
      <w:r>
        <w:rPr>
          <w:rFonts w:hint="eastAsia" w:ascii="宋体" w:hAnsi="宋体" w:cs="宋体"/>
          <w:color w:val="auto"/>
          <w:highlight w:val="none"/>
        </w:rPr>
        <w:t>：原位红外光谱仪</w:t>
      </w:r>
      <w:r>
        <w:rPr>
          <w:rFonts w:hint="eastAsia" w:ascii="宋体" w:hAnsi="宋体" w:cs="宋体"/>
          <w:color w:val="auto"/>
          <w:highlight w:val="none"/>
          <w:lang w:val="en-US" w:eastAsia="zh-CN"/>
        </w:rPr>
        <w:t>一套</w:t>
      </w:r>
      <w:r>
        <w:rPr>
          <w:rFonts w:hint="eastAsia" w:ascii="宋体" w:hAnsi="宋体" w:cs="宋体"/>
          <w:color w:val="auto"/>
          <w:highlight w:val="none"/>
          <w:lang w:eastAsia="zh-CN"/>
        </w:rPr>
        <w:t>、</w:t>
      </w:r>
      <w:r>
        <w:rPr>
          <w:rFonts w:hint="eastAsia" w:ascii="宋体" w:hAnsi="宋体" w:cs="宋体"/>
          <w:color w:val="auto"/>
          <w:highlight w:val="none"/>
        </w:rPr>
        <w:t>紫外可见近红外分光光度计</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6</w:t>
      </w:r>
      <w:r>
        <w:rPr>
          <w:rFonts w:hint="eastAsia" w:ascii="宋体" w:hAnsi="宋体" w:cs="宋体"/>
          <w:color w:val="auto"/>
          <w:highlight w:val="none"/>
        </w:rPr>
        <w:t>：闪射法导热仪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7</w:t>
      </w:r>
      <w:r>
        <w:rPr>
          <w:rFonts w:hint="eastAsia" w:ascii="宋体" w:hAnsi="宋体" w:cs="宋体"/>
          <w:color w:val="auto"/>
          <w:highlight w:val="none"/>
        </w:rPr>
        <w:t>：200KV透射电子显微镜</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说明：主要用于陶瓷基复合材料的制备和测试。</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5.2标包划分：本项目划分</w:t>
      </w:r>
      <w:r>
        <w:rPr>
          <w:rFonts w:hint="eastAsia" w:ascii="宋体" w:hAnsi="宋体" w:cs="宋体"/>
          <w:color w:val="auto"/>
          <w:highlight w:val="none"/>
          <w:lang w:val="en-US" w:eastAsia="zh-CN"/>
        </w:rPr>
        <w:t>7</w:t>
      </w:r>
      <w:r>
        <w:rPr>
          <w:rFonts w:hint="eastAsia" w:ascii="宋体" w:hAnsi="宋体" w:cs="宋体"/>
          <w:color w:val="auto"/>
          <w:highlight w:val="none"/>
        </w:rPr>
        <w:t>个标段</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5.3质量要求：合格标准；</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5.4供货期：签订合同后进口设备90日历天</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国产设备60日历天；</w:t>
      </w:r>
      <w:r>
        <w:rPr>
          <w:rFonts w:hint="eastAsia" w:ascii="宋体" w:hAnsi="宋体" w:cs="宋体"/>
          <w:color w:val="auto"/>
          <w:highlight w:val="none"/>
        </w:rPr>
        <w:t>完成交货、安装、调试、验收。</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5.5质保期：进口设备1年</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国产设备3年。</w:t>
      </w:r>
      <w:r>
        <w:rPr>
          <w:rFonts w:hint="eastAsia" w:ascii="宋体" w:hAnsi="宋体" w:cs="宋体"/>
          <w:color w:val="auto"/>
          <w:highlight w:val="none"/>
        </w:rPr>
        <w:t>所有设备厂家终身保修、软件免费升级更新，质保期外上门服务，免收人工费等，零配件费按80%折扣收取。</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6、合同履行期限：同供货期</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7、本项目是否接受联合体投标：否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8、是否接受进口产品：是</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9、是否专门面向中小企业：否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二、申请人资格要求：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2、落实政府采购政策满足的资格要求：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本项目非专门面向中小企业采购。供应商为中小微企业、监狱企业、残疾人福利性单位，落实中小企业价格评审优惠政策；中小企业划型标准请依据工信部联企业【2011】300号文件之规定。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2" w:firstLineChars="200"/>
        <w:jc w:val="left"/>
        <w:rPr>
          <w:rFonts w:hint="eastAsia" w:ascii="宋体" w:hAnsi="宋体" w:cs="宋体"/>
          <w:b/>
          <w:bCs/>
          <w:color w:val="auto"/>
          <w:highlight w:val="none"/>
          <w:lang w:eastAsia="zh-CN"/>
        </w:rPr>
      </w:pPr>
      <w:r>
        <w:rPr>
          <w:rFonts w:hint="eastAsia" w:ascii="宋体" w:hAnsi="宋体" w:cs="宋体"/>
          <w:b/>
          <w:bCs/>
          <w:color w:val="auto"/>
          <w:highlight w:val="none"/>
        </w:rPr>
        <w:t>包1：（国产产品），不接受进口产品</w:t>
      </w:r>
      <w:r>
        <w:rPr>
          <w:rFonts w:hint="eastAsia" w:ascii="宋体" w:hAnsi="宋体" w:cs="宋体"/>
          <w:b/>
          <w:bCs/>
          <w:color w:val="auto"/>
          <w:highlight w:val="none"/>
          <w:lang w:eastAsia="zh-CN"/>
        </w:rPr>
        <w:t>；</w:t>
      </w:r>
      <w:r>
        <w:rPr>
          <w:rFonts w:hint="eastAsia" w:ascii="宋体" w:hAnsi="宋体" w:cs="宋体"/>
          <w:b/>
          <w:bCs/>
          <w:color w:val="auto"/>
          <w:highlight w:val="none"/>
        </w:rPr>
        <w:t>包2: 包3：</w:t>
      </w:r>
      <w:r>
        <w:rPr>
          <w:rFonts w:hint="eastAsia" w:ascii="宋体" w:hAnsi="宋体" w:cs="宋体"/>
          <w:b/>
          <w:bCs/>
          <w:color w:val="auto"/>
          <w:highlight w:val="none"/>
          <w:lang w:val="en-US" w:eastAsia="zh-CN"/>
        </w:rPr>
        <w:t>包3：包4：包5：包6：包7：</w:t>
      </w:r>
      <w:r>
        <w:rPr>
          <w:rFonts w:hint="eastAsia" w:ascii="宋体" w:hAnsi="宋体" w:cs="宋体"/>
          <w:b/>
          <w:bCs/>
          <w:color w:val="auto"/>
          <w:highlight w:val="none"/>
        </w:rPr>
        <w:t>（进口产品）</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3.1具有独立承担民事责任的能力（提供有效的营业执照、税务登记证、组织机构代码证或三证合一营业执照或电子营业执照）；</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3.2具有良好的商业信誉和健全的财务会计制度（提供承诺函）；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3.3具有履行合同所必需的设备和专业技术能力（提供承诺函）；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3.4有依法缴纳税收和社会保障资金的良好记录（提供承诺函）；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3.5参加政府采购活动前三年内，在经营活动中没有重大违法记录（提供承诺函）；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3.6进口产品需提供所投产品制造商或国内总代理商出具的授权书；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3.7提供中国执行公开网 “失信被执行人”和信用中国网“重大税收违法失信主体”，中国政府采购网“政府采购严重违法失信行为名单” 查询结果页面截图；若有不良记录，执行财库[2016]125号文；</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3.8 单位负责人为同一人或存在控股、管理关系的不同单位，不得同时参加本项目的投标【提供 “国家企业信用信息公示系统”中公示的公司信息、股东（或投资人）信息的截图】；</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3.9本项目采用资格后审。</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注：本项目投标单位不可投报多个标段。</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三、获取招标文件</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7</w:t>
      </w:r>
      <w:r>
        <w:rPr>
          <w:rFonts w:hint="eastAsia" w:ascii="宋体" w:hAnsi="宋体" w:cs="宋体"/>
          <w:color w:val="auto"/>
          <w:highlight w:val="none"/>
        </w:rPr>
        <w:t>月2</w:t>
      </w:r>
      <w:r>
        <w:rPr>
          <w:rFonts w:hint="eastAsia" w:ascii="宋体" w:hAnsi="宋体" w:cs="宋体"/>
          <w:color w:val="auto"/>
          <w:highlight w:val="none"/>
          <w:lang w:val="en-US" w:eastAsia="zh-CN"/>
        </w:rPr>
        <w:t>9</w:t>
      </w:r>
      <w:r>
        <w:rPr>
          <w:rFonts w:hint="eastAsia" w:ascii="宋体" w:hAnsi="宋体" w:cs="宋体"/>
          <w:color w:val="auto"/>
          <w:highlight w:val="none"/>
        </w:rPr>
        <w:t>日 至 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8</w:t>
      </w:r>
      <w:r>
        <w:rPr>
          <w:rFonts w:hint="eastAsia" w:ascii="宋体" w:hAnsi="宋体" w:cs="宋体"/>
          <w:color w:val="auto"/>
          <w:highlight w:val="none"/>
        </w:rPr>
        <w:t>日，每天上午00:00至12:00，下午12:00至23:59（北京时间，法定节假日除外。）</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方式：本项目只接受网上报名，不接受其它形式报名。潜在投标人报名需凭CA数字证书通过全国公共资源交易平台（河南省·平顶山市）（网址：http://ggzy.pds.gov.cn/）“投标人登录”入口进入交易系统进行报名。具体操作请查看以下链接：</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链接地址：http://ggzy.pds.gov.cn/fwzn/11020.jhtml</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办理CA证书：http://ggzy.pds.gov.cn/tzgg/10814.jhtml</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4.售价：0元</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四、投标截止时间及地点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9</w:t>
      </w:r>
      <w:r>
        <w:rPr>
          <w:rFonts w:hint="eastAsia" w:ascii="宋体" w:hAnsi="宋体" w:cs="宋体"/>
          <w:color w:val="auto"/>
          <w:highlight w:val="none"/>
        </w:rPr>
        <w:t>日09时00分（北京时间）</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2.地点：平顶山市公共资源交易中心网上开标大厅。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五、开标时间及地点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9</w:t>
      </w:r>
      <w:r>
        <w:rPr>
          <w:rFonts w:hint="eastAsia" w:ascii="宋体" w:hAnsi="宋体" w:cs="宋体"/>
          <w:color w:val="auto"/>
          <w:highlight w:val="none"/>
        </w:rPr>
        <w:t>日09时00分（北京时间）</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2.地点：平顶山市公共资源交易中心网上开标大厅。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六、发布公告的媒介及招标公告期限</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 xml:space="preserve">本次招标公告在《河南省政府采购网》、《平顶山市政府采购网》、《全国公共资源交易平台（河南省.平顶山）》上发布， 招标公告期限为五个工作日 。 </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七、其他补充事宜</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1、平顶山市公共资源交易中心全面实行在线“不见面”开标，供应商远程在线解密投标文件，不再到开标现场，供应商开标前应仔细阅读《“不见面”开标注意事项及操作流程》。</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2、监督单位：平顶山市政府采购服务中心</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统一社会信用代码：12410400MB1N33980Q</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 xml:space="preserve">电话：0375-2627591 </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3、通过平顶山市公共资源交易平台向采购人（代理机构）、行政监督部门提出在线质疑（异议）、投诉。</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4、该公告已同步至“平顶山市公共资源交易中心微信公众号,”可通过公众号中的服务栏目进行查阅。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八、凡对本次招标提出询问，请按照以下方式联系</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 采购人信息</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名称：尧山实验室</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地址：平顶山市城乡一体化示范区未来路南段（平顶山学院湖滨校区）</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贾老师</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17612715557</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2.采购代理机构信息（如有）</w:t>
      </w:r>
    </w:p>
    <w:p>
      <w:pPr>
        <w:autoSpaceDE w:val="0"/>
        <w:autoSpaceDN w:val="0"/>
        <w:adjustRightInd w:val="0"/>
        <w:spacing w:line="440" w:lineRule="exact"/>
        <w:ind w:firstLine="420" w:firstLineChars="200"/>
        <w:jc w:val="left"/>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河南大明建设工程管理有限公司</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地址：郑州市花园路27号河南省科技信息大厦12楼</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王先生</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18737514111</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3.项目联系方式</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项目联系人：</w:t>
      </w:r>
      <w:r>
        <w:rPr>
          <w:rFonts w:hint="eastAsia" w:ascii="宋体" w:hAnsi="宋体" w:cs="宋体"/>
          <w:color w:val="auto"/>
          <w:highlight w:val="none"/>
          <w:lang w:val="en-US" w:eastAsia="zh-CN"/>
        </w:rPr>
        <w:t>王先生</w:t>
      </w:r>
    </w:p>
    <w:p>
      <w:pPr>
        <w:autoSpaceDE w:val="0"/>
        <w:autoSpaceDN w:val="0"/>
        <w:adjustRightIn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highlight w:val="none"/>
        </w:rPr>
        <w:t>联系方式：</w:t>
      </w:r>
      <w:r>
        <w:rPr>
          <w:rFonts w:hint="eastAsia" w:ascii="宋体" w:hAnsi="宋体" w:cs="宋体"/>
          <w:color w:val="auto"/>
          <w:highlight w:val="none"/>
          <w:lang w:val="en-US" w:eastAsia="zh-CN"/>
        </w:rPr>
        <w:t>18737514111</w:t>
      </w:r>
    </w:p>
    <w:bookmarkEnd w:id="15"/>
    <w:bookmarkEnd w:id="16"/>
    <w:bookmarkEnd w:id="17"/>
    <w:bookmarkEnd w:id="18"/>
    <w:bookmarkEnd w:id="19"/>
    <w:bookmarkEnd w:id="20"/>
    <w:bookmarkEnd w:id="21"/>
    <w:bookmarkEnd w:id="22"/>
    <w:bookmarkEnd w:id="23"/>
    <w:p>
      <w:pPr>
        <w:rPr>
          <w:rFonts w:ascii="宋体" w:hAnsi="宋体" w:cs="宋体"/>
          <w:color w:val="auto"/>
          <w:sz w:val="32"/>
          <w:szCs w:val="32"/>
          <w:highlight w:val="none"/>
        </w:rPr>
      </w:pPr>
      <w:r>
        <w:rPr>
          <w:rFonts w:hint="eastAsia" w:ascii="宋体" w:hAnsi="宋体" w:cs="宋体"/>
          <w:color w:val="auto"/>
          <w:sz w:val="32"/>
          <w:szCs w:val="32"/>
          <w:highlight w:val="none"/>
        </w:rPr>
        <w:br w:type="page"/>
      </w:r>
    </w:p>
    <w:p>
      <w:pPr>
        <w:pStyle w:val="3"/>
        <w:tabs>
          <w:tab w:val="left" w:pos="1134"/>
          <w:tab w:val="left" w:pos="4820"/>
          <w:tab w:val="left" w:pos="4962"/>
        </w:tabs>
        <w:spacing w:before="45" w:after="45" w:line="440" w:lineRule="exact"/>
        <w:rPr>
          <w:rFonts w:ascii="??" w:hAnsi="??" w:cs="??"/>
          <w:color w:val="auto"/>
          <w:sz w:val="32"/>
          <w:szCs w:val="32"/>
          <w:highlight w:val="none"/>
        </w:rPr>
      </w:pPr>
      <w:bookmarkStart w:id="27" w:name="_Toc1125"/>
      <w:r>
        <w:rPr>
          <w:rFonts w:hint="eastAsia" w:ascii="宋体" w:hAnsi="宋体" w:cs="宋体"/>
          <w:color w:val="auto"/>
          <w:sz w:val="32"/>
          <w:szCs w:val="32"/>
          <w:highlight w:val="none"/>
        </w:rPr>
        <w:t>第二章 投标人须知</w:t>
      </w:r>
      <w:bookmarkEnd w:id="0"/>
      <w:bookmarkEnd w:id="1"/>
      <w:bookmarkEnd w:id="2"/>
      <w:bookmarkEnd w:id="3"/>
      <w:bookmarkEnd w:id="4"/>
      <w:bookmarkEnd w:id="5"/>
      <w:bookmarkEnd w:id="6"/>
      <w:bookmarkEnd w:id="27"/>
    </w:p>
    <w:p>
      <w:pPr>
        <w:bidi w:val="0"/>
        <w:jc w:val="center"/>
        <w:rPr>
          <w:sz w:val="28"/>
          <w:szCs w:val="28"/>
        </w:rPr>
      </w:pPr>
      <w:bookmarkStart w:id="28" w:name="_Toc456601830"/>
      <w:bookmarkStart w:id="29" w:name="_Toc453941752"/>
      <w:bookmarkStart w:id="30" w:name="_Toc27630"/>
      <w:r>
        <w:rPr>
          <w:rFonts w:hint="eastAsia"/>
          <w:sz w:val="28"/>
          <w:szCs w:val="28"/>
        </w:rPr>
        <w:t>投标人须知前附表</w:t>
      </w:r>
      <w:bookmarkEnd w:id="28"/>
      <w:bookmarkEnd w:id="29"/>
      <w:bookmarkEnd w:id="30"/>
    </w:p>
    <w:tbl>
      <w:tblPr>
        <w:tblStyle w:val="48"/>
        <w:tblW w:w="9725" w:type="dxa"/>
        <w:jc w:val="center"/>
        <w:tblLayout w:type="fixed"/>
        <w:tblCellMar>
          <w:top w:w="0" w:type="dxa"/>
          <w:left w:w="108" w:type="dxa"/>
          <w:bottom w:w="0" w:type="dxa"/>
          <w:right w:w="108" w:type="dxa"/>
        </w:tblCellMar>
      </w:tblPr>
      <w:tblGrid>
        <w:gridCol w:w="993"/>
        <w:gridCol w:w="1985"/>
        <w:gridCol w:w="6747"/>
      </w:tblGrid>
      <w:tr>
        <w:tblPrEx>
          <w:tblCellMar>
            <w:top w:w="0" w:type="dxa"/>
            <w:left w:w="108" w:type="dxa"/>
            <w:bottom w:w="0" w:type="dxa"/>
            <w:right w:w="108" w:type="dxa"/>
          </w:tblCellMar>
        </w:tblPrEx>
        <w:trPr>
          <w:trHeight w:val="90" w:hRule="atLeast"/>
          <w:tblHeader/>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条款号</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条款名称</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编列内容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采购人</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名称：尧山实验室</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地址：平顶山市城乡一体化示范区未来路南段（平顶山学院湖滨校区）</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联系人：贾老师</w:t>
            </w:r>
          </w:p>
          <w:p>
            <w:pPr>
              <w:adjustRightInd w:val="0"/>
              <w:snapToGrid w:val="0"/>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联系方式：17612715557</w:t>
            </w:r>
          </w:p>
        </w:tc>
      </w:tr>
      <w:tr>
        <w:tblPrEx>
          <w:tblCellMar>
            <w:top w:w="0" w:type="dxa"/>
            <w:left w:w="108" w:type="dxa"/>
            <w:bottom w:w="0" w:type="dxa"/>
            <w:right w:w="108" w:type="dxa"/>
          </w:tblCellMar>
        </w:tblPrEx>
        <w:trPr>
          <w:trHeight w:val="174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采购代理机构</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名称：河南大明建设工程管理有限公司</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地址：郑州市花园路27号河南省科技信息大厦12楼</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联系人：王先生</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联系方式：18737514111</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投标人资格条件</w:t>
            </w:r>
          </w:p>
        </w:tc>
        <w:tc>
          <w:tcPr>
            <w:tcW w:w="6747" w:type="dxa"/>
            <w:tcBorders>
              <w:top w:val="single" w:color="auto" w:sz="4" w:space="0"/>
              <w:left w:val="nil"/>
              <w:bottom w:val="single" w:color="auto" w:sz="4" w:space="0"/>
              <w:right w:val="single" w:color="auto" w:sz="4" w:space="0"/>
            </w:tcBorders>
            <w:vAlign w:val="center"/>
          </w:tcPr>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2、落实政府采购政策满足的资格要求：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本项目非专门面向中小企业采购。供应商为中小微企业、监狱企业、残疾人福利性单位，落实中小企业价格评审优惠政策；中小企业划型标准请依据工信部联企业【2011】300号文件之规定。</w:t>
            </w:r>
          </w:p>
          <w:p>
            <w:pPr>
              <w:autoSpaceDE w:val="0"/>
              <w:autoSpaceDN w:val="0"/>
              <w:adjustRightInd w:val="0"/>
              <w:spacing w:line="440" w:lineRule="exact"/>
              <w:ind w:firstLine="422" w:firstLineChars="200"/>
              <w:jc w:val="left"/>
              <w:rPr>
                <w:rFonts w:hint="eastAsia"/>
              </w:rPr>
            </w:pPr>
            <w:r>
              <w:rPr>
                <w:rFonts w:hint="eastAsia" w:ascii="宋体" w:hAnsi="宋体" w:cs="宋体"/>
                <w:b/>
                <w:bCs/>
                <w:color w:val="auto"/>
                <w:highlight w:val="none"/>
              </w:rPr>
              <w:t>包1：（国产产品），不接受进口产品</w:t>
            </w:r>
            <w:r>
              <w:rPr>
                <w:rFonts w:hint="eastAsia" w:ascii="宋体" w:hAnsi="宋体" w:cs="宋体"/>
                <w:b/>
                <w:bCs/>
                <w:color w:val="auto"/>
                <w:highlight w:val="none"/>
                <w:lang w:eastAsia="zh-CN"/>
              </w:rPr>
              <w:t>；</w:t>
            </w:r>
            <w:r>
              <w:rPr>
                <w:rFonts w:hint="eastAsia" w:ascii="宋体" w:hAnsi="宋体" w:cs="宋体"/>
                <w:b/>
                <w:bCs/>
                <w:color w:val="auto"/>
                <w:highlight w:val="none"/>
              </w:rPr>
              <w:t>包2: 包3：</w:t>
            </w:r>
            <w:r>
              <w:rPr>
                <w:rFonts w:hint="eastAsia" w:ascii="宋体" w:hAnsi="宋体" w:cs="宋体"/>
                <w:b/>
                <w:bCs/>
                <w:color w:val="auto"/>
                <w:highlight w:val="none"/>
                <w:lang w:val="en-US" w:eastAsia="zh-CN"/>
              </w:rPr>
              <w:t>包3：包4：包5：包6：包7：</w:t>
            </w:r>
            <w:r>
              <w:rPr>
                <w:rFonts w:hint="eastAsia" w:ascii="宋体" w:hAnsi="宋体" w:cs="宋体"/>
                <w:b/>
                <w:bCs/>
                <w:color w:val="auto"/>
                <w:highlight w:val="none"/>
              </w:rPr>
              <w:t>（进口产品）</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3.1具有独立承担民事责任的能力（提供有效的营业执照、税务登记证、组织机构代码证或三证合一营业执照或电子营业执照）；</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3.2具有良好的商业信誉和健全的财务会计制度（提供承诺函）；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3.3具有履行合同所必需的设备和专业技术能力（提供承诺函）；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3.4有依法缴纳税收和社会保障资金的良好记录（提供承诺函）；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3.5参加政府采购活动前三年内，在经营活动中没有重大违法记录（提供承诺函）；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3.6进口产品需提供所投产品制造商或国内总代理商出具的授权书；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3.7提供中国执行公开网 “失信被执行人”和信用中国网“重大税收违法失信主体”，中国政府采购网“政府采购严重违法失信行为名单” 查询结果页面截图；若有不良记录，执行财库[2016]125号文；</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3.8 单位负责人为同一人或存在控股、管理关系的不同单位，不得同时参加本项目的投标【提供 “国家企业信用信息公示系统”中公示的公司信息、股东（或投资人）信息的截图】；</w:t>
            </w:r>
          </w:p>
          <w:p>
            <w:pPr>
              <w:spacing w:line="400" w:lineRule="exact"/>
              <w:ind w:firstLine="420" w:firstLineChars="200"/>
              <w:rPr>
                <w:rFonts w:ascii="宋体" w:hAnsi="宋体" w:cs="宋体"/>
                <w:color w:val="auto"/>
                <w:highlight w:val="yellow"/>
              </w:rPr>
            </w:pPr>
            <w:r>
              <w:rPr>
                <w:rFonts w:hint="eastAsia" w:ascii="宋体" w:hAnsi="宋体" w:cs="宋体"/>
                <w:color w:val="auto"/>
                <w:highlight w:val="none"/>
              </w:rPr>
              <w:t>3.9本项目采用资格后审。注：本项目投标单位不可投报多个标段</w:t>
            </w:r>
          </w:p>
        </w:tc>
      </w:tr>
      <w:tr>
        <w:tblPrEx>
          <w:tblCellMar>
            <w:top w:w="0" w:type="dxa"/>
            <w:left w:w="108" w:type="dxa"/>
            <w:bottom w:w="0" w:type="dxa"/>
            <w:right w:w="108" w:type="dxa"/>
          </w:tblCellMar>
        </w:tblPrEx>
        <w:trPr>
          <w:trHeight w:val="693"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1.2.10</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是否接受联合体</w:t>
            </w:r>
          </w:p>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sym w:font="Wingdings" w:char="00A8"/>
            </w:r>
            <w:r>
              <w:rPr>
                <w:rFonts w:hint="eastAsia" w:ascii="宋体" w:hAnsi="宋体" w:cs="宋体"/>
                <w:color w:val="auto"/>
                <w:highlight w:val="none"/>
              </w:rPr>
              <w:t>接受；☑不接受；</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项目名称</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尧山实验室2024年陶瓷基复合材料实验设备采购项目</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资金来源</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财政资金</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资金落实情况</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已落实</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采购内容</w:t>
            </w:r>
          </w:p>
        </w:tc>
        <w:tc>
          <w:tcPr>
            <w:tcW w:w="6747" w:type="dxa"/>
            <w:tcBorders>
              <w:top w:val="single" w:color="auto" w:sz="4" w:space="0"/>
              <w:left w:val="nil"/>
              <w:bottom w:val="single" w:color="auto" w:sz="4" w:space="0"/>
              <w:right w:val="single" w:color="auto" w:sz="4" w:space="0"/>
            </w:tcBorders>
            <w:vAlign w:val="center"/>
          </w:tcPr>
          <w:p>
            <w:pPr>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包1：</w:t>
            </w:r>
            <w:r>
              <w:rPr>
                <w:rFonts w:hint="eastAsia" w:ascii="宋体" w:hAnsi="宋体" w:cs="宋体"/>
                <w:color w:val="auto"/>
                <w:highlight w:val="none"/>
              </w:rPr>
              <w:t>1200℃不锈钢节能箱式电炉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，1300℃节能箱式电炉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，1600℃节能箱式电炉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，1200℃单温区管式炉</w:t>
            </w:r>
            <w:r>
              <w:rPr>
                <w:rFonts w:hint="eastAsia" w:ascii="宋体" w:hAnsi="宋体" w:cs="宋体"/>
                <w:color w:val="auto"/>
                <w:highlight w:val="none"/>
                <w:lang w:val="en-US" w:eastAsia="zh-CN"/>
              </w:rPr>
              <w:t>一套</w:t>
            </w:r>
            <w:r>
              <w:rPr>
                <w:rFonts w:hint="eastAsia" w:ascii="宋体" w:hAnsi="宋体" w:cs="宋体"/>
                <w:color w:val="auto"/>
                <w:highlight w:val="none"/>
              </w:rPr>
              <w:t>，1600℃真空气氛管式炉</w:t>
            </w:r>
            <w:r>
              <w:rPr>
                <w:rFonts w:hint="eastAsia" w:ascii="宋体" w:hAnsi="宋体" w:cs="宋体"/>
                <w:color w:val="auto"/>
                <w:highlight w:val="none"/>
                <w:lang w:val="en-US" w:eastAsia="zh-CN"/>
              </w:rPr>
              <w:t>一套</w:t>
            </w:r>
            <w:r>
              <w:rPr>
                <w:rFonts w:hint="eastAsia" w:ascii="宋体" w:hAnsi="宋体" w:cs="宋体"/>
                <w:color w:val="auto"/>
                <w:highlight w:val="none"/>
              </w:rPr>
              <w:t>，高低温介电阻抗温谱仪</w:t>
            </w:r>
            <w:r>
              <w:rPr>
                <w:rFonts w:hint="eastAsia" w:ascii="宋体" w:hAnsi="宋体" w:cs="宋体"/>
                <w:color w:val="auto"/>
                <w:highlight w:val="none"/>
                <w:lang w:val="en-US" w:eastAsia="zh-CN"/>
              </w:rPr>
              <w:t>一套</w:t>
            </w:r>
            <w:r>
              <w:rPr>
                <w:rFonts w:hint="eastAsia" w:ascii="宋体" w:hAnsi="宋体" w:cs="宋体"/>
                <w:color w:val="auto"/>
                <w:highlight w:val="none"/>
              </w:rPr>
              <w:t>，高温绝缘材料电阻率测量系统</w:t>
            </w:r>
            <w:r>
              <w:rPr>
                <w:rFonts w:hint="eastAsia" w:ascii="宋体" w:hAnsi="宋体" w:cs="宋体"/>
                <w:color w:val="auto"/>
                <w:highlight w:val="none"/>
                <w:lang w:val="en-US" w:eastAsia="zh-CN"/>
              </w:rPr>
              <w:t>一套</w:t>
            </w:r>
            <w:r>
              <w:rPr>
                <w:rFonts w:hint="eastAsia" w:ascii="宋体" w:hAnsi="宋体" w:cs="宋体"/>
                <w:color w:val="auto"/>
                <w:highlight w:val="none"/>
              </w:rPr>
              <w:t>，高温压电温谱仪</w:t>
            </w:r>
            <w:r>
              <w:rPr>
                <w:rFonts w:hint="eastAsia" w:ascii="宋体" w:hAnsi="宋体" w:cs="宋体"/>
                <w:color w:val="auto"/>
                <w:highlight w:val="none"/>
                <w:lang w:val="en-US" w:eastAsia="zh-CN"/>
              </w:rPr>
              <w:t>一套</w:t>
            </w:r>
            <w:r>
              <w:rPr>
                <w:rFonts w:hint="eastAsia" w:ascii="宋体" w:hAnsi="宋体" w:cs="宋体"/>
                <w:color w:val="auto"/>
                <w:highlight w:val="none"/>
              </w:rPr>
              <w:t>，HPC高性能计算集群</w:t>
            </w:r>
            <w:r>
              <w:rPr>
                <w:rFonts w:hint="eastAsia" w:ascii="宋体" w:hAnsi="宋体" w:cs="宋体"/>
                <w:color w:val="auto"/>
                <w:highlight w:val="none"/>
                <w:lang w:val="en-US" w:eastAsia="zh-CN"/>
              </w:rPr>
              <w:t>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包2：</w:t>
            </w:r>
            <w:r>
              <w:rPr>
                <w:rFonts w:hint="eastAsia" w:ascii="宋体" w:hAnsi="宋体" w:cs="宋体"/>
                <w:color w:val="auto"/>
                <w:highlight w:val="none"/>
              </w:rPr>
              <w:t>热重分析仪一套</w:t>
            </w:r>
            <w:r>
              <w:rPr>
                <w:rFonts w:hint="eastAsia" w:ascii="宋体" w:hAnsi="宋体" w:cs="宋体"/>
                <w:color w:val="auto"/>
                <w:highlight w:val="none"/>
                <w:lang w:eastAsia="zh-CN"/>
              </w:rPr>
              <w:t>、</w:t>
            </w:r>
            <w:r>
              <w:rPr>
                <w:rFonts w:hint="eastAsia" w:ascii="宋体" w:hAnsi="宋体" w:cs="宋体"/>
                <w:color w:val="auto"/>
                <w:highlight w:val="none"/>
              </w:rPr>
              <w:t>热膨胀仪一套。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包3：</w:t>
            </w:r>
            <w:r>
              <w:rPr>
                <w:rFonts w:hint="eastAsia" w:ascii="宋体" w:hAnsi="宋体" w:cs="宋体"/>
                <w:color w:val="auto"/>
                <w:highlight w:val="none"/>
              </w:rPr>
              <w:t>X射线光电子能谱仪一套。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包4：</w:t>
            </w:r>
            <w:r>
              <w:rPr>
                <w:rFonts w:hint="eastAsia" w:ascii="宋体" w:hAnsi="宋体" w:cs="宋体"/>
                <w:color w:val="auto"/>
                <w:highlight w:val="none"/>
              </w:rPr>
              <w:t>大功率微区X射线衍射仪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包5：</w:t>
            </w:r>
            <w:r>
              <w:rPr>
                <w:rFonts w:hint="eastAsia" w:ascii="宋体" w:hAnsi="宋体" w:cs="宋体"/>
                <w:color w:val="auto"/>
                <w:highlight w:val="none"/>
              </w:rPr>
              <w:t>原位红外光谱仪</w:t>
            </w:r>
            <w:r>
              <w:rPr>
                <w:rFonts w:hint="eastAsia" w:ascii="宋体" w:hAnsi="宋体" w:cs="宋体"/>
                <w:color w:val="auto"/>
                <w:highlight w:val="none"/>
                <w:lang w:val="en-US" w:eastAsia="zh-CN"/>
              </w:rPr>
              <w:t>一套</w:t>
            </w:r>
            <w:r>
              <w:rPr>
                <w:rFonts w:hint="eastAsia" w:ascii="宋体" w:hAnsi="宋体" w:cs="宋体"/>
                <w:color w:val="auto"/>
                <w:highlight w:val="none"/>
                <w:lang w:eastAsia="zh-CN"/>
              </w:rPr>
              <w:t>、</w:t>
            </w:r>
            <w:r>
              <w:rPr>
                <w:rFonts w:hint="eastAsia" w:ascii="宋体" w:hAnsi="宋体" w:cs="宋体"/>
                <w:color w:val="auto"/>
                <w:highlight w:val="none"/>
              </w:rPr>
              <w:t>紫外可见近红外分光光度计</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包6：</w:t>
            </w:r>
            <w:r>
              <w:rPr>
                <w:rFonts w:hint="eastAsia" w:ascii="宋体" w:hAnsi="宋体" w:cs="宋体"/>
                <w:color w:val="auto"/>
                <w:highlight w:val="none"/>
              </w:rPr>
              <w:t>闪射法导热仪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jc w:val="left"/>
              <w:rPr>
                <w:rFonts w:hint="eastAsia" w:ascii="宋体" w:hAnsi="宋体" w:cs="宋体"/>
                <w:color w:val="auto"/>
                <w:highlight w:val="none"/>
              </w:rPr>
            </w:pPr>
            <w:r>
              <w:rPr>
                <w:rFonts w:hint="eastAsia" w:ascii="宋体" w:hAnsi="宋体" w:cs="宋体"/>
                <w:color w:val="auto"/>
                <w:highlight w:val="none"/>
                <w:lang w:val="en-US" w:eastAsia="zh-CN"/>
              </w:rPr>
              <w:t>包7：</w:t>
            </w:r>
            <w:r>
              <w:rPr>
                <w:rFonts w:hint="eastAsia" w:ascii="宋体" w:hAnsi="宋体" w:cs="宋体"/>
                <w:color w:val="auto"/>
                <w:highlight w:val="none"/>
              </w:rPr>
              <w:t>200KV透射电子显微镜</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jc w:val="left"/>
              <w:rPr>
                <w:rFonts w:hint="default" w:eastAsia="宋体"/>
                <w:lang w:val="en-US" w:eastAsia="zh-CN"/>
              </w:rPr>
            </w:pPr>
            <w:r>
              <w:rPr>
                <w:rFonts w:hint="eastAsia" w:ascii="宋体" w:hAnsi="宋体" w:cs="宋体"/>
                <w:color w:val="auto"/>
                <w:highlight w:val="none"/>
              </w:rPr>
              <w:t>说明：主要用于陶瓷基复合材料的制备和测试。</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lang w:val="en-US" w:eastAsia="zh-CN"/>
              </w:rPr>
              <w:t>供</w:t>
            </w:r>
            <w:r>
              <w:rPr>
                <w:rFonts w:hint="eastAsia" w:ascii="宋体" w:hAnsi="宋体" w:cs="宋体"/>
                <w:color w:val="auto"/>
                <w:highlight w:val="none"/>
              </w:rPr>
              <w:t>货期</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lang w:val="en-US" w:eastAsia="zh-CN"/>
              </w:rPr>
              <w:t>签订合同后进口设备90日历天；国产设备60日历天；完成交货、安装、调试、验收</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质量要求</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合格，符合国家及行业标准。</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质保期</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rPr>
              <w:t>进口设备质保期1年，国产设备质保期3年</w:t>
            </w:r>
            <w:r>
              <w:rPr>
                <w:rFonts w:hint="eastAsia" w:ascii="宋体" w:hAnsi="宋体" w:cs="宋体"/>
                <w:color w:val="auto"/>
                <w:highlight w:val="none"/>
                <w:lang w:val="en-US" w:eastAsia="zh-CN"/>
              </w:rPr>
              <w:t>.</w:t>
            </w:r>
            <w:r>
              <w:rPr>
                <w:rFonts w:hint="eastAsia" w:ascii="宋体" w:hAnsi="宋体" w:cs="宋体"/>
                <w:color w:val="auto"/>
                <w:highlight w:val="none"/>
              </w:rPr>
              <w:t>所有设备厂家终身保修、软件免费升级更新，质保期外上门服务，免收人工费等，零配件费按80%折扣收取。</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1.4.5</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交货地点</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采购人指定地点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1.6</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现场考察</w:t>
            </w:r>
          </w:p>
        </w:tc>
        <w:tc>
          <w:tcPr>
            <w:tcW w:w="6747" w:type="dxa"/>
            <w:tcBorders>
              <w:top w:val="single" w:color="auto" w:sz="4" w:space="0"/>
              <w:left w:val="nil"/>
              <w:bottom w:val="single" w:color="auto" w:sz="4" w:space="0"/>
              <w:right w:val="single" w:color="auto" w:sz="4" w:space="0"/>
            </w:tcBorders>
            <w:vAlign w:val="center"/>
          </w:tcPr>
          <w:p>
            <w:pPr>
              <w:pStyle w:val="46"/>
              <w:adjustRightInd w:val="0"/>
              <w:snapToGrid w:val="0"/>
              <w:spacing w:before="31" w:beforeLines="10" w:after="31" w:afterLines="10" w:line="400" w:lineRule="exact"/>
              <w:ind w:left="21" w:leftChars="10" w:right="21" w:rightChars="1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组织</w:t>
            </w:r>
          </w:p>
          <w:p>
            <w:pPr>
              <w:pStyle w:val="46"/>
              <w:adjustRightInd w:val="0"/>
              <w:snapToGrid w:val="0"/>
              <w:spacing w:before="31" w:beforeLines="10" w:after="31" w:afterLines="10" w:line="400" w:lineRule="exact"/>
              <w:ind w:left="21" w:leftChars="10" w:right="21" w:rightChars="1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组织，考察时间：</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考察地点：</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☑不组织</w:t>
            </w:r>
          </w:p>
        </w:tc>
      </w:tr>
      <w:tr>
        <w:tblPrEx>
          <w:tblCellMar>
            <w:top w:w="0" w:type="dxa"/>
            <w:left w:w="108" w:type="dxa"/>
            <w:bottom w:w="0" w:type="dxa"/>
            <w:right w:w="108" w:type="dxa"/>
          </w:tblCellMar>
        </w:tblPrEx>
        <w:trPr>
          <w:trHeight w:val="39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1.7</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分包</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☑不允许</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sym w:font="Wingdings" w:char="00A8"/>
            </w:r>
            <w:r>
              <w:rPr>
                <w:rFonts w:hint="eastAsia" w:ascii="宋体" w:hAnsi="宋体" w:cs="宋体"/>
                <w:color w:val="auto"/>
                <w:highlight w:val="none"/>
              </w:rPr>
              <w:t>允许，分包内容要求：</w:t>
            </w:r>
          </w:p>
          <w:p>
            <w:pPr>
              <w:adjustRightInd w:val="0"/>
              <w:snapToGrid w:val="0"/>
              <w:spacing w:before="31" w:beforeLines="10" w:after="31" w:afterLines="10" w:line="400" w:lineRule="exact"/>
              <w:ind w:left="21" w:leftChars="10" w:right="21" w:rightChars="10" w:firstLine="877" w:firstLineChars="418"/>
              <w:rPr>
                <w:rFonts w:ascii="宋体" w:hAnsi="宋体" w:cs="宋体"/>
                <w:color w:val="auto"/>
                <w:highlight w:val="none"/>
              </w:rPr>
            </w:pPr>
            <w:r>
              <w:rPr>
                <w:rFonts w:hint="eastAsia" w:ascii="宋体" w:hAnsi="宋体" w:cs="宋体"/>
                <w:color w:val="auto"/>
                <w:highlight w:val="none"/>
              </w:rPr>
              <w:t>分包金额要求：</w:t>
            </w:r>
          </w:p>
          <w:p>
            <w:pPr>
              <w:adjustRightInd w:val="0"/>
              <w:snapToGrid w:val="0"/>
              <w:spacing w:before="31" w:beforeLines="10" w:after="31" w:afterLines="10" w:line="400" w:lineRule="exact"/>
              <w:ind w:left="21" w:leftChars="10" w:right="21" w:rightChars="10" w:firstLine="877" w:firstLineChars="418"/>
              <w:rPr>
                <w:rFonts w:ascii="宋体" w:hAnsi="宋体" w:cs="宋体"/>
                <w:color w:val="auto"/>
                <w:highlight w:val="none"/>
              </w:rPr>
            </w:pPr>
            <w:r>
              <w:rPr>
                <w:rFonts w:hint="eastAsia" w:ascii="宋体" w:hAnsi="宋体" w:cs="宋体"/>
                <w:color w:val="auto"/>
                <w:highlight w:val="none"/>
              </w:rPr>
              <w:t>对分包人的资质要求：</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2.2.2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采购人对招标文件澄清或修改的时间</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投标截止时间15日前</w:t>
            </w:r>
          </w:p>
        </w:tc>
      </w:tr>
      <w:tr>
        <w:tblPrEx>
          <w:tblCellMar>
            <w:top w:w="0" w:type="dxa"/>
            <w:left w:w="108" w:type="dxa"/>
            <w:bottom w:w="0" w:type="dxa"/>
            <w:right w:w="108" w:type="dxa"/>
          </w:tblCellMar>
        </w:tblPrEx>
        <w:trPr>
          <w:trHeight w:val="46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3.8.1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投标保证金</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b/>
                <w:bCs/>
                <w:color w:val="auto"/>
                <w:highlight w:val="none"/>
              </w:rPr>
            </w:pPr>
            <w:r>
              <w:rPr>
                <w:rFonts w:hint="eastAsia" w:ascii="宋体" w:hAnsi="宋体" w:cs="宋体"/>
                <w:color w:val="auto"/>
                <w:highlight w:val="none"/>
              </w:rPr>
              <w:t>不收取投标保证金</w:t>
            </w:r>
          </w:p>
        </w:tc>
      </w:tr>
      <w:tr>
        <w:tblPrEx>
          <w:tblCellMar>
            <w:top w:w="0" w:type="dxa"/>
            <w:left w:w="108" w:type="dxa"/>
            <w:bottom w:w="0" w:type="dxa"/>
            <w:right w:w="108" w:type="dxa"/>
          </w:tblCellMar>
        </w:tblPrEx>
        <w:trPr>
          <w:trHeight w:val="49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3.9.1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投标有效期</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递交投标文件的截止之日起</w:t>
            </w:r>
            <w:r>
              <w:rPr>
                <w:rFonts w:hint="eastAsia" w:ascii="宋体" w:hAnsi="宋体" w:cs="宋体"/>
                <w:color w:val="auto"/>
                <w:highlight w:val="none"/>
                <w:u w:val="single"/>
              </w:rPr>
              <w:t>60</w:t>
            </w:r>
            <w:r>
              <w:rPr>
                <w:rFonts w:hint="eastAsia" w:ascii="宋体" w:hAnsi="宋体" w:cs="宋体"/>
                <w:color w:val="auto"/>
                <w:highlight w:val="none"/>
              </w:rPr>
              <w:t>日历天</w:t>
            </w:r>
          </w:p>
        </w:tc>
      </w:tr>
      <w:tr>
        <w:tblPrEx>
          <w:tblCellMar>
            <w:top w:w="0" w:type="dxa"/>
            <w:left w:w="108" w:type="dxa"/>
            <w:bottom w:w="0" w:type="dxa"/>
            <w:right w:w="108" w:type="dxa"/>
          </w:tblCellMar>
        </w:tblPrEx>
        <w:trPr>
          <w:trHeight w:val="68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3.10.3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开标程序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（1）开标时，投标人采用网上远程异地解密时，请用CA证书登录平顶山市公共资源交易中心业务系统，进入本项目开标大厅点击解密来完成投标文件的解密工作。每位投标人的解密时间从开标时间起60 分钟内完成，超过规定时间解密的投标文件不予接收。</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（2）待所有投标人投标文件解密完成后，由代理机构操作，对所有已解密投标文件进行唱标。</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（3）请所有投标人在专家评审期间保持电话畅通并密切关注系统内评审专家的质疑，并在规定的时间及时回复，因超时未回复造成的后果由投标人自行承担。</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4.1.1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递交投标文件的</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截止时间</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right="21" w:rightChars="10"/>
              <w:rPr>
                <w:rFonts w:ascii="宋体" w:hAnsi="宋体" w:cs="宋体"/>
                <w:b/>
                <w:bCs/>
                <w:color w:val="auto"/>
                <w:highlight w:val="none"/>
              </w:rPr>
            </w:pPr>
            <w:r>
              <w:rPr>
                <w:rFonts w:hint="eastAsia" w:ascii="宋体" w:hAnsi="宋体" w:cs="宋体"/>
                <w:b/>
                <w:bCs/>
                <w:color w:val="auto"/>
                <w:highlight w:val="none"/>
                <w:shd w:val="clear" w:color="auto" w:fill="FFFFFF"/>
              </w:rPr>
              <w:t>2024年</w:t>
            </w:r>
            <w:r>
              <w:rPr>
                <w:rFonts w:hint="eastAsia" w:ascii="宋体" w:hAnsi="宋体" w:cs="宋体"/>
                <w:b/>
                <w:bCs/>
                <w:color w:val="auto"/>
                <w:highlight w:val="none"/>
                <w:shd w:val="clear" w:color="auto" w:fill="FFFFFF"/>
                <w:lang w:val="en-US" w:eastAsia="zh-CN"/>
              </w:rPr>
              <w:t>8</w:t>
            </w:r>
            <w:r>
              <w:rPr>
                <w:rFonts w:hint="eastAsia" w:ascii="宋体" w:hAnsi="宋体" w:cs="宋体"/>
                <w:b/>
                <w:bCs/>
                <w:color w:val="auto"/>
                <w:highlight w:val="none"/>
                <w:shd w:val="clear" w:color="auto" w:fill="FFFFFF"/>
              </w:rPr>
              <w:t>月</w:t>
            </w:r>
            <w:r>
              <w:rPr>
                <w:rFonts w:hint="eastAsia" w:ascii="宋体" w:hAnsi="宋体" w:cs="宋体"/>
                <w:b/>
                <w:bCs/>
                <w:color w:val="auto"/>
                <w:highlight w:val="none"/>
                <w:shd w:val="clear" w:color="auto" w:fill="FFFFFF"/>
                <w:lang w:val="en-US" w:eastAsia="zh-CN"/>
              </w:rPr>
              <w:t>19</w:t>
            </w:r>
            <w:r>
              <w:rPr>
                <w:rFonts w:hint="eastAsia" w:ascii="宋体" w:hAnsi="宋体" w:cs="宋体"/>
                <w:b/>
                <w:bCs/>
                <w:color w:val="auto"/>
                <w:highlight w:val="none"/>
                <w:shd w:val="clear" w:color="auto" w:fill="FFFFFF"/>
              </w:rPr>
              <w:t>日09点00分（北京时间）</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4.1.3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递交投标文件地点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不见面开标，投标人登录平顶山市公共资源交易中心网站不见面开标大厅远程参与。</w:t>
            </w:r>
          </w:p>
        </w:tc>
      </w:tr>
      <w:tr>
        <w:tblPrEx>
          <w:tblCellMar>
            <w:top w:w="0" w:type="dxa"/>
            <w:left w:w="108" w:type="dxa"/>
            <w:bottom w:w="0" w:type="dxa"/>
            <w:right w:w="108" w:type="dxa"/>
          </w:tblCellMar>
        </w:tblPrEx>
        <w:trPr>
          <w:trHeight w:val="94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5.1.1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开标时间和地点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开标时间：同投标截止时间</w:t>
            </w:r>
          </w:p>
          <w:p>
            <w:pPr>
              <w:adjustRightInd w:val="0"/>
              <w:snapToGrid w:val="0"/>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开标地点：平顶山市公共资源交易</w:t>
            </w:r>
            <w:r>
              <w:rPr>
                <w:rFonts w:hint="eastAsia" w:ascii="宋体" w:hAnsi="宋体" w:cs="宋体"/>
                <w:color w:val="auto"/>
                <w:highlight w:val="none"/>
                <w:lang w:val="en-US" w:eastAsia="zh-CN"/>
              </w:rPr>
              <w:t>中心网</w:t>
            </w:r>
          </w:p>
        </w:tc>
      </w:tr>
      <w:tr>
        <w:tblPrEx>
          <w:tblCellMar>
            <w:top w:w="0" w:type="dxa"/>
            <w:left w:w="108" w:type="dxa"/>
            <w:bottom w:w="0" w:type="dxa"/>
            <w:right w:w="108" w:type="dxa"/>
          </w:tblCellMar>
        </w:tblPrEx>
        <w:trPr>
          <w:trHeight w:val="107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评标委员会的构成</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评标小组构成：由采购人代表、经济、技术类专家</w:t>
            </w:r>
            <w:r>
              <w:rPr>
                <w:rFonts w:hint="eastAsia" w:ascii="宋体" w:hAnsi="宋体" w:cs="宋体"/>
                <w:color w:val="auto"/>
                <w:highlight w:val="none"/>
                <w:lang w:val="en-US" w:eastAsia="zh-CN"/>
              </w:rPr>
              <w:t>7</w:t>
            </w:r>
            <w:r>
              <w:rPr>
                <w:rFonts w:hint="eastAsia" w:ascii="宋体" w:hAnsi="宋体" w:cs="宋体"/>
                <w:color w:val="auto"/>
                <w:highlight w:val="none"/>
              </w:rPr>
              <w:t>人及以上单数组成，其中经济、技术专家不得少于成员人数的三分之二。</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评标小组确定方式：从政府部门组建的评标专家库随机抽取，上述规定为一组评标专家委员会组成方式，根据项目标段数量和评标工作量，可由多组专家委员会完成评审，但一个标段只能由一组评标专家委员会评审。</w:t>
            </w:r>
          </w:p>
        </w:tc>
      </w:tr>
      <w:tr>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6.1.2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评标委员会推荐</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中标候选人的人数</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名</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6.5.4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本项目采用</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评标办法</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spacing w:val="-1"/>
                <w:kern w:val="0"/>
                <w:highlight w:val="none"/>
              </w:rPr>
              <w:t>□</w:t>
            </w:r>
            <w:r>
              <w:rPr>
                <w:rFonts w:hint="eastAsia" w:ascii="宋体" w:hAnsi="宋体" w:cs="宋体"/>
                <w:color w:val="auto"/>
                <w:highlight w:val="none"/>
              </w:rPr>
              <w:t>最低评标价法</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spacing w:val="-1"/>
                <w:kern w:val="0"/>
                <w:highlight w:val="none"/>
              </w:rPr>
              <w:t>☑</w:t>
            </w:r>
            <w:r>
              <w:rPr>
                <w:rFonts w:hint="eastAsia" w:ascii="宋体" w:hAnsi="宋体" w:cs="宋体"/>
                <w:color w:val="auto"/>
                <w:highlight w:val="none"/>
              </w:rPr>
              <w:t>综合评分法</w:t>
            </w:r>
          </w:p>
        </w:tc>
      </w:tr>
      <w:tr>
        <w:tblPrEx>
          <w:tblCellMar>
            <w:top w:w="0" w:type="dxa"/>
            <w:left w:w="108" w:type="dxa"/>
            <w:bottom w:w="0" w:type="dxa"/>
            <w:right w:w="108" w:type="dxa"/>
          </w:tblCellMar>
        </w:tblPrEx>
        <w:trPr>
          <w:trHeight w:val="753"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中标公告</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媒体及期限</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原招标公告发布媒体，中标公告期限为1个工作日</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7.7</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履约担保</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不收取</w:t>
            </w:r>
          </w:p>
        </w:tc>
      </w:tr>
      <w:tr>
        <w:tblPrEx>
          <w:tblCellMar>
            <w:top w:w="0" w:type="dxa"/>
            <w:left w:w="108" w:type="dxa"/>
            <w:bottom w:w="0" w:type="dxa"/>
            <w:right w:w="108" w:type="dxa"/>
          </w:tblCellMar>
        </w:tblPrEx>
        <w:trPr>
          <w:trHeight w:val="49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7.8</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中标服务费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参照《河南省招标代理服务收费指导意见》（豫招协〔2023〕002号）的收费标准，由中标单位向采购代理机构支付。</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w:t>
            </w:r>
          </w:p>
        </w:tc>
        <w:tc>
          <w:tcPr>
            <w:tcW w:w="8732" w:type="dxa"/>
            <w:gridSpan w:val="2"/>
            <w:tcBorders>
              <w:top w:val="single" w:color="auto" w:sz="4" w:space="0"/>
              <w:left w:val="nil"/>
              <w:bottom w:val="single" w:color="auto" w:sz="4" w:space="0"/>
              <w:right w:val="single" w:color="auto" w:sz="4" w:space="0"/>
            </w:tcBorders>
            <w:vAlign w:val="center"/>
          </w:tcPr>
          <w:p>
            <w:pPr>
              <w:adjustRightInd w:val="0"/>
              <w:spacing w:line="400" w:lineRule="exact"/>
              <w:jc w:val="left"/>
              <w:textAlignment w:val="baseline"/>
              <w:rPr>
                <w:rFonts w:ascii="宋体" w:hAnsi="宋体" w:cs="宋体"/>
                <w:color w:val="auto"/>
                <w:highlight w:val="none"/>
              </w:rPr>
            </w:pPr>
            <w:r>
              <w:rPr>
                <w:rFonts w:hint="eastAsia" w:ascii="宋体" w:hAnsi="宋体" w:cs="宋体"/>
                <w:color w:val="auto"/>
                <w:highlight w:val="none"/>
              </w:rPr>
              <w:t>需要补充的其他内容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最高限价</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最高限价：21290000.00元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包1:2080000.00元；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包2:1260000.00元；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包3:6500000元；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包4：3950000元；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包5：1100000元；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包6：1600000元；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包7：4800000元。</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lang w:val="en-US" w:eastAsia="zh-CN"/>
              </w:rPr>
              <w:t>注：超出最高限价按废标处理。</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投标人提出问题的截止时间</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jc w:val="left"/>
              <w:textAlignment w:val="baseline"/>
              <w:rPr>
                <w:rFonts w:ascii="宋体" w:hAnsi="宋体" w:cs="宋体"/>
                <w:color w:val="auto"/>
                <w:highlight w:val="none"/>
              </w:rPr>
            </w:pPr>
            <w:r>
              <w:rPr>
                <w:rFonts w:hint="eastAsia" w:ascii="宋体" w:hAnsi="宋体" w:cs="宋体"/>
                <w:color w:val="auto"/>
                <w:highlight w:val="none"/>
              </w:rPr>
              <w:t>递交投标文件截止之日10天前在电子交易系统中提出</w:t>
            </w:r>
          </w:p>
        </w:tc>
      </w:tr>
      <w:tr>
        <w:tblPrEx>
          <w:tblCellMar>
            <w:top w:w="0" w:type="dxa"/>
            <w:left w:w="108" w:type="dxa"/>
            <w:bottom w:w="0" w:type="dxa"/>
            <w:right w:w="108" w:type="dxa"/>
          </w:tblCellMar>
        </w:tblPrEx>
        <w:trPr>
          <w:trHeight w:val="41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付款方式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合同签订后支付合同价的30%为预付款，安装调试完毕，经甲方试用、验收合格后，甲方向乙方支付剩余合同价的70%。</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4</w:t>
            </w:r>
          </w:p>
        </w:tc>
        <w:tc>
          <w:tcPr>
            <w:tcW w:w="1985"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jc w:val="center"/>
              <w:rPr>
                <w:rFonts w:ascii="宋体" w:hAnsi="宋体" w:cs="宋体"/>
                <w:color w:val="auto"/>
                <w:highlight w:val="none"/>
              </w:rPr>
            </w:pPr>
            <w:r>
              <w:rPr>
                <w:rFonts w:hint="eastAsia" w:ascii="宋体" w:hAnsi="宋体" w:cs="宋体"/>
                <w:color w:val="auto"/>
                <w:highlight w:val="none"/>
              </w:rPr>
              <w:t>政采领域优化营商环境相关政策</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一、落实四个“一日办”精神：</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按照《平顶山市财政局关于压减政府采购各环节时限 进一步优化政府采购营商环境的通知》（平财购〔2021〕34号）通知，落实四个“一日办”精神：</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（1）在评审结束后1日内确定采购结果，同时对中标单位发出中标或成交通知书，并在网上进行公告；</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（2）中标或成交通知书发出后，1日内与中标或成交供应商签订合同，合同签订当日完成合同备案工作；</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（3）政府采购项目供应商履约完成后，采购人应在供应商提出验收申请1个工作日内完成验收，同时在平顶山市政府采购网发布验收结果公告；</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（4）验收合格具备付款条件的项目，采购人要在1个工作日内按照合同约定支付项目资金。</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注：签合同需法定代表人携带本人身份证（如为授权委托人，则携带法定代表人授权委托书及本人身份证）、单位公章、合同纸质版本一式六份及合同电子版。</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二、维护企业在政府采购活动中的知情权</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三、提供中小企业声明函格式</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在采购文件中，采购代理机构应按照财政部、工信部印发的《政府采购促进中小企业发展管理办法》的通知精神（财库〔2020〕46号）提供中小企业声明函格式。</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根据《政府采购促进中小企业发展管理办法》（财库〔2020〕46号）第四条：在政府采购活动中，供应商提供的货物、工程或者服务符合下列情形的，享受本办法规定的中小企业扶持政策：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（一）在货物采购项目中，货物由中小企业制造，即货物由中小企业生产且使用该中小企业商号或者注册商标；</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（二）在工程采购项目中，工程由中小企业承建，即工程施工单位为中小企业；</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（三）在服务采购项目中，服务由中小企业承接，即提供服务的人员为中小企业依照《中华人民共和国劳动合同法》订立劳动合同的从业人员。</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在货物采购项目中，供应商提供的货物既有中小企业制造货物，也有大型企业制造货物的，不享受本办法规定的中小企业扶持政策。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以联合体形式参加政府采购活动，联合体各方均为中小企业的，联合体视同中小企业。其中，联合体各方均为小微企业的，联合体视同小微企业。</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四、推广政府采购合同融资</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要求采购人和代理机构将“政府采购合同融资告知函”写入招标文件，鼓励中标供应商凭借采购合同申请贷款，助力解决中小企业融资难、融资贵的问题。</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五、落实预留采购份额</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六、落实价格评审优惠政策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5</w:t>
            </w:r>
          </w:p>
        </w:tc>
        <w:tc>
          <w:tcPr>
            <w:tcW w:w="1985" w:type="dxa"/>
            <w:tcBorders>
              <w:top w:val="single" w:color="auto" w:sz="4" w:space="0"/>
              <w:left w:val="nil"/>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落实绿色产品（节能产品、环境标志产品）优先采购政策</w:t>
            </w:r>
          </w:p>
        </w:tc>
        <w:tc>
          <w:tcPr>
            <w:tcW w:w="6747" w:type="dxa"/>
            <w:tcBorders>
              <w:top w:val="single" w:color="auto" w:sz="4" w:space="0"/>
              <w:left w:val="nil"/>
              <w:bottom w:val="single" w:color="auto" w:sz="4" w:space="0"/>
              <w:right w:val="single" w:color="auto" w:sz="4" w:space="0"/>
            </w:tcBorders>
            <w:vAlign w:val="center"/>
          </w:tcPr>
          <w:p>
            <w:pPr>
              <w:pStyle w:val="46"/>
              <w:spacing w:after="0" w:line="400" w:lineRule="exact"/>
              <w:ind w:firstLine="457" w:firstLineChars="21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购人、采购代理机构在编制采购文件制定评审规则时，采用综合评分法的项目，对技术和价格给予一定幅度的加分：一是在价格项中，可以对绿色产品给予价格总分值3%-5%幅度不等的加分；二是在技术中，可以对绿色产品给予技术总分值3%-5%幅度不等的加分。采用最低评标价法，最低成交价的采购项目，对绿色产品可以在评审时对其投标价格给予2%-5%不等的价格扣除。一个产品，既属于优先采购的节能产品，又列入环境标志产品清单中，在评审规则中可以设置重复加分，也可以只算其中一个。这个权力有采购人掌握，应在采购文件中注明。上述政策应当在评审办法中注明确定值。</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6</w:t>
            </w:r>
          </w:p>
        </w:tc>
        <w:tc>
          <w:tcPr>
            <w:tcW w:w="1985" w:type="dxa"/>
            <w:tcBorders>
              <w:top w:val="single" w:color="auto" w:sz="4" w:space="0"/>
              <w:left w:val="nil"/>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接收质疑函的方式和联系方式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textAlignment w:val="baseline"/>
              <w:rPr>
                <w:rFonts w:hint="eastAsia" w:ascii="宋体" w:hAnsi="宋体" w:cs="宋体"/>
                <w:color w:val="auto"/>
                <w:highlight w:val="none"/>
              </w:rPr>
            </w:pPr>
            <w:r>
              <w:rPr>
                <w:rFonts w:hint="eastAsia" w:ascii="宋体" w:hAnsi="宋体" w:cs="宋体"/>
                <w:color w:val="auto"/>
                <w:highlight w:val="none"/>
              </w:rPr>
              <w:t>质疑函应在平顶山市公共资源交易系统中接收，质疑函的格式和内容应当符合相关法律法规的要求。联系方式如下：</w:t>
            </w:r>
          </w:p>
          <w:p>
            <w:pPr>
              <w:adjustRightInd w:val="0"/>
              <w:snapToGrid w:val="0"/>
              <w:spacing w:before="31" w:beforeLines="10" w:after="31" w:afterLines="10" w:line="400" w:lineRule="exact"/>
              <w:ind w:left="21" w:leftChars="10" w:right="21" w:rightChars="10"/>
              <w:textAlignment w:val="baseline"/>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王先生</w:t>
            </w:r>
            <w:r>
              <w:rPr>
                <w:rFonts w:hint="eastAsia" w:ascii="宋体" w:hAnsi="宋体" w:cs="宋体"/>
                <w:color w:val="auto"/>
                <w:highlight w:val="none"/>
              </w:rPr>
              <w:t xml:space="preserve"> 电  话：</w:t>
            </w:r>
            <w:r>
              <w:rPr>
                <w:rFonts w:hint="eastAsia" w:ascii="宋体" w:hAnsi="宋体" w:cs="宋体"/>
                <w:color w:val="auto"/>
                <w:highlight w:val="none"/>
                <w:lang w:val="en-US" w:eastAsia="zh-CN"/>
              </w:rPr>
              <w:t>18737514111</w:t>
            </w:r>
          </w:p>
          <w:p>
            <w:pPr>
              <w:adjustRightInd w:val="0"/>
              <w:snapToGrid w:val="0"/>
              <w:spacing w:before="31" w:beforeLines="10" w:after="31" w:afterLines="10" w:line="400" w:lineRule="exact"/>
              <w:ind w:left="21" w:leftChars="10" w:right="21" w:rightChars="10"/>
              <w:textAlignment w:val="baseline"/>
              <w:rPr>
                <w:rFonts w:ascii="宋体" w:hAnsi="宋体" w:cs="宋体"/>
                <w:color w:val="auto"/>
                <w:kern w:val="0"/>
                <w:sz w:val="24"/>
                <w:szCs w:val="24"/>
                <w:highlight w:val="none"/>
              </w:rPr>
            </w:pPr>
            <w:r>
              <w:rPr>
                <w:rFonts w:hint="eastAsia" w:ascii="宋体" w:hAnsi="宋体" w:cs="宋体"/>
                <w:color w:val="auto"/>
                <w:highlight w:val="none"/>
              </w:rPr>
              <w:t>对供应商提出的质疑，采购人、采购代理机构应当依法及时答复和处理，不得推诿扯皮故意刁难，须进行实质性回应。</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7</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本项目所属行业</w:t>
            </w:r>
          </w:p>
        </w:tc>
        <w:tc>
          <w:tcPr>
            <w:tcW w:w="6747" w:type="dxa"/>
            <w:tcBorders>
              <w:top w:val="single" w:color="auto" w:sz="4" w:space="0"/>
              <w:left w:val="nil"/>
              <w:bottom w:val="single" w:color="auto" w:sz="4" w:space="0"/>
              <w:right w:val="single" w:color="auto" w:sz="4" w:space="0"/>
            </w:tcBorders>
            <w:vAlign w:val="center"/>
          </w:tcPr>
          <w:p>
            <w:pPr>
              <w:widowControl/>
              <w:spacing w:line="400" w:lineRule="exact"/>
              <w:jc w:val="left"/>
              <w:rPr>
                <w:rFonts w:ascii="宋体" w:hAnsi="宋体" w:cs="宋体"/>
                <w:color w:val="auto"/>
                <w:highlight w:val="none"/>
              </w:rPr>
            </w:pPr>
            <w:r>
              <w:rPr>
                <w:rFonts w:hint="eastAsia" w:ascii="宋体" w:hAnsi="宋体" w:cs="宋体"/>
                <w:color w:val="auto"/>
                <w:kern w:val="0"/>
                <w:highlight w:val="none"/>
              </w:rPr>
              <w:t>工业(制造业）（行业属性划分参照关于印发中小企业划型标准规定的通知(工信部联企业〔2011〕300号) ）</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eastAsia="宋体" w:cs="宋体"/>
                <w:color w:val="auto"/>
                <w:highlight w:val="none"/>
                <w:lang w:val="en-US" w:eastAsia="zh-CN"/>
              </w:rPr>
            </w:pPr>
            <w:bookmarkStart w:id="31" w:name="_Toc22570496"/>
            <w:bookmarkStart w:id="32" w:name="_Toc22962878"/>
            <w:bookmarkStart w:id="33" w:name="_Toc99423254"/>
            <w:bookmarkStart w:id="34" w:name="_Toc22723956"/>
            <w:bookmarkStart w:id="35" w:name="_Toc22804075"/>
            <w:bookmarkStart w:id="36" w:name="_Toc22953397"/>
            <w:bookmarkStart w:id="37" w:name="_Toc22568789"/>
            <w:r>
              <w:rPr>
                <w:rFonts w:hint="eastAsia" w:ascii="宋体" w:hAnsi="宋体" w:cs="宋体"/>
                <w:color w:val="auto"/>
                <w:highlight w:val="none"/>
                <w:lang w:val="en-US" w:eastAsia="zh-CN"/>
              </w:rPr>
              <w:t>10.8</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合同签订方式</w:t>
            </w:r>
          </w:p>
        </w:tc>
        <w:tc>
          <w:tcPr>
            <w:tcW w:w="6747" w:type="dxa"/>
            <w:tcBorders>
              <w:top w:val="single" w:color="auto" w:sz="4" w:space="0"/>
              <w:left w:val="nil"/>
              <w:bottom w:val="single" w:color="auto" w:sz="4" w:space="0"/>
              <w:right w:val="single" w:color="auto" w:sz="4" w:space="0"/>
            </w:tcBorders>
            <w:vAlign w:val="center"/>
          </w:tcPr>
          <w:p>
            <w:pPr>
              <w:pStyle w:val="46"/>
              <w:ind w:right="105" w:rightChars="5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合同在线签订，招标人（采购人）与中标人（供应商）利用平顶山公共资源交易平台“合同在线签订模块”，将电子合同推送至对方进行审核，经双方确认均无异议通过后，进行在线签章，完成合同签订并公示。</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原则支持合同在线签订，如因系统等其他因素合同线签订无法完成时，需法定代表人携带本人身份证（如为授权委托人，则携带法定代表人授权委托书及本人身份证）、单位公章、合同纸质版本一式六份及合同电子版。</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lang w:val="en-US" w:eastAsia="zh-CN"/>
              </w:rPr>
            </w:pPr>
            <w:r>
              <w:rPr>
                <w:rFonts w:hint="eastAsia" w:ascii="宋体" w:hAnsi="宋体" w:cs="宋体"/>
                <w:color w:val="auto"/>
                <w:highlight w:val="none"/>
                <w:lang w:val="en-US" w:eastAsia="zh-CN"/>
              </w:rPr>
              <w:t>10.9</w:t>
            </w: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★专家特别注意</w:t>
            </w:r>
          </w:p>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“四方信用评价”须知（采购人、代理机构、本项目评审专家、本项目中标供应商）</w:t>
            </w:r>
          </w:p>
        </w:tc>
        <w:tc>
          <w:tcPr>
            <w:tcW w:w="6747" w:type="dxa"/>
            <w:tcBorders>
              <w:top w:val="single" w:color="auto" w:sz="4" w:space="0"/>
              <w:left w:val="nil"/>
              <w:bottom w:val="single" w:color="auto" w:sz="4" w:space="0"/>
              <w:right w:val="single" w:color="auto" w:sz="4" w:space="0"/>
            </w:tcBorders>
            <w:vAlign w:val="center"/>
          </w:tcPr>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《河南省政府采购网》目前已增加“四方信用评价”功能。请本项目采购人、代理机构、本项目评审专家、本项目中标供应商，按照评价时间节点按时完成评价工作。</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时间节点在评审结束后的五个工作日内。如果超期未评价，系统会默认超期不让评价。注：请各方注意时间，避免因超期未评价影响自身信用！</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1.采购人、采购代理机构应当在评审工作结束后五个工作日内对评审专家进行评价。</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2.采购人、评审专家、供应商应当在评审工作结束后五个工作日内对代理机构进行评价。</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3.采购人应当在合同履约完成后对中标供应商进行评价。</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4.中标供应商应当在合同履约完成后对采购人进行评价。</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cs="宋体"/>
                <w:color w:val="auto"/>
                <w:highlight w:val="none"/>
                <w:lang w:val="en-US" w:eastAsia="zh-CN"/>
              </w:rPr>
            </w:pPr>
            <w:r>
              <w:rPr>
                <w:rFonts w:hint="eastAsia" w:ascii="宋体" w:hAnsi="宋体" w:cs="宋体"/>
                <w:color w:val="auto"/>
                <w:highlight w:val="none"/>
                <w:lang w:val="en-US" w:eastAsia="zh-CN"/>
              </w:rPr>
              <w:t>10.10</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★供应商特别注意</w:t>
            </w:r>
          </w:p>
        </w:tc>
        <w:tc>
          <w:tcPr>
            <w:tcW w:w="6747" w:type="dxa"/>
            <w:tcBorders>
              <w:top w:val="single" w:color="auto" w:sz="4" w:space="0"/>
              <w:left w:val="nil"/>
              <w:bottom w:val="single" w:color="auto" w:sz="4" w:space="0"/>
              <w:right w:val="single" w:color="auto" w:sz="4" w:space="0"/>
            </w:tcBorders>
            <w:vAlign w:val="center"/>
          </w:tcPr>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开标前需在“河南省政府采购网”完成供应商注册，以备中标后合同公示能够提取到供应商相关信息。</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cs="宋体"/>
                <w:color w:val="auto"/>
                <w:highlight w:val="none"/>
                <w:lang w:val="en-US" w:eastAsia="zh-CN"/>
              </w:rPr>
            </w:pPr>
            <w:r>
              <w:rPr>
                <w:rFonts w:hint="eastAsia" w:ascii="宋体" w:hAnsi="宋体" w:cs="宋体"/>
                <w:color w:val="auto"/>
                <w:highlight w:val="none"/>
                <w:lang w:val="en-US" w:eastAsia="zh-CN"/>
              </w:rPr>
              <w:t>10.11</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是否接受进口产品</w:t>
            </w:r>
          </w:p>
        </w:tc>
        <w:tc>
          <w:tcPr>
            <w:tcW w:w="6747" w:type="dxa"/>
            <w:tcBorders>
              <w:top w:val="single" w:color="auto" w:sz="4" w:space="0"/>
              <w:left w:val="nil"/>
              <w:bottom w:val="single" w:color="auto" w:sz="4" w:space="0"/>
              <w:right w:val="single" w:color="auto" w:sz="4" w:space="0"/>
            </w:tcBorders>
            <w:vAlign w:val="center"/>
          </w:tcPr>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包1(国产产品，不接受进口产品)。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包2</w:t>
            </w:r>
            <w:r>
              <w:rPr>
                <w:rFonts w:hint="eastAsia" w:ascii="宋体" w:hAnsi="宋体" w:eastAsia="宋体" w:cs="宋体"/>
                <w:color w:val="auto"/>
                <w:kern w:val="2"/>
                <w:sz w:val="21"/>
                <w:szCs w:val="21"/>
                <w:highlight w:val="none"/>
                <w:lang w:val="en-US" w:eastAsia="zh-CN" w:bidi="ar-SA"/>
              </w:rPr>
              <w:t>(可接受进口产品)。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包3</w:t>
            </w:r>
            <w:r>
              <w:rPr>
                <w:rFonts w:hint="eastAsia" w:ascii="宋体" w:hAnsi="宋体" w:eastAsia="宋体" w:cs="宋体"/>
                <w:color w:val="auto"/>
                <w:kern w:val="2"/>
                <w:sz w:val="21"/>
                <w:szCs w:val="21"/>
                <w:highlight w:val="none"/>
                <w:lang w:val="en-US" w:eastAsia="zh-CN" w:bidi="ar-SA"/>
              </w:rPr>
              <w:t>(可接受进口产品)。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4(可接受进口产品)。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5(可接受进口产品)。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6(可接受进口产品)。</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7(可接受进口产品)。</w:t>
            </w:r>
          </w:p>
        </w:tc>
      </w:tr>
    </w:tbl>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r>
        <w:rPr>
          <w:rFonts w:ascii="??" w:hAnsi="??" w:cs="??"/>
          <w:color w:val="auto"/>
          <w:sz w:val="21"/>
          <w:szCs w:val="21"/>
          <w:highlight w:val="none"/>
        </w:rPr>
        <w:br w:type="page"/>
      </w:r>
      <w:bookmarkStart w:id="38" w:name="_Toc12391"/>
      <w:r>
        <w:rPr>
          <w:rFonts w:hint="eastAsia" w:asciiTheme="minorEastAsia" w:hAnsiTheme="minorEastAsia" w:eastAsiaTheme="minorEastAsia" w:cstheme="minorEastAsia"/>
          <w:color w:val="auto"/>
          <w:sz w:val="21"/>
          <w:szCs w:val="21"/>
          <w:highlight w:val="none"/>
        </w:rPr>
        <w:t>说明</w:t>
      </w:r>
      <w:bookmarkEnd w:id="31"/>
      <w:bookmarkEnd w:id="32"/>
      <w:bookmarkEnd w:id="33"/>
      <w:bookmarkEnd w:id="34"/>
      <w:bookmarkEnd w:id="35"/>
      <w:bookmarkEnd w:id="36"/>
      <w:bookmarkEnd w:id="37"/>
      <w:bookmarkEnd w:id="38"/>
    </w:p>
    <w:p>
      <w:pPr>
        <w:pStyle w:val="5"/>
        <w:numPr>
          <w:ilvl w:val="1"/>
          <w:numId w:val="2"/>
        </w:numPr>
        <w:tabs>
          <w:tab w:val="left" w:pos="709"/>
        </w:tabs>
        <w:adjustRightInd w:val="0"/>
        <w:snapToGrid w:val="0"/>
        <w:spacing w:before="0" w:after="0" w:line="440" w:lineRule="exact"/>
        <w:ind w:left="0" w:firstLine="323" w:firstLineChars="134"/>
        <w:rPr>
          <w:rFonts w:asciiTheme="minorEastAsia" w:hAnsiTheme="minorEastAsia" w:eastAsiaTheme="minorEastAsia" w:cstheme="minorEastAsia"/>
          <w:color w:val="auto"/>
          <w:sz w:val="21"/>
          <w:szCs w:val="21"/>
          <w:highlight w:val="none"/>
        </w:rPr>
      </w:pPr>
      <w:r>
        <w:rPr>
          <w:rFonts w:hint="eastAsia" w:cs="MingLiU"/>
          <w:b/>
          <w:sz w:val="24"/>
          <w:szCs w:val="24"/>
          <w:lang w:val="en-US" w:bidi="ar-SA"/>
        </w:rPr>
        <w:t>项目概况</w:t>
      </w:r>
    </w:p>
    <w:p>
      <w:pPr>
        <w:tabs>
          <w:tab w:val="left" w:pos="840"/>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根据《政府采购货物和服务招标投标管理办法》（财政部令第87号）等有关法律、法规和规章的规定，本招标项目已具备招标条件，现对本项目进行招标。</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39" w:name="_Toc99423256"/>
      <w:r>
        <w:rPr>
          <w:rFonts w:hint="eastAsia" w:asciiTheme="minorEastAsia" w:hAnsiTheme="minorEastAsia" w:eastAsiaTheme="minorEastAsia" w:cstheme="minorEastAsia"/>
          <w:color w:val="auto"/>
          <w:sz w:val="21"/>
          <w:szCs w:val="21"/>
          <w:highlight w:val="none"/>
        </w:rPr>
        <w:t>定义</w:t>
      </w:r>
      <w:bookmarkEnd w:id="39"/>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采购人：是指依法进行政府采购的国家机关、事业单位、团体组织。</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采购代理机构：是指在采购人的委托范围内办理政府采购事宜。</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投标人：是指向采购人提供货物、工程或者服务的法人、其他组织或者自然人。</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合格的投标人：提供资格证明文件并通过资格审查的投标人。</w:t>
      </w:r>
    </w:p>
    <w:p>
      <w:pPr>
        <w:adjustRightInd w:val="0"/>
        <w:snapToGrid w:val="0"/>
        <w:spacing w:line="44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1.2.4.1</w:t>
      </w:r>
      <w:r>
        <w:rPr>
          <w:rFonts w:hint="eastAsia" w:asciiTheme="minorEastAsia" w:hAnsiTheme="minorEastAsia" w:eastAsiaTheme="minorEastAsia" w:cstheme="minorEastAsia"/>
          <w:color w:val="auto"/>
          <w:highlight w:val="none"/>
        </w:rPr>
        <w:t>若投标人须知前附表中写明专门面向中小企业采购的，如投标人非中小企业，其投标将被认定为投标无效。</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1.2.4.2</w:t>
      </w:r>
      <w:r>
        <w:rPr>
          <w:rFonts w:hint="eastAsia" w:asciiTheme="minorEastAsia" w:hAnsiTheme="minorEastAsia" w:eastAsiaTheme="minorEastAsia" w:cstheme="minorEastAsia"/>
          <w:color w:val="auto"/>
          <w:highlight w:val="none"/>
        </w:rPr>
        <w:t>若投标人须知前附表中写明允许采购进口产品，但不限制满足招标文件要求的国内产品参与采购活动，投标人应保证所投产品可履行合法报通关手续进入中国关境内。若投标人须知前附表中未写明允许采购进口产品，如投标人提供产品为进口产品，其投标文件将被认定为无效投标文件。</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中标人：接到并接受中标通知，最终被授予合同的投标人。</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投标文件：指投标人根据招标文件提交的所有文件。</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货物：指除了咨询服务以外的所有的物品、货物、装置和/或包括附件、备品备件、图纸、技术文件、用于运输和安装的包装、培训、维修和其他类似服务的供应。</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保：本次采购所要求的质保或质保期限，是指投标人所提供的产品在承诺的质保期限内发生质量问题，必须提供伴随服务及必须无条件更换产品（注：所需的一切费用均已包含在该包投标总报价中），并由此享有原投标文件中承诺的质保期限及伴随服务。</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是指通过中国海关报关验放进入中国境内且产自关境外的产品。本招标文件中如有“进口货物”的描述，是指采购人已按照财政部《政府采购进口产品管理办法》的通知财库[2007]119号、财政部办公厅《关于政府采购进口产品管理有关问题的通知》财办库[2008]248号文件要求的程序办理过报批手续。</w:t>
      </w:r>
    </w:p>
    <w:p>
      <w:pPr>
        <w:numPr>
          <w:ilvl w:val="1"/>
          <w:numId w:val="3"/>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投标：（1）两个以上的自然人、法人或者其他组织可以组成一个联合体，以一个投标人的身份共同参加政府采购。（2）以联合体形式进行政府采购的，参加联合体的投标人均应当具备符合《中华人民共和国政府采购法》第二十二条、《中华人民共和国政府采购法》实施条例第十七条规定的条件，并应当向采购人提交联合协议，载明联合体各方承担的工作和义务。联合体各方应当共同与采购人签订采购合同，就采购合同约定的事项对采购人承担连带责任。联合体中有同类资质的投标人按照联合体分工承担相同工作的，应当按照资质等级较低的投标人确定资质等级。（3）以联合体形式参加政府采购活动的，联合体各方不得再单独参加或者与其他投标人另外组成联合体参加同一合同项下的政府采购活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项目名称、资金来源和落实情况</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项目名称：见投标人须知前附表。</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资金来源：见投标人须知前附表。</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资金落实情况：见投标人须知前附表。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采购内容、交货期、质量、质保期等</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交货期：见投标人须知前附表。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质量要求：见投标人须知前附表。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质保期：见投标人须知前附表。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交货地点：见投标人须知前附表。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40" w:name="_Toc99423257"/>
      <w:r>
        <w:rPr>
          <w:rFonts w:hint="eastAsia" w:asciiTheme="minorEastAsia" w:hAnsiTheme="minorEastAsia" w:eastAsiaTheme="minorEastAsia" w:cstheme="minorEastAsia"/>
          <w:color w:val="auto"/>
          <w:sz w:val="21"/>
          <w:szCs w:val="21"/>
          <w:highlight w:val="none"/>
        </w:rPr>
        <w:t>投标费用</w:t>
      </w:r>
      <w:bookmarkEnd w:id="40"/>
    </w:p>
    <w:p>
      <w:pPr>
        <w:numPr>
          <w:ilvl w:val="1"/>
          <w:numId w:val="6"/>
        </w:numPr>
        <w:tabs>
          <w:tab w:val="left" w:pos="851"/>
          <w:tab w:val="left" w:pos="928"/>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无论投标过程中的作法和结果如何,投标人应自行承担所有与参加投标有关的全部费用，采购人和采购代理机构在任何情况下均无义务和责任承担上述费用。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现场考察</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现场考察：不组织。</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分包</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响应和偏差</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1.8.1投标文件应当对招标文件的实质性要求和条件作出满足性或更有利于采购人的响应，否则，投标人的投标将被否决。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1.8.2投标人应根据招标文件的要求提供投标设备技术性能指标的详细描述、技术支持资料及技术服务和质保期服务计划等内容以对招标文件作出响应。</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1.8.4招标文件规定了可以偏差的范围和最高偏差项数的，偏差应当符合文件规定的偏差范围和最高项数，超出偏差范围和最高偏差项数的投标将被否决。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1.8.5投标文件对招标文件的全部偏差，均应在投标文件的商务和技术偏差表中列明，除列明的内容外，视为投标人响应招标文件的全部要求。</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41" w:name="_Toc22723957"/>
      <w:bookmarkStart w:id="42" w:name="_Toc22804076"/>
      <w:bookmarkStart w:id="43" w:name="_Toc22568790"/>
      <w:bookmarkStart w:id="44" w:name="_Toc22962879"/>
      <w:bookmarkStart w:id="45" w:name="_Toc22570497"/>
      <w:bookmarkStart w:id="46" w:name="_Toc17470"/>
      <w:bookmarkStart w:id="47" w:name="_Toc22953398"/>
      <w:bookmarkStart w:id="48" w:name="_Toc99423258"/>
      <w:r>
        <w:rPr>
          <w:rFonts w:hint="eastAsia" w:asciiTheme="minorEastAsia" w:hAnsiTheme="minorEastAsia" w:eastAsiaTheme="minorEastAsia" w:cstheme="minorEastAsia"/>
          <w:color w:val="auto"/>
          <w:sz w:val="21"/>
          <w:szCs w:val="21"/>
          <w:highlight w:val="none"/>
        </w:rPr>
        <w:t>招标文件</w:t>
      </w:r>
      <w:bookmarkEnd w:id="41"/>
      <w:bookmarkEnd w:id="42"/>
      <w:bookmarkEnd w:id="43"/>
      <w:bookmarkEnd w:id="44"/>
      <w:bookmarkEnd w:id="45"/>
      <w:bookmarkEnd w:id="46"/>
      <w:bookmarkEnd w:id="47"/>
      <w:bookmarkEnd w:id="48"/>
    </w:p>
    <w:p>
      <w:pPr>
        <w:pStyle w:val="5"/>
        <w:numPr>
          <w:ilvl w:val="0"/>
          <w:numId w:val="7"/>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49" w:name="_Toc99423259"/>
      <w:r>
        <w:rPr>
          <w:rFonts w:hint="eastAsia" w:asciiTheme="minorEastAsia" w:hAnsiTheme="minorEastAsia" w:eastAsiaTheme="minorEastAsia" w:cstheme="minorEastAsia"/>
          <w:color w:val="auto"/>
          <w:sz w:val="21"/>
          <w:szCs w:val="21"/>
          <w:highlight w:val="none"/>
        </w:rPr>
        <w:t>招标文件的构成</w:t>
      </w:r>
      <w:bookmarkEnd w:id="49"/>
    </w:p>
    <w:p>
      <w:pPr>
        <w:pStyle w:val="40"/>
        <w:numPr>
          <w:ilvl w:val="1"/>
          <w:numId w:val="8"/>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招标文件用以阐明本次招标的货物要求、招标投标程序和合同条件。</w:t>
      </w:r>
    </w:p>
    <w:p>
      <w:pPr>
        <w:pStyle w:val="40"/>
        <w:tabs>
          <w:tab w:val="left" w:pos="720"/>
          <w:tab w:val="left" w:pos="10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招标文件由下述部分组成：</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招标公告</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投标人须知</w:t>
      </w:r>
    </w:p>
    <w:p>
      <w:pPr>
        <w:pStyle w:val="37"/>
        <w:numPr>
          <w:ilvl w:val="0"/>
          <w:numId w:val="9"/>
        </w:numPr>
        <w:tabs>
          <w:tab w:val="left" w:pos="1080"/>
          <w:tab w:val="clear" w:pos="1980"/>
        </w:tabs>
        <w:adjustRightInd w:val="0"/>
        <w:snapToGrid w:val="0"/>
        <w:spacing w:line="440" w:lineRule="exact"/>
        <w:ind w:left="0" w:firstLine="567" w:firstLineChars="2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\l "_合同格式"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评标办法</w:t>
      </w:r>
      <w:r>
        <w:rPr>
          <w:rFonts w:hint="eastAsia" w:asciiTheme="minorEastAsia" w:hAnsiTheme="minorEastAsia" w:eastAsiaTheme="minorEastAsia" w:cstheme="minorEastAsia"/>
          <w:color w:val="auto"/>
          <w:sz w:val="21"/>
          <w:szCs w:val="21"/>
          <w:highlight w:val="none"/>
        </w:rPr>
        <w:fldChar w:fldCharType="end"/>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合同条款与格式</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技术标准和要求</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投标文件格式</w:t>
      </w:r>
    </w:p>
    <w:p>
      <w:pPr>
        <w:pStyle w:val="40"/>
        <w:numPr>
          <w:ilvl w:val="1"/>
          <w:numId w:val="8"/>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应仔细阅读招标文件中投标人须知、合同条款的所有事项、格式要求和技术规范，按招标文件的要求提供投标文件，并保证所提供的全部资料的真实性，以使其投标对招标文件做出实质性响应，否则，将承担其投标被拒绝或废标的风险。</w:t>
      </w:r>
    </w:p>
    <w:p>
      <w:pPr>
        <w:pStyle w:val="5"/>
        <w:numPr>
          <w:ilvl w:val="0"/>
          <w:numId w:val="7"/>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50" w:name="_Toc99423260"/>
      <w:r>
        <w:rPr>
          <w:rFonts w:hint="eastAsia" w:asciiTheme="minorEastAsia" w:hAnsiTheme="minorEastAsia" w:eastAsiaTheme="minorEastAsia" w:cstheme="minorEastAsia"/>
          <w:color w:val="auto"/>
          <w:sz w:val="21"/>
          <w:szCs w:val="21"/>
          <w:highlight w:val="none"/>
        </w:rPr>
        <w:t>招标文件的澄清</w:t>
      </w:r>
      <w:bookmarkEnd w:id="50"/>
      <w:r>
        <w:rPr>
          <w:rFonts w:hint="eastAsia" w:asciiTheme="minorEastAsia" w:hAnsiTheme="minorEastAsia" w:eastAsiaTheme="minorEastAsia" w:cstheme="minorEastAsia"/>
          <w:color w:val="auto"/>
          <w:sz w:val="21"/>
          <w:szCs w:val="21"/>
          <w:highlight w:val="none"/>
        </w:rPr>
        <w:t>或修改</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投标人认为需要对招标文件进行澄清或者修改的，可以以书面形式向采购人或采购代理机构提出申请，但招标采购单位可以决定是否采纳投标人的申请事项。</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51" w:name="_Toc22804077"/>
      <w:bookmarkStart w:id="52" w:name="_Toc99423262"/>
      <w:bookmarkStart w:id="53" w:name="_Toc22723958"/>
      <w:bookmarkStart w:id="54" w:name="_Toc22962880"/>
      <w:bookmarkStart w:id="55" w:name="_Toc11922"/>
      <w:bookmarkStart w:id="56" w:name="_Toc22568791"/>
      <w:bookmarkStart w:id="57" w:name="_Toc22953399"/>
      <w:bookmarkStart w:id="58" w:name="_Toc22570498"/>
      <w:r>
        <w:rPr>
          <w:rFonts w:hint="eastAsia" w:asciiTheme="minorEastAsia" w:hAnsiTheme="minorEastAsia" w:eastAsiaTheme="minorEastAsia" w:cstheme="minorEastAsia"/>
          <w:color w:val="auto"/>
          <w:sz w:val="21"/>
          <w:szCs w:val="21"/>
          <w:highlight w:val="none"/>
        </w:rPr>
        <w:t>投标文件的编写</w:t>
      </w:r>
      <w:bookmarkEnd w:id="51"/>
      <w:bookmarkEnd w:id="52"/>
      <w:bookmarkEnd w:id="53"/>
      <w:bookmarkEnd w:id="54"/>
      <w:bookmarkEnd w:id="55"/>
      <w:bookmarkEnd w:id="56"/>
      <w:bookmarkEnd w:id="57"/>
      <w:bookmarkEnd w:id="58"/>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59" w:name="_Toc99423263"/>
      <w:r>
        <w:rPr>
          <w:rFonts w:hint="eastAsia" w:asciiTheme="minorEastAsia" w:hAnsiTheme="minorEastAsia" w:eastAsiaTheme="minorEastAsia" w:cstheme="minorEastAsia"/>
          <w:color w:val="auto"/>
          <w:sz w:val="21"/>
          <w:szCs w:val="21"/>
          <w:highlight w:val="none"/>
        </w:rPr>
        <w:t>投标语言</w:t>
      </w:r>
      <w:bookmarkEnd w:id="59"/>
    </w:p>
    <w:p>
      <w:pPr>
        <w:tabs>
          <w:tab w:val="left" w:pos="720"/>
          <w:tab w:val="left" w:pos="1904"/>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投标文件以及投标人所有与采购人及采购代理机构就投标来往的函电均使用中文。投标人提供的外文资料应附有相应的中文译本，并以中文译本为准。</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0" w:name="_Toc99423264"/>
      <w:r>
        <w:rPr>
          <w:rFonts w:hint="eastAsia" w:asciiTheme="minorEastAsia" w:hAnsiTheme="minorEastAsia" w:eastAsiaTheme="minorEastAsia" w:cstheme="minorEastAsia"/>
          <w:color w:val="auto"/>
          <w:sz w:val="21"/>
          <w:szCs w:val="21"/>
          <w:highlight w:val="none"/>
        </w:rPr>
        <w:t>投标文件计量单位</w:t>
      </w:r>
      <w:bookmarkEnd w:id="60"/>
    </w:p>
    <w:p>
      <w:pPr>
        <w:pStyle w:val="37"/>
        <w:tabs>
          <w:tab w:val="left" w:pos="721"/>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除在招标文件的技术文件中另有规定外，计量单位均使用公制计量单位。</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1" w:name="_Toc99423265"/>
      <w:r>
        <w:rPr>
          <w:rFonts w:hint="eastAsia" w:asciiTheme="minorEastAsia" w:hAnsiTheme="minorEastAsia" w:eastAsiaTheme="minorEastAsia" w:cstheme="minorEastAsia"/>
          <w:color w:val="auto"/>
          <w:sz w:val="21"/>
          <w:szCs w:val="21"/>
          <w:highlight w:val="none"/>
        </w:rPr>
        <w:t>投标文件的组成</w:t>
      </w:r>
      <w:bookmarkEnd w:id="61"/>
    </w:p>
    <w:p>
      <w:pPr>
        <w:numPr>
          <w:ilvl w:val="1"/>
          <w:numId w:val="1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详见投标文件格式</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2" w:name="_Toc99423266"/>
      <w:r>
        <w:rPr>
          <w:rFonts w:hint="eastAsia" w:asciiTheme="minorEastAsia" w:hAnsiTheme="minorEastAsia" w:eastAsiaTheme="minorEastAsia" w:cstheme="minorEastAsia"/>
          <w:color w:val="auto"/>
          <w:sz w:val="21"/>
          <w:szCs w:val="21"/>
          <w:highlight w:val="none"/>
        </w:rPr>
        <w:t>投标格式</w:t>
      </w:r>
      <w:bookmarkEnd w:id="62"/>
    </w:p>
    <w:p>
      <w:pPr>
        <w:numPr>
          <w:ilvl w:val="0"/>
          <w:numId w:val="1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投标人应按照招标文件中提供的格式要求如实填写投标函、开标一览表、报价</w:t>
      </w:r>
      <w:r>
        <w:rPr>
          <w:rFonts w:hint="eastAsia" w:asciiTheme="minorEastAsia" w:hAnsiTheme="minorEastAsia" w:eastAsiaTheme="minorEastAsia" w:cstheme="minorEastAsia"/>
          <w:color w:val="auto"/>
          <w:highlight w:val="none"/>
          <w:lang w:val="en-US" w:eastAsia="zh-CN"/>
        </w:rPr>
        <w:t>明细</w:t>
      </w:r>
      <w:r>
        <w:rPr>
          <w:rFonts w:hint="eastAsia" w:asciiTheme="minorEastAsia" w:hAnsiTheme="minorEastAsia" w:eastAsiaTheme="minorEastAsia" w:cstheme="minorEastAsia"/>
          <w:color w:val="auto"/>
          <w:highlight w:val="none"/>
        </w:rPr>
        <w:t>表、</w:t>
      </w:r>
      <w:r>
        <w:rPr>
          <w:rFonts w:hint="eastAsia" w:asciiTheme="minorEastAsia" w:hAnsiTheme="minorEastAsia" w:eastAsiaTheme="minorEastAsia" w:cstheme="minorEastAsia"/>
          <w:color w:val="auto"/>
          <w:highlight w:val="none"/>
          <w:lang w:val="en-US" w:eastAsia="zh-CN"/>
        </w:rPr>
        <w:t>商务及</w:t>
      </w:r>
      <w:r>
        <w:rPr>
          <w:rFonts w:hint="eastAsia" w:asciiTheme="minorEastAsia" w:hAnsiTheme="minorEastAsia" w:eastAsiaTheme="minorEastAsia" w:cstheme="minorEastAsia"/>
          <w:color w:val="auto"/>
          <w:highlight w:val="none"/>
        </w:rPr>
        <w:t>技术</w:t>
      </w:r>
      <w:r>
        <w:rPr>
          <w:rFonts w:hint="eastAsia" w:asciiTheme="minorEastAsia" w:hAnsiTheme="minorEastAsia" w:eastAsiaTheme="minorEastAsia" w:cstheme="minorEastAsia"/>
          <w:color w:val="auto"/>
          <w:highlight w:val="none"/>
          <w:lang w:val="en-US" w:eastAsia="zh-CN"/>
        </w:rPr>
        <w:t>要求偏离</w:t>
      </w:r>
      <w:r>
        <w:rPr>
          <w:rFonts w:hint="eastAsia" w:asciiTheme="minorEastAsia" w:hAnsiTheme="minorEastAsia" w:eastAsiaTheme="minorEastAsia" w:cstheme="minorEastAsia"/>
          <w:color w:val="auto"/>
          <w:highlight w:val="none"/>
        </w:rPr>
        <w:t>表。</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3" w:name="_Toc99423267"/>
      <w:r>
        <w:rPr>
          <w:rFonts w:hint="eastAsia" w:asciiTheme="minorEastAsia" w:hAnsiTheme="minorEastAsia" w:eastAsiaTheme="minorEastAsia" w:cstheme="minorEastAsia"/>
          <w:color w:val="auto"/>
          <w:sz w:val="21"/>
          <w:szCs w:val="21"/>
          <w:highlight w:val="none"/>
        </w:rPr>
        <w:t>投标报价</w:t>
      </w:r>
      <w:bookmarkEnd w:id="63"/>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宋体" w:hAnsi="宋体" w:cs="宋体"/>
          <w:color w:val="auto"/>
          <w:highlight w:val="none"/>
        </w:rPr>
        <w:t>投标报价是指包括但不限于货物价款、包装、运输、装卸、保险费、安装及相关材料费、调试费、软件费、检验费、培训费等各种伴随服务的费用以及税金等。合同总价之外，甲方不再另行支付任何费用。</w:t>
      </w:r>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投标人的投标报价应包含验收合格正式交付使用前所发生的一切费用，且投标人只能提出一个不变价格，采购人不接受任何选择价。</w:t>
      </w:r>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投标文件的投标报价，应是完成本文件所列招标范围的全部内容。</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b w:val="0"/>
          <w:bCs w:val="0"/>
          <w:color w:val="auto"/>
          <w:kern w:val="2"/>
          <w:sz w:val="21"/>
          <w:szCs w:val="21"/>
          <w:highlight w:val="none"/>
        </w:rPr>
      </w:pPr>
      <w:bookmarkStart w:id="64" w:name="_Toc99423269"/>
      <w:r>
        <w:rPr>
          <w:rFonts w:hint="eastAsia" w:asciiTheme="minorEastAsia" w:hAnsiTheme="minorEastAsia" w:eastAsiaTheme="minorEastAsia" w:cstheme="minorEastAsia"/>
          <w:color w:val="auto"/>
          <w:sz w:val="21"/>
          <w:szCs w:val="21"/>
          <w:highlight w:val="none"/>
        </w:rPr>
        <w:t>投标人资格的证明文件</w:t>
      </w:r>
      <w:bookmarkEnd w:id="64"/>
    </w:p>
    <w:p>
      <w:pPr>
        <w:numPr>
          <w:ilvl w:val="0"/>
          <w:numId w:val="1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依据第二章“投标人须知前附表”中的要求提交相应的资格证明文件，作为投标文件的一部分，以证明其有资格进行投标和有能力履行合同。</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5" w:name="_Toc99423270"/>
      <w:r>
        <w:rPr>
          <w:rFonts w:hint="eastAsia" w:asciiTheme="minorEastAsia" w:hAnsiTheme="minorEastAsia" w:eastAsiaTheme="minorEastAsia" w:cstheme="minorEastAsia"/>
          <w:color w:val="auto"/>
          <w:sz w:val="21"/>
          <w:szCs w:val="21"/>
          <w:highlight w:val="none"/>
        </w:rPr>
        <w:t>证明投标货物符合招标文件技术要求的文件</w:t>
      </w:r>
      <w:bookmarkEnd w:id="65"/>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投标人应对招标文件技术要求逐条应答，并标明与招标文件条文的偏差和例外。对招标文件有具体规格、参数的指标，投标人必须提供其所投货物的具体数值。</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财政部发展改革委生态环境部市场监管总局关于调整优化节能产品环境标志产品政府采购执行机制的通知（财库〔2019〕9号）文件规定，自2019年4月1日起《财政部生态环境部关于调整公布第二十二期环境标志产品政府采购清单的通知》（财库〔2018〕70号）和《财政部国家发展改革委关于调整公布第二十四期节能产品政府采购清单的通知》（财库〔2018〕73号）同时停止执行。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据《财政部、工业和信息化部、国家质检总局、国家认监委关于信息安全产品实施政府采购的通知》财库〔2010〕48号文件要求，各潜在投标人在本次投标活动投标货物中，如有涉及到信息安全产品的，则所投涉及到上述货物的产品必须提供由中国信息安全认证中心颁发的有效认证证书。</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所投产品已列入国家强制性产品认证的产品，必须提供通过国家3C认证的有关证明材料。</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6" w:name="_Toc99423271"/>
      <w:r>
        <w:rPr>
          <w:rFonts w:hint="eastAsia" w:asciiTheme="minorEastAsia" w:hAnsiTheme="minorEastAsia" w:eastAsiaTheme="minorEastAsia" w:cstheme="minorEastAsia"/>
          <w:color w:val="auto"/>
          <w:sz w:val="21"/>
          <w:szCs w:val="21"/>
          <w:highlight w:val="none"/>
        </w:rPr>
        <w:t>投标保证金</w:t>
      </w:r>
      <w:bookmarkEnd w:id="66"/>
      <w:r>
        <w:rPr>
          <w:rFonts w:hint="eastAsia" w:asciiTheme="minorEastAsia" w:hAnsiTheme="minorEastAsia" w:eastAsiaTheme="minorEastAsia" w:cstheme="minorEastAsia"/>
          <w:color w:val="auto"/>
          <w:sz w:val="21"/>
          <w:szCs w:val="21"/>
          <w:highlight w:val="none"/>
        </w:rPr>
        <w:tab/>
      </w:r>
    </w:p>
    <w:p>
      <w:pPr>
        <w:pStyle w:val="37"/>
        <w:numPr>
          <w:ilvl w:val="0"/>
          <w:numId w:val="17"/>
        </w:numPr>
        <w:tabs>
          <w:tab w:val="left" w:pos="720"/>
          <w:tab w:val="left" w:pos="993"/>
        </w:tabs>
        <w:adjustRightInd w:val="0"/>
        <w:snapToGrid w:val="0"/>
        <w:spacing w:line="440" w:lineRule="exact"/>
        <w:ind w:left="0" w:firstLine="412" w:firstLineChars="200"/>
        <w:rPr>
          <w:rFonts w:asciiTheme="minorEastAsia" w:hAnsiTheme="minorEastAsia" w:eastAsiaTheme="minorEastAsia" w:cstheme="minorEastAsia"/>
          <w:color w:val="auto"/>
          <w:spacing w:val="-2"/>
          <w:sz w:val="21"/>
          <w:szCs w:val="21"/>
          <w:highlight w:val="none"/>
        </w:rPr>
      </w:pPr>
      <w:r>
        <w:rPr>
          <w:rFonts w:hint="eastAsia" w:asciiTheme="minorEastAsia" w:hAnsiTheme="minorEastAsia" w:eastAsiaTheme="minorEastAsia" w:cstheme="minorEastAsia"/>
          <w:color w:val="auto"/>
          <w:spacing w:val="-2"/>
          <w:sz w:val="21"/>
          <w:szCs w:val="21"/>
          <w:highlight w:val="none"/>
        </w:rPr>
        <w:t>按第二章“投标人须知前附表”中规定。</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7" w:name="_Toc99423272"/>
      <w:r>
        <w:rPr>
          <w:rFonts w:hint="eastAsia" w:asciiTheme="minorEastAsia" w:hAnsiTheme="minorEastAsia" w:eastAsiaTheme="minorEastAsia" w:cstheme="minorEastAsia"/>
          <w:color w:val="auto"/>
          <w:sz w:val="21"/>
          <w:szCs w:val="21"/>
          <w:highlight w:val="none"/>
        </w:rPr>
        <w:t>投标有效期</w:t>
      </w:r>
      <w:bookmarkEnd w:id="67"/>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投标有效期是保障投标、开标、评标、定标以及签订合同全过程时效要求，是招标、投标体现法律效力的前提条件。</w:t>
      </w:r>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投标文件应自投标规定的开标之日起，在第二章“投标人须知前附表”规定的时间内保持有效。</w:t>
      </w:r>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在特殊情况下，采购人和采购代理机构可征求投标人同意延长投标有效期。这种要求与答复均应以书面形式提交。</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b w:val="0"/>
          <w:bCs w:val="0"/>
          <w:color w:val="auto"/>
          <w:sz w:val="21"/>
          <w:szCs w:val="21"/>
          <w:highlight w:val="none"/>
        </w:rPr>
      </w:pPr>
      <w:bookmarkStart w:id="68" w:name="_Toc99423273"/>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投标文件的</w:t>
      </w:r>
      <w:bookmarkEnd w:id="68"/>
      <w:r>
        <w:rPr>
          <w:rFonts w:hint="eastAsia" w:asciiTheme="minorEastAsia" w:hAnsiTheme="minorEastAsia" w:eastAsiaTheme="minorEastAsia" w:cstheme="minorEastAsia"/>
          <w:color w:val="auto"/>
          <w:sz w:val="21"/>
          <w:szCs w:val="21"/>
          <w:highlight w:val="none"/>
        </w:rPr>
        <w:t>编制</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投标文件应按第六章“投标文件格式”进行编写，如有必要，可以增加附页，作为投标文件的组成部分。</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投标文件应当对招标文件有关交货期、投标有效期、质量要求、采购内容等实质性内容作出响应。投标文件在满足招标文件实质性要求的基础上，可以提出比招标文件要求更有利于采购人的承诺。</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按招标文件要求，在需要签字的地方由法定代表人或其委托代理人签字或签章，在需要盖章的地方加盖投标单位签章。</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69" w:name="_Toc22570499"/>
      <w:bookmarkStart w:id="70" w:name="_Toc22953400"/>
      <w:bookmarkStart w:id="71" w:name="_Toc22804078"/>
      <w:bookmarkStart w:id="72" w:name="_Toc22723959"/>
      <w:bookmarkStart w:id="73" w:name="_Toc99423274"/>
      <w:bookmarkStart w:id="74" w:name="_Toc22962881"/>
      <w:bookmarkStart w:id="75" w:name="_Toc22568792"/>
      <w:bookmarkStart w:id="76" w:name="_Toc30136"/>
      <w:r>
        <w:rPr>
          <w:rFonts w:hint="eastAsia" w:asciiTheme="minorEastAsia" w:hAnsiTheme="minorEastAsia" w:eastAsiaTheme="minorEastAsia" w:cstheme="minorEastAsia"/>
          <w:color w:val="auto"/>
          <w:sz w:val="21"/>
          <w:szCs w:val="21"/>
          <w:highlight w:val="none"/>
        </w:rPr>
        <w:t>投标文件的递交</w:t>
      </w:r>
      <w:bookmarkEnd w:id="69"/>
      <w:bookmarkEnd w:id="70"/>
      <w:bookmarkEnd w:id="71"/>
      <w:bookmarkEnd w:id="72"/>
      <w:bookmarkEnd w:id="73"/>
      <w:bookmarkEnd w:id="74"/>
      <w:bookmarkEnd w:id="75"/>
      <w:bookmarkEnd w:id="76"/>
    </w:p>
    <w:p>
      <w:pPr>
        <w:pStyle w:val="5"/>
        <w:numPr>
          <w:ilvl w:val="0"/>
          <w:numId w:val="20"/>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投标文件的递交</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递交投标文件的截止时间：见投标人须知前附表。</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递交投标文件的地点：见投标人须知前附表。</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除投标人须知前附表另有规定外，投标人所递交的投标文件不予退还。</w:t>
      </w:r>
      <w:bookmarkStart w:id="77" w:name="_Toc24009"/>
      <w:bookmarkEnd w:id="77"/>
    </w:p>
    <w:p>
      <w:pPr>
        <w:pStyle w:val="5"/>
        <w:numPr>
          <w:ilvl w:val="0"/>
          <w:numId w:val="20"/>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投标文件的上传</w:t>
      </w:r>
    </w:p>
    <w:p>
      <w:pPr>
        <w:numPr>
          <w:ilvl w:val="1"/>
          <w:numId w:val="2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加密的电子投标文件上传时必须得到电脑“上传成功”的确认。请投标人在上传时认真检查上传投标文件是否完整、正确。投标人因交易中心投标系统问题无法上传电子投标文件时，请在工作时间与</w:t>
      </w:r>
      <w:r>
        <w:rPr>
          <w:rFonts w:hint="eastAsia" w:asciiTheme="minorEastAsia" w:hAnsiTheme="minorEastAsia" w:eastAsiaTheme="minorEastAsia" w:cstheme="minorEastAsia"/>
          <w:color w:val="auto"/>
          <w:highlight w:val="none"/>
          <w:lang w:val="en-US" w:eastAsia="zh-CN"/>
        </w:rPr>
        <w:t>平顶山市</w:t>
      </w:r>
      <w:r>
        <w:rPr>
          <w:rFonts w:hint="eastAsia" w:asciiTheme="minorEastAsia" w:hAnsiTheme="minorEastAsia" w:eastAsiaTheme="minorEastAsia" w:cstheme="minorEastAsia"/>
          <w:color w:val="auto"/>
          <w:highlight w:val="none"/>
        </w:rPr>
        <w:t>公共资源交易中心联系，联系方式详见</w:t>
      </w:r>
      <w:r>
        <w:rPr>
          <w:rFonts w:hint="eastAsia" w:asciiTheme="minorEastAsia" w:hAnsiTheme="minorEastAsia" w:eastAsiaTheme="minorEastAsia" w:cstheme="minorEastAsia"/>
          <w:color w:val="auto"/>
          <w:highlight w:val="none"/>
          <w:lang w:val="en-US" w:eastAsia="zh-CN"/>
        </w:rPr>
        <w:t>平顶山市</w:t>
      </w:r>
      <w:r>
        <w:rPr>
          <w:rFonts w:hint="eastAsia" w:asciiTheme="minorEastAsia" w:hAnsiTheme="minorEastAsia" w:eastAsiaTheme="minorEastAsia" w:cstheme="minorEastAsia"/>
          <w:color w:val="auto"/>
          <w:highlight w:val="none"/>
        </w:rPr>
        <w:t>公共资源交易中心（http://ggzy.pds.gov.cn/）网站的通知。</w:t>
      </w:r>
    </w:p>
    <w:p>
      <w:pPr>
        <w:numPr>
          <w:ilvl w:val="1"/>
          <w:numId w:val="2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在投标截止期之后，投标人不得对其投标做任何实质性条款修改。</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78" w:name="_Toc22953401"/>
      <w:bookmarkStart w:id="79" w:name="_Toc22568793"/>
      <w:bookmarkStart w:id="80" w:name="_Toc22962882"/>
      <w:bookmarkStart w:id="81" w:name="_Toc22723960"/>
      <w:bookmarkStart w:id="82" w:name="_Toc22570500"/>
      <w:bookmarkStart w:id="83" w:name="_Toc22804079"/>
      <w:bookmarkStart w:id="84" w:name="_Toc99423279"/>
      <w:bookmarkStart w:id="85" w:name="_Toc26321"/>
      <w:r>
        <w:rPr>
          <w:rFonts w:hint="eastAsia" w:asciiTheme="minorEastAsia" w:hAnsiTheme="minorEastAsia" w:eastAsiaTheme="minorEastAsia" w:cstheme="minorEastAsia"/>
          <w:color w:val="auto"/>
          <w:sz w:val="21"/>
          <w:szCs w:val="21"/>
          <w:highlight w:val="none"/>
        </w:rPr>
        <w:t>开标</w:t>
      </w:r>
      <w:bookmarkEnd w:id="78"/>
      <w:bookmarkEnd w:id="79"/>
      <w:bookmarkEnd w:id="80"/>
      <w:bookmarkEnd w:id="81"/>
      <w:bookmarkEnd w:id="82"/>
      <w:bookmarkEnd w:id="83"/>
      <w:bookmarkEnd w:id="84"/>
      <w:bookmarkEnd w:id="85"/>
    </w:p>
    <w:p>
      <w:pPr>
        <w:pStyle w:val="5"/>
        <w:numPr>
          <w:ilvl w:val="0"/>
          <w:numId w:val="23"/>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w:t>
      </w:r>
    </w:p>
    <w:p>
      <w:pPr>
        <w:numPr>
          <w:ilvl w:val="0"/>
          <w:numId w:val="24"/>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开标时间和地点：见“投标人须知前附表”。</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86" w:name="_Toc29972"/>
      <w:r>
        <w:rPr>
          <w:rFonts w:hint="eastAsia" w:asciiTheme="minorEastAsia" w:hAnsiTheme="minorEastAsia" w:eastAsiaTheme="minorEastAsia" w:cstheme="minorEastAsia"/>
          <w:color w:val="auto"/>
          <w:sz w:val="21"/>
          <w:szCs w:val="21"/>
          <w:highlight w:val="none"/>
        </w:rPr>
        <w:t>评标</w:t>
      </w:r>
      <w:bookmarkEnd w:id="86"/>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bookmarkStart w:id="87" w:name="_Toc99423281"/>
      <w:r>
        <w:rPr>
          <w:rFonts w:hint="eastAsia" w:asciiTheme="minorEastAsia" w:hAnsiTheme="minorEastAsia" w:eastAsiaTheme="minorEastAsia" w:cstheme="minorEastAsia"/>
          <w:color w:val="auto"/>
          <w:sz w:val="21"/>
          <w:szCs w:val="21"/>
          <w:highlight w:val="none"/>
        </w:rPr>
        <w:t>6.1评标工作</w:t>
      </w:r>
      <w:bookmarkEnd w:id="87"/>
    </w:p>
    <w:p>
      <w:pPr>
        <w:numPr>
          <w:ilvl w:val="0"/>
          <w:numId w:val="2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评标由评标委员会负责，评标委员会由采购人代表和有关技术、经济等方面的专家组成，成员人数见“投标人须知前附表”。其中技术、经济等方面的专家不少于成员总数的三分之二。评标专家由采购人</w:t>
      </w:r>
      <w:r>
        <w:rPr>
          <w:rFonts w:hint="eastAsia" w:asciiTheme="minorEastAsia" w:hAnsiTheme="minorEastAsia" w:eastAsiaTheme="minorEastAsia" w:cstheme="minorEastAsia"/>
          <w:color w:val="auto"/>
          <w:highlight w:val="none"/>
          <w:lang w:val="en-US" w:eastAsia="zh-CN"/>
        </w:rPr>
        <w:t>或采购代理机构</w:t>
      </w:r>
      <w:r>
        <w:rPr>
          <w:rFonts w:hint="eastAsia" w:asciiTheme="minorEastAsia" w:hAnsiTheme="minorEastAsia" w:eastAsiaTheme="minorEastAsia" w:cstheme="minorEastAsia"/>
          <w:color w:val="auto"/>
          <w:highlight w:val="none"/>
        </w:rPr>
        <w:t>从河南省财政厅政府采购专家库中提交抽取申请，有关人员对评标委员会成员名单须严格保密。</w:t>
      </w:r>
    </w:p>
    <w:p>
      <w:pPr>
        <w:numPr>
          <w:ilvl w:val="0"/>
          <w:numId w:val="2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评标工作由评标委员会（下称评委会）主持，对所有投标人的投标文件进行评审，并依评分由高到低的顺序推荐出</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名中标候选人。</w:t>
      </w:r>
    </w:p>
    <w:p>
      <w:pPr>
        <w:numPr>
          <w:ilvl w:val="0"/>
          <w:numId w:val="25"/>
        </w:numPr>
        <w:tabs>
          <w:tab w:val="left" w:pos="993"/>
        </w:tabs>
        <w:adjustRightInd w:val="0"/>
        <w:snapToGrid w:val="0"/>
        <w:spacing w:line="440" w:lineRule="exact"/>
        <w:ind w:left="0" w:firstLine="42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依据《政府采购货物和服务招标投标管理办法》(财政部令87号)四十四条“公开招标采购项目开标结束后，采购人或者采购代理机构应当依法对投标人的资格进行审查。”</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bookmarkStart w:id="88" w:name="_Toc99423282"/>
      <w:r>
        <w:rPr>
          <w:rFonts w:hint="eastAsia" w:asciiTheme="minorEastAsia" w:hAnsiTheme="minorEastAsia" w:eastAsiaTheme="minorEastAsia" w:cstheme="minorEastAsia"/>
          <w:color w:val="auto"/>
          <w:sz w:val="21"/>
          <w:szCs w:val="21"/>
          <w:highlight w:val="none"/>
        </w:rPr>
        <w:t>6.2投标文件的澄清</w:t>
      </w:r>
      <w:bookmarkEnd w:id="88"/>
    </w:p>
    <w:p>
      <w:pPr>
        <w:pStyle w:val="37"/>
        <w:numPr>
          <w:ilvl w:val="0"/>
          <w:numId w:val="2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在评标过程中，对于投标文件中含义不明确、同类问题表述不一致或者有明显文字和计算错误的内容，评标委员会应当以书面形式要求投标人作出必要的澄清、说明或者补正。</w:t>
      </w:r>
    </w:p>
    <w:p>
      <w:pPr>
        <w:pStyle w:val="37"/>
        <w:numPr>
          <w:ilvl w:val="0"/>
          <w:numId w:val="2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投标人的澄清、说明或者补正应当采用书面形式，并加盖公章，或者由法定代表人或其授权的代表签字。投标人的澄清、说明或者补正不得超出投标文件的范围或者改变投标文件的实质性内容。</w:t>
      </w:r>
      <w:bookmarkStart w:id="89" w:name="_Toc99423283"/>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6.3投标文件的初审</w:t>
      </w:r>
      <w:bookmarkEnd w:id="89"/>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评委会将审查投标文件是否完整、总体编排是否有序、文件签署是否合格、有无计算上的错误等。</w:t>
      </w:r>
    </w:p>
    <w:p>
      <w:pPr>
        <w:numPr>
          <w:ilvl w:val="0"/>
          <w:numId w:val="27"/>
        </w:numPr>
        <w:tabs>
          <w:tab w:val="left" w:pos="993"/>
          <w:tab w:val="left" w:pos="1134"/>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允许修正投标文件中不构成重大偏离的、微小的、非正规的、不一致或不规则的地方。</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对投标文件进行详细评审之前，评标委员会将确定投标文件是否对招标文件的要求做出了实质性的响应，而没有重大偏离。实质性响应的投标是指投标符合招标文件的实质性条款、条件和规定且没有重大偏离和保留。重大偏离和保留是指对招标文件规定的采购需求、交货期、质量保证期、投标有效期、付款方式等产生重大或不可接受的偏差，或限制了采购</w:t>
      </w:r>
      <w:r>
        <w:rPr>
          <w:rFonts w:hint="eastAsia" w:asciiTheme="minorEastAsia" w:hAnsiTheme="minorEastAsia" w:eastAsiaTheme="minorEastAsia" w:cstheme="minorEastAsia"/>
          <w:color w:val="auto"/>
          <w:highlight w:val="none"/>
          <w:lang w:val="en-US" w:eastAsia="zh-CN"/>
        </w:rPr>
        <w:t>代理</w:t>
      </w:r>
      <w:r>
        <w:rPr>
          <w:rFonts w:hint="eastAsia" w:asciiTheme="minorEastAsia" w:hAnsiTheme="minorEastAsia" w:eastAsiaTheme="minorEastAsia" w:cstheme="minorEastAsia"/>
          <w:color w:val="auto"/>
          <w:highlight w:val="none"/>
        </w:rPr>
        <w:t>机构、采购人的权利和投标人的义务的规定，而纠正这些偏离将影响到其它提交实质性响应投标的投标人的公平竞争地位。</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评委会判断投标文件的响应性仅基于投标文件本身内容而不靠外部证据。</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评委会将依据投标人提供的资格证明文件审查投标人的财务、技术和生产能力。</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6.4评标原则</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(1)按照“公正、公平”的原则对待所有投标人。</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(2)坚持招标文件的所有相关规定，公平评标。</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6.5评标标准</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在招标采购中，出现下列情形之一的，应予废标：</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（一）符合专业条件的投标人或者对招标文件作实质响应的投标人不足三家的；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（二）出现影响采购公正的违法、违规行为的；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（三）投标人的报价均超过了采购预算，采购人不能支付的；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（四）因重大变故，采购任务取消的。</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投标人存在下列情况之一的，投标无效：</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（一）投标文件未按招标文件要求签署、盖章的；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（二）不具备招标文件中规定的资格要求的；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（三）报价超过招标文件中规定的预算金额或者最高限价的；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（四）投标文件含有采购人不能接受的附加条件的；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（五）不满足招标文件实质性条款的；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（六）法律、法规和招标文件规定的其他无效情形。</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有下列情形之一的，视为投标人串通投标，其投标无效：</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（一）不同投标人的投标文件由同一单位或者个人编制；</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（二）不同投标人委托同一单位或者个人办理投标事宜；</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（三）不同投标人的投标文件载明的项目管理成员或者联系人员为同一人；</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（四）不同投标人的投标文件异常一致或者投标报价呈规律性差异。</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常用评标办法解释</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综合评分法：《政府采购货物和服务招标投标管理办法》(财政部令87号)五十五条的规定，“综合评分法，是指投标文件满足招标文件全部实质性要求，且按照评审因素的量化指标评审得分最高的投标人为中标候选人的评标方法”。</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中标标准</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采用综合评分法评标时，综合得分最高的投标人作为中标候选人或中标人。</w:t>
      </w:r>
    </w:p>
    <w:p>
      <w:pPr>
        <w:pStyle w:val="204"/>
        <w:adjustRightInd w:val="0"/>
        <w:snapToGrid w:val="0"/>
        <w:spacing w:line="440" w:lineRule="exact"/>
        <w:ind w:firstLine="422" w:firstLineChars="200"/>
        <w:rPr>
          <w:rFonts w:asciiTheme="minorEastAsia" w:hAnsiTheme="minorEastAsia" w:eastAsiaTheme="minorEastAsia" w:cstheme="minorEastAsia"/>
          <w:b/>
          <w:bCs/>
          <w:color w:val="auto"/>
          <w:highlight w:val="none"/>
        </w:rPr>
      </w:pPr>
      <w:bookmarkStart w:id="90" w:name="_Toc99423287"/>
      <w:r>
        <w:rPr>
          <w:rFonts w:hint="eastAsia" w:asciiTheme="minorEastAsia" w:hAnsiTheme="minorEastAsia" w:eastAsiaTheme="minorEastAsia" w:cstheme="minorEastAsia"/>
          <w:b/>
          <w:bCs/>
          <w:color w:val="auto"/>
          <w:highlight w:val="none"/>
        </w:rPr>
        <w:t>评标结果汇总完成后，除下列情形外，任何人不得修改评标结果：</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（一）分值汇总计算错误的；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（二）分项评分超出评分标准范围的；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（三）评标委员会成员对客观评审因素评分不一致的；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（四）经评标委员会认定评分畸高、畸低的。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投标人对本条第一款情形提出质疑的，采购人或者采购代理机构可以组织原评标委员会进行重新评审，重新评审改变评标结果的，应当书面报告本级财政部门。</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6.6保密及其它注意事项</w:t>
      </w:r>
      <w:bookmarkEnd w:id="90"/>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6.6.1评标是招标工作的重要环节，评标工作在评委会内独立进行。</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6.6.2评委会将遵照规定的评标方法，公正、平等地对待所有投标人。</w:t>
      </w:r>
    </w:p>
    <w:p>
      <w:pPr>
        <w:pStyle w:val="37"/>
        <w:keepNext w:val="0"/>
        <w:keepLines w:val="0"/>
        <w:pageBreakBefore w:val="0"/>
        <w:widowControl w:val="0"/>
        <w:tabs>
          <w:tab w:val="left" w:pos="993"/>
        </w:tabs>
        <w:kinsoku/>
        <w:wordWrap/>
        <w:overflowPunct/>
        <w:topLinePunct w:val="0"/>
        <w:autoSpaceDE/>
        <w:autoSpaceDN/>
        <w:bidi w:val="0"/>
        <w:adjustRightInd w:val="0"/>
        <w:snapToGrid w:val="0"/>
        <w:spacing w:line="440" w:lineRule="exact"/>
        <w:ind w:left="0" w:leftChars="0"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6.6.3在开标、评标期间，投标人不得向评委询问评标情况，不得进行旨在影响评标结果的活动，否则其投标可能被拒绝。</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6.6.4为保证评标的公正性，开标后直至授予投标人合同，评委不得与投标人私下交换意见。</w:t>
      </w:r>
    </w:p>
    <w:p>
      <w:pPr>
        <w:pStyle w:val="37"/>
        <w:keepNext w:val="0"/>
        <w:keepLines w:val="0"/>
        <w:pageBreakBefore w:val="0"/>
        <w:widowControl w:val="0"/>
        <w:tabs>
          <w:tab w:val="left" w:pos="993"/>
        </w:tabs>
        <w:kinsoku/>
        <w:wordWrap/>
        <w:overflowPunct/>
        <w:topLinePunct w:val="0"/>
        <w:autoSpaceDE/>
        <w:autoSpaceDN/>
        <w:bidi w:val="0"/>
        <w:adjustRightInd w:val="0"/>
        <w:snapToGrid w:val="0"/>
        <w:spacing w:line="440" w:lineRule="exact"/>
        <w:ind w:left="0" w:leftChars="0"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6.6.5采购人、采购代理机构应当采取必要措施，保证评标在严格保密的情况下进行。除采购人代表、评标现场组织人员外，采购人的其他工作人员以及与评标工作无关的人员不得进入评标现场。</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6.6.6有关人员对评标情况以及在评标过程中获悉的国家秘密、商业秘密负有保密责任。</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91" w:name="_Toc22570501"/>
      <w:bookmarkStart w:id="92" w:name="_Toc99423288"/>
      <w:bookmarkStart w:id="93" w:name="_Toc22568794"/>
      <w:bookmarkStart w:id="94" w:name="_Toc22962883"/>
      <w:bookmarkStart w:id="95" w:name="_Toc22804080"/>
      <w:bookmarkStart w:id="96" w:name="_Toc22953402"/>
      <w:bookmarkStart w:id="97" w:name="_Toc17940"/>
      <w:bookmarkStart w:id="98" w:name="_Toc22723961"/>
      <w:r>
        <w:rPr>
          <w:rFonts w:hint="eastAsia" w:asciiTheme="minorEastAsia" w:hAnsiTheme="minorEastAsia" w:eastAsiaTheme="minorEastAsia" w:cstheme="minorEastAsia"/>
          <w:color w:val="auto"/>
          <w:sz w:val="21"/>
          <w:szCs w:val="21"/>
          <w:highlight w:val="none"/>
        </w:rPr>
        <w:t>授予合同</w:t>
      </w:r>
      <w:bookmarkEnd w:id="91"/>
      <w:bookmarkEnd w:id="92"/>
      <w:bookmarkEnd w:id="93"/>
      <w:bookmarkEnd w:id="94"/>
      <w:bookmarkEnd w:id="95"/>
      <w:bookmarkEnd w:id="96"/>
      <w:bookmarkEnd w:id="97"/>
      <w:bookmarkEnd w:id="98"/>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99" w:name="_Toc99423289"/>
      <w:r>
        <w:rPr>
          <w:rFonts w:hint="eastAsia" w:asciiTheme="minorEastAsia" w:hAnsiTheme="minorEastAsia" w:eastAsiaTheme="minorEastAsia" w:cstheme="minorEastAsia"/>
          <w:color w:val="auto"/>
          <w:sz w:val="21"/>
          <w:szCs w:val="21"/>
          <w:highlight w:val="none"/>
        </w:rPr>
        <w:t>合同授予标准</w:t>
      </w:r>
      <w:bookmarkEnd w:id="99"/>
    </w:p>
    <w:p>
      <w:pPr>
        <w:numPr>
          <w:ilvl w:val="0"/>
          <w:numId w:val="30"/>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除第7.4条的规定之外，采购人将把合同授予被确定为实质上响应招标文件要求，并有履行合同能力的评标价最低或评分最高的投标人作为中标人。</w:t>
      </w:r>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100" w:name="_Toc99423290"/>
      <w:r>
        <w:rPr>
          <w:rFonts w:hint="eastAsia" w:asciiTheme="minorEastAsia" w:hAnsiTheme="minorEastAsia" w:eastAsiaTheme="minorEastAsia" w:cstheme="minorEastAsia"/>
          <w:color w:val="auto"/>
          <w:sz w:val="21"/>
          <w:szCs w:val="21"/>
          <w:highlight w:val="none"/>
        </w:rPr>
        <w:t>授标时更改采购货物数量的权力</w:t>
      </w:r>
      <w:bookmarkEnd w:id="100"/>
    </w:p>
    <w:p>
      <w:pPr>
        <w:numPr>
          <w:ilvl w:val="0"/>
          <w:numId w:val="3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采购人在授予合同时有权在“投标人须知前附表”规定的范围内，对项目需求中规定的货物的数量予以增加或减少，但不得对货物单价及伴随服务内容或其它实质性的条款和条件做任何改变。</w:t>
      </w:r>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中标结果</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采购代理机构应当在评标结束后2个工作日内将评标报告送采购人。</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采购人应当自收到评标报告之日起5个工作日内，在评标报告确定的中标候选人名单中按顺序确定中标人。得分相同的，按投标报价由低到高顺序排列。得分与投标报价均相同的，按技术指标优劣排列。</w:t>
      </w:r>
      <w:r>
        <w:rPr>
          <w:rFonts w:hint="eastAsia" w:asciiTheme="minorEastAsia" w:hAnsiTheme="minorEastAsia" w:eastAsiaTheme="minorEastAsia" w:cstheme="minorEastAsia"/>
          <w:color w:val="auto"/>
          <w:spacing w:val="-2"/>
          <w:sz w:val="21"/>
          <w:szCs w:val="21"/>
          <w:highlight w:val="none"/>
        </w:rPr>
        <w:t>如因其他特殊原因不能在收到评标报告后五个工作日内，确定中标投标人的，确认结果时间可以适当延长，但最长期限不得超过第一中标候选人的投标有效期。</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采购人在收到评标报告5个工作日内未按评标报告推荐的中标候选人顺序确定中标人，又不能说明合法理由的，视同按评标报告推荐的顺序确定排名第一的中标候选人为中标人。</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采购人或者采购代理机构应当自中标人确定之日起2个工作日内，在财政部门指定的媒体上公告中标结果，招标文件应当随中标结果同时公告。</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中标结果公告内容应当按照财政部第19号令、财库（2015）135号及《政府采购货物和服务招标投标管理办法》(财政部令87号)规定内容编制。</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中标公告期限为1个工作日。</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邀请招标采购人采用书面推荐方式产生符合资格条件的潜在投标人的，还应当将所有被推荐投标人名单和推荐理由随中标结果同时公告。</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在公告中标结果的同时，采购人或者采购代理机构应当向中标人发出中标通知书；对未通过资格审查的投标人，应当告知其未通过的原因。</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中标或者成交供应商拒绝与采购人签订合同的，采购人可以按照评标报告推荐的中标或者成交候选人名单排序，确定下一候选人为中标或者成交供应商，也可以重新开展政府采购活动。</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1" w:name="_Toc99423292"/>
      <w:r>
        <w:rPr>
          <w:rFonts w:hint="eastAsia" w:asciiTheme="minorEastAsia" w:hAnsiTheme="minorEastAsia" w:eastAsiaTheme="minorEastAsia" w:cstheme="minorEastAsia"/>
          <w:color w:val="auto"/>
          <w:sz w:val="21"/>
          <w:szCs w:val="21"/>
          <w:highlight w:val="none"/>
        </w:rPr>
        <w:t>接受和拒绝任何或所有投标的权力</w:t>
      </w:r>
      <w:bookmarkEnd w:id="101"/>
    </w:p>
    <w:p>
      <w:pPr>
        <w:numPr>
          <w:ilvl w:val="0"/>
          <w:numId w:val="33"/>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如出现重大变故，采购任务取消情况，采购代理机构和采购人保留因此原因在授标之前任何时候接受或拒绝任何投标、以及宣布招标无效或拒绝所有投标的权力，对受影响的投标人不承担任何责任。</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2" w:name="_Toc99423293"/>
      <w:r>
        <w:rPr>
          <w:rFonts w:hint="eastAsia" w:asciiTheme="minorEastAsia" w:hAnsiTheme="minorEastAsia" w:eastAsiaTheme="minorEastAsia" w:cstheme="minorEastAsia"/>
          <w:color w:val="auto"/>
          <w:sz w:val="21"/>
          <w:szCs w:val="21"/>
          <w:highlight w:val="none"/>
        </w:rPr>
        <w:t>中标通知书</w:t>
      </w:r>
      <w:bookmarkEnd w:id="102"/>
    </w:p>
    <w:p>
      <w:pPr>
        <w:numPr>
          <w:ilvl w:val="0"/>
          <w:numId w:val="34"/>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在投标有效期满之前，采购代理机构将以书面形式通知中标人中标。</w:t>
      </w:r>
    </w:p>
    <w:p>
      <w:pPr>
        <w:numPr>
          <w:ilvl w:val="0"/>
          <w:numId w:val="34"/>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中标通知书将作为进行合同谈判和签订合同的依据。</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3" w:name="_Toc99423294"/>
      <w:r>
        <w:rPr>
          <w:rFonts w:hint="eastAsia" w:asciiTheme="minorEastAsia" w:hAnsiTheme="minorEastAsia" w:eastAsiaTheme="minorEastAsia" w:cstheme="minorEastAsia"/>
          <w:color w:val="auto"/>
          <w:sz w:val="21"/>
          <w:szCs w:val="21"/>
          <w:highlight w:val="none"/>
        </w:rPr>
        <w:t>签订合同</w:t>
      </w:r>
      <w:bookmarkEnd w:id="103"/>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采购人应当自中标通知书发出之日起15日内，按照招标文件和中标人投标文件的规定，与中标人签订书面合同。所签订的合同不得对招标文件确定的事项和中标人投标文件作实质性修改。</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采购人不得向中标人提出任何不合理的要求作为签订合同的条件。</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中标人应按中标通知书指定的时间、地点，与采购人进行合同谈判。</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招标文件、中标人的投标文件和澄清文件等，均应作为签约的合同文本的基础。</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如采购人或中标人拒签合同，则按违约处理。</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如中标人不按第7.6.1条约定签合同，采购代理机构和采购人将报请政府采购行政主管部门将取消其中标决定。</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b w:val="0"/>
          <w:bCs w:val="0"/>
          <w:color w:val="auto"/>
          <w:sz w:val="21"/>
          <w:szCs w:val="21"/>
          <w:highlight w:val="none"/>
        </w:rPr>
      </w:pPr>
      <w:bookmarkStart w:id="104" w:name="_Toc99423295"/>
      <w:r>
        <w:rPr>
          <w:rFonts w:hint="eastAsia" w:asciiTheme="minorEastAsia" w:hAnsiTheme="minorEastAsia" w:eastAsiaTheme="minorEastAsia" w:cstheme="minorEastAsia"/>
          <w:color w:val="auto"/>
          <w:sz w:val="21"/>
          <w:szCs w:val="21"/>
          <w:highlight w:val="none"/>
        </w:rPr>
        <w:t>履约</w:t>
      </w:r>
      <w:bookmarkEnd w:id="104"/>
      <w:r>
        <w:rPr>
          <w:rFonts w:hint="eastAsia" w:asciiTheme="minorEastAsia" w:hAnsiTheme="minorEastAsia" w:eastAsiaTheme="minorEastAsia" w:cstheme="minorEastAsia"/>
          <w:color w:val="auto"/>
          <w:sz w:val="21"/>
          <w:szCs w:val="21"/>
          <w:highlight w:val="none"/>
        </w:rPr>
        <w:t>担保</w:t>
      </w:r>
    </w:p>
    <w:p>
      <w:pPr>
        <w:adjustRightInd w:val="0"/>
        <w:snapToGrid w:val="0"/>
        <w:spacing w:line="480" w:lineRule="exact"/>
        <w:ind w:firstLine="420" w:firstLineChars="200"/>
        <w:rPr>
          <w:rFonts w:asciiTheme="minorEastAsia" w:hAnsiTheme="minorEastAsia" w:eastAsiaTheme="minorEastAsia" w:cstheme="minorEastAsia"/>
          <w:color w:val="auto"/>
          <w:highlight w:val="none"/>
        </w:rPr>
      </w:pPr>
      <w:bookmarkStart w:id="105" w:name="_Toc99423296"/>
      <w:r>
        <w:rPr>
          <w:rFonts w:hint="eastAsia" w:asciiTheme="minorEastAsia" w:hAnsiTheme="minorEastAsia" w:eastAsiaTheme="minorEastAsia" w:cstheme="minorEastAsia"/>
          <w:color w:val="auto"/>
          <w:highlight w:val="none"/>
        </w:rPr>
        <w:t>中标人应按招标文件的规定向采购人提交履约保证金。采购人不得以中标人事先缴纳履约保证金作为签订合同的条件,并应在中标人履行完合同约定义务事项后及时退还。</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中标服务费</w:t>
      </w:r>
      <w:bookmarkEnd w:id="105"/>
    </w:p>
    <w:p>
      <w:pPr>
        <w:adjustRightInd w:val="0"/>
        <w:snapToGrid w:val="0"/>
        <w:spacing w:line="48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中标人应在领取中标通知书的同时，按第二章“投标人须知前附表”中的规定向采购代理机构支付中标服务费。</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6" w:name="_Toc15980"/>
      <w:r>
        <w:rPr>
          <w:rFonts w:hint="eastAsia" w:asciiTheme="minorEastAsia" w:hAnsiTheme="minorEastAsia" w:eastAsiaTheme="minorEastAsia" w:cstheme="minorEastAsia"/>
          <w:color w:val="auto"/>
          <w:sz w:val="21"/>
          <w:szCs w:val="21"/>
          <w:highlight w:val="none"/>
        </w:rPr>
        <w:t>重新招标</w:t>
      </w:r>
      <w:bookmarkEnd w:id="106"/>
    </w:p>
    <w:p>
      <w:pPr>
        <w:pStyle w:val="5"/>
        <w:numPr>
          <w:ilvl w:val="2"/>
          <w:numId w:val="36"/>
        </w:numPr>
        <w:tabs>
          <w:tab w:val="left" w:pos="709"/>
        </w:tabs>
        <w:adjustRightInd w:val="0"/>
        <w:snapToGrid w:val="0"/>
        <w:spacing w:before="0" w:after="0" w:line="440" w:lineRule="exact"/>
        <w:ind w:left="0" w:firstLine="28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有下列情形之一的，采购人将重新招标：</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投标截止时间止，投标人少于3个的；</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公开招标采购项目开标结束后，采购人或者采购代理机构应当依法对投标人的资格进行审查。合格投标人不足3家的，不得评标；</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经评审小组评审后否决所有投标的。</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7" w:name="_Toc14156"/>
      <w:r>
        <w:rPr>
          <w:rFonts w:hint="eastAsia" w:asciiTheme="minorEastAsia" w:hAnsiTheme="minorEastAsia" w:eastAsiaTheme="minorEastAsia" w:cstheme="minorEastAsia"/>
          <w:color w:val="auto"/>
          <w:sz w:val="21"/>
          <w:szCs w:val="21"/>
          <w:highlight w:val="none"/>
        </w:rPr>
        <w:t>纪律和监督</w:t>
      </w:r>
      <w:bookmarkEnd w:id="107"/>
    </w:p>
    <w:p>
      <w:pPr>
        <w:pStyle w:val="5"/>
        <w:numPr>
          <w:ilvl w:val="1"/>
          <w:numId w:val="38"/>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纪律要求</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采购人不得泄漏采购活动中应当保密的情况和资料，不得与投标人串通损害国家利益、社会公共利益或者他人合法权益。</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投标人不得相互串通投标或者与采购人串通投标，不得向采购人或者评审小组行贿谋取中标，不得以他人名义投标或者以其他方式弄虚作假骗取中标；投标人不得以任何方式干扰、影响评审工作。</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评审专家应当遵守评审工作纪律、不得泄露评审情况和评审中获悉的国家秘密、商业秘密。</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评审小组在评审过程中发现投标人有行贿、提供虚假材料或者串通等违法行为的，应当及时向财政部门报告。</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评审专家在评审过程中受到非法干涉的，应当及时向财政、监察等部门举报。</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与评审活动有关的工作人员不得收受他人的财物或者其他好处，不得向他人透漏获悉的国家秘密、商业秘密。在评审活动中，与评审活动有关的工作人员不得擅离职守，影响评审程序正常进行。</w:t>
      </w:r>
    </w:p>
    <w:p>
      <w:pPr>
        <w:pStyle w:val="5"/>
        <w:numPr>
          <w:ilvl w:val="1"/>
          <w:numId w:val="38"/>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质疑、投诉</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为保护政府采购当事人的合法权益，维护政府采购公平竞争环境，建立规范高效的政府采购质疑处理机制，依据《中国人民共和国政府采购法》、《政府采购质疑和投诉办法》（财政部94号令）、《财政部关于加强政府采购投标人投诉受理审查工作的通知》（财库[2007]1号）、豫财办购[2005]23号文件等文件的规定，制定本暂行须知。</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本须知所称被质疑人是指采购人和政府采购代理机构。</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本须知所称投标人是指符合《政府采购法》的规定条件，参与政府采购竞争活动的当事人。</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如果对招标文件相关条款有何疑义或疑问，可以在知道或者应当知道其权益受到损害之日起7个工作日内（不足7个工作日的必须在投标截止3个日历日前）向采购人和采购代理机构分别提出，否则均视为可接受条款，开标后不再受理对招标文件相关条款的质疑。</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各有关当事人认为采购过程、预中标(成交)结果或中标(成交)结果使自己的权益受到损害的，可以在知道或者应当知道其权益受到损害之日起7个工作日内，以书面形式同时向采购人和河南大明建设工程管理有限公司提出质疑(加盖单位公章且法人签字)，由法定代表人或其原授权代表亲自携带企业营业执照副本原件及本人身份证件（原件）一并提交（邮寄、传真件不予受理），并以质疑函接受确认日期作为受理时间。逾期未提交或未按照要求提交的质疑函将不予受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投标人质疑应当符合下列条件：</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（一）必须是参与该质疑政府采购项目活动的投标人；</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（二）在质疑有效期内提出的质疑；</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（三）政府采购监督管理部门规定的其他条件。</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投标人的书面质疑应当包括以下主要内容：</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（一）供应商的姓名或者名称、地址、邮编、联系人及联系电话；</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（二）质疑项目的名称、编号；</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（三）具体、明确的质疑事项和与质疑事项相关的请求；</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（四）事实依据；</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（五）必要的法律依据；</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（六）提出质疑的日期。</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供应商为自然人的，应当由本人签字；供应商为法人或者其他组织的，应当由法定代表人、主要负责人，或者其授权代表签字或者盖章，并加盖公章。</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如出现质疑事项不清晰、质疑相关依据或证明材料不全、不符合本须知第四条、第五条的规定等情形，均视为无效质疑，投标人应当依据上述规定重新修改质疑文件，并在规定的期限内提交，逾期不予受理。质疑事项属于有关法律、法规和规章规定处于保密阶段的事项，质疑人应提供有效证据，否则，将认定为无效质疑事项。</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投标人的书面质疑属于下列情形之一的，被质疑人可不予受理，并告知其不予受理的原因：</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（一）不是参与该政府采购项目活动的投标人；</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（二）已超过法律规定的质疑期限的；</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（三）匿名的、无法开展调查取证的。</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质疑人拒绝配合采购人和采购代理机构依法进行调查的，按自动撤回质疑处理。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被质疑人应当在收到投标人的书面质疑后7个工作日内做出答复，并以书面形式通知质疑投标人和其他有关投标人。但答复的内容不得涉及商业秘密。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经调查核实，对质疑事项分别作出下列处理决定：</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（一）质疑人撤回质疑的，终止质疑处理；</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（二）质疑缺乏事实依据的，驳回质疑；</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（三）质疑事项经查证属实的，将按照政府采购有关法律规定处理。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质疑人捏造事实或者提供虚假质疑材料的,属于虚假、恶意质疑，被质疑人应当驳回质疑，并向同级政府采购监督管理部门报告，核实后将其列入不良行为记录名单，并依法予以处罚。</w:t>
      </w:r>
    </w:p>
    <w:p>
      <w:pPr>
        <w:pStyle w:val="4"/>
        <w:numPr>
          <w:ilvl w:val="0"/>
          <w:numId w:val="1"/>
        </w:numPr>
        <w:tabs>
          <w:tab w:val="left" w:pos="721"/>
          <w:tab w:val="left" w:pos="4111"/>
          <w:tab w:val="left" w:pos="4253"/>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8" w:name="_Toc31526"/>
      <w:r>
        <w:rPr>
          <w:rFonts w:hint="eastAsia" w:asciiTheme="minorEastAsia" w:hAnsiTheme="minorEastAsia" w:eastAsiaTheme="minorEastAsia" w:cstheme="minorEastAsia"/>
          <w:color w:val="auto"/>
          <w:sz w:val="21"/>
          <w:szCs w:val="21"/>
          <w:highlight w:val="none"/>
        </w:rPr>
        <w:t>需要补充的其他内容</w:t>
      </w:r>
      <w:bookmarkEnd w:id="108"/>
    </w:p>
    <w:p>
      <w:pPr>
        <w:pStyle w:val="27"/>
        <w:snapToGrid w:val="0"/>
        <w:spacing w:line="4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需要补充的其他内容：见投标人须知前附表。</w:t>
      </w:r>
    </w:p>
    <w:p>
      <w:pPr>
        <w:pStyle w:val="3"/>
        <w:tabs>
          <w:tab w:val="left" w:pos="1134"/>
          <w:tab w:val="left" w:pos="4820"/>
          <w:tab w:val="left" w:pos="4962"/>
        </w:tabs>
        <w:adjustRightInd w:val="0"/>
        <w:snapToGrid w:val="0"/>
        <w:spacing w:before="0" w:after="0" w:line="440" w:lineRule="exact"/>
        <w:rPr>
          <w:rFonts w:ascii="??" w:hAnsi="??" w:cs="??"/>
          <w:color w:val="auto"/>
          <w:sz w:val="32"/>
          <w:szCs w:val="32"/>
          <w:highlight w:val="none"/>
        </w:rPr>
      </w:pPr>
      <w:bookmarkStart w:id="109" w:name="_Toc22953441"/>
      <w:bookmarkStart w:id="110" w:name="_Toc22804119"/>
      <w:bookmarkStart w:id="111" w:name="_Toc22724000"/>
      <w:bookmarkStart w:id="112" w:name="_Toc22568833"/>
      <w:bookmarkStart w:id="113" w:name="_Toc22962922"/>
      <w:bookmarkStart w:id="114" w:name="_Toc99423336"/>
      <w:bookmarkStart w:id="115" w:name="_Toc22570540"/>
      <w:r>
        <w:rPr>
          <w:color w:val="auto"/>
          <w:highlight w:val="none"/>
        </w:rPr>
        <w:br w:type="page"/>
      </w:r>
      <w:bookmarkStart w:id="116" w:name="_Toc26520"/>
      <w:r>
        <w:rPr>
          <w:rFonts w:hint="eastAsia" w:ascii="宋体" w:hAnsi="宋体" w:cs="宋体"/>
          <w:color w:val="auto"/>
          <w:sz w:val="32"/>
          <w:szCs w:val="32"/>
          <w:highlight w:val="none"/>
        </w:rPr>
        <w:t>第三章 评标办法</w:t>
      </w:r>
      <w:bookmarkEnd w:id="116"/>
    </w:p>
    <w:p>
      <w:pPr>
        <w:bidi w:val="0"/>
        <w:jc w:val="center"/>
        <w:rPr>
          <w:rFonts w:hint="eastAsia"/>
          <w:b/>
          <w:bCs/>
          <w:sz w:val="32"/>
          <w:szCs w:val="32"/>
        </w:rPr>
      </w:pPr>
      <w:r>
        <w:rPr>
          <w:rFonts w:hint="eastAsia"/>
          <w:b/>
          <w:bCs/>
          <w:sz w:val="32"/>
          <w:szCs w:val="32"/>
        </w:rPr>
        <w:t>评标方法前附表</w:t>
      </w:r>
    </w:p>
    <w:tbl>
      <w:tblPr>
        <w:tblStyle w:val="4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77"/>
        <w:gridCol w:w="387"/>
        <w:gridCol w:w="1366"/>
        <w:gridCol w:w="6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37"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条款号</w:t>
            </w: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评审因素</w:t>
            </w:r>
          </w:p>
        </w:tc>
        <w:tc>
          <w:tcPr>
            <w:tcW w:w="6368" w:type="dxa"/>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2.1.1</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资格</w:t>
            </w:r>
          </w:p>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审查</w:t>
            </w:r>
          </w:p>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标准</w:t>
            </w: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具有独立承担民事责任的能力</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提供有效的营业执照、税务登记证、组织机构代码证或三证合一营业执照或电子营业执照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color w:val="auto"/>
                <w:highlight w:val="none"/>
              </w:rPr>
              <w:t>具有良好的商业信誉和健全的财务会计制度</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具有履行合同所必需的设备和专业技术能力</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有依法缴纳税收和社会保障资金的良好记录</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color w:val="auto"/>
                <w:highlight w:val="none"/>
              </w:rPr>
              <w:t>参加政府采购活动前三年内，在经营活动中没有重大违法记录</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若所投设备为进口设备</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进口产品需提供所投产品制造商或国内总代理商出具的授权书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信用查询</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color w:val="auto"/>
                <w:highlight w:val="none"/>
              </w:rPr>
              <w:t>提供中国执行公开网 “失信被执行人”和信用中国网“重大税收违法失信主体”，中国政府采购网“政府采购严重违法失信行为名单” 查询结果页面截图；若有不良记录，执行财库[2016]125号文；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单位负责人为同一人或存在控股、管理关系的不同单位，不得同时参加本项目的投标</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 “国家企业信用信息公示系统”中公示的公司信息、股东（或投资人）信息的截图。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9558" w:type="dxa"/>
            <w:gridSpan w:val="5"/>
            <w:vAlign w:val="center"/>
          </w:tcPr>
          <w:p>
            <w:pPr>
              <w:spacing w:line="43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依据《政府采购货物和服务招标投标管理办法》(财政部令87号)四十四条“公开招标采购项目开标结束后，采购人或者采购代理机构应当依法对投标人的资格进行审查。”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2.1.2</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形式评审标准</w:t>
            </w: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投标人名称</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spacing w:val="-4"/>
                <w:kern w:val="0"/>
              </w:rPr>
              <w:t>投标文件签字盖章</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符合第二章“投标人须知前附表”第3.10.3项的规定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投标报价</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只有一个有效报价且未超过最高限价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2.1.3</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符合性评审标准</w:t>
            </w: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lang w:val="en-US" w:eastAsia="zh-CN"/>
              </w:rPr>
              <w:t>供</w:t>
            </w:r>
            <w:r>
              <w:rPr>
                <w:rFonts w:hint="eastAsia" w:asciiTheme="minorEastAsia" w:hAnsiTheme="minorEastAsia" w:eastAsiaTheme="minorEastAsia" w:cstheme="minorEastAsia"/>
                <w:kern w:val="0"/>
              </w:rPr>
              <w:t>货期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rPr>
              <w:t>质量标准</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质保期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符合第二章“投标人须知前附表”第1.4.4项的规定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交货地点</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符合第二章“投标人须知前附表”第1.4.5项的规定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投标有效期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符合第二章“投标人须知前附表”第3.9.1款的规定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其他要求</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符合招标文件实质性要求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60" w:type="dxa"/>
            <w:vAlign w:val="center"/>
          </w:tcPr>
          <w:p>
            <w:pPr>
              <w:spacing w:line="320" w:lineRule="exact"/>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条款号</w:t>
            </w:r>
          </w:p>
        </w:tc>
        <w:tc>
          <w:tcPr>
            <w:tcW w:w="2430" w:type="dxa"/>
            <w:gridSpan w:val="3"/>
            <w:vAlign w:val="center"/>
          </w:tcPr>
          <w:p>
            <w:pPr>
              <w:spacing w:line="320" w:lineRule="exact"/>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条款内容</w:t>
            </w:r>
          </w:p>
        </w:tc>
        <w:tc>
          <w:tcPr>
            <w:tcW w:w="6368" w:type="dxa"/>
            <w:vAlign w:val="center"/>
          </w:tcPr>
          <w:p>
            <w:pPr>
              <w:adjustRightInd w:val="0"/>
              <w:spacing w:before="31" w:beforeLines="10" w:after="31" w:afterLines="10" w:line="320" w:lineRule="exact"/>
              <w:ind w:left="21" w:leftChars="10" w:right="21" w:rightChars="10"/>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60" w:type="dxa"/>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2.2</w:t>
            </w:r>
          </w:p>
        </w:tc>
        <w:tc>
          <w:tcPr>
            <w:tcW w:w="2430" w:type="dxa"/>
            <w:gridSpan w:val="3"/>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评审内容</w:t>
            </w:r>
          </w:p>
        </w:tc>
        <w:tc>
          <w:tcPr>
            <w:tcW w:w="6368" w:type="dxa"/>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2.2.1</w:t>
            </w:r>
          </w:p>
        </w:tc>
        <w:tc>
          <w:tcPr>
            <w:tcW w:w="2430" w:type="dxa"/>
            <w:gridSpan w:val="3"/>
            <w:noWrap/>
            <w:vAlign w:val="center"/>
          </w:tcPr>
          <w:p>
            <w:pPr>
              <w:adjustRightInd w:val="0"/>
              <w:snapToGrid w:val="0"/>
              <w:spacing w:line="276"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投标报价</w:t>
            </w:r>
          </w:p>
          <w:p>
            <w:pPr>
              <w:adjustRightInd w:val="0"/>
              <w:snapToGrid w:val="0"/>
              <w:spacing w:line="276"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rPr>
              <w:t>40分</w:t>
            </w:r>
          </w:p>
        </w:tc>
        <w:tc>
          <w:tcPr>
            <w:tcW w:w="6368" w:type="dxa"/>
            <w:noWrap/>
            <w:vAlign w:val="center"/>
          </w:tcPr>
          <w:p>
            <w:pPr>
              <w:spacing w:line="400" w:lineRule="exact"/>
              <w:rPr>
                <w:rFonts w:hint="eastAsia" w:ascii="宋体" w:hAnsi="宋体"/>
                <w:szCs w:val="24"/>
              </w:rPr>
            </w:pPr>
            <w:r>
              <w:rPr>
                <w:rFonts w:hint="eastAsia" w:ascii="宋体" w:hAnsi="宋体"/>
                <w:szCs w:val="24"/>
              </w:rPr>
              <w:t>报价采用低价优先法，即满足招标文件要求且投标价格最低的投标报价为评标基准价，其价格分为满分。其它投标人的价格得分统一按照以下公式计算：</w:t>
            </w:r>
          </w:p>
          <w:p>
            <w:pPr>
              <w:spacing w:line="400" w:lineRule="exact"/>
              <w:rPr>
                <w:rFonts w:hint="eastAsia" w:ascii="宋体" w:hAnsi="宋体"/>
                <w:szCs w:val="24"/>
              </w:rPr>
            </w:pPr>
            <w:r>
              <w:rPr>
                <w:rFonts w:hint="eastAsia" w:ascii="宋体" w:hAnsi="宋体"/>
                <w:szCs w:val="24"/>
              </w:rPr>
              <w:t>投标报价得分=（评标基准价/投标报价）×40。</w:t>
            </w:r>
          </w:p>
          <w:p>
            <w:pPr>
              <w:spacing w:line="400" w:lineRule="exact"/>
              <w:rPr>
                <w:rFonts w:hint="eastAsia" w:ascii="宋体" w:hAnsi="宋体"/>
                <w:szCs w:val="24"/>
              </w:rPr>
            </w:pPr>
            <w:r>
              <w:rPr>
                <w:rFonts w:hint="eastAsia" w:ascii="宋体" w:hAnsi="宋体"/>
                <w:szCs w:val="24"/>
              </w:rPr>
              <w:t>注：</w:t>
            </w:r>
            <w:r>
              <w:rPr>
                <w:rFonts w:hint="eastAsia" w:ascii="宋体" w:hAnsi="宋体" w:cs="宋体"/>
              </w:rPr>
              <w:t>根据《政府采购促进中小企业发展管理办法》（财库﹝2020﹞46号）、《关于进一步加大政府采购支持中小企业力度的通知》（财库﹝2022﹞19号）的规定，评审时给予小微企业产品价格10%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60" w:type="dxa"/>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2.2.2</w:t>
            </w:r>
          </w:p>
        </w:tc>
        <w:tc>
          <w:tcPr>
            <w:tcW w:w="1064" w:type="dxa"/>
            <w:gridSpan w:val="2"/>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技术部分40分</w:t>
            </w:r>
          </w:p>
        </w:tc>
        <w:tc>
          <w:tcPr>
            <w:tcW w:w="1366" w:type="dxa"/>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技术指标响应情况</w:t>
            </w:r>
          </w:p>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（30分）</w:t>
            </w:r>
          </w:p>
        </w:tc>
        <w:tc>
          <w:tcPr>
            <w:tcW w:w="6368" w:type="dxa"/>
            <w:noWrap/>
            <w:vAlign w:val="center"/>
          </w:tcPr>
          <w:p>
            <w:pPr>
              <w:spacing w:line="400" w:lineRule="exact"/>
              <w:rPr>
                <w:rFonts w:hint="eastAsia" w:ascii="宋体" w:hAnsi="宋体"/>
                <w:szCs w:val="24"/>
              </w:rPr>
            </w:pPr>
            <w:r>
              <w:rPr>
                <w:rFonts w:hint="eastAsia" w:ascii="宋体" w:hAnsi="宋体"/>
                <w:szCs w:val="24"/>
              </w:rPr>
              <w:t>技术参数完全满足招标文件要求的得满分</w:t>
            </w:r>
            <w:r>
              <w:rPr>
                <w:rFonts w:hint="eastAsia" w:ascii="宋体" w:hAnsi="宋体"/>
                <w:szCs w:val="24"/>
                <w:lang w:val="en-US" w:eastAsia="zh-CN"/>
              </w:rPr>
              <w:t>3</w:t>
            </w:r>
            <w:r>
              <w:rPr>
                <w:rFonts w:hint="eastAsia" w:ascii="宋体" w:hAnsi="宋体"/>
                <w:szCs w:val="24"/>
              </w:rPr>
              <w:t>0分。其中标注*的技术指标每一条不满足扣2分，非标注*的技术指标每一条不满足扣0.7分，扣完为止。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60" w:type="dxa"/>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366" w:type="dxa"/>
            <w:noWrap/>
          </w:tcPr>
          <w:p>
            <w:pPr>
              <w:pStyle w:val="235"/>
              <w:spacing w:before="211"/>
              <w:jc w:val="center"/>
              <w:rPr>
                <w:rFonts w:cs="仿宋" w:asciiTheme="majorEastAsia" w:hAnsiTheme="majorEastAsia" w:eastAsiaTheme="majorEastAsia"/>
              </w:rPr>
            </w:pPr>
            <w:r>
              <w:rPr>
                <w:rFonts w:cs="仿宋" w:asciiTheme="majorEastAsia" w:hAnsiTheme="majorEastAsia" w:eastAsiaTheme="majorEastAsia"/>
              </w:rPr>
              <w:t>设备的配</w:t>
            </w:r>
            <w:r>
              <w:rPr>
                <w:rFonts w:hint="eastAsia" w:cs="仿宋" w:asciiTheme="majorEastAsia" w:hAnsiTheme="majorEastAsia" w:eastAsiaTheme="majorEastAsia"/>
              </w:rPr>
              <w:t>置和性能</w:t>
            </w:r>
          </w:p>
          <w:p>
            <w:pPr>
              <w:pStyle w:val="235"/>
              <w:spacing w:before="211"/>
              <w:jc w:val="center"/>
              <w:rPr>
                <w:rFonts w:hint="eastAsia" w:ascii="仿宋" w:hAnsi="仿宋" w:eastAsia="仿宋" w:cs="仿宋"/>
                <w:sz w:val="24"/>
                <w:szCs w:val="24"/>
              </w:rPr>
            </w:pPr>
            <w:r>
              <w:rPr>
                <w:rFonts w:hint="eastAsia" w:cs="仿宋" w:asciiTheme="majorEastAsia" w:hAnsiTheme="majorEastAsia" w:eastAsiaTheme="majorEastAsia"/>
              </w:rPr>
              <w:t>（10 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根据供应商所投设备的设备性能进行评审，分为三个评价等级：产品主要技术性能，功能优于招标文件要求，整体配备完备优良，性能稳定，故障率低，易维护及后期使用成本低的得 7-10 分；产品主要技术性能，整体配备较完备良好，功能符合招标文件要求，性能稳定，故障率较低，后期使用成本较高得 4-6分；产品主要技术性能、功能基本符合招标文件要求，性能稳定性一般，后期使用成本高得 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60" w:type="dxa"/>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2.2.3</w:t>
            </w:r>
          </w:p>
        </w:tc>
        <w:tc>
          <w:tcPr>
            <w:tcW w:w="1064" w:type="dxa"/>
            <w:gridSpan w:val="2"/>
            <w:vMerge w:val="restart"/>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商务部分20分</w:t>
            </w:r>
          </w:p>
        </w:tc>
        <w:tc>
          <w:tcPr>
            <w:tcW w:w="1366" w:type="dxa"/>
            <w:noWrap/>
          </w:tcPr>
          <w:p>
            <w:pPr>
              <w:jc w:val="center"/>
              <w:rPr>
                <w:rFonts w:hint="eastAsia"/>
              </w:rPr>
            </w:pPr>
            <w:r>
              <w:rPr>
                <w:rFonts w:hint="eastAsia"/>
              </w:rPr>
              <w:t>认证证书</w:t>
            </w:r>
          </w:p>
          <w:p>
            <w:pPr>
              <w:jc w:val="center"/>
            </w:pPr>
            <w:r>
              <w:rPr>
                <w:rFonts w:hint="eastAsia"/>
              </w:rPr>
              <w:t>（3分）</w:t>
            </w:r>
          </w:p>
        </w:tc>
        <w:tc>
          <w:tcPr>
            <w:tcW w:w="6368" w:type="dxa"/>
            <w:noWrap/>
            <w:vAlign w:val="center"/>
          </w:tcPr>
          <w:p>
            <w:pPr>
              <w:spacing w:line="400" w:lineRule="exact"/>
              <w:rPr>
                <w:rFonts w:hint="eastAsia" w:ascii="宋体" w:hAnsi="宋体"/>
                <w:szCs w:val="24"/>
              </w:rPr>
            </w:pPr>
            <w:r>
              <w:rPr>
                <w:rFonts w:hint="eastAsia" w:ascii="宋体" w:hAnsi="宋体"/>
                <w:szCs w:val="24"/>
              </w:rPr>
              <w:t>同时具有质量管理体系认证、环境管理体系认证、职业安全健康管理体系认证的得3分，缺一项扣1分。（提供认证证书复印件及证书网上查询截图，否则不得分。）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760" w:type="dxa"/>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rPr>
                <w:rFonts w:hint="eastAsia"/>
              </w:rPr>
            </w:pPr>
            <w:r>
              <w:rPr>
                <w:rFonts w:hint="eastAsia"/>
              </w:rPr>
              <w:t>企业业绩</w:t>
            </w:r>
          </w:p>
          <w:p>
            <w:pPr>
              <w:jc w:val="center"/>
            </w:pPr>
            <w:r>
              <w:rPr>
                <w:rFonts w:hint="eastAsia"/>
              </w:rPr>
              <w:t>（2分）</w:t>
            </w:r>
          </w:p>
        </w:tc>
        <w:tc>
          <w:tcPr>
            <w:tcW w:w="6368" w:type="dxa"/>
            <w:noWrap/>
            <w:vAlign w:val="center"/>
          </w:tcPr>
          <w:p>
            <w:pPr>
              <w:spacing w:line="400" w:lineRule="exact"/>
              <w:rPr>
                <w:rFonts w:hint="eastAsia" w:ascii="宋体" w:hAnsi="宋体"/>
                <w:szCs w:val="24"/>
              </w:rPr>
            </w:pPr>
            <w:r>
              <w:rPr>
                <w:rFonts w:hint="eastAsia" w:ascii="宋体" w:hAnsi="宋体"/>
                <w:szCs w:val="24"/>
              </w:rPr>
              <w:t>2021年1月1日（以合同签订时间为准）以来，具有类似项目销售业绩的每份得1分，最多得2分。（提供合同、中标通知书、网站公布的中标结果公告截图，否则不得分。）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vMerge w:val="continue"/>
            <w:noWrap/>
            <w:vAlign w:val="center"/>
          </w:tcPr>
          <w:p>
            <w:pPr>
              <w:widowControl/>
              <w:jc w:val="center"/>
              <w:rPr>
                <w:rFonts w:hint="eastAsia" w:asciiTheme="minorEastAsia" w:hAnsiTheme="minorEastAsia" w:eastAsiaTheme="minorEastAsia" w:cstheme="minorEastAsia"/>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rPr>
                <w:rFonts w:hint="eastAsia"/>
              </w:rPr>
            </w:pPr>
            <w:r>
              <w:rPr>
                <w:rFonts w:hint="eastAsia"/>
              </w:rPr>
              <w:t>售后服务</w:t>
            </w:r>
          </w:p>
          <w:p>
            <w:pPr>
              <w:jc w:val="center"/>
            </w:pPr>
            <w:r>
              <w:rPr>
                <w:rFonts w:hint="eastAsia"/>
              </w:rPr>
              <w:t>（5分）</w:t>
            </w:r>
          </w:p>
        </w:tc>
        <w:tc>
          <w:tcPr>
            <w:tcW w:w="6368" w:type="dxa"/>
            <w:noWrap/>
            <w:vAlign w:val="center"/>
          </w:tcPr>
          <w:p>
            <w:pPr>
              <w:numPr>
                <w:ilvl w:val="0"/>
                <w:numId w:val="41"/>
              </w:numPr>
              <w:spacing w:line="400" w:lineRule="exact"/>
              <w:rPr>
                <w:rFonts w:hint="eastAsia" w:ascii="宋体" w:hAnsi="宋体"/>
                <w:szCs w:val="24"/>
                <w:lang w:val="zh-CN"/>
              </w:rPr>
            </w:pPr>
            <w:r>
              <w:rPr>
                <w:rFonts w:hint="eastAsia" w:ascii="宋体" w:hAnsi="宋体"/>
                <w:szCs w:val="24"/>
              </w:rPr>
              <w:t>根据投标人提供的质保期内服务承诺（内容包含但不限于免费维修时间、解决问题的实施程序和响应时间、售后服务组架构和质量控制、零备件供应等）进行综合评分：</w:t>
            </w:r>
          </w:p>
          <w:p>
            <w:pPr>
              <w:spacing w:line="400" w:lineRule="exact"/>
              <w:rPr>
                <w:rFonts w:hint="eastAsia" w:ascii="宋体" w:hAnsi="宋体"/>
                <w:szCs w:val="24"/>
              </w:rPr>
            </w:pPr>
            <w:r>
              <w:rPr>
                <w:rFonts w:hint="eastAsia" w:ascii="宋体" w:hAnsi="宋体"/>
                <w:szCs w:val="24"/>
              </w:rPr>
              <w:t>售后服务完整、详尽合理、切合项目实际得2分；</w:t>
            </w:r>
          </w:p>
          <w:p>
            <w:pPr>
              <w:spacing w:line="400" w:lineRule="exact"/>
              <w:rPr>
                <w:rFonts w:hint="eastAsia" w:ascii="宋体" w:hAnsi="宋体"/>
                <w:szCs w:val="24"/>
              </w:rPr>
            </w:pPr>
            <w:r>
              <w:rPr>
                <w:rFonts w:hint="eastAsia" w:ascii="宋体" w:hAnsi="宋体"/>
                <w:szCs w:val="24"/>
              </w:rPr>
              <w:t>售后服务不够详尽，基本可行得1分；</w:t>
            </w:r>
          </w:p>
          <w:p>
            <w:pPr>
              <w:spacing w:line="400" w:lineRule="exact"/>
              <w:rPr>
                <w:rFonts w:hint="eastAsia" w:ascii="宋体" w:hAnsi="宋体"/>
                <w:szCs w:val="24"/>
              </w:rPr>
            </w:pPr>
            <w:r>
              <w:rPr>
                <w:rFonts w:hint="eastAsia" w:ascii="宋体" w:hAnsi="宋体"/>
                <w:szCs w:val="24"/>
              </w:rPr>
              <w:t>售后服务欠缺，不尽合理得0.5分；</w:t>
            </w:r>
          </w:p>
          <w:p>
            <w:pPr>
              <w:spacing w:line="400" w:lineRule="exact"/>
              <w:rPr>
                <w:rFonts w:hint="eastAsia" w:ascii="宋体" w:hAnsi="宋体"/>
                <w:szCs w:val="24"/>
                <w:lang w:val="zh-CN"/>
              </w:rPr>
            </w:pPr>
            <w:r>
              <w:rPr>
                <w:rFonts w:hint="eastAsia" w:ascii="宋体" w:hAnsi="宋体"/>
                <w:szCs w:val="24"/>
              </w:rPr>
              <w:t>未提供的不得分。</w:t>
            </w:r>
          </w:p>
          <w:p>
            <w:pPr>
              <w:spacing w:line="400" w:lineRule="exact"/>
              <w:rPr>
                <w:rFonts w:hint="eastAsia" w:ascii="宋体" w:hAnsi="宋体"/>
                <w:szCs w:val="24"/>
              </w:rPr>
            </w:pPr>
            <w:r>
              <w:rPr>
                <w:rFonts w:hint="eastAsia" w:ascii="宋体" w:hAnsi="宋体"/>
                <w:szCs w:val="24"/>
              </w:rPr>
              <w:t>2、质保期外服务承诺：在满足质保期的要求上每增加1年加0.5分,最多加1分。</w:t>
            </w:r>
          </w:p>
          <w:p>
            <w:pPr>
              <w:spacing w:line="400" w:lineRule="exact"/>
              <w:rPr>
                <w:rFonts w:hint="eastAsia" w:ascii="宋体" w:hAnsi="宋体"/>
                <w:szCs w:val="24"/>
              </w:rPr>
            </w:pPr>
            <w:r>
              <w:rPr>
                <w:rFonts w:hint="eastAsia" w:ascii="宋体" w:hAnsi="宋体"/>
                <w:szCs w:val="24"/>
              </w:rPr>
              <w:t>3、根据投标人提供的人员技术培训（内容包含但不限于培训内容、形式、计划和效果、师资力量等）进行综合评分：</w:t>
            </w:r>
          </w:p>
          <w:p>
            <w:pPr>
              <w:spacing w:line="400" w:lineRule="exact"/>
              <w:rPr>
                <w:rFonts w:hint="eastAsia" w:ascii="宋体" w:hAnsi="宋体"/>
                <w:szCs w:val="24"/>
              </w:rPr>
            </w:pPr>
            <w:r>
              <w:rPr>
                <w:rFonts w:hint="eastAsia" w:ascii="宋体" w:hAnsi="宋体"/>
                <w:szCs w:val="24"/>
              </w:rPr>
              <w:t>培训计划全面、针对性强，符合项目特点得2分；</w:t>
            </w:r>
          </w:p>
          <w:p>
            <w:pPr>
              <w:spacing w:line="400" w:lineRule="exact"/>
              <w:rPr>
                <w:rFonts w:hint="eastAsia" w:ascii="宋体" w:hAnsi="宋体"/>
                <w:szCs w:val="24"/>
              </w:rPr>
            </w:pPr>
            <w:r>
              <w:rPr>
                <w:rFonts w:hint="eastAsia" w:ascii="宋体" w:hAnsi="宋体"/>
                <w:szCs w:val="24"/>
              </w:rPr>
              <w:t>培训计划基本能够达到项目需求得1分；</w:t>
            </w:r>
          </w:p>
          <w:p>
            <w:pPr>
              <w:spacing w:line="400" w:lineRule="exact"/>
              <w:rPr>
                <w:rFonts w:hint="eastAsia" w:ascii="宋体" w:hAnsi="宋体"/>
                <w:szCs w:val="24"/>
              </w:rPr>
            </w:pPr>
            <w:r>
              <w:rPr>
                <w:rFonts w:hint="eastAsia" w:ascii="宋体" w:hAnsi="宋体"/>
                <w:szCs w:val="24"/>
              </w:rPr>
              <w:t>培训计划针对性不强得0.5分；</w:t>
            </w:r>
          </w:p>
          <w:p>
            <w:pPr>
              <w:spacing w:line="400" w:lineRule="exact"/>
              <w:rPr>
                <w:rFonts w:hint="eastAsia" w:asciiTheme="minorEastAsia" w:hAnsiTheme="minorEastAsia" w:eastAsiaTheme="minorEastAsia" w:cstheme="minorEastAsia"/>
              </w:rPr>
            </w:pPr>
            <w:r>
              <w:rPr>
                <w:rFonts w:hint="eastAsia" w:ascii="宋体" w:hAnsi="宋体"/>
                <w:szCs w:val="24"/>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noWrap/>
            <w:vAlign w:val="center"/>
          </w:tcPr>
          <w:p>
            <w:pPr>
              <w:widowControl/>
              <w:jc w:val="center"/>
              <w:rPr>
                <w:rFonts w:hint="eastAsia" w:asciiTheme="minorEastAsia" w:hAnsiTheme="minorEastAsia" w:eastAsiaTheme="minorEastAsia" w:cstheme="minorEastAsia"/>
              </w:rPr>
            </w:pPr>
          </w:p>
        </w:tc>
        <w:tc>
          <w:tcPr>
            <w:tcW w:w="1064" w:type="dxa"/>
            <w:gridSpan w:val="2"/>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pPr>
            <w:r>
              <w:rPr>
                <w:rFonts w:hint="eastAsia"/>
              </w:rPr>
              <w:t>供货及安 装调试、验 收方案</w:t>
            </w:r>
          </w:p>
          <w:p>
            <w:pPr>
              <w:jc w:val="center"/>
              <w:rPr>
                <w:rFonts w:hint="eastAsia"/>
              </w:rPr>
            </w:pPr>
            <w:r>
              <w:rPr>
                <w:rFonts w:hint="eastAsia"/>
              </w:rPr>
              <w:t>(5分)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提供的供货及安装调试、验收方案（包括但不限于设备的包装、运输及装卸，现场安装调试计划安排、应急措施，验收标准及计划安排等）进行综合评审，方案完整全面、流程清晰、计划安排合理，保障措施得当的得 5 分；方案内容每存在一处不详尽、不合理、不具有针对性、缺项的扣减 1 分，扣完为止未提供方案的不得分。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noWrap/>
            <w:vAlign w:val="center"/>
          </w:tcPr>
          <w:p>
            <w:pPr>
              <w:widowControl/>
              <w:jc w:val="center"/>
              <w:rPr>
                <w:rFonts w:hint="eastAsia" w:asciiTheme="minorEastAsia" w:hAnsiTheme="minorEastAsia" w:eastAsiaTheme="minorEastAsia" w:cstheme="minorEastAsia"/>
              </w:rPr>
            </w:pPr>
          </w:p>
        </w:tc>
        <w:tc>
          <w:tcPr>
            <w:tcW w:w="1064" w:type="dxa"/>
            <w:gridSpan w:val="2"/>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pPr>
            <w:r>
              <w:rPr>
                <w:rFonts w:hint="eastAsia"/>
              </w:rPr>
              <w:t>培训方案</w:t>
            </w:r>
          </w:p>
          <w:p>
            <w:pPr>
              <w:jc w:val="center"/>
              <w:rPr>
                <w:rFonts w:hint="eastAsia"/>
              </w:rPr>
            </w:pPr>
            <w:r>
              <w:rPr>
                <w:rFonts w:hint="eastAsia"/>
              </w:rPr>
              <w:t>（5分）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根据供应商所提供的培训方案内容（包括但不限于时间安排、培训内容、培训资料、培训方式、培训人员资历等）进行评审：方案内容系统完善详尽，具有针对性，拟派人员经验丰富的得 5 分；方案内容较为简单，不够有针对性，拟派人员资历较低的得 3 分；方案内容不够具体完整，拟派人员资历一般的得 1 分，未提供培训方案的不得分。</w:t>
            </w:r>
          </w:p>
        </w:tc>
      </w:tr>
    </w:tbl>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17" w:name="_Toc11380"/>
      <w:bookmarkStart w:id="118" w:name="_Toc28655"/>
      <w:bookmarkStart w:id="119" w:name="_Toc454971892"/>
      <w:bookmarkStart w:id="120" w:name="_Toc12804"/>
      <w:bookmarkStart w:id="121" w:name="_Toc501552504"/>
      <w:bookmarkStart w:id="122" w:name="_Toc14429"/>
      <w:r>
        <w:rPr>
          <w:rFonts w:hint="eastAsia" w:ascii="宋体" w:hAnsi="宋体" w:eastAsia="宋体" w:cs="宋体"/>
          <w:sz w:val="21"/>
          <w:szCs w:val="21"/>
        </w:rPr>
        <w:t>评审方法</w:t>
      </w:r>
      <w:bookmarkEnd w:id="117"/>
      <w:bookmarkEnd w:id="118"/>
      <w:bookmarkEnd w:id="119"/>
      <w:bookmarkEnd w:id="120"/>
      <w:bookmarkEnd w:id="121"/>
      <w:bookmarkEnd w:id="122"/>
    </w:p>
    <w:p>
      <w:pPr>
        <w:spacing w:line="430" w:lineRule="exact"/>
        <w:ind w:firstLine="420" w:firstLineChars="200"/>
        <w:rPr>
          <w:rFonts w:hint="eastAsia" w:ascii="宋体" w:hAnsi="宋体" w:cs="宋体"/>
        </w:rPr>
      </w:pPr>
      <w:r>
        <w:rPr>
          <w:rFonts w:hint="eastAsia" w:ascii="宋体" w:hAnsi="宋体" w:cs="宋体"/>
        </w:rPr>
        <w:t>本项目评标办法采用综合评分法，评标结果按评审后得分由高到低顺序排列。得分相同的，按投标报价由低到高顺序排列。得分与投标报价均相同的，按技术指标优劣排列。</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23" w:name="_Toc144974571"/>
      <w:bookmarkEnd w:id="123"/>
      <w:bookmarkStart w:id="124" w:name="_Toc414277167"/>
      <w:bookmarkEnd w:id="124"/>
      <w:bookmarkStart w:id="125" w:name="_Toc152042381"/>
      <w:bookmarkEnd w:id="125"/>
      <w:bookmarkStart w:id="126" w:name="_Toc152045604"/>
      <w:bookmarkEnd w:id="126"/>
      <w:bookmarkStart w:id="127" w:name="_Toc414112655"/>
      <w:bookmarkEnd w:id="127"/>
      <w:bookmarkStart w:id="128" w:name="_Toc501552505"/>
      <w:bookmarkStart w:id="129" w:name="_Toc19671"/>
      <w:bookmarkStart w:id="130" w:name="_Toc23579"/>
      <w:bookmarkStart w:id="131" w:name="_Toc14663"/>
      <w:bookmarkStart w:id="132" w:name="_Toc26376"/>
      <w:r>
        <w:rPr>
          <w:rFonts w:hint="eastAsia" w:ascii="宋体" w:hAnsi="宋体" w:eastAsia="宋体" w:cs="宋体"/>
          <w:sz w:val="21"/>
          <w:szCs w:val="21"/>
        </w:rPr>
        <w:t>评审程序</w:t>
      </w:r>
      <w:bookmarkEnd w:id="128"/>
      <w:bookmarkEnd w:id="129"/>
      <w:bookmarkEnd w:id="130"/>
      <w:bookmarkEnd w:id="131"/>
      <w:bookmarkEnd w:id="132"/>
    </w:p>
    <w:p>
      <w:pPr>
        <w:spacing w:line="430" w:lineRule="exact"/>
        <w:ind w:firstLine="283" w:firstLineChars="135"/>
        <w:rPr>
          <w:rFonts w:hint="eastAsia" w:ascii="宋体" w:hAnsi="宋体" w:cs="宋体"/>
        </w:rPr>
      </w:pPr>
      <w:r>
        <w:rPr>
          <w:rFonts w:hint="eastAsia" w:ascii="宋体" w:hAnsi="宋体" w:cs="宋体"/>
        </w:rPr>
        <w:t>2.1评审工作按以下程序进行：</w:t>
      </w:r>
    </w:p>
    <w:p>
      <w:pPr>
        <w:spacing w:line="430" w:lineRule="exact"/>
        <w:ind w:firstLine="420" w:firstLineChars="200"/>
        <w:rPr>
          <w:rFonts w:hint="eastAsia" w:ascii="宋体" w:hAnsi="宋体" w:cs="宋体"/>
        </w:rPr>
      </w:pPr>
      <w:r>
        <w:rPr>
          <w:rFonts w:hint="eastAsia" w:ascii="宋体" w:hAnsi="宋体" w:cs="宋体"/>
        </w:rPr>
        <w:t>（1）投标文件初审；</w:t>
      </w:r>
    </w:p>
    <w:p>
      <w:pPr>
        <w:spacing w:line="430" w:lineRule="exact"/>
        <w:ind w:firstLine="420" w:firstLineChars="200"/>
        <w:rPr>
          <w:rFonts w:hint="eastAsia" w:ascii="宋体" w:hAnsi="宋体" w:cs="宋体"/>
        </w:rPr>
      </w:pPr>
      <w:r>
        <w:rPr>
          <w:rFonts w:hint="eastAsia" w:ascii="宋体" w:hAnsi="宋体" w:cs="宋体"/>
        </w:rPr>
        <w:t>（2）澄清有关问题；</w:t>
      </w:r>
    </w:p>
    <w:p>
      <w:pPr>
        <w:spacing w:line="430" w:lineRule="exact"/>
        <w:ind w:firstLine="420" w:firstLineChars="200"/>
        <w:rPr>
          <w:rFonts w:hint="eastAsia" w:ascii="宋体" w:hAnsi="宋体" w:cs="宋体"/>
        </w:rPr>
      </w:pPr>
      <w:r>
        <w:rPr>
          <w:rFonts w:hint="eastAsia" w:ascii="宋体" w:hAnsi="宋体" w:cs="宋体"/>
        </w:rPr>
        <w:t>（3）比较与评价；</w:t>
      </w:r>
    </w:p>
    <w:p>
      <w:pPr>
        <w:spacing w:line="430" w:lineRule="exact"/>
        <w:ind w:firstLine="420" w:firstLineChars="200"/>
        <w:rPr>
          <w:rFonts w:hint="eastAsia" w:ascii="宋体" w:hAnsi="宋体" w:cs="宋体"/>
        </w:rPr>
      </w:pPr>
      <w:r>
        <w:rPr>
          <w:rFonts w:hint="eastAsia" w:ascii="宋体" w:hAnsi="宋体" w:cs="宋体"/>
        </w:rPr>
        <w:t>（4）推荐中标候选人名单。</w:t>
      </w:r>
    </w:p>
    <w:p>
      <w:pPr>
        <w:spacing w:line="430" w:lineRule="exact"/>
        <w:ind w:firstLine="283" w:firstLineChars="135"/>
        <w:rPr>
          <w:rFonts w:hint="eastAsia" w:ascii="宋体" w:hAnsi="宋体" w:cs="宋体"/>
        </w:rPr>
      </w:pPr>
      <w:r>
        <w:rPr>
          <w:rFonts w:hint="eastAsia" w:ascii="宋体" w:hAnsi="宋体" w:cs="宋体"/>
        </w:rPr>
        <w:t>2.2 评审小组按照上述程序审查投标人的投标文件，评审程序中的前一项程序未通过的投标文件不再进入下一程序的评审。</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33" w:name="_Toc152045601"/>
      <w:bookmarkEnd w:id="133"/>
      <w:bookmarkStart w:id="134" w:name="_Toc144974568"/>
      <w:bookmarkEnd w:id="134"/>
      <w:bookmarkStart w:id="135" w:name="_Toc414277164"/>
      <w:bookmarkEnd w:id="135"/>
      <w:bookmarkStart w:id="136" w:name="_Toc152042378"/>
      <w:bookmarkEnd w:id="136"/>
      <w:bookmarkStart w:id="137" w:name="_Toc414112652"/>
      <w:bookmarkEnd w:id="137"/>
      <w:bookmarkStart w:id="138" w:name="_Toc11334"/>
      <w:bookmarkStart w:id="139" w:name="_Toc501552506"/>
      <w:bookmarkStart w:id="140" w:name="_Toc30594"/>
      <w:bookmarkStart w:id="141" w:name="_Toc28341"/>
      <w:bookmarkStart w:id="142" w:name="_Toc19902"/>
      <w:r>
        <w:rPr>
          <w:rFonts w:hint="eastAsia" w:ascii="宋体" w:hAnsi="宋体" w:eastAsia="宋体" w:cs="宋体"/>
          <w:sz w:val="21"/>
          <w:szCs w:val="21"/>
        </w:rPr>
        <w:t>投标文件初审</w:t>
      </w:r>
      <w:bookmarkEnd w:id="138"/>
      <w:bookmarkEnd w:id="139"/>
      <w:bookmarkEnd w:id="140"/>
      <w:bookmarkEnd w:id="141"/>
      <w:bookmarkEnd w:id="142"/>
    </w:p>
    <w:p>
      <w:pPr>
        <w:spacing w:line="430" w:lineRule="exact"/>
        <w:ind w:firstLine="420" w:firstLineChars="200"/>
        <w:rPr>
          <w:rFonts w:hint="eastAsia" w:ascii="宋体" w:hAnsi="宋体" w:cs="宋体"/>
        </w:rPr>
      </w:pPr>
      <w:r>
        <w:rPr>
          <w:rFonts w:hint="eastAsia" w:ascii="宋体" w:hAnsi="宋体" w:cs="宋体"/>
        </w:rPr>
        <w:t>投标文件的初审分为资格性检查和符合性检查。</w:t>
      </w:r>
    </w:p>
    <w:p>
      <w:pPr>
        <w:spacing w:line="430" w:lineRule="exact"/>
        <w:ind w:firstLine="422" w:firstLineChars="200"/>
        <w:rPr>
          <w:rFonts w:hint="eastAsia" w:ascii="宋体" w:hAnsi="宋体" w:cs="宋体"/>
          <w:b/>
          <w:bCs/>
        </w:rPr>
      </w:pPr>
      <w:r>
        <w:rPr>
          <w:rFonts w:hint="eastAsia" w:ascii="宋体" w:hAnsi="宋体" w:cs="宋体"/>
          <w:b/>
          <w:bCs/>
        </w:rPr>
        <w:t>依据《政府采购货物和服务招标投标管理办法》(财政部令87号)四十四条“公开招标采购项目开标结束后，采购人或者采购代理机构应当依法对投标人的资格进行审查。”</w:t>
      </w:r>
    </w:p>
    <w:p>
      <w:pPr>
        <w:spacing w:line="430" w:lineRule="exact"/>
        <w:ind w:firstLine="283" w:firstLineChars="135"/>
        <w:rPr>
          <w:rFonts w:hint="eastAsia" w:ascii="宋体" w:hAnsi="宋体" w:cs="宋体"/>
        </w:rPr>
      </w:pPr>
      <w:r>
        <w:rPr>
          <w:rFonts w:hint="eastAsia" w:ascii="宋体" w:hAnsi="宋体" w:cs="宋体"/>
        </w:rPr>
        <w:t>3.1资格性检查</w:t>
      </w:r>
    </w:p>
    <w:p>
      <w:pPr>
        <w:spacing w:line="430" w:lineRule="exact"/>
        <w:ind w:firstLine="424" w:firstLineChars="202"/>
        <w:rPr>
          <w:rFonts w:hint="eastAsia" w:ascii="宋体" w:hAnsi="宋体" w:cs="宋体"/>
        </w:rPr>
      </w:pPr>
      <w:r>
        <w:rPr>
          <w:rFonts w:hint="eastAsia" w:ascii="宋体" w:hAnsi="宋体" w:cs="宋体"/>
        </w:rPr>
        <w:t>3.1.1依据法律法规和招标文件的规定，对投标文件中的资格证明等进行审查，以确定投标人是否具备投标资格。资格性检查评审标准：见评标方法前附表。</w:t>
      </w:r>
    </w:p>
    <w:p>
      <w:pPr>
        <w:spacing w:line="430" w:lineRule="exact"/>
        <w:ind w:firstLine="424" w:firstLineChars="202"/>
        <w:rPr>
          <w:rFonts w:hint="eastAsia" w:ascii="宋体" w:hAnsi="宋体" w:cs="宋体"/>
        </w:rPr>
      </w:pPr>
      <w:r>
        <w:rPr>
          <w:rFonts w:hint="eastAsia" w:ascii="宋体" w:hAnsi="宋体" w:cs="宋体"/>
        </w:rPr>
        <w:t>3.1.2经资格性审查后合格投标人不足3家的，不得评标。</w:t>
      </w:r>
    </w:p>
    <w:p>
      <w:pPr>
        <w:spacing w:line="430" w:lineRule="exact"/>
        <w:ind w:firstLine="283" w:firstLineChars="135"/>
        <w:rPr>
          <w:rFonts w:hint="eastAsia" w:ascii="宋体" w:hAnsi="宋体" w:cs="宋体"/>
        </w:rPr>
      </w:pPr>
      <w:r>
        <w:rPr>
          <w:rFonts w:hint="eastAsia" w:ascii="宋体" w:hAnsi="宋体" w:cs="宋体"/>
        </w:rPr>
        <w:t>3.2形式性及符合性检查</w:t>
      </w:r>
    </w:p>
    <w:p>
      <w:pPr>
        <w:spacing w:line="430" w:lineRule="exact"/>
        <w:ind w:firstLine="424" w:firstLineChars="202"/>
        <w:rPr>
          <w:rFonts w:hint="eastAsia" w:ascii="宋体" w:hAnsi="宋体" w:cs="宋体"/>
        </w:rPr>
      </w:pPr>
      <w:r>
        <w:rPr>
          <w:rFonts w:hint="eastAsia" w:ascii="宋体" w:hAnsi="宋体" w:cs="宋体"/>
        </w:rPr>
        <w:t>依据招标文件的规定，从投标文件的有效性、完整性和对招标文件的响应程度进行审查，以确定是否对招标文件的实质性要求作出响应。形式性评审及符合性评审标准：见评标方法前附表。</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43" w:name="_Toc414112657"/>
      <w:bookmarkEnd w:id="143"/>
      <w:bookmarkStart w:id="144" w:name="_Toc152042385"/>
      <w:bookmarkEnd w:id="144"/>
      <w:bookmarkStart w:id="145" w:name="_Toc152045607"/>
      <w:bookmarkEnd w:id="145"/>
      <w:bookmarkStart w:id="146" w:name="_Toc152045606"/>
      <w:bookmarkEnd w:id="146"/>
      <w:bookmarkStart w:id="147" w:name="_Toc144974573"/>
      <w:bookmarkEnd w:id="147"/>
      <w:bookmarkStart w:id="148" w:name="_Toc152042384"/>
      <w:bookmarkEnd w:id="148"/>
      <w:bookmarkStart w:id="149" w:name="_Toc454971895"/>
      <w:bookmarkEnd w:id="149"/>
      <w:bookmarkStart w:id="150" w:name="_Toc414112658"/>
      <w:bookmarkEnd w:id="150"/>
      <w:bookmarkStart w:id="151" w:name="_Toc414277170"/>
      <w:bookmarkEnd w:id="151"/>
      <w:bookmarkStart w:id="152" w:name="_Toc144974575"/>
      <w:bookmarkEnd w:id="152"/>
      <w:bookmarkStart w:id="153" w:name="_Toc2504"/>
      <w:bookmarkStart w:id="154" w:name="_Toc7047"/>
      <w:bookmarkStart w:id="155" w:name="_Toc414277169"/>
      <w:bookmarkStart w:id="156" w:name="_Toc501552507"/>
      <w:bookmarkStart w:id="157" w:name="_Toc23987"/>
      <w:bookmarkStart w:id="158" w:name="_Toc893"/>
      <w:r>
        <w:rPr>
          <w:rFonts w:hint="eastAsia" w:ascii="宋体" w:hAnsi="宋体" w:eastAsia="宋体" w:cs="宋体"/>
          <w:sz w:val="21"/>
          <w:szCs w:val="21"/>
        </w:rPr>
        <w:t>澄清有关问题</w:t>
      </w:r>
      <w:bookmarkEnd w:id="153"/>
      <w:bookmarkEnd w:id="154"/>
      <w:bookmarkEnd w:id="155"/>
      <w:bookmarkEnd w:id="156"/>
      <w:bookmarkEnd w:id="157"/>
      <w:bookmarkEnd w:id="158"/>
    </w:p>
    <w:p>
      <w:pPr>
        <w:spacing w:line="430" w:lineRule="exact"/>
        <w:ind w:firstLine="283" w:firstLineChars="135"/>
        <w:rPr>
          <w:rFonts w:hint="eastAsia" w:ascii="宋体" w:hAnsi="宋体" w:cs="宋体"/>
        </w:rPr>
      </w:pPr>
      <w:r>
        <w:rPr>
          <w:rFonts w:hint="eastAsia" w:ascii="宋体" w:hAnsi="宋体" w:cs="宋体"/>
        </w:rPr>
        <w:t>4.1对于投标文件中含义不明确、同类问题表述不一致或者有明显文字和计算错误的内容，评标委员会应当以书面形式要求投标人作出必要的澄清、说明或者补正。</w:t>
      </w:r>
    </w:p>
    <w:p>
      <w:pPr>
        <w:spacing w:line="420" w:lineRule="exact"/>
        <w:ind w:firstLine="283" w:firstLineChars="135"/>
        <w:rPr>
          <w:rFonts w:hint="eastAsia" w:ascii="宋体" w:hAnsi="宋体" w:cs="宋体"/>
        </w:rPr>
      </w:pPr>
      <w:r>
        <w:rPr>
          <w:rFonts w:hint="eastAsia" w:ascii="宋体" w:hAnsi="宋体" w:cs="宋体"/>
        </w:rPr>
        <w:t>4.2投标人的澄清、说明或者补正应当采用书面形式，并加盖公章，或者由法定代表人或其授权的代表签字。投标人的澄清、说明或者补正不得超出投标文件的范围或者改变投标文件的实质性内容。</w:t>
      </w:r>
    </w:p>
    <w:p>
      <w:pPr>
        <w:pStyle w:val="4"/>
        <w:numPr>
          <w:ilvl w:val="1"/>
          <w:numId w:val="42"/>
        </w:numPr>
        <w:tabs>
          <w:tab w:val="left" w:pos="284"/>
          <w:tab w:val="clear" w:pos="840"/>
        </w:tabs>
        <w:spacing w:before="0" w:after="0" w:line="420" w:lineRule="exact"/>
        <w:ind w:left="-4" w:leftChars="-2" w:firstLine="2" w:firstLineChars="1"/>
        <w:jc w:val="both"/>
        <w:rPr>
          <w:rFonts w:hint="eastAsia" w:ascii="宋体" w:hAnsi="宋体" w:eastAsia="宋体" w:cs="宋体"/>
          <w:sz w:val="21"/>
          <w:szCs w:val="21"/>
        </w:rPr>
      </w:pPr>
      <w:bookmarkStart w:id="159" w:name="_Toc454971896"/>
      <w:bookmarkEnd w:id="159"/>
      <w:bookmarkStart w:id="160" w:name="_Toc14524"/>
      <w:bookmarkStart w:id="161" w:name="_Toc501552508"/>
      <w:bookmarkStart w:id="162" w:name="_Toc20504"/>
      <w:bookmarkStart w:id="163" w:name="_Toc23804"/>
      <w:bookmarkStart w:id="164" w:name="_Toc22736"/>
      <w:r>
        <w:rPr>
          <w:rFonts w:hint="eastAsia" w:ascii="宋体" w:hAnsi="宋体" w:eastAsia="宋体" w:cs="宋体"/>
          <w:sz w:val="21"/>
          <w:szCs w:val="21"/>
        </w:rPr>
        <w:t>比较与评价</w:t>
      </w:r>
      <w:bookmarkEnd w:id="160"/>
      <w:bookmarkEnd w:id="161"/>
      <w:bookmarkEnd w:id="162"/>
      <w:bookmarkEnd w:id="163"/>
      <w:bookmarkEnd w:id="164"/>
    </w:p>
    <w:p>
      <w:pPr>
        <w:spacing w:line="420" w:lineRule="exact"/>
        <w:ind w:firstLine="283" w:firstLineChars="135"/>
        <w:rPr>
          <w:rFonts w:hint="eastAsia" w:ascii="宋体" w:hAnsi="宋体" w:cs="宋体"/>
        </w:rPr>
      </w:pPr>
      <w:r>
        <w:rPr>
          <w:rFonts w:hint="eastAsia" w:ascii="宋体" w:hAnsi="宋体" w:cs="宋体"/>
        </w:rPr>
        <w:t>5.1投标文件报价出现前后不一致的，除招标文件另有规定外，按照下列规定修正：</w:t>
      </w:r>
    </w:p>
    <w:p>
      <w:pPr>
        <w:spacing w:line="420" w:lineRule="exact"/>
        <w:ind w:firstLine="140" w:firstLineChars="67"/>
        <w:rPr>
          <w:rFonts w:hint="eastAsia" w:ascii="宋体" w:hAnsi="宋体" w:cs="宋体"/>
        </w:rPr>
      </w:pPr>
      <w:r>
        <w:rPr>
          <w:rFonts w:hint="eastAsia" w:ascii="宋体" w:hAnsi="宋体" w:cs="宋体"/>
        </w:rPr>
        <w:t>（一）投标文件中开标一览表（报价表）内容与投标文件中相应内容不一致的，以开标一览表（报价表）为准；</w:t>
      </w:r>
    </w:p>
    <w:p>
      <w:pPr>
        <w:spacing w:line="420" w:lineRule="exact"/>
        <w:ind w:firstLine="140" w:firstLineChars="67"/>
        <w:rPr>
          <w:rFonts w:hint="eastAsia" w:ascii="宋体" w:hAnsi="宋体" w:cs="宋体"/>
        </w:rPr>
      </w:pPr>
      <w:r>
        <w:rPr>
          <w:rFonts w:hint="eastAsia" w:ascii="宋体" w:hAnsi="宋体" w:cs="宋体"/>
        </w:rPr>
        <w:t>（二）大写金额和小写金额不一致的，以大写金额为准；</w:t>
      </w:r>
    </w:p>
    <w:p>
      <w:pPr>
        <w:spacing w:line="420" w:lineRule="exact"/>
        <w:ind w:firstLine="283" w:firstLineChars="135"/>
        <w:rPr>
          <w:rFonts w:hint="eastAsia" w:ascii="宋体" w:hAnsi="宋体" w:cs="宋体"/>
        </w:rPr>
      </w:pPr>
      <w:r>
        <w:rPr>
          <w:rFonts w:hint="eastAsia" w:ascii="宋体" w:hAnsi="宋体" w:cs="宋体"/>
        </w:rPr>
        <w:t>5.2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420" w:lineRule="exact"/>
        <w:ind w:firstLine="283" w:firstLineChars="135"/>
        <w:rPr>
          <w:rFonts w:hint="eastAsia" w:ascii="宋体" w:hAnsi="宋体" w:cs="宋体"/>
        </w:rPr>
      </w:pPr>
      <w:r>
        <w:rPr>
          <w:rFonts w:hint="eastAsia" w:ascii="宋体" w:hAnsi="宋体" w:cs="宋体"/>
        </w:rPr>
        <w:t>5.3按招标文件中规定的评标方法和标准，对资格性检查和符合性检查合格的投标文件进行详细评审，详细评审评审标准：见评审方法前附表。</w:t>
      </w:r>
    </w:p>
    <w:p>
      <w:pPr>
        <w:spacing w:line="420" w:lineRule="exact"/>
        <w:ind w:firstLine="283" w:firstLineChars="135"/>
        <w:rPr>
          <w:rFonts w:hint="eastAsia" w:ascii="宋体" w:hAnsi="宋体" w:cs="宋体"/>
        </w:rPr>
      </w:pPr>
      <w:r>
        <w:rPr>
          <w:rFonts w:hint="eastAsia" w:ascii="宋体" w:hAnsi="宋体" w:cs="宋体"/>
        </w:rPr>
        <w:t>5.4 评标委员会按规定的量化指标和分值进行打分，并计算出综合评审得分。</w:t>
      </w:r>
    </w:p>
    <w:p>
      <w:pPr>
        <w:spacing w:line="420" w:lineRule="exact"/>
        <w:ind w:firstLine="283" w:firstLineChars="135"/>
        <w:rPr>
          <w:rFonts w:hint="eastAsia" w:ascii="宋体" w:hAnsi="宋体" w:cs="宋体"/>
        </w:rPr>
      </w:pPr>
      <w:r>
        <w:rPr>
          <w:rFonts w:hint="eastAsia" w:ascii="宋体" w:hAnsi="宋体" w:cs="宋体"/>
        </w:rPr>
        <w:t>5.5 汇总全体评审小组对各投标人的打分并计算算术平均值，即投标人的最终评审得分；</w:t>
      </w:r>
    </w:p>
    <w:p>
      <w:pPr>
        <w:spacing w:line="420" w:lineRule="exact"/>
        <w:ind w:firstLine="283" w:firstLineChars="135"/>
        <w:rPr>
          <w:rFonts w:hint="eastAsia" w:ascii="宋体" w:hAnsi="宋体" w:cs="宋体"/>
        </w:rPr>
      </w:pPr>
      <w:r>
        <w:rPr>
          <w:rFonts w:hint="eastAsia" w:ascii="宋体" w:hAnsi="宋体" w:cs="宋体"/>
        </w:rPr>
        <w:t>5.6 评分分值计算保留小数点后两位，小数点后第三位“四舍五入”。</w:t>
      </w:r>
    </w:p>
    <w:p>
      <w:pPr>
        <w:pStyle w:val="4"/>
        <w:numPr>
          <w:ilvl w:val="1"/>
          <w:numId w:val="42"/>
        </w:numPr>
        <w:tabs>
          <w:tab w:val="left" w:pos="284"/>
          <w:tab w:val="clear" w:pos="840"/>
        </w:tabs>
        <w:spacing w:before="0" w:after="0" w:line="420" w:lineRule="exact"/>
        <w:ind w:left="-4" w:leftChars="-2" w:firstLine="2" w:firstLineChars="1"/>
        <w:jc w:val="both"/>
        <w:rPr>
          <w:rFonts w:hint="eastAsia" w:ascii="宋体" w:hAnsi="宋体" w:eastAsia="宋体" w:cs="宋体"/>
          <w:sz w:val="21"/>
          <w:szCs w:val="21"/>
        </w:rPr>
      </w:pPr>
      <w:bookmarkStart w:id="165" w:name="_Toc144974576"/>
      <w:bookmarkEnd w:id="165"/>
      <w:bookmarkStart w:id="166" w:name="_Toc414277171"/>
      <w:bookmarkEnd w:id="166"/>
      <w:bookmarkStart w:id="167" w:name="_Toc414112659"/>
      <w:bookmarkEnd w:id="167"/>
      <w:bookmarkStart w:id="168" w:name="_Toc152042386"/>
      <w:bookmarkEnd w:id="168"/>
      <w:bookmarkStart w:id="169" w:name="_Toc152045608"/>
      <w:bookmarkEnd w:id="169"/>
      <w:bookmarkStart w:id="170" w:name="_Toc5411"/>
      <w:bookmarkStart w:id="171" w:name="_Toc25626"/>
      <w:bookmarkStart w:id="172" w:name="_Toc20540"/>
      <w:bookmarkStart w:id="173" w:name="_Toc1660"/>
      <w:bookmarkStart w:id="174" w:name="_Toc501552509"/>
      <w:r>
        <w:rPr>
          <w:rFonts w:hint="eastAsia" w:ascii="宋体" w:hAnsi="宋体" w:eastAsia="宋体" w:cs="宋体"/>
          <w:sz w:val="21"/>
          <w:szCs w:val="21"/>
        </w:rPr>
        <w:t>评审结果</w:t>
      </w:r>
      <w:bookmarkEnd w:id="170"/>
      <w:bookmarkEnd w:id="171"/>
      <w:bookmarkEnd w:id="172"/>
      <w:bookmarkEnd w:id="173"/>
      <w:bookmarkEnd w:id="174"/>
    </w:p>
    <w:p>
      <w:pPr>
        <w:spacing w:line="420" w:lineRule="exact"/>
        <w:ind w:firstLine="283" w:firstLineChars="135"/>
        <w:rPr>
          <w:rFonts w:hint="eastAsia" w:ascii="宋体" w:hAnsi="宋体" w:cs="宋体"/>
        </w:rPr>
      </w:pPr>
      <w:r>
        <w:rPr>
          <w:rFonts w:hint="eastAsia" w:ascii="宋体" w:hAnsi="宋体" w:cs="宋体"/>
        </w:rPr>
        <w:t>6.1评标委员会按照综合评审得分由高到低的顺序推荐候选投标人。</w:t>
      </w:r>
    </w:p>
    <w:p>
      <w:pPr>
        <w:spacing w:line="420" w:lineRule="exact"/>
        <w:ind w:firstLine="283" w:firstLineChars="135"/>
        <w:rPr>
          <w:rFonts w:hint="eastAsia" w:ascii="宋体" w:hAnsi="宋体" w:cs="宋体"/>
        </w:rPr>
      </w:pPr>
      <w:r>
        <w:rPr>
          <w:rFonts w:hint="eastAsia" w:ascii="宋体" w:hAnsi="宋体" w:cs="宋体"/>
        </w:rPr>
        <w:t>6.2 评标委员会完成评审后，应当向采购人提交书面评标报告。</w:t>
      </w:r>
    </w:p>
    <w:p>
      <w:pPr>
        <w:spacing w:line="420" w:lineRule="exact"/>
        <w:ind w:firstLine="386" w:firstLineChars="184"/>
        <w:rPr>
          <w:rFonts w:hint="eastAsia" w:ascii="宋体" w:hAnsi="宋体" w:cs="宋体"/>
        </w:rPr>
      </w:pPr>
      <w:r>
        <w:rPr>
          <w:rFonts w:hint="eastAsia" w:ascii="宋体" w:hAnsi="宋体" w:cs="宋体"/>
        </w:rPr>
        <w:t>6.2.1评标委员会根据全体评标成员签字的原始评标记录和评标结果编写评标报告。评标报告应当包括以下内容：</w:t>
      </w:r>
    </w:p>
    <w:p>
      <w:pPr>
        <w:tabs>
          <w:tab w:val="left" w:pos="567"/>
        </w:tabs>
        <w:spacing w:line="420" w:lineRule="exact"/>
        <w:ind w:firstLine="424" w:firstLineChars="202"/>
        <w:rPr>
          <w:rFonts w:hint="eastAsia" w:ascii="宋体" w:hAnsi="宋体" w:cs="宋体"/>
        </w:rPr>
      </w:pPr>
      <w:r>
        <w:rPr>
          <w:rFonts w:hint="eastAsia" w:ascii="宋体" w:hAnsi="宋体" w:cs="宋体"/>
        </w:rPr>
        <w:t>（一）招标公告刊登的媒体名称、开标日期和地点；</w:t>
      </w:r>
    </w:p>
    <w:p>
      <w:pPr>
        <w:tabs>
          <w:tab w:val="left" w:pos="567"/>
        </w:tabs>
        <w:spacing w:line="420" w:lineRule="exact"/>
        <w:ind w:firstLine="424" w:firstLineChars="202"/>
        <w:rPr>
          <w:rFonts w:hint="eastAsia" w:ascii="宋体" w:hAnsi="宋体" w:cs="宋体"/>
        </w:rPr>
      </w:pPr>
      <w:r>
        <w:rPr>
          <w:rFonts w:hint="eastAsia" w:ascii="宋体" w:hAnsi="宋体" w:cs="宋体"/>
        </w:rPr>
        <w:t>（二）投标人名单和评标委员会成员名单；</w:t>
      </w:r>
    </w:p>
    <w:p>
      <w:pPr>
        <w:tabs>
          <w:tab w:val="left" w:pos="567"/>
        </w:tabs>
        <w:spacing w:line="420" w:lineRule="exact"/>
        <w:ind w:firstLine="424" w:firstLineChars="202"/>
        <w:rPr>
          <w:rFonts w:hint="eastAsia" w:ascii="宋体" w:hAnsi="宋体" w:cs="宋体"/>
        </w:rPr>
      </w:pPr>
      <w:r>
        <w:rPr>
          <w:rFonts w:hint="eastAsia" w:ascii="宋体" w:hAnsi="宋体" w:cs="宋体"/>
        </w:rPr>
        <w:t>（三）评标方法和标准；</w:t>
      </w:r>
    </w:p>
    <w:p>
      <w:pPr>
        <w:tabs>
          <w:tab w:val="left" w:pos="567"/>
        </w:tabs>
        <w:spacing w:line="420" w:lineRule="exact"/>
        <w:ind w:left="420"/>
        <w:rPr>
          <w:rFonts w:hint="eastAsia" w:ascii="宋体" w:hAnsi="宋体" w:cs="宋体"/>
        </w:rPr>
      </w:pPr>
      <w:r>
        <w:rPr>
          <w:rFonts w:hint="eastAsia" w:ascii="宋体" w:hAnsi="宋体" w:cs="宋体"/>
        </w:rPr>
        <w:t>（四）开标记录和评标情况及说明，包括无效投标人名单及原因；</w:t>
      </w:r>
    </w:p>
    <w:p>
      <w:pPr>
        <w:tabs>
          <w:tab w:val="left" w:pos="567"/>
        </w:tabs>
        <w:spacing w:line="420" w:lineRule="exact"/>
        <w:ind w:firstLine="424" w:firstLineChars="202"/>
        <w:rPr>
          <w:rFonts w:hint="eastAsia" w:ascii="宋体" w:hAnsi="宋体" w:cs="宋体"/>
        </w:rPr>
      </w:pPr>
      <w:r>
        <w:rPr>
          <w:rFonts w:hint="eastAsia" w:ascii="宋体" w:hAnsi="宋体" w:cs="宋体"/>
        </w:rPr>
        <w:t>（五）评标结果，确定的中标候选人名单或者经采购人委托直接确定的中标人；</w:t>
      </w:r>
    </w:p>
    <w:p>
      <w:pPr>
        <w:tabs>
          <w:tab w:val="left" w:pos="567"/>
        </w:tabs>
        <w:spacing w:line="420" w:lineRule="exact"/>
        <w:ind w:firstLine="424" w:firstLineChars="202"/>
        <w:rPr>
          <w:rFonts w:hint="eastAsia" w:ascii="宋体" w:hAnsi="宋体" w:cs="宋体"/>
        </w:rPr>
      </w:pPr>
      <w:r>
        <w:rPr>
          <w:rFonts w:hint="eastAsia" w:ascii="宋体" w:hAnsi="宋体" w:cs="宋体"/>
        </w:rPr>
        <w:t>（六）其他需要说明的情况，包括评标过程中投标人根据评标委员会要求进行的澄清、说明或者补正，评标委员会成员的更换等。</w:t>
      </w:r>
    </w:p>
    <w:p>
      <w:pPr>
        <w:pStyle w:val="46"/>
        <w:spacing w:line="100" w:lineRule="exact"/>
        <w:rPr>
          <w:rFonts w:cs="Times New Roman"/>
          <w:color w:val="auto"/>
          <w:highlight w:val="none"/>
        </w:rPr>
      </w:pPr>
      <w:r>
        <w:rPr>
          <w:rFonts w:cs="Times New Roman"/>
          <w:color w:val="auto"/>
          <w:highlight w:val="none"/>
        </w:rPr>
        <w:br w:type="page"/>
      </w:r>
      <w:bookmarkEnd w:id="109"/>
      <w:bookmarkEnd w:id="110"/>
      <w:bookmarkEnd w:id="111"/>
      <w:bookmarkEnd w:id="112"/>
      <w:bookmarkEnd w:id="113"/>
      <w:bookmarkEnd w:id="114"/>
      <w:bookmarkEnd w:id="115"/>
    </w:p>
    <w:p>
      <w:pPr>
        <w:pStyle w:val="3"/>
        <w:tabs>
          <w:tab w:val="left" w:pos="1134"/>
          <w:tab w:val="left" w:pos="4820"/>
          <w:tab w:val="left" w:pos="4962"/>
        </w:tabs>
        <w:adjustRightInd w:val="0"/>
        <w:snapToGrid w:val="0"/>
        <w:spacing w:before="0" w:after="0" w:line="360" w:lineRule="auto"/>
        <w:rPr>
          <w:rFonts w:hint="eastAsia" w:ascii="宋体" w:hAnsi="宋体" w:eastAsia="宋体" w:cs="宋体"/>
          <w:color w:val="auto"/>
          <w:sz w:val="32"/>
          <w:szCs w:val="32"/>
          <w:highlight w:val="none"/>
          <w:lang w:eastAsia="zh-CN"/>
        </w:rPr>
      </w:pPr>
      <w:bookmarkStart w:id="175" w:name="_Toc31556"/>
      <w:bookmarkStart w:id="176" w:name="_Toc20183"/>
      <w:r>
        <w:rPr>
          <w:rFonts w:hint="eastAsia" w:ascii="宋体" w:hAnsi="宋体" w:cs="宋体"/>
          <w:color w:val="auto"/>
          <w:sz w:val="32"/>
          <w:szCs w:val="32"/>
          <w:highlight w:val="none"/>
        </w:rPr>
        <w:t>第四章 合同条款与格式</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lang w:val="en-US" w:eastAsia="zh-CN"/>
        </w:rPr>
        <w:t>参考</w:t>
      </w:r>
      <w:r>
        <w:rPr>
          <w:rFonts w:hint="eastAsia" w:ascii="宋体" w:hAnsi="宋体" w:cs="宋体"/>
          <w:color w:val="auto"/>
          <w:sz w:val="32"/>
          <w:szCs w:val="32"/>
          <w:highlight w:val="none"/>
          <w:lang w:eastAsia="zh-CN"/>
        </w:rPr>
        <w:t>）</w:t>
      </w:r>
      <w:bookmarkEnd w:id="175"/>
      <w:bookmarkEnd w:id="176"/>
    </w:p>
    <w:p>
      <w:pPr>
        <w:bidi w:val="0"/>
        <w:jc w:val="right"/>
        <w:rPr>
          <w:rFonts w:ascii="宋体" w:hAnsi="宋体" w:cs="宋体"/>
          <w:b/>
          <w:bCs/>
          <w:color w:val="auto"/>
          <w:szCs w:val="28"/>
          <w:highlight w:val="none"/>
        </w:rPr>
      </w:pPr>
      <w:bookmarkStart w:id="177" w:name="_top"/>
      <w:bookmarkEnd w:id="177"/>
      <w:bookmarkStart w:id="178" w:name="_Toc15237"/>
      <w:bookmarkStart w:id="179" w:name="_Toc31057"/>
      <w:bookmarkStart w:id="180" w:name="_Toc21189"/>
      <w:bookmarkStart w:id="181" w:name="_Toc11994"/>
      <w:bookmarkStart w:id="182" w:name="_Toc14355"/>
      <w:bookmarkStart w:id="183" w:name="_Toc22634"/>
      <w:bookmarkStart w:id="184" w:name="_Toc506"/>
      <w:bookmarkStart w:id="185" w:name="_Toc1557"/>
      <w:bookmarkStart w:id="186" w:name="_Toc22987"/>
      <w:bookmarkStart w:id="187" w:name="_Toc12128"/>
      <w:bookmarkStart w:id="188" w:name="_Toc24235"/>
      <w:bookmarkStart w:id="189" w:name="_Toc24936"/>
      <w:r>
        <w:rPr>
          <w:rFonts w:hint="eastAsia"/>
          <w:sz w:val="28"/>
          <w:szCs w:val="28"/>
        </w:rPr>
        <w:t>合同编号：（中标项目编号）</w:t>
      </w:r>
      <w:bookmarkEnd w:id="178"/>
      <w:bookmarkEnd w:id="179"/>
      <w:bookmarkEnd w:id="180"/>
      <w:bookmarkEnd w:id="181"/>
      <w:bookmarkEnd w:id="182"/>
      <w:bookmarkEnd w:id="183"/>
      <w:bookmarkEnd w:id="184"/>
      <w:bookmarkEnd w:id="185"/>
      <w:bookmarkEnd w:id="186"/>
      <w:bookmarkEnd w:id="187"/>
      <w:bookmarkEnd w:id="188"/>
      <w:bookmarkEnd w:id="189"/>
    </w:p>
    <w:p>
      <w:pPr>
        <w:bidi w:val="0"/>
        <w:jc w:val="center"/>
        <w:rPr>
          <w:sz w:val="28"/>
          <w:szCs w:val="28"/>
        </w:rPr>
      </w:pPr>
      <w:bookmarkStart w:id="190" w:name="_Toc14140"/>
      <w:bookmarkStart w:id="191" w:name="_Toc6416"/>
      <w:bookmarkStart w:id="192" w:name="_Toc27754"/>
      <w:bookmarkStart w:id="193" w:name="_Toc31300"/>
      <w:bookmarkStart w:id="194" w:name="_Toc5197"/>
      <w:bookmarkStart w:id="195" w:name="_Toc2022"/>
      <w:bookmarkStart w:id="196" w:name="_Toc6991"/>
      <w:bookmarkStart w:id="197" w:name="_Toc14723"/>
      <w:bookmarkStart w:id="198" w:name="_Toc31603"/>
      <w:bookmarkStart w:id="199" w:name="_Toc7231"/>
      <w:bookmarkStart w:id="200" w:name="_Toc30428"/>
      <w:bookmarkStart w:id="201" w:name="_Toc31184"/>
      <w:r>
        <w:rPr>
          <w:rFonts w:hint="eastAsia"/>
          <w:sz w:val="28"/>
          <w:szCs w:val="28"/>
        </w:rPr>
        <w:t>政府采购货物合同</w:t>
      </w:r>
      <w:bookmarkEnd w:id="190"/>
      <w:bookmarkEnd w:id="191"/>
      <w:bookmarkEnd w:id="192"/>
      <w:bookmarkEnd w:id="193"/>
      <w:bookmarkEnd w:id="194"/>
      <w:bookmarkEnd w:id="195"/>
      <w:bookmarkEnd w:id="196"/>
      <w:bookmarkEnd w:id="197"/>
      <w:bookmarkEnd w:id="198"/>
      <w:bookmarkEnd w:id="199"/>
      <w:bookmarkEnd w:id="200"/>
      <w:bookmarkEnd w:id="201"/>
    </w:p>
    <w:p>
      <w:pPr>
        <w:adjustRightInd w:val="0"/>
        <w:snapToGrid w:val="0"/>
        <w:spacing w:line="480" w:lineRule="auto"/>
        <w:rPr>
          <w:rFonts w:hint="eastAsia" w:ascii="宋体" w:hAnsi="宋体" w:cs="宋体"/>
          <w:b/>
          <w:bCs/>
          <w:color w:val="auto"/>
          <w:sz w:val="24"/>
          <w:highlight w:val="none"/>
        </w:rPr>
      </w:pPr>
    </w:p>
    <w:p>
      <w:pPr>
        <w:adjustRightInd w:val="0"/>
        <w:snapToGrid w:val="0"/>
        <w:spacing w:line="480" w:lineRule="auto"/>
        <w:rPr>
          <w:rFonts w:ascii="宋体"/>
          <w:b/>
          <w:bCs/>
          <w:color w:val="auto"/>
          <w:sz w:val="24"/>
          <w:highlight w:val="none"/>
        </w:rPr>
      </w:pPr>
      <w:r>
        <w:rPr>
          <w:rFonts w:hint="eastAsia" w:ascii="宋体" w:hAnsi="宋体" w:cs="宋体"/>
          <w:b/>
          <w:bCs/>
          <w:color w:val="auto"/>
          <w:sz w:val="24"/>
          <w:highlight w:val="none"/>
        </w:rPr>
        <w:t>甲方（全称）：</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ascii="宋体" w:hAnsi="宋体" w:cs="宋体"/>
          <w:b/>
          <w:bCs/>
          <w:color w:val="auto"/>
          <w:sz w:val="24"/>
          <w:highlight w:val="none"/>
          <w:u w:val="single"/>
        </w:rPr>
        <w:t xml:space="preserve">           </w:t>
      </w:r>
    </w:p>
    <w:p>
      <w:pPr>
        <w:adjustRightInd w:val="0"/>
        <w:snapToGrid w:val="0"/>
        <w:spacing w:line="480" w:lineRule="auto"/>
        <w:rPr>
          <w:rFonts w:ascii="宋体"/>
          <w:b/>
          <w:bCs/>
          <w:color w:val="auto"/>
          <w:sz w:val="24"/>
          <w:highlight w:val="none"/>
        </w:rPr>
      </w:pPr>
      <w:r>
        <w:rPr>
          <w:rFonts w:hint="eastAsia" w:ascii="宋体" w:hAnsi="宋体" w:cs="宋体"/>
          <w:b/>
          <w:bCs/>
          <w:color w:val="auto"/>
          <w:sz w:val="24"/>
          <w:highlight w:val="none"/>
        </w:rPr>
        <w:t>乙方（全称）：</w:t>
      </w:r>
      <w:r>
        <w:rPr>
          <w:rFonts w:ascii="宋体" w:hAnsi="宋体" w:cs="宋体"/>
          <w:b/>
          <w:bCs/>
          <w:color w:val="auto"/>
          <w:sz w:val="24"/>
          <w:highlight w:val="none"/>
          <w:u w:val="single"/>
        </w:rPr>
        <w:t xml:space="preserve">    </w:t>
      </w:r>
      <w:r>
        <w:rPr>
          <w:rFonts w:ascii="宋体" w:cs="宋体"/>
          <w:b/>
          <w:bCs/>
          <w:color w:val="auto"/>
          <w:spacing w:val="10"/>
          <w:kern w:val="0"/>
          <w:sz w:val="24"/>
          <w:highlight w:val="none"/>
          <w:u w:val="single"/>
        </w:rPr>
        <w:t xml:space="preserve">             </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rPr>
        <w:t xml:space="preserve">        </w:t>
      </w:r>
      <w:r>
        <w:rPr>
          <w:rFonts w:ascii="宋体" w:hAnsi="宋体" w:cs="宋体"/>
          <w:b/>
          <w:bCs/>
          <w:color w:val="auto"/>
          <w:sz w:val="24"/>
          <w:highlight w:val="none"/>
          <w:u w:val="single"/>
        </w:rPr>
        <w:t xml:space="preserve">    </w:t>
      </w:r>
    </w:p>
    <w:p>
      <w:pPr>
        <w:adjustRightInd w:val="0"/>
        <w:snapToGrid w:val="0"/>
        <w:spacing w:line="480" w:lineRule="auto"/>
        <w:ind w:firstLine="480"/>
        <w:rPr>
          <w:rFonts w:ascii="宋体"/>
          <w:color w:val="auto"/>
          <w:sz w:val="24"/>
          <w:highlight w:val="none"/>
        </w:rPr>
      </w:pPr>
      <w:r>
        <w:rPr>
          <w:rFonts w:hint="eastAsia" w:ascii="宋体" w:hAnsi="宋体" w:cs="宋体"/>
          <w:color w:val="auto"/>
          <w:highlight w:val="none"/>
        </w:rPr>
        <w:t>根据《中华人民共和国民法典》《中华人民共和国政府采购法》及有关法律规定，遵循平等、自愿、公平和诚实信用的原则，双方同意按照下述条款订立本合同，共同信守。</w:t>
      </w:r>
    </w:p>
    <w:p>
      <w:pPr>
        <w:bidi w:val="0"/>
        <w:rPr>
          <w:sz w:val="28"/>
          <w:szCs w:val="28"/>
        </w:rPr>
      </w:pPr>
      <w:bookmarkStart w:id="202" w:name="_Toc3653"/>
      <w:bookmarkStart w:id="203" w:name="_Toc31138"/>
      <w:bookmarkStart w:id="204" w:name="_Toc13547"/>
      <w:bookmarkStart w:id="205" w:name="_Toc16690"/>
      <w:bookmarkStart w:id="206" w:name="_Toc19796"/>
      <w:bookmarkStart w:id="207" w:name="_Toc1312"/>
      <w:bookmarkStart w:id="208" w:name="_Toc21194"/>
      <w:bookmarkStart w:id="209" w:name="_Toc22430"/>
      <w:bookmarkStart w:id="210" w:name="_Toc2793"/>
      <w:bookmarkStart w:id="211" w:name="_Toc24139"/>
      <w:bookmarkStart w:id="212" w:name="_Toc5004"/>
      <w:bookmarkStart w:id="213" w:name="_Toc32370"/>
      <w:r>
        <w:rPr>
          <w:rFonts w:hint="eastAsia"/>
          <w:sz w:val="28"/>
          <w:szCs w:val="28"/>
        </w:rPr>
        <w:t>一、供货范围及分项价格表（详见附件</w:t>
      </w:r>
      <w:r>
        <w:rPr>
          <w:sz w:val="28"/>
          <w:szCs w:val="28"/>
        </w:rPr>
        <w:t>1</w:t>
      </w:r>
      <w:r>
        <w:rPr>
          <w:rFonts w:hint="eastAsia"/>
          <w:sz w:val="28"/>
          <w:szCs w:val="28"/>
        </w:rPr>
        <w:t>、附件</w:t>
      </w:r>
      <w:r>
        <w:rPr>
          <w:sz w:val="28"/>
          <w:szCs w:val="28"/>
        </w:rPr>
        <w:t>2</w:t>
      </w:r>
      <w:r>
        <w:rPr>
          <w:rFonts w:hint="eastAsia"/>
          <w:sz w:val="28"/>
          <w:szCs w:val="28"/>
        </w:rPr>
        <w:t>）</w:t>
      </w:r>
      <w:bookmarkEnd w:id="202"/>
      <w:bookmarkEnd w:id="203"/>
      <w:bookmarkEnd w:id="204"/>
      <w:bookmarkEnd w:id="205"/>
      <w:bookmarkEnd w:id="206"/>
      <w:bookmarkEnd w:id="207"/>
      <w:bookmarkEnd w:id="208"/>
      <w:bookmarkEnd w:id="209"/>
      <w:bookmarkEnd w:id="210"/>
      <w:bookmarkEnd w:id="211"/>
      <w:bookmarkEnd w:id="212"/>
      <w:bookmarkEnd w:id="213"/>
    </w:p>
    <w:p>
      <w:pPr>
        <w:adjustRightInd w:val="0"/>
        <w:snapToGrid w:val="0"/>
        <w:spacing w:line="480" w:lineRule="auto"/>
        <w:ind w:firstLine="570"/>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rPr>
        <w:t>.本合同所指货物包括原材料、燃料、设备、产品、硬件、软件、安装材料、备件及专用器具、文件资料等，详见附件</w:t>
      </w:r>
      <w:r>
        <w:rPr>
          <w:rFonts w:ascii="宋体" w:hAnsi="宋体" w:cs="宋体"/>
          <w:color w:val="auto"/>
          <w:highlight w:val="none"/>
        </w:rPr>
        <w:t>1</w:t>
      </w:r>
      <w:r>
        <w:rPr>
          <w:rFonts w:hint="eastAsia" w:ascii="宋体" w:hAnsi="宋体" w:cs="宋体"/>
          <w:color w:val="auto"/>
          <w:highlight w:val="none"/>
        </w:rPr>
        <w:t>、附件</w:t>
      </w:r>
      <w:r>
        <w:rPr>
          <w:rFonts w:ascii="宋体" w:hAnsi="宋体" w:cs="宋体"/>
          <w:color w:val="auto"/>
          <w:highlight w:val="none"/>
        </w:rPr>
        <w:t>2</w:t>
      </w:r>
      <w:r>
        <w:rPr>
          <w:rFonts w:hint="eastAsia" w:ascii="宋体" w:hAnsi="宋体" w:cs="宋体"/>
          <w:color w:val="auto"/>
          <w:highlight w:val="none"/>
        </w:rPr>
        <w:t>，此附件是合同中不可分割的部分。</w:t>
      </w:r>
    </w:p>
    <w:p>
      <w:pPr>
        <w:adjustRightInd w:val="0"/>
        <w:snapToGrid w:val="0"/>
        <w:spacing w:line="480" w:lineRule="auto"/>
        <w:ind w:firstLine="570"/>
        <w:rPr>
          <w:color w:val="auto"/>
          <w:sz w:val="24"/>
          <w:highlight w:val="none"/>
        </w:rPr>
      </w:pPr>
      <w:r>
        <w:rPr>
          <w:rFonts w:ascii="宋体" w:hAnsi="宋体" w:cs="宋体"/>
          <w:color w:val="auto"/>
          <w:highlight w:val="none"/>
        </w:rPr>
        <w:t>2</w:t>
      </w:r>
      <w:r>
        <w:rPr>
          <w:rFonts w:hint="eastAsia" w:ascii="宋体" w:hAnsi="宋体" w:cs="宋体"/>
          <w:color w:val="auto"/>
          <w:highlight w:val="none"/>
        </w:rPr>
        <w:t>.本合同总价包括但不限于货物价款、包装、运输、装卸、保险费、安装及相关材料费、调试费、软件费、检验费、培训费等各种伴随服务的费用以及税金等。合同总价之外，甲方不再另行支付任何费用。</w:t>
      </w:r>
    </w:p>
    <w:p>
      <w:pPr>
        <w:bidi w:val="0"/>
        <w:rPr>
          <w:rFonts w:hint="eastAsia"/>
          <w:sz w:val="28"/>
          <w:szCs w:val="28"/>
        </w:rPr>
      </w:pPr>
      <w:bookmarkStart w:id="214" w:name="_Toc4973"/>
      <w:bookmarkStart w:id="215" w:name="_Toc17507"/>
      <w:bookmarkStart w:id="216" w:name="_Toc13291"/>
      <w:bookmarkStart w:id="217" w:name="_Toc15560"/>
      <w:bookmarkStart w:id="218" w:name="_Toc28966"/>
      <w:bookmarkStart w:id="219" w:name="_Toc1289"/>
      <w:bookmarkStart w:id="220" w:name="_Toc16627"/>
      <w:bookmarkStart w:id="221" w:name="_Toc32476"/>
      <w:bookmarkStart w:id="222" w:name="_Toc31123"/>
      <w:bookmarkStart w:id="223" w:name="_Toc19382"/>
      <w:bookmarkStart w:id="224" w:name="_Toc24183"/>
      <w:bookmarkStart w:id="225" w:name="_Toc18226"/>
      <w:r>
        <w:rPr>
          <w:rFonts w:hint="eastAsia"/>
          <w:sz w:val="28"/>
          <w:szCs w:val="28"/>
        </w:rPr>
        <w:t>二、质量及技术规格要求</w:t>
      </w:r>
      <w:bookmarkEnd w:id="214"/>
      <w:bookmarkEnd w:id="215"/>
      <w:bookmarkEnd w:id="216"/>
      <w:bookmarkEnd w:id="217"/>
      <w:bookmarkEnd w:id="218"/>
      <w:bookmarkEnd w:id="219"/>
      <w:bookmarkEnd w:id="220"/>
      <w:bookmarkEnd w:id="221"/>
      <w:bookmarkEnd w:id="222"/>
      <w:bookmarkEnd w:id="223"/>
      <w:bookmarkEnd w:id="224"/>
      <w:bookmarkEnd w:id="225"/>
    </w:p>
    <w:p>
      <w:pPr>
        <w:adjustRightInd w:val="0"/>
        <w:snapToGrid w:val="0"/>
        <w:spacing w:line="480" w:lineRule="auto"/>
        <w:ind w:firstLine="570"/>
        <w:rPr>
          <w:rFonts w:ascii="宋体"/>
          <w:color w:val="auto"/>
          <w:highlight w:val="none"/>
        </w:rPr>
      </w:pPr>
      <w:r>
        <w:rPr>
          <w:rFonts w:hint="eastAsia" w:ascii="宋体" w:hAnsi="宋体" w:cs="宋体"/>
          <w:color w:val="auto"/>
          <w:highlight w:val="none"/>
        </w:rPr>
        <w:t>乙方须按合同要求提供全新货物（包括零部件、附件、备品备件等）货物的质量标准、规格型号、具体配置、数量等应符合招标文件要求，其产品为原厂生产，且应达到乙方投标文件及澄清文件中承诺的技术标准。</w:t>
      </w:r>
    </w:p>
    <w:p>
      <w:pPr>
        <w:adjustRightInd w:val="0"/>
        <w:snapToGrid w:val="0"/>
        <w:spacing w:line="480" w:lineRule="auto"/>
        <w:ind w:firstLine="570"/>
        <w:rPr>
          <w:rFonts w:ascii="宋体"/>
          <w:color w:val="auto"/>
          <w:sz w:val="24"/>
          <w:highlight w:val="none"/>
        </w:rPr>
      </w:pPr>
      <w:r>
        <w:rPr>
          <w:rFonts w:hint="eastAsia" w:ascii="宋体" w:hAnsi="宋体" w:cs="宋体"/>
          <w:color w:val="auto"/>
          <w:highlight w:val="none"/>
        </w:rPr>
        <w:t>乙方应在本合同生效后</w:t>
      </w:r>
      <w:r>
        <w:rPr>
          <w:rFonts w:ascii="宋体" w:hAnsi="宋体" w:cs="宋体"/>
          <w:color w:val="auto"/>
          <w:highlight w:val="none"/>
        </w:rPr>
        <w:t>7</w:t>
      </w:r>
      <w:r>
        <w:rPr>
          <w:rFonts w:hint="eastAsia" w:ascii="宋体" w:hAnsi="宋体" w:cs="宋体"/>
          <w:color w:val="auto"/>
          <w:highlight w:val="none"/>
        </w:rPr>
        <w:t>个工作日内向甲方提供安装计划及质量控制规范；并于</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日前进驻安装现场；所有货物运送到甲方指定地点后，双方在</w:t>
      </w:r>
      <w:r>
        <w:rPr>
          <w:rFonts w:ascii="宋体" w:hAnsi="宋体" w:cs="宋体"/>
          <w:color w:val="auto"/>
          <w:highlight w:val="none"/>
          <w:u w:val="single"/>
        </w:rPr>
        <w:t xml:space="preserve">     </w:t>
      </w:r>
      <w:r>
        <w:rPr>
          <w:rFonts w:hint="eastAsia" w:ascii="宋体" w:hAnsi="宋体" w:cs="宋体"/>
          <w:color w:val="auto"/>
          <w:highlight w:val="none"/>
        </w:rPr>
        <w:t>日内共同验收并签署验收意见。如甲方无正当理由，不得拒绝接收；在安装调试过程中，甲方有权采取适当的方式对乙方货物质量标准、规格型号、具体配置、数量以及安装质量和进度等进行检查。甲方如果发现乙方所供货物不符合合同约定，甲方有权单方解除合同，由此产生的一切费用由乙方承担。</w:t>
      </w:r>
    </w:p>
    <w:p>
      <w:pPr>
        <w:bidi w:val="0"/>
        <w:rPr>
          <w:rFonts w:hint="eastAsia"/>
          <w:sz w:val="28"/>
          <w:szCs w:val="28"/>
        </w:rPr>
      </w:pPr>
      <w:bookmarkStart w:id="226" w:name="_Toc16240"/>
      <w:bookmarkStart w:id="227" w:name="_Toc27823"/>
      <w:bookmarkStart w:id="228" w:name="_Toc18824"/>
      <w:bookmarkStart w:id="229" w:name="_Toc24867"/>
      <w:bookmarkStart w:id="230" w:name="_Toc14286"/>
      <w:bookmarkStart w:id="231" w:name="_Toc28381"/>
      <w:bookmarkStart w:id="232" w:name="_Toc17959"/>
      <w:bookmarkStart w:id="233" w:name="_Toc6364"/>
      <w:bookmarkStart w:id="234" w:name="_Toc9784"/>
      <w:bookmarkStart w:id="235" w:name="_Toc30355"/>
      <w:bookmarkStart w:id="236" w:name="_Toc2847"/>
      <w:r>
        <w:rPr>
          <w:rFonts w:hint="eastAsia"/>
          <w:sz w:val="28"/>
          <w:szCs w:val="28"/>
          <w:lang w:val="en-US" w:eastAsia="zh-CN"/>
        </w:rPr>
        <w:t>三、</w:t>
      </w:r>
      <w:r>
        <w:rPr>
          <w:rFonts w:hint="eastAsia"/>
          <w:sz w:val="28"/>
          <w:szCs w:val="28"/>
        </w:rPr>
        <w:t>包装与运输</w:t>
      </w:r>
      <w:bookmarkEnd w:id="226"/>
      <w:bookmarkEnd w:id="227"/>
      <w:bookmarkEnd w:id="228"/>
      <w:bookmarkEnd w:id="229"/>
      <w:bookmarkEnd w:id="230"/>
      <w:bookmarkEnd w:id="231"/>
      <w:bookmarkEnd w:id="232"/>
      <w:bookmarkEnd w:id="233"/>
      <w:bookmarkEnd w:id="234"/>
      <w:bookmarkEnd w:id="235"/>
      <w:bookmarkEnd w:id="236"/>
    </w:p>
    <w:p>
      <w:pPr>
        <w:adjustRightInd w:val="0"/>
        <w:snapToGrid w:val="0"/>
        <w:spacing w:line="480" w:lineRule="auto"/>
        <w:ind w:firstLine="570"/>
        <w:rPr>
          <w:rFonts w:ascii="宋体"/>
          <w:color w:val="auto"/>
          <w:sz w:val="24"/>
          <w:highlight w:val="none"/>
        </w:rPr>
      </w:pPr>
      <w:r>
        <w:rPr>
          <w:rFonts w:hint="eastAsia" w:ascii="宋体" w:hAnsi="宋体" w:cs="宋体"/>
          <w:color w:val="auto"/>
          <w:highlight w:val="none"/>
        </w:rPr>
        <w:t>货物交付使用前发生的所有与货物相关的运输、安装及安全保障事项等均由乙方负责；货物包装应符合抗震、防潮、防冻、防锈以及长途运输等要求，对由于包装不当或防护措施不力而导致的货物损坏、损失、腐蚀等损失均由乙方承担；在货物备交付使用前所发生的所有与货物相关的经济纠纷及法律责任均与甲方无关。</w:t>
      </w:r>
    </w:p>
    <w:p>
      <w:pPr>
        <w:bidi w:val="0"/>
        <w:rPr>
          <w:rFonts w:hint="eastAsia"/>
          <w:sz w:val="28"/>
          <w:szCs w:val="28"/>
        </w:rPr>
      </w:pPr>
      <w:bookmarkStart w:id="237" w:name="_Toc16052"/>
      <w:bookmarkStart w:id="238" w:name="_Toc19546"/>
      <w:bookmarkStart w:id="239" w:name="_Toc26766"/>
      <w:bookmarkStart w:id="240" w:name="_Toc3790"/>
      <w:bookmarkStart w:id="241" w:name="_Toc15053"/>
      <w:bookmarkStart w:id="242" w:name="_Toc25367"/>
      <w:bookmarkStart w:id="243" w:name="_Toc3877"/>
      <w:bookmarkStart w:id="244" w:name="_Toc21148"/>
      <w:bookmarkStart w:id="245" w:name="_Toc28985"/>
      <w:bookmarkStart w:id="246" w:name="_Toc1783"/>
      <w:bookmarkStart w:id="247" w:name="_Toc19557"/>
      <w:bookmarkStart w:id="248" w:name="_Toc6963"/>
      <w:r>
        <w:rPr>
          <w:rFonts w:hint="eastAsia"/>
          <w:sz w:val="28"/>
          <w:szCs w:val="28"/>
        </w:rPr>
        <w:t>四、质保期与售后服务（详见附件3）</w:t>
      </w:r>
      <w:bookmarkEnd w:id="237"/>
      <w:bookmarkEnd w:id="238"/>
      <w:bookmarkEnd w:id="239"/>
      <w:bookmarkEnd w:id="240"/>
      <w:bookmarkEnd w:id="241"/>
      <w:bookmarkEnd w:id="242"/>
      <w:bookmarkEnd w:id="243"/>
      <w:bookmarkEnd w:id="244"/>
      <w:bookmarkEnd w:id="245"/>
      <w:bookmarkEnd w:id="246"/>
      <w:bookmarkEnd w:id="247"/>
      <w:bookmarkEnd w:id="248"/>
    </w:p>
    <w:p>
      <w:pPr>
        <w:adjustRightInd w:val="0"/>
        <w:snapToGrid w:val="0"/>
        <w:spacing w:line="480" w:lineRule="auto"/>
        <w:ind w:firstLine="48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.所有设备免费质保期为</w:t>
      </w:r>
      <w:r>
        <w:rPr>
          <w:rFonts w:ascii="黑体" w:hAnsi="宋体" w:eastAsia="黑体" w:cs="黑体"/>
          <w:b/>
          <w:bCs/>
          <w:color w:val="auto"/>
          <w:highlight w:val="none"/>
          <w:u w:val="single"/>
        </w:rPr>
        <w:t xml:space="preserve">      </w:t>
      </w:r>
      <w:r>
        <w:rPr>
          <w:rFonts w:hint="eastAsia" w:ascii="宋体" w:hAnsi="宋体" w:cs="宋体"/>
          <w:color w:val="auto"/>
          <w:highlight w:val="none"/>
        </w:rPr>
        <w:t>年（自验收合格并交付给甲方之日起计算），终身维护、维修。</w:t>
      </w:r>
    </w:p>
    <w:p>
      <w:pPr>
        <w:adjustRightInd w:val="0"/>
        <w:snapToGrid w:val="0"/>
        <w:spacing w:line="480" w:lineRule="auto"/>
        <w:ind w:firstLine="48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.在质保期内，因产品质量造成的问题，乙方免费提供配件并现场维修，且所提供的任何零配件必须是其原设备厂家生产的或经其认可的。产品存在质量问题，甲方有权要求乙方换货。</w:t>
      </w:r>
    </w:p>
    <w:p>
      <w:pPr>
        <w:adjustRightInd w:val="0"/>
        <w:snapToGrid w:val="0"/>
        <w:spacing w:line="480" w:lineRule="auto"/>
        <w:ind w:firstLine="480"/>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.乙方须提供一年</w:t>
      </w:r>
      <w:r>
        <w:rPr>
          <w:rFonts w:ascii="宋体" w:hAnsi="宋体" w:cs="宋体"/>
          <w:color w:val="auto"/>
          <w:highlight w:val="none"/>
          <w:u w:val="single"/>
        </w:rPr>
        <w:t xml:space="preserve">    </w:t>
      </w:r>
      <w:r>
        <w:rPr>
          <w:rFonts w:hint="eastAsia" w:ascii="宋体" w:hAnsi="宋体" w:cs="宋体"/>
          <w:color w:val="auto"/>
          <w:highlight w:val="none"/>
        </w:rPr>
        <w:t>次全免费（配件</w:t>
      </w:r>
      <w:r>
        <w:rPr>
          <w:rFonts w:ascii="宋体" w:hAnsi="宋体" w:cs="宋体"/>
          <w:color w:val="auto"/>
          <w:highlight w:val="none"/>
        </w:rPr>
        <w:t>+</w:t>
      </w:r>
      <w:r>
        <w:rPr>
          <w:rFonts w:hint="eastAsia" w:ascii="宋体" w:hAnsi="宋体" w:cs="宋体"/>
          <w:color w:val="auto"/>
          <w:highlight w:val="none"/>
        </w:rPr>
        <w:t>人力）对产品设备的维护保养。</w:t>
      </w:r>
    </w:p>
    <w:p>
      <w:pPr>
        <w:adjustRightInd w:val="0"/>
        <w:snapToGrid w:val="0"/>
        <w:spacing w:line="480" w:lineRule="auto"/>
        <w:ind w:firstLine="480"/>
        <w:rPr>
          <w:rFonts w:ascii="宋体"/>
          <w:color w:val="auto"/>
          <w:highlight w:val="none"/>
        </w:rPr>
      </w:pPr>
      <w:r>
        <w:rPr>
          <w:rFonts w:ascii="宋体" w:hAnsi="宋体" w:cs="宋体"/>
          <w:color w:val="auto"/>
          <w:highlight w:val="none"/>
        </w:rPr>
        <w:t>4</w:t>
      </w:r>
      <w:r>
        <w:rPr>
          <w:rFonts w:hint="eastAsia" w:ascii="宋体" w:hAnsi="宋体" w:cs="宋体"/>
          <w:color w:val="auto"/>
          <w:highlight w:val="none"/>
        </w:rPr>
        <w:t>.乙方承诺凡设备出现故障，自接到甲方报修电话</w:t>
      </w:r>
      <w:r>
        <w:rPr>
          <w:rFonts w:ascii="宋体" w:hAnsi="宋体" w:cs="宋体"/>
          <w:color w:val="auto"/>
          <w:highlight w:val="none"/>
        </w:rPr>
        <w:t>1</w:t>
      </w:r>
      <w:r>
        <w:rPr>
          <w:rFonts w:hint="eastAsia" w:ascii="宋体" w:hAnsi="宋体" w:cs="宋体"/>
          <w:color w:val="auto"/>
          <w:highlight w:val="none"/>
        </w:rPr>
        <w:t>小时内响应，</w:t>
      </w:r>
      <w:r>
        <w:rPr>
          <w:rFonts w:ascii="宋体" w:hAnsi="宋体" w:cs="宋体"/>
          <w:color w:val="auto"/>
          <w:highlight w:val="none"/>
        </w:rPr>
        <w:t>3</w:t>
      </w:r>
      <w:r>
        <w:rPr>
          <w:rFonts w:hint="eastAsia" w:ascii="宋体" w:hAnsi="宋体" w:cs="宋体"/>
          <w:color w:val="auto"/>
          <w:highlight w:val="none"/>
        </w:rPr>
        <w:t>小时内到达现场，</w:t>
      </w:r>
      <w:r>
        <w:rPr>
          <w:rFonts w:ascii="宋体" w:hAnsi="宋体" w:cs="宋体"/>
          <w:color w:val="auto"/>
          <w:highlight w:val="none"/>
        </w:rPr>
        <w:t>24</w:t>
      </w:r>
      <w:r>
        <w:rPr>
          <w:rFonts w:hint="eastAsia" w:ascii="宋体" w:hAnsi="宋体" w:cs="宋体"/>
          <w:color w:val="auto"/>
          <w:highlight w:val="none"/>
        </w:rPr>
        <w:t>小时内解决故障问题。保修期外只收取甲方零配件成本费，其他免费。</w:t>
      </w:r>
    </w:p>
    <w:p>
      <w:pPr>
        <w:adjustRightInd w:val="0"/>
        <w:snapToGrid w:val="0"/>
        <w:spacing w:line="480" w:lineRule="auto"/>
        <w:ind w:firstLine="480"/>
        <w:jc w:val="left"/>
        <w:rPr>
          <w:rFonts w:ascii="宋体"/>
          <w:color w:val="auto"/>
          <w:highlight w:val="none"/>
        </w:rPr>
      </w:pPr>
      <w:r>
        <w:rPr>
          <w:rFonts w:hint="eastAsia" w:ascii="宋体" w:hAnsi="宋体" w:cs="宋体"/>
          <w:color w:val="auto"/>
          <w:highlight w:val="none"/>
        </w:rPr>
        <w:t>5.乙方未在规定时间内提供原配件或认可的替代配件，甲方有权自行购买，费用由乙方承担。</w:t>
      </w:r>
    </w:p>
    <w:p>
      <w:pPr>
        <w:adjustRightInd w:val="0"/>
        <w:snapToGrid w:val="0"/>
        <w:spacing w:line="480" w:lineRule="auto"/>
        <w:ind w:firstLine="480"/>
        <w:rPr>
          <w:rFonts w:hint="eastAsia" w:ascii="宋体" w:hAnsi="宋体" w:cs="宋体"/>
          <w:color w:val="auto"/>
          <w:highlight w:val="none"/>
        </w:rPr>
      </w:pPr>
      <w:r>
        <w:rPr>
          <w:rFonts w:ascii="宋体" w:hAnsi="宋体" w:cs="宋体"/>
          <w:color w:val="auto"/>
          <w:highlight w:val="none"/>
        </w:rPr>
        <w:t>6</w:t>
      </w:r>
      <w:r>
        <w:rPr>
          <w:rFonts w:hint="eastAsia" w:ascii="宋体" w:hAnsi="宋体" w:cs="宋体"/>
          <w:color w:val="auto"/>
          <w:highlight w:val="none"/>
        </w:rPr>
        <w:t>.其它：</w:t>
      </w:r>
      <w:bookmarkStart w:id="249" w:name="_Toc18890"/>
      <w:bookmarkStart w:id="250" w:name="_Toc20157"/>
      <w:bookmarkStart w:id="251" w:name="_Toc14670"/>
      <w:bookmarkStart w:id="252" w:name="_Toc986"/>
      <w:bookmarkStart w:id="253" w:name="_Toc28562"/>
      <w:bookmarkStart w:id="254" w:name="_Toc725"/>
      <w:bookmarkStart w:id="255" w:name="_Toc15266"/>
      <w:bookmarkStart w:id="256" w:name="_Toc4653"/>
      <w:bookmarkStart w:id="257" w:name="_Toc11940"/>
      <w:bookmarkStart w:id="258" w:name="_Toc24763"/>
      <w:bookmarkStart w:id="259" w:name="_Toc20799"/>
      <w:bookmarkStart w:id="260" w:name="_Toc16650"/>
    </w:p>
    <w:p>
      <w:pPr>
        <w:adjustRightInd w:val="0"/>
        <w:snapToGrid w:val="0"/>
        <w:spacing w:line="480" w:lineRule="auto"/>
        <w:ind w:firstLine="480"/>
        <w:rPr>
          <w:rFonts w:hint="eastAsia"/>
          <w:sz w:val="28"/>
          <w:szCs w:val="28"/>
        </w:rPr>
      </w:pPr>
      <w:r>
        <w:rPr>
          <w:rFonts w:hint="eastAsia"/>
          <w:sz w:val="28"/>
          <w:szCs w:val="28"/>
        </w:rPr>
        <w:t>五、技术服务</w:t>
      </w:r>
      <w:bookmarkEnd w:id="249"/>
      <w:bookmarkEnd w:id="250"/>
      <w:bookmarkEnd w:id="251"/>
      <w:bookmarkEnd w:id="252"/>
      <w:bookmarkEnd w:id="253"/>
      <w:bookmarkEnd w:id="254"/>
      <w:bookmarkEnd w:id="255"/>
      <w:bookmarkEnd w:id="256"/>
      <w:bookmarkEnd w:id="257"/>
      <w:bookmarkEnd w:id="258"/>
      <w:bookmarkEnd w:id="259"/>
      <w:bookmarkEnd w:id="260"/>
    </w:p>
    <w:p>
      <w:pPr>
        <w:adjustRightInd w:val="0"/>
        <w:snapToGrid w:val="0"/>
        <w:spacing w:line="480" w:lineRule="auto"/>
        <w:ind w:firstLine="48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.乙方向甲方免费提供标准安装调试及</w:t>
      </w:r>
      <w:r>
        <w:rPr>
          <w:rFonts w:ascii="宋体" w:hAnsi="宋体" w:cs="宋体"/>
          <w:color w:val="auto"/>
          <w:highlight w:val="none"/>
          <w:u w:val="single"/>
        </w:rPr>
        <w:t xml:space="preserve">   </w:t>
      </w:r>
      <w:r>
        <w:rPr>
          <w:rFonts w:hint="eastAsia" w:ascii="宋体" w:hAnsi="宋体" w:cs="宋体"/>
          <w:color w:val="auto"/>
          <w:highlight w:val="none"/>
        </w:rPr>
        <w:t>人次国内操作培训。</w:t>
      </w:r>
    </w:p>
    <w:p>
      <w:pPr>
        <w:adjustRightInd w:val="0"/>
        <w:snapToGrid w:val="0"/>
        <w:spacing w:line="480" w:lineRule="auto"/>
        <w:ind w:firstLine="48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.乙方向甲方提供设备详细技术、维修及使用资料。</w:t>
      </w:r>
    </w:p>
    <w:p>
      <w:pPr>
        <w:adjustRightInd w:val="0"/>
        <w:snapToGrid w:val="0"/>
        <w:spacing w:line="480" w:lineRule="auto"/>
        <w:ind w:firstLine="480"/>
        <w:rPr>
          <w:rFonts w:ascii="宋体" w:hAnsi="宋体" w:cs="宋体"/>
          <w:color w:val="auto"/>
          <w:highlight w:val="none"/>
        </w:rPr>
      </w:pPr>
      <w:r>
        <w:rPr>
          <w:rFonts w:ascii="宋体" w:hAnsi="宋体" w:cs="宋体"/>
          <w:color w:val="auto"/>
          <w:highlight w:val="none"/>
        </w:rPr>
        <w:t>3</w:t>
      </w:r>
      <w:r>
        <w:rPr>
          <w:rFonts w:hint="eastAsia" w:ascii="宋体" w:hAnsi="宋体" w:cs="宋体"/>
          <w:color w:val="auto"/>
          <w:highlight w:val="none"/>
        </w:rPr>
        <w:t>.软件免费升级和使用。</w:t>
      </w:r>
    </w:p>
    <w:p>
      <w:pPr>
        <w:adjustRightInd w:val="0"/>
        <w:snapToGrid w:val="0"/>
        <w:spacing w:line="480" w:lineRule="auto"/>
        <w:ind w:firstLine="480"/>
        <w:rPr>
          <w:rFonts w:ascii="宋体" w:hAnsi="宋体" w:cs="宋体"/>
          <w:color w:val="auto"/>
          <w:sz w:val="24"/>
          <w:highlight w:val="none"/>
        </w:rPr>
      </w:pPr>
      <w:r>
        <w:rPr>
          <w:rFonts w:hint="eastAsia" w:ascii="宋体" w:hAnsi="宋体" w:cs="宋体"/>
          <w:color w:val="auto"/>
          <w:highlight w:val="none"/>
        </w:rPr>
        <w:t>4.乙方有责任对甲方相关人员实施免费的现场培训或集中培训</w:t>
      </w:r>
      <w:r>
        <w:rPr>
          <w:rFonts w:hint="eastAsia" w:ascii="宋体"/>
          <w:color w:val="auto"/>
          <w:highlight w:val="none"/>
        </w:rPr>
        <w:t>措施，保证甲</w:t>
      </w:r>
      <w:r>
        <w:rPr>
          <w:rFonts w:hint="eastAsia" w:ascii="宋体" w:hAnsi="宋体" w:cs="宋体"/>
          <w:color w:val="auto"/>
          <w:highlight w:val="none"/>
        </w:rPr>
        <w:t>方相关人员能够独立操作、熟练使用、维护和管理</w:t>
      </w:r>
      <w:r>
        <w:rPr>
          <w:rFonts w:hint="eastAsia" w:ascii="宋体"/>
          <w:color w:val="auto"/>
          <w:highlight w:val="none"/>
        </w:rPr>
        <w:t>有关设备。</w:t>
      </w:r>
    </w:p>
    <w:p>
      <w:pPr>
        <w:adjustRightInd w:val="0"/>
        <w:snapToGrid w:val="0"/>
        <w:spacing w:line="480" w:lineRule="auto"/>
        <w:ind w:firstLine="480"/>
        <w:rPr>
          <w:rFonts w:hint="eastAsia"/>
          <w:sz w:val="28"/>
          <w:szCs w:val="28"/>
        </w:rPr>
      </w:pPr>
      <w:bookmarkStart w:id="261" w:name="_Toc28179"/>
      <w:bookmarkStart w:id="262" w:name="_Toc21907"/>
      <w:bookmarkStart w:id="263" w:name="_Toc14362"/>
      <w:bookmarkStart w:id="264" w:name="_Toc23710"/>
      <w:bookmarkStart w:id="265" w:name="_Toc8584"/>
      <w:bookmarkStart w:id="266" w:name="_Toc9873"/>
      <w:bookmarkStart w:id="267" w:name="_Toc19611"/>
      <w:bookmarkStart w:id="268" w:name="_Toc29898"/>
      <w:bookmarkStart w:id="269" w:name="_Toc12149"/>
      <w:bookmarkStart w:id="270" w:name="_Toc32158"/>
      <w:bookmarkStart w:id="271" w:name="_Toc15517"/>
      <w:bookmarkStart w:id="272" w:name="_Toc13834"/>
      <w:r>
        <w:rPr>
          <w:rFonts w:hint="eastAsia"/>
          <w:sz w:val="28"/>
          <w:szCs w:val="28"/>
        </w:rPr>
        <w:t>六、知识产权</w:t>
      </w:r>
      <w:bookmarkEnd w:id="261"/>
      <w:bookmarkEnd w:id="262"/>
      <w:bookmarkEnd w:id="263"/>
      <w:bookmarkEnd w:id="264"/>
      <w:bookmarkEnd w:id="265"/>
      <w:bookmarkEnd w:id="266"/>
      <w:bookmarkEnd w:id="267"/>
      <w:bookmarkEnd w:id="268"/>
      <w:bookmarkEnd w:id="269"/>
      <w:bookmarkEnd w:id="270"/>
      <w:bookmarkEnd w:id="271"/>
      <w:bookmarkEnd w:id="272"/>
    </w:p>
    <w:p>
      <w:pPr>
        <w:adjustRightInd w:val="0"/>
        <w:snapToGrid w:val="0"/>
        <w:spacing w:line="480" w:lineRule="auto"/>
        <w:ind w:firstLine="480"/>
        <w:rPr>
          <w:rFonts w:ascii="宋体"/>
          <w:color w:val="auto"/>
          <w:highlight w:val="none"/>
        </w:rPr>
      </w:pPr>
      <w:r>
        <w:rPr>
          <w:rFonts w:hint="eastAsia" w:ascii="宋体" w:hAnsi="宋体" w:cs="宋体"/>
          <w:color w:val="auto"/>
          <w:highlight w:val="none"/>
        </w:rPr>
        <w:t>乙方应保证甲方在使用该货物或货物的任何一部分时免受第三方提出的侵犯其知识产权、商业秘密权或其他任何权利的起诉。如因此给甲方造成损失，已方承诺赔付甲方遭受的一切损失。</w:t>
      </w:r>
    </w:p>
    <w:p>
      <w:pPr>
        <w:adjustRightInd w:val="0"/>
        <w:snapToGrid w:val="0"/>
        <w:spacing w:line="480" w:lineRule="auto"/>
        <w:ind w:firstLine="480"/>
        <w:rPr>
          <w:rFonts w:hint="eastAsia"/>
          <w:sz w:val="28"/>
          <w:szCs w:val="28"/>
        </w:rPr>
      </w:pPr>
      <w:bookmarkStart w:id="273" w:name="_Toc29532"/>
      <w:bookmarkStart w:id="274" w:name="_Toc29791"/>
      <w:bookmarkStart w:id="275" w:name="_Toc1239"/>
      <w:bookmarkStart w:id="276" w:name="_Toc13069"/>
      <w:bookmarkStart w:id="277" w:name="_Toc11329"/>
      <w:bookmarkStart w:id="278" w:name="_Toc15786"/>
      <w:bookmarkStart w:id="279" w:name="_Toc23961"/>
      <w:bookmarkStart w:id="280" w:name="_Toc31002"/>
      <w:bookmarkStart w:id="281" w:name="_Toc1117"/>
      <w:bookmarkStart w:id="282" w:name="_Toc17909"/>
      <w:bookmarkStart w:id="283" w:name="_Toc16999"/>
      <w:bookmarkStart w:id="284" w:name="_Toc25342"/>
      <w:r>
        <w:rPr>
          <w:rFonts w:hint="eastAsia"/>
          <w:sz w:val="28"/>
          <w:szCs w:val="28"/>
          <w:lang w:val="en-US" w:eastAsia="zh-CN"/>
        </w:rPr>
        <w:t>七、</w:t>
      </w:r>
      <w:r>
        <w:rPr>
          <w:rFonts w:hint="eastAsia"/>
          <w:sz w:val="28"/>
          <w:szCs w:val="28"/>
        </w:rPr>
        <w:t>免税</w:t>
      </w:r>
      <w:bookmarkEnd w:id="273"/>
      <w:bookmarkEnd w:id="274"/>
      <w:bookmarkEnd w:id="275"/>
      <w:bookmarkEnd w:id="276"/>
      <w:bookmarkEnd w:id="277"/>
      <w:bookmarkEnd w:id="278"/>
      <w:bookmarkEnd w:id="279"/>
      <w:bookmarkEnd w:id="280"/>
      <w:bookmarkEnd w:id="281"/>
      <w:bookmarkEnd w:id="282"/>
      <w:bookmarkEnd w:id="283"/>
      <w:bookmarkEnd w:id="284"/>
    </w:p>
    <w:p>
      <w:pPr>
        <w:adjustRightInd w:val="0"/>
        <w:snapToGrid w:val="0"/>
        <w:spacing w:line="480" w:lineRule="auto"/>
        <w:ind w:firstLine="420" w:firstLineChars="200"/>
        <w:rPr>
          <w:rFonts w:hint="eastAsia" w:ascii="宋体" w:hAnsi="宋体" w:cs="宋体"/>
          <w:color w:val="auto"/>
          <w:highlight w:val="none"/>
        </w:rPr>
      </w:pPr>
      <w:bookmarkStart w:id="285" w:name="_Toc18462"/>
      <w:bookmarkStart w:id="286" w:name="_Toc11801"/>
      <w:bookmarkStart w:id="287" w:name="_Toc24311"/>
      <w:bookmarkStart w:id="288" w:name="_Toc5671"/>
      <w:bookmarkStart w:id="289" w:name="_Toc29014"/>
      <w:bookmarkStart w:id="290" w:name="_Toc16756"/>
      <w:bookmarkStart w:id="291" w:name="_Toc1875"/>
      <w:bookmarkStart w:id="292" w:name="_Toc28026"/>
      <w:bookmarkStart w:id="293" w:name="_Toc3519"/>
      <w:bookmarkStart w:id="294" w:name="_Toc24977"/>
      <w:bookmarkStart w:id="295" w:name="_Toc1979"/>
      <w:bookmarkStart w:id="296" w:name="_Toc11113"/>
      <w:r>
        <w:rPr>
          <w:rFonts w:hint="eastAsia" w:ascii="宋体" w:hAnsi="宋体" w:cs="宋体"/>
          <w:color w:val="auto"/>
          <w:highlight w:val="none"/>
        </w:rPr>
        <w:t>1.属于进口产品，用于教学和科研目的的，中标价为免税价格。</w:t>
      </w:r>
      <w:bookmarkEnd w:id="285"/>
      <w:bookmarkEnd w:id="286"/>
      <w:bookmarkEnd w:id="287"/>
      <w:bookmarkEnd w:id="288"/>
      <w:bookmarkEnd w:id="289"/>
      <w:bookmarkEnd w:id="290"/>
      <w:bookmarkEnd w:id="291"/>
      <w:bookmarkEnd w:id="292"/>
      <w:bookmarkEnd w:id="293"/>
      <w:bookmarkEnd w:id="294"/>
      <w:bookmarkEnd w:id="295"/>
      <w:bookmarkEnd w:id="296"/>
    </w:p>
    <w:p>
      <w:pPr>
        <w:adjustRightInd w:val="0"/>
        <w:snapToGrid w:val="0"/>
        <w:spacing w:line="480" w:lineRule="auto"/>
        <w:ind w:firstLine="420" w:firstLineChars="200"/>
        <w:rPr>
          <w:rFonts w:hint="eastAsia" w:ascii="宋体" w:hAnsi="宋体" w:cs="宋体"/>
          <w:color w:val="auto"/>
          <w:highlight w:val="none"/>
        </w:rPr>
      </w:pPr>
      <w:bookmarkStart w:id="297" w:name="_Toc30830"/>
      <w:bookmarkStart w:id="298" w:name="_Toc155"/>
      <w:bookmarkStart w:id="299" w:name="_Toc14475"/>
      <w:bookmarkStart w:id="300" w:name="_Toc19590"/>
      <w:bookmarkStart w:id="301" w:name="_Toc18087"/>
      <w:bookmarkStart w:id="302" w:name="_Toc1970"/>
      <w:bookmarkStart w:id="303" w:name="_Toc11373"/>
      <w:bookmarkStart w:id="304" w:name="_Toc19121"/>
      <w:bookmarkStart w:id="305" w:name="_Toc17728"/>
      <w:bookmarkStart w:id="306" w:name="_Toc1177"/>
      <w:bookmarkStart w:id="307" w:name="_Toc31699"/>
      <w:bookmarkStart w:id="308" w:name="_Toc2128"/>
      <w:r>
        <w:rPr>
          <w:rFonts w:hint="eastAsia" w:ascii="宋体" w:hAnsi="宋体" w:cs="宋体"/>
          <w:color w:val="auto"/>
          <w:highlight w:val="none"/>
        </w:rPr>
        <w:t>2.免税产品应由甲乙双方依据海关的要求签订委托进口代理协议，确认甲乙双方的责任与义务。委托进口代理协议作为本合同的不可分割部分。</w:t>
      </w:r>
      <w:bookmarkEnd w:id="297"/>
      <w:bookmarkEnd w:id="298"/>
      <w:bookmarkEnd w:id="299"/>
      <w:bookmarkEnd w:id="300"/>
      <w:bookmarkEnd w:id="301"/>
      <w:bookmarkEnd w:id="302"/>
      <w:bookmarkEnd w:id="303"/>
      <w:bookmarkEnd w:id="304"/>
      <w:bookmarkEnd w:id="305"/>
      <w:bookmarkEnd w:id="306"/>
      <w:bookmarkEnd w:id="307"/>
      <w:bookmarkEnd w:id="308"/>
    </w:p>
    <w:p>
      <w:pPr>
        <w:adjustRightInd w:val="0"/>
        <w:snapToGrid w:val="0"/>
        <w:spacing w:line="480" w:lineRule="auto"/>
        <w:ind w:firstLine="420" w:firstLineChars="200"/>
        <w:rPr>
          <w:rFonts w:hint="eastAsia" w:ascii="宋体" w:hAnsi="宋体" w:cs="宋体"/>
          <w:color w:val="auto"/>
          <w:highlight w:val="none"/>
        </w:rPr>
      </w:pPr>
      <w:bookmarkStart w:id="309" w:name="_Toc26102"/>
      <w:bookmarkStart w:id="310" w:name="_Toc14668"/>
      <w:bookmarkStart w:id="311" w:name="_Toc3364"/>
      <w:bookmarkStart w:id="312" w:name="_Toc22128"/>
      <w:bookmarkStart w:id="313" w:name="_Toc28934"/>
      <w:bookmarkStart w:id="314" w:name="_Toc5839"/>
      <w:bookmarkStart w:id="315" w:name="_Toc13041"/>
      <w:bookmarkStart w:id="316" w:name="_Toc13647"/>
      <w:bookmarkStart w:id="317" w:name="_Toc22164"/>
      <w:bookmarkStart w:id="318" w:name="_Toc5092"/>
      <w:bookmarkStart w:id="319" w:name="_Toc6499"/>
      <w:bookmarkStart w:id="320" w:name="_Toc26368"/>
      <w:r>
        <w:rPr>
          <w:rFonts w:hint="eastAsia" w:ascii="宋体" w:hAnsi="宋体" w:cs="宋体"/>
          <w:color w:val="auto"/>
          <w:highlight w:val="none"/>
        </w:rPr>
        <w:t>3.免税产品通关时乙方必须进行商检，未商检的，造成的损失由乙方承担。</w:t>
      </w:r>
      <w:bookmarkEnd w:id="309"/>
      <w:bookmarkEnd w:id="310"/>
      <w:bookmarkEnd w:id="311"/>
      <w:bookmarkEnd w:id="312"/>
      <w:bookmarkEnd w:id="313"/>
      <w:bookmarkEnd w:id="314"/>
      <w:bookmarkEnd w:id="315"/>
      <w:bookmarkEnd w:id="316"/>
      <w:bookmarkEnd w:id="317"/>
      <w:bookmarkEnd w:id="318"/>
      <w:bookmarkEnd w:id="319"/>
      <w:bookmarkEnd w:id="320"/>
    </w:p>
    <w:p>
      <w:pPr>
        <w:adjustRightInd w:val="0"/>
        <w:snapToGrid w:val="0"/>
        <w:spacing w:line="480" w:lineRule="auto"/>
        <w:ind w:firstLine="480"/>
        <w:rPr>
          <w:rFonts w:hint="eastAsia"/>
          <w:sz w:val="28"/>
          <w:szCs w:val="28"/>
        </w:rPr>
      </w:pPr>
      <w:bookmarkStart w:id="321" w:name="_Toc15334"/>
      <w:bookmarkStart w:id="322" w:name="_Toc23270"/>
      <w:bookmarkStart w:id="323" w:name="_Toc21210"/>
      <w:bookmarkStart w:id="324" w:name="_Toc12897"/>
      <w:bookmarkStart w:id="325" w:name="_Toc11555"/>
      <w:bookmarkStart w:id="326" w:name="_Toc4361"/>
      <w:bookmarkStart w:id="327" w:name="_Toc13866"/>
      <w:bookmarkStart w:id="328" w:name="_Toc30126"/>
      <w:bookmarkStart w:id="329" w:name="_Toc30368"/>
      <w:bookmarkStart w:id="330" w:name="_Toc31503"/>
      <w:bookmarkStart w:id="331" w:name="_Toc30349"/>
      <w:bookmarkStart w:id="332" w:name="_Toc28380"/>
      <w:r>
        <w:rPr>
          <w:rFonts w:hint="eastAsia"/>
          <w:sz w:val="28"/>
          <w:szCs w:val="28"/>
        </w:rPr>
        <w:t>八、交货时间、地点与方式</w:t>
      </w:r>
      <w:bookmarkEnd w:id="321"/>
      <w:bookmarkEnd w:id="322"/>
      <w:bookmarkEnd w:id="323"/>
      <w:bookmarkEnd w:id="324"/>
      <w:bookmarkEnd w:id="325"/>
      <w:bookmarkEnd w:id="326"/>
      <w:bookmarkEnd w:id="327"/>
      <w:bookmarkEnd w:id="328"/>
      <w:bookmarkEnd w:id="329"/>
      <w:bookmarkEnd w:id="330"/>
      <w:bookmarkEnd w:id="331"/>
      <w:bookmarkEnd w:id="332"/>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.乙方于</w:t>
      </w:r>
      <w:r>
        <w:rPr>
          <w:rFonts w:ascii="宋体" w:hAnsi="宋体" w:cs="宋体"/>
          <w:color w:val="auto"/>
          <w:highlight w:val="none"/>
          <w:u w:val="single"/>
        </w:rPr>
        <w:t xml:space="preserve">    </w:t>
      </w:r>
      <w:r>
        <w:rPr>
          <w:rFonts w:hint="eastAsia" w:ascii="宋体" w:hAnsi="宋体" w:cs="宋体"/>
          <w:b/>
          <w:bCs/>
          <w:color w:val="auto"/>
          <w:highlight w:val="none"/>
        </w:rPr>
        <w:t>年</w:t>
      </w:r>
      <w:r>
        <w:rPr>
          <w:rFonts w:ascii="宋体" w:hAnsi="宋体" w:cs="宋体"/>
          <w:b/>
          <w:bCs/>
          <w:color w:val="auto"/>
          <w:highlight w:val="none"/>
          <w:u w:val="single"/>
        </w:rPr>
        <w:t xml:space="preserve">  </w:t>
      </w:r>
      <w:r>
        <w:rPr>
          <w:rFonts w:hint="eastAsia" w:ascii="宋体" w:hAnsi="宋体" w:cs="宋体"/>
          <w:b/>
          <w:bCs/>
          <w:color w:val="auto"/>
          <w:highlight w:val="none"/>
        </w:rPr>
        <w:t>月</w:t>
      </w:r>
      <w:r>
        <w:rPr>
          <w:rFonts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color w:val="auto"/>
          <w:highlight w:val="none"/>
        </w:rPr>
        <w:t>之前将货物按甲方要求在甲方指定地点交货、安装、调试完毕，并具备使用条件，未经甲方允许每推迟一天，按合同总额的千分之五支付违约金。</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.乙方负责所供货物包装、运输、安装和调试，并承担所发生的费用；甲方为乙方现场安装提供水、电等便利条件。</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.安装过程中若发生安全事故由乙方承担。</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4</w:t>
      </w:r>
      <w:r>
        <w:rPr>
          <w:rFonts w:hint="eastAsia" w:ascii="宋体" w:hAnsi="宋体" w:cs="宋体"/>
          <w:color w:val="auto"/>
          <w:highlight w:val="none"/>
        </w:rPr>
        <w:t>.乙方安装人员应服从甲方的管理，遵守国家法律法规和学校相关制度，否则一切后果均由乙方承担。</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5</w:t>
      </w:r>
      <w:r>
        <w:rPr>
          <w:rFonts w:hint="eastAsia" w:ascii="宋体" w:hAnsi="宋体" w:cs="宋体"/>
          <w:color w:val="auto"/>
          <w:highlight w:val="none"/>
        </w:rPr>
        <w:t>.货物交付使用前，乙方负责对提供货物进行看管，并承担货物的丢失、损毁等风险。</w:t>
      </w:r>
    </w:p>
    <w:p>
      <w:pPr>
        <w:adjustRightInd w:val="0"/>
        <w:snapToGrid w:val="0"/>
        <w:spacing w:line="480" w:lineRule="auto"/>
        <w:ind w:firstLine="480"/>
        <w:rPr>
          <w:rFonts w:hint="eastAsia"/>
          <w:sz w:val="28"/>
          <w:szCs w:val="28"/>
        </w:rPr>
      </w:pPr>
      <w:bookmarkStart w:id="333" w:name="_Toc31045"/>
      <w:bookmarkStart w:id="334" w:name="_Toc28806"/>
      <w:bookmarkStart w:id="335" w:name="_Toc19582"/>
      <w:bookmarkStart w:id="336" w:name="_Toc15451"/>
      <w:bookmarkStart w:id="337" w:name="_Toc13490"/>
      <w:bookmarkStart w:id="338" w:name="_Toc13273"/>
      <w:bookmarkStart w:id="339" w:name="_Toc696"/>
      <w:bookmarkStart w:id="340" w:name="_Toc14039"/>
      <w:bookmarkStart w:id="341" w:name="_Toc25151"/>
      <w:bookmarkStart w:id="342" w:name="_Toc10736"/>
      <w:bookmarkStart w:id="343" w:name="_Toc4913"/>
      <w:bookmarkStart w:id="344" w:name="_Toc29138"/>
      <w:r>
        <w:rPr>
          <w:rFonts w:hint="eastAsia"/>
          <w:sz w:val="28"/>
          <w:szCs w:val="28"/>
        </w:rPr>
        <w:t>九、验收方式</w:t>
      </w:r>
      <w:bookmarkEnd w:id="333"/>
      <w:bookmarkEnd w:id="334"/>
      <w:bookmarkEnd w:id="335"/>
      <w:bookmarkEnd w:id="336"/>
      <w:bookmarkEnd w:id="337"/>
      <w:bookmarkEnd w:id="338"/>
      <w:bookmarkEnd w:id="339"/>
      <w:bookmarkEnd w:id="340"/>
      <w:bookmarkEnd w:id="341"/>
      <w:bookmarkEnd w:id="342"/>
      <w:bookmarkEnd w:id="343"/>
      <w:bookmarkEnd w:id="344"/>
    </w:p>
    <w:p>
      <w:pPr>
        <w:adjustRightInd w:val="0"/>
        <w:snapToGrid w:val="0"/>
        <w:spacing w:line="480" w:lineRule="auto"/>
        <w:ind w:firstLine="420" w:firstLineChars="200"/>
        <w:rPr>
          <w:rFonts w:hint="eastAsia" w:ascii="宋体" w:hAnsi="宋体" w:cs="宋体"/>
          <w:color w:val="auto"/>
          <w:highlight w:val="none"/>
        </w:rPr>
      </w:pPr>
      <w:bookmarkStart w:id="345" w:name="_Toc7867"/>
      <w:bookmarkStart w:id="346" w:name="_Toc19808"/>
      <w:bookmarkStart w:id="347" w:name="_Toc97"/>
      <w:bookmarkStart w:id="348" w:name="_Toc29690"/>
      <w:bookmarkStart w:id="349" w:name="_Toc7890"/>
      <w:bookmarkStart w:id="350" w:name="_Toc14378"/>
      <w:bookmarkStart w:id="351" w:name="_Toc26886"/>
      <w:bookmarkStart w:id="352" w:name="_Toc21704"/>
      <w:bookmarkStart w:id="353" w:name="_Toc18791"/>
      <w:bookmarkStart w:id="354" w:name="_Toc22145"/>
      <w:bookmarkStart w:id="355" w:name="_Toc15556"/>
      <w:bookmarkStart w:id="356" w:name="_Toc26894"/>
      <w:r>
        <w:rPr>
          <w:rFonts w:hint="eastAsia" w:ascii="宋体" w:hAnsi="宋体" w:cs="宋体"/>
          <w:color w:val="auto"/>
          <w:highlight w:val="none"/>
        </w:rPr>
        <w:t>1.初步验收。甲方按合同所列质量标准、规格型号、技术参数以及数量等在现场验收，并填写初步验收单（详见附件4）。验收时，甲方有权提出采用技术和破坏相结合的方法。</w:t>
      </w:r>
      <w:bookmarkEnd w:id="345"/>
      <w:bookmarkEnd w:id="346"/>
      <w:bookmarkEnd w:id="347"/>
      <w:bookmarkEnd w:id="348"/>
      <w:bookmarkEnd w:id="349"/>
      <w:bookmarkEnd w:id="350"/>
      <w:bookmarkEnd w:id="351"/>
      <w:bookmarkEnd w:id="352"/>
      <w:bookmarkEnd w:id="353"/>
      <w:bookmarkEnd w:id="354"/>
      <w:bookmarkEnd w:id="355"/>
      <w:bookmarkEnd w:id="356"/>
    </w:p>
    <w:p>
      <w:pPr>
        <w:adjustRightInd w:val="0"/>
        <w:snapToGrid w:val="0"/>
        <w:spacing w:line="480" w:lineRule="auto"/>
        <w:ind w:firstLine="420" w:firstLineChars="200"/>
        <w:rPr>
          <w:rFonts w:hint="eastAsia" w:ascii="宋体" w:hAnsi="宋体" w:cs="宋体"/>
          <w:color w:val="auto"/>
          <w:highlight w:val="none"/>
        </w:rPr>
      </w:pPr>
      <w:bookmarkStart w:id="357" w:name="_Toc29165"/>
      <w:bookmarkStart w:id="358" w:name="_Toc10990"/>
      <w:bookmarkStart w:id="359" w:name="_Toc22874"/>
      <w:bookmarkStart w:id="360" w:name="_Toc5134"/>
      <w:bookmarkStart w:id="361" w:name="_Toc26422"/>
      <w:bookmarkStart w:id="362" w:name="_Toc27881"/>
      <w:bookmarkStart w:id="363" w:name="_Toc26782"/>
      <w:bookmarkStart w:id="364" w:name="_Toc12359"/>
      <w:bookmarkStart w:id="365" w:name="_Toc22449"/>
      <w:bookmarkStart w:id="366" w:name="_Toc17887"/>
      <w:bookmarkStart w:id="367" w:name="_Toc8836"/>
      <w:bookmarkStart w:id="368" w:name="_Toc11882"/>
      <w:r>
        <w:rPr>
          <w:rFonts w:hint="eastAsia" w:ascii="宋体" w:hAnsi="宋体" w:cs="宋体"/>
          <w:color w:val="auto"/>
          <w:highlight w:val="none"/>
        </w:rPr>
        <w:t>乙方应向甲方移交所供设备完整的使用说明书、合格证及相关资料。乙方在所有设备（工程）安装调试、软件安装完毕后，开展现场培训，使用户能够独立熟练操作使用仪器或设备，</w:t>
      </w:r>
      <w:r>
        <w:rPr>
          <w:rFonts w:hint="eastAsia" w:ascii="宋体" w:hAnsi="宋体" w:cs="宋体"/>
          <w:color w:val="auto"/>
          <w:highlight w:val="none"/>
          <w:lang w:val="en-US" w:eastAsia="zh-CN"/>
        </w:rPr>
        <w:t>而</w:t>
      </w:r>
      <w:r>
        <w:rPr>
          <w:rFonts w:hint="eastAsia" w:ascii="宋体" w:hAnsi="宋体" w:cs="宋体"/>
          <w:color w:val="auto"/>
          <w:highlight w:val="none"/>
        </w:rPr>
        <w:t>后由供需双方共同初步验收；甲乙双方如产生异议，由第三方重新进行验收。如果乙方提供的货物与合同不符，甲方有权拒绝验收，由此所产生的一切费用由乙方承担。</w:t>
      </w:r>
      <w:bookmarkEnd w:id="357"/>
      <w:bookmarkEnd w:id="358"/>
      <w:bookmarkEnd w:id="359"/>
      <w:bookmarkEnd w:id="360"/>
      <w:bookmarkEnd w:id="361"/>
      <w:bookmarkEnd w:id="362"/>
      <w:bookmarkEnd w:id="363"/>
      <w:bookmarkEnd w:id="364"/>
      <w:bookmarkEnd w:id="365"/>
      <w:bookmarkEnd w:id="366"/>
      <w:bookmarkEnd w:id="367"/>
      <w:bookmarkEnd w:id="368"/>
    </w:p>
    <w:p>
      <w:pPr>
        <w:adjustRightInd w:val="0"/>
        <w:snapToGrid w:val="0"/>
        <w:spacing w:line="480" w:lineRule="auto"/>
        <w:ind w:firstLine="420" w:firstLineChars="200"/>
        <w:rPr>
          <w:rFonts w:hint="eastAsia" w:ascii="宋体" w:hAnsi="宋体" w:cs="宋体"/>
          <w:color w:val="auto"/>
          <w:highlight w:val="none"/>
        </w:rPr>
      </w:pPr>
      <w:bookmarkStart w:id="369" w:name="_Toc9222"/>
      <w:bookmarkStart w:id="370" w:name="_Toc10443"/>
      <w:bookmarkStart w:id="371" w:name="_Toc22345"/>
      <w:bookmarkStart w:id="372" w:name="_Toc9901"/>
      <w:bookmarkStart w:id="373" w:name="_Toc22041"/>
      <w:bookmarkStart w:id="374" w:name="_Toc31876"/>
      <w:bookmarkStart w:id="375" w:name="_Toc770"/>
      <w:bookmarkStart w:id="376" w:name="_Toc12665"/>
      <w:bookmarkStart w:id="377" w:name="_Toc324"/>
      <w:bookmarkStart w:id="378" w:name="_Toc20569"/>
      <w:bookmarkStart w:id="379" w:name="_Toc5330"/>
      <w:bookmarkStart w:id="380" w:name="_Toc18064"/>
      <w:r>
        <w:rPr>
          <w:rFonts w:hint="eastAsia" w:ascii="宋体" w:hAnsi="宋体" w:cs="宋体"/>
          <w:color w:val="auto"/>
          <w:highlight w:val="none"/>
        </w:rPr>
        <w:t>2.正式验收：依据河南省财政厅“《关于加强政府采购合同监督管理工作的通知》【豫财购（2010）24号】”文件要求，政府采购合同金额50万元以上的货物采购项目，由使用单位初验合格后，向</w:t>
      </w:r>
      <w:r>
        <w:rPr>
          <w:rFonts w:hint="eastAsia" w:ascii="宋体" w:hAnsi="宋体" w:cs="宋体"/>
          <w:color w:val="auto"/>
          <w:highlight w:val="none"/>
          <w:lang w:val="en-US" w:eastAsia="zh-CN"/>
        </w:rPr>
        <w:t>资产与财务部</w:t>
      </w:r>
      <w:r>
        <w:rPr>
          <w:rFonts w:hint="eastAsia" w:ascii="宋体" w:hAnsi="宋体" w:cs="宋体"/>
          <w:color w:val="auto"/>
          <w:highlight w:val="none"/>
        </w:rPr>
        <w:t>提出验收申请，由采购单位领导牵头，会同财务、审计、资产管理及专家成立验收专家组进行正式验收。学校验收通过后，才能支付合同款项。</w:t>
      </w:r>
      <w:bookmarkEnd w:id="369"/>
      <w:bookmarkEnd w:id="370"/>
      <w:bookmarkEnd w:id="371"/>
      <w:bookmarkEnd w:id="372"/>
      <w:bookmarkEnd w:id="373"/>
      <w:bookmarkEnd w:id="374"/>
      <w:bookmarkEnd w:id="375"/>
      <w:bookmarkEnd w:id="376"/>
      <w:bookmarkEnd w:id="377"/>
      <w:bookmarkEnd w:id="378"/>
      <w:bookmarkEnd w:id="379"/>
      <w:bookmarkEnd w:id="380"/>
    </w:p>
    <w:p>
      <w:pPr>
        <w:adjustRightInd w:val="0"/>
        <w:snapToGrid w:val="0"/>
        <w:spacing w:line="480" w:lineRule="auto"/>
        <w:ind w:firstLine="480"/>
        <w:rPr>
          <w:rFonts w:hint="eastAsia"/>
          <w:sz w:val="28"/>
          <w:szCs w:val="28"/>
        </w:rPr>
      </w:pPr>
      <w:bookmarkStart w:id="381" w:name="_Toc27285"/>
      <w:bookmarkStart w:id="382" w:name="_Toc14062"/>
      <w:bookmarkStart w:id="383" w:name="_Toc17577"/>
      <w:bookmarkStart w:id="384" w:name="_Toc4669"/>
      <w:bookmarkStart w:id="385" w:name="_Toc6989"/>
      <w:bookmarkStart w:id="386" w:name="_Toc22270"/>
      <w:bookmarkStart w:id="387" w:name="_Toc19151"/>
      <w:bookmarkStart w:id="388" w:name="_Toc20137"/>
      <w:bookmarkStart w:id="389" w:name="_Toc4976"/>
      <w:bookmarkStart w:id="390" w:name="_Toc4238"/>
      <w:bookmarkStart w:id="391" w:name="_Toc31667"/>
      <w:bookmarkStart w:id="392" w:name="_Toc15751"/>
      <w:r>
        <w:rPr>
          <w:rFonts w:hint="eastAsia"/>
          <w:sz w:val="28"/>
          <w:szCs w:val="28"/>
        </w:rPr>
        <w:t>十、付款方式及条件</w:t>
      </w:r>
      <w:bookmarkEnd w:id="381"/>
      <w:bookmarkEnd w:id="382"/>
      <w:bookmarkEnd w:id="383"/>
      <w:bookmarkEnd w:id="384"/>
      <w:bookmarkEnd w:id="385"/>
      <w:bookmarkEnd w:id="386"/>
      <w:bookmarkEnd w:id="387"/>
      <w:bookmarkEnd w:id="388"/>
      <w:bookmarkEnd w:id="389"/>
      <w:bookmarkEnd w:id="390"/>
      <w:bookmarkEnd w:id="391"/>
      <w:bookmarkEnd w:id="392"/>
    </w:p>
    <w:p>
      <w:pPr>
        <w:adjustRightInd w:val="0"/>
        <w:snapToGrid w:val="0"/>
        <w:spacing w:line="480" w:lineRule="auto"/>
        <w:ind w:left="480"/>
        <w:rPr>
          <w:rFonts w:ascii="宋体" w:hAnsi="宋体" w:cs="宋体"/>
          <w:color w:val="auto"/>
          <w:highlight w:val="none"/>
        </w:rPr>
      </w:pPr>
      <w:r>
        <w:rPr>
          <w:rFonts w:hint="eastAsia" w:ascii="宋体" w:hAnsi="宋体" w:cs="宋体"/>
          <w:color w:val="auto"/>
          <w:highlight w:val="none"/>
        </w:rPr>
        <w:t>1.本合同总价款（大写）为：</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u w:val="single"/>
        </w:rPr>
        <w:t>（小写：</w:t>
      </w:r>
      <w:r>
        <w:rPr>
          <w:rFonts w:ascii="Arial" w:hAnsi="Arial" w:cs="Arial"/>
          <w:b/>
          <w:bCs/>
          <w:color w:val="auto"/>
          <w:kern w:val="0"/>
          <w:highlight w:val="none"/>
          <w:u w:val="single"/>
        </w:rPr>
        <w:t>¥</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u w:val="single"/>
        </w:rPr>
        <w:t>元）</w:t>
      </w:r>
      <w:r>
        <w:rPr>
          <w:rFonts w:hint="eastAsia" w:ascii="宋体" w:hAnsi="宋体" w:cs="宋体"/>
          <w:color w:val="auto"/>
          <w:highlight w:val="none"/>
        </w:rPr>
        <w:t>。</w:t>
      </w:r>
    </w:p>
    <w:p>
      <w:pPr>
        <w:adjustRightInd w:val="0"/>
        <w:snapToGrid w:val="0"/>
        <w:spacing w:line="480" w:lineRule="auto"/>
        <w:ind w:left="480"/>
        <w:rPr>
          <w:rFonts w:cs="宋体"/>
          <w:color w:val="auto"/>
          <w:sz w:val="24"/>
          <w:highlight w:val="none"/>
        </w:rPr>
      </w:pPr>
      <w:r>
        <w:rPr>
          <w:rFonts w:ascii="宋体" w:hAnsi="宋体" w:cs="宋体"/>
          <w:color w:val="auto"/>
          <w:highlight w:val="none"/>
        </w:rPr>
        <w:t>2</w:t>
      </w:r>
      <w:r>
        <w:rPr>
          <w:rFonts w:hint="eastAsia" w:ascii="宋体" w:hAnsi="宋体" w:cs="宋体"/>
          <w:color w:val="auto"/>
          <w:highlight w:val="none"/>
        </w:rPr>
        <w:t>.付款方式：货物验收合格后，经审计后，甲方向乙方支付审定金额的95％；质保期满后，甲方向乙方支付剩余的全部货款。</w:t>
      </w:r>
    </w:p>
    <w:p>
      <w:pPr>
        <w:adjustRightInd w:val="0"/>
        <w:snapToGrid w:val="0"/>
        <w:spacing w:line="480" w:lineRule="auto"/>
        <w:ind w:firstLine="480"/>
        <w:rPr>
          <w:rFonts w:hint="eastAsia"/>
          <w:sz w:val="28"/>
          <w:szCs w:val="28"/>
        </w:rPr>
      </w:pPr>
      <w:bookmarkStart w:id="393" w:name="_Toc6132"/>
      <w:bookmarkStart w:id="394" w:name="_Toc22187"/>
      <w:bookmarkStart w:id="395" w:name="_Toc29602"/>
      <w:bookmarkStart w:id="396" w:name="_Toc17988"/>
      <w:bookmarkStart w:id="397" w:name="_Toc11102"/>
      <w:bookmarkStart w:id="398" w:name="_Toc3377"/>
      <w:bookmarkStart w:id="399" w:name="_Toc30148"/>
      <w:bookmarkStart w:id="400" w:name="_Toc8626"/>
      <w:bookmarkStart w:id="401" w:name="_Toc8810"/>
      <w:bookmarkStart w:id="402" w:name="_Toc6109"/>
      <w:bookmarkStart w:id="403" w:name="_Toc12570"/>
      <w:bookmarkStart w:id="404" w:name="_Toc23985"/>
      <w:r>
        <w:rPr>
          <w:rFonts w:hint="eastAsia"/>
          <w:sz w:val="28"/>
          <w:szCs w:val="28"/>
        </w:rPr>
        <w:t>十一、履约担保</w:t>
      </w:r>
      <w:bookmarkEnd w:id="393"/>
      <w:bookmarkEnd w:id="394"/>
      <w:bookmarkEnd w:id="395"/>
      <w:bookmarkEnd w:id="396"/>
      <w:bookmarkEnd w:id="397"/>
      <w:bookmarkEnd w:id="398"/>
      <w:bookmarkEnd w:id="399"/>
      <w:bookmarkEnd w:id="400"/>
      <w:bookmarkEnd w:id="401"/>
      <w:bookmarkEnd w:id="402"/>
      <w:bookmarkEnd w:id="403"/>
      <w:bookmarkEnd w:id="404"/>
    </w:p>
    <w:p>
      <w:pPr>
        <w:adjustRightInd w:val="0"/>
        <w:snapToGrid w:val="0"/>
        <w:spacing w:line="480" w:lineRule="auto"/>
        <w:ind w:firstLine="420" w:firstLineChars="200"/>
        <w:rPr>
          <w:rFonts w:hint="eastAsia" w:ascii="宋体" w:hAnsi="宋体" w:cs="宋体"/>
          <w:color w:val="auto"/>
          <w:highlight w:val="none"/>
        </w:rPr>
      </w:pPr>
      <w:bookmarkStart w:id="405" w:name="_Toc22357"/>
      <w:bookmarkStart w:id="406" w:name="_Toc19640"/>
      <w:bookmarkStart w:id="407" w:name="_Toc29221"/>
      <w:bookmarkStart w:id="408" w:name="_Toc13355"/>
      <w:bookmarkStart w:id="409" w:name="_Toc19494"/>
      <w:bookmarkStart w:id="410" w:name="_Toc5667"/>
      <w:bookmarkStart w:id="411" w:name="_Toc9130"/>
      <w:bookmarkStart w:id="412" w:name="_Toc6055"/>
      <w:bookmarkStart w:id="413" w:name="_Toc6373"/>
      <w:bookmarkStart w:id="414" w:name="_Toc15438"/>
      <w:bookmarkStart w:id="415" w:name="_Toc24953"/>
      <w:bookmarkStart w:id="416" w:name="_Toc14142"/>
      <w:r>
        <w:rPr>
          <w:rFonts w:hint="eastAsia" w:ascii="宋体" w:hAnsi="宋体" w:cs="宋体"/>
          <w:color w:val="auto"/>
          <w:highlight w:val="none"/>
        </w:rPr>
        <w:t>合同履约担保条款 (100万元以下不强制提供保函或现金履约担保)</w:t>
      </w:r>
      <w:bookmarkEnd w:id="405"/>
      <w:bookmarkEnd w:id="406"/>
      <w:bookmarkEnd w:id="407"/>
      <w:bookmarkEnd w:id="408"/>
      <w:bookmarkEnd w:id="409"/>
      <w:bookmarkEnd w:id="410"/>
      <w:bookmarkEnd w:id="411"/>
    </w:p>
    <w:p>
      <w:pPr>
        <w:adjustRightInd w:val="0"/>
        <w:snapToGrid w:val="0"/>
        <w:spacing w:line="480" w:lineRule="auto"/>
        <w:ind w:firstLine="420" w:firstLineChars="200"/>
        <w:rPr>
          <w:rFonts w:hint="eastAsia" w:ascii="宋体" w:hAnsi="宋体" w:cs="宋体"/>
          <w:color w:val="auto"/>
          <w:highlight w:val="none"/>
        </w:rPr>
      </w:pPr>
      <w:bookmarkStart w:id="417" w:name="_Toc28185"/>
      <w:bookmarkStart w:id="418" w:name="_Toc17454"/>
      <w:bookmarkStart w:id="419" w:name="_Toc1048"/>
      <w:bookmarkStart w:id="420" w:name="_Toc706"/>
      <w:bookmarkStart w:id="421" w:name="_Toc27277"/>
      <w:bookmarkStart w:id="422" w:name="_Toc7732"/>
      <w:bookmarkStart w:id="423" w:name="_Toc30686"/>
      <w:r>
        <w:rPr>
          <w:rFonts w:hint="eastAsia" w:ascii="宋体" w:hAnsi="宋体" w:cs="宋体"/>
          <w:color w:val="auto"/>
          <w:highlight w:val="none"/>
        </w:rPr>
        <w:t>履约担保金额：合同总额的5%</w:t>
      </w:r>
      <w:bookmarkEnd w:id="417"/>
      <w:bookmarkEnd w:id="418"/>
      <w:bookmarkEnd w:id="419"/>
      <w:bookmarkEnd w:id="420"/>
      <w:bookmarkEnd w:id="421"/>
      <w:bookmarkEnd w:id="422"/>
      <w:bookmarkEnd w:id="423"/>
    </w:p>
    <w:p>
      <w:pPr>
        <w:adjustRightInd w:val="0"/>
        <w:snapToGrid w:val="0"/>
        <w:spacing w:line="480" w:lineRule="auto"/>
        <w:ind w:firstLine="420" w:firstLineChars="200"/>
        <w:rPr>
          <w:rFonts w:hint="eastAsia" w:ascii="宋体" w:hAnsi="宋体" w:cs="宋体"/>
          <w:color w:val="auto"/>
          <w:highlight w:val="none"/>
        </w:rPr>
      </w:pPr>
      <w:bookmarkStart w:id="424" w:name="_Toc9193"/>
      <w:bookmarkStart w:id="425" w:name="_Toc19843"/>
      <w:bookmarkStart w:id="426" w:name="_Toc8477"/>
      <w:bookmarkStart w:id="427" w:name="_Toc27091"/>
      <w:bookmarkStart w:id="428" w:name="_Toc21994"/>
      <w:bookmarkStart w:id="429" w:name="_Toc15796"/>
      <w:bookmarkStart w:id="430" w:name="_Toc6782"/>
      <w:r>
        <w:rPr>
          <w:rFonts w:hint="eastAsia" w:ascii="宋体" w:hAnsi="宋体" w:cs="宋体"/>
          <w:color w:val="auto"/>
          <w:highlight w:val="none"/>
        </w:rPr>
        <w:t>履约担保方式：乙方以银行保函方式在合同签订前向甲方采购单位提供履约担保，验收合格，正式交付使用后退还。</w:t>
      </w:r>
      <w:bookmarkEnd w:id="424"/>
      <w:bookmarkEnd w:id="425"/>
      <w:bookmarkEnd w:id="426"/>
      <w:bookmarkEnd w:id="427"/>
      <w:bookmarkEnd w:id="428"/>
      <w:bookmarkEnd w:id="429"/>
      <w:bookmarkEnd w:id="430"/>
    </w:p>
    <w:p>
      <w:pPr>
        <w:adjustRightInd w:val="0"/>
        <w:snapToGrid w:val="0"/>
        <w:spacing w:line="480" w:lineRule="auto"/>
        <w:ind w:firstLine="480"/>
        <w:rPr>
          <w:rFonts w:hint="eastAsia"/>
          <w:sz w:val="28"/>
          <w:szCs w:val="28"/>
        </w:rPr>
      </w:pPr>
      <w:bookmarkStart w:id="431" w:name="_Toc26722"/>
      <w:bookmarkStart w:id="432" w:name="_Toc28038"/>
      <w:bookmarkStart w:id="433" w:name="_Toc13855"/>
      <w:bookmarkStart w:id="434" w:name="_Toc31316"/>
      <w:bookmarkStart w:id="435" w:name="_Toc18027"/>
      <w:bookmarkStart w:id="436" w:name="_Toc22348"/>
      <w:bookmarkStart w:id="437" w:name="_Toc23093"/>
      <w:r>
        <w:rPr>
          <w:rFonts w:hint="eastAsia"/>
          <w:sz w:val="28"/>
          <w:szCs w:val="28"/>
        </w:rPr>
        <w:t>十二、违约责任</w:t>
      </w:r>
      <w:bookmarkEnd w:id="412"/>
      <w:bookmarkEnd w:id="413"/>
      <w:bookmarkEnd w:id="414"/>
      <w:bookmarkEnd w:id="415"/>
      <w:bookmarkEnd w:id="416"/>
      <w:bookmarkEnd w:id="431"/>
      <w:bookmarkEnd w:id="432"/>
      <w:bookmarkEnd w:id="433"/>
      <w:bookmarkEnd w:id="434"/>
      <w:bookmarkEnd w:id="435"/>
      <w:bookmarkEnd w:id="436"/>
      <w:bookmarkEnd w:id="437"/>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乙方所交的货物产地、品牌、型号、规格、质量以及技术标准、数量等不符合合同要求，甲方有权拒收，由此产生的一切费用由乙方负责；因货物更换而造成逾期交货，则按逾期交货处理，乙方应向甲方每天支付合同标总额日千分之五的违约金。</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甲方无正当理由拒收设备，应向乙方偿付拒收设备款额百分之五的违约金。甲方逾期付款，应向乙方支付本合同标的总额的日万分之四的违约金。</w:t>
      </w:r>
    </w:p>
    <w:p>
      <w:pPr>
        <w:adjustRightInd w:val="0"/>
        <w:snapToGrid w:val="0"/>
        <w:spacing w:line="480" w:lineRule="auto"/>
        <w:ind w:firstLine="480"/>
        <w:rPr>
          <w:rFonts w:hint="eastAsia"/>
          <w:sz w:val="28"/>
          <w:szCs w:val="28"/>
        </w:rPr>
      </w:pPr>
      <w:bookmarkStart w:id="438" w:name="_Toc12845"/>
      <w:bookmarkStart w:id="439" w:name="_Toc20456"/>
      <w:bookmarkStart w:id="440" w:name="_Toc17486"/>
      <w:bookmarkStart w:id="441" w:name="_Toc2985"/>
      <w:bookmarkStart w:id="442" w:name="_Toc24143"/>
      <w:bookmarkStart w:id="443" w:name="_Toc4984"/>
      <w:bookmarkStart w:id="444" w:name="_Toc29364"/>
      <w:bookmarkStart w:id="445" w:name="_Toc6667"/>
      <w:bookmarkStart w:id="446" w:name="_Toc16491"/>
      <w:bookmarkStart w:id="447" w:name="_Toc31546"/>
      <w:bookmarkStart w:id="448" w:name="_Toc107"/>
      <w:bookmarkStart w:id="449" w:name="_Toc6376"/>
      <w:r>
        <w:rPr>
          <w:rFonts w:hint="eastAsia"/>
          <w:sz w:val="28"/>
          <w:szCs w:val="28"/>
        </w:rPr>
        <w:t>十三、其它</w:t>
      </w:r>
      <w:bookmarkEnd w:id="438"/>
      <w:bookmarkEnd w:id="439"/>
      <w:bookmarkEnd w:id="440"/>
      <w:bookmarkEnd w:id="441"/>
      <w:bookmarkEnd w:id="442"/>
      <w:bookmarkEnd w:id="443"/>
      <w:bookmarkEnd w:id="444"/>
      <w:bookmarkEnd w:id="445"/>
      <w:bookmarkEnd w:id="446"/>
      <w:bookmarkEnd w:id="447"/>
      <w:bookmarkEnd w:id="448"/>
      <w:bookmarkEnd w:id="449"/>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1.组成本合同的文件及解释顺序为：本合同及其附件、双方签字并盖章的补充协议和文件；投标书及其附件；招标文件及补充通知；中标通知书；国家、行业或企业（以最高的为准）标准、规范及有关技术文件；投标书及其附件。</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2.双方在执行合同时产生纠纷，协商解决；协商不成，向甲方所在地人民法院提起诉讼。</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3.本合同共    页，一式    份，甲方执    份（用于合同备案、进口产品免税、验收、报账等事项），乙方执    份，招标公司执    份。</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4.本合同未尽事宜，甲方双方可签订补充协议，与本合同具有同等法律效力。</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5.本合同经双方法定代表人或其授权代理人签字并加盖单位公章后生效。</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6.法律文书接收地址（乙方）：</w:t>
      </w:r>
    </w:p>
    <w:p>
      <w:pPr>
        <w:tabs>
          <w:tab w:val="left" w:pos="5020"/>
        </w:tabs>
        <w:spacing w:line="360" w:lineRule="auto"/>
        <w:rPr>
          <w:color w:val="auto"/>
          <w:sz w:val="24"/>
          <w:highlight w:val="none"/>
        </w:rPr>
      </w:pPr>
    </w:p>
    <w:p>
      <w:pPr>
        <w:snapToGrid w:val="0"/>
        <w:spacing w:line="480" w:lineRule="auto"/>
        <w:rPr>
          <w:b/>
          <w:bCs/>
          <w:color w:val="auto"/>
          <w:sz w:val="28"/>
          <w:szCs w:val="28"/>
          <w:highlight w:val="none"/>
        </w:rPr>
      </w:pPr>
      <w:r>
        <w:rPr>
          <w:rFonts w:hint="eastAsia" w:cs="宋体"/>
          <w:b/>
          <w:bCs/>
          <w:color w:val="auto"/>
          <w:sz w:val="24"/>
          <w:highlight w:val="none"/>
        </w:rPr>
        <w:t>甲方：</w:t>
      </w:r>
      <w:r>
        <w:rPr>
          <w:b/>
          <w:bCs/>
          <w:color w:val="auto"/>
          <w:sz w:val="24"/>
          <w:highlight w:val="none"/>
        </w:rPr>
        <w:t xml:space="preserve">                               </w:t>
      </w:r>
      <w:r>
        <w:rPr>
          <w:rFonts w:hint="eastAsia" w:cs="宋体"/>
          <w:b/>
          <w:bCs/>
          <w:color w:val="auto"/>
          <w:sz w:val="24"/>
          <w:highlight w:val="none"/>
        </w:rPr>
        <w:t>乙方：</w:t>
      </w:r>
      <w:r>
        <w:rPr>
          <w:b/>
          <w:bCs/>
          <w:color w:val="auto"/>
          <w:sz w:val="24"/>
          <w:highlight w:val="none"/>
        </w:rPr>
        <w:t xml:space="preserve"> </w:t>
      </w:r>
    </w:p>
    <w:p>
      <w:pPr>
        <w:snapToGrid w:val="0"/>
        <w:spacing w:line="480" w:lineRule="auto"/>
        <w:rPr>
          <w:b/>
          <w:bCs/>
          <w:color w:val="auto"/>
          <w:sz w:val="24"/>
          <w:highlight w:val="none"/>
        </w:rPr>
      </w:pPr>
      <w:r>
        <w:rPr>
          <w:rFonts w:hint="eastAsia" w:cs="宋体"/>
          <w:b/>
          <w:bCs/>
          <w:color w:val="auto"/>
          <w:sz w:val="24"/>
          <w:highlight w:val="none"/>
        </w:rPr>
        <w:t>地址：</w:t>
      </w:r>
      <w:r>
        <w:rPr>
          <w:b/>
          <w:bCs/>
          <w:color w:val="auto"/>
          <w:sz w:val="24"/>
          <w:highlight w:val="none"/>
        </w:rPr>
        <w:t xml:space="preserve">                               </w:t>
      </w:r>
      <w:r>
        <w:rPr>
          <w:rFonts w:hint="eastAsia" w:cs="宋体"/>
          <w:b/>
          <w:bCs/>
          <w:color w:val="auto"/>
          <w:sz w:val="24"/>
          <w:highlight w:val="none"/>
        </w:rPr>
        <w:t>地址</w:t>
      </w:r>
      <w:r>
        <w:rPr>
          <w:b/>
          <w:bCs/>
          <w:color w:val="auto"/>
          <w:sz w:val="24"/>
          <w:highlight w:val="none"/>
        </w:rPr>
        <w:t xml:space="preserve">: </w:t>
      </w:r>
    </w:p>
    <w:p>
      <w:pPr>
        <w:snapToGrid w:val="0"/>
        <w:spacing w:line="480" w:lineRule="auto"/>
        <w:rPr>
          <w:b/>
          <w:bCs/>
          <w:color w:val="auto"/>
          <w:sz w:val="24"/>
          <w:highlight w:val="none"/>
        </w:rPr>
      </w:pPr>
      <w:r>
        <w:rPr>
          <w:rFonts w:hint="eastAsia" w:cs="宋体"/>
          <w:b/>
          <w:bCs/>
          <w:color w:val="auto"/>
          <w:sz w:val="24"/>
          <w:highlight w:val="none"/>
        </w:rPr>
        <w:t>签字代表（或委托代理人）：</w:t>
      </w:r>
      <w:r>
        <w:rPr>
          <w:b/>
          <w:bCs/>
          <w:color w:val="auto"/>
          <w:sz w:val="24"/>
          <w:highlight w:val="none"/>
        </w:rPr>
        <w:t xml:space="preserve">            </w:t>
      </w:r>
      <w:r>
        <w:rPr>
          <w:rFonts w:hint="eastAsia" w:cs="宋体"/>
          <w:b/>
          <w:bCs/>
          <w:color w:val="auto"/>
          <w:sz w:val="24"/>
          <w:highlight w:val="none"/>
        </w:rPr>
        <w:t>签字代表：</w:t>
      </w:r>
    </w:p>
    <w:p>
      <w:pPr>
        <w:tabs>
          <w:tab w:val="left" w:pos="4860"/>
        </w:tabs>
        <w:autoSpaceDE w:val="0"/>
        <w:autoSpaceDN w:val="0"/>
        <w:adjustRightInd w:val="0"/>
        <w:snapToGrid w:val="0"/>
        <w:spacing w:line="480" w:lineRule="auto"/>
        <w:jc w:val="left"/>
        <w:rPr>
          <w:rFonts w:ascii="宋体"/>
          <w:b/>
          <w:bCs/>
          <w:color w:val="auto"/>
          <w:kern w:val="0"/>
          <w:sz w:val="24"/>
          <w:highlight w:val="none"/>
        </w:rPr>
      </w:pPr>
      <w:r>
        <w:rPr>
          <w:rFonts w:hint="eastAsia" w:cs="宋体"/>
          <w:b/>
          <w:bCs/>
          <w:color w:val="auto"/>
          <w:sz w:val="24"/>
          <w:highlight w:val="none"/>
        </w:rPr>
        <w:t>电话：</w:t>
      </w:r>
      <w:r>
        <w:rPr>
          <w:b/>
          <w:bCs/>
          <w:color w:val="auto"/>
          <w:sz w:val="24"/>
          <w:highlight w:val="none"/>
        </w:rPr>
        <w:t xml:space="preserve">                              </w:t>
      </w:r>
      <w:r>
        <w:rPr>
          <w:rFonts w:hint="eastAsia" w:cs="宋体"/>
          <w:b/>
          <w:bCs/>
          <w:color w:val="auto"/>
          <w:sz w:val="24"/>
          <w:highlight w:val="none"/>
        </w:rPr>
        <w:t>电话：</w:t>
      </w:r>
    </w:p>
    <w:p>
      <w:pPr>
        <w:snapToGrid w:val="0"/>
        <w:spacing w:line="480" w:lineRule="auto"/>
        <w:ind w:firstLine="1205" w:firstLineChars="500"/>
        <w:rPr>
          <w:rFonts w:ascii="宋体"/>
          <w:b/>
          <w:bCs/>
          <w:color w:val="auto"/>
          <w:kern w:val="0"/>
          <w:sz w:val="24"/>
          <w:highlight w:val="none"/>
        </w:rPr>
      </w:pPr>
      <w:r>
        <w:rPr>
          <w:rFonts w:ascii="宋体" w:cs="宋体"/>
          <w:b/>
          <w:bCs/>
          <w:color w:val="auto"/>
          <w:kern w:val="0"/>
          <w:sz w:val="24"/>
          <w:highlight w:val="none"/>
        </w:rPr>
        <w:t xml:space="preserve">                          </w:t>
      </w:r>
      <w:r>
        <w:rPr>
          <w:rFonts w:hint="eastAsia" w:ascii="宋体" w:cs="宋体"/>
          <w:b/>
          <w:bCs/>
          <w:color w:val="auto"/>
          <w:kern w:val="0"/>
          <w:sz w:val="24"/>
          <w:highlight w:val="none"/>
        </w:rPr>
        <w:t>开户银行：</w:t>
      </w:r>
    </w:p>
    <w:p>
      <w:pPr>
        <w:autoSpaceDE w:val="0"/>
        <w:autoSpaceDN w:val="0"/>
        <w:adjustRightInd w:val="0"/>
        <w:snapToGrid w:val="0"/>
        <w:spacing w:line="480" w:lineRule="auto"/>
        <w:ind w:firstLine="723" w:firstLineChars="300"/>
        <w:jc w:val="left"/>
        <w:rPr>
          <w:rFonts w:ascii="宋体"/>
          <w:b/>
          <w:bCs/>
          <w:color w:val="auto"/>
          <w:kern w:val="0"/>
          <w:sz w:val="24"/>
          <w:highlight w:val="none"/>
        </w:rPr>
      </w:pPr>
      <w:r>
        <w:rPr>
          <w:rFonts w:ascii="宋体" w:cs="宋体"/>
          <w:b/>
          <w:bCs/>
          <w:color w:val="auto"/>
          <w:kern w:val="0"/>
          <w:sz w:val="24"/>
          <w:highlight w:val="none"/>
        </w:rPr>
        <w:t xml:space="preserve">                              </w:t>
      </w:r>
      <w:r>
        <w:rPr>
          <w:rFonts w:hint="eastAsia" w:ascii="宋体" w:cs="宋体"/>
          <w:b/>
          <w:bCs/>
          <w:color w:val="auto"/>
          <w:kern w:val="0"/>
          <w:sz w:val="24"/>
          <w:highlight w:val="none"/>
        </w:rPr>
        <w:t>账号：</w:t>
      </w:r>
    </w:p>
    <w:p>
      <w:pPr>
        <w:snapToGrid w:val="0"/>
        <w:spacing w:line="480" w:lineRule="auto"/>
        <w:rPr>
          <w:rFonts w:ascii="宋体"/>
          <w:color w:val="auto"/>
          <w:sz w:val="28"/>
          <w:szCs w:val="28"/>
          <w:highlight w:val="none"/>
        </w:rPr>
      </w:pPr>
      <w:r>
        <w:rPr>
          <w:rFonts w:hint="eastAsia" w:cs="宋体"/>
          <w:b/>
          <w:bCs/>
          <w:color w:val="auto"/>
          <w:sz w:val="24"/>
          <w:highlight w:val="none"/>
        </w:rPr>
        <w:t>合同签署日期：</w:t>
      </w:r>
      <w:r>
        <w:rPr>
          <w:b/>
          <w:bCs/>
          <w:color w:val="auto"/>
          <w:sz w:val="24"/>
          <w:highlight w:val="none"/>
        </w:rPr>
        <w:t xml:space="preserve">       </w:t>
      </w:r>
      <w:r>
        <w:rPr>
          <w:rFonts w:hint="eastAsia" w:cs="宋体"/>
          <w:b/>
          <w:bCs/>
          <w:color w:val="auto"/>
          <w:sz w:val="24"/>
          <w:highlight w:val="none"/>
        </w:rPr>
        <w:t>年</w:t>
      </w:r>
      <w:r>
        <w:rPr>
          <w:b/>
          <w:bCs/>
          <w:color w:val="auto"/>
          <w:sz w:val="24"/>
          <w:highlight w:val="none"/>
        </w:rPr>
        <w:t xml:space="preserve">    </w:t>
      </w:r>
      <w:r>
        <w:rPr>
          <w:rFonts w:hint="eastAsia" w:cs="宋体"/>
          <w:b/>
          <w:bCs/>
          <w:color w:val="auto"/>
          <w:sz w:val="24"/>
          <w:highlight w:val="none"/>
        </w:rPr>
        <w:t>月</w:t>
      </w:r>
      <w:r>
        <w:rPr>
          <w:b/>
          <w:bCs/>
          <w:color w:val="auto"/>
          <w:sz w:val="24"/>
          <w:highlight w:val="none"/>
        </w:rPr>
        <w:t xml:space="preserve">    </w:t>
      </w:r>
      <w:r>
        <w:rPr>
          <w:rFonts w:hint="eastAsia" w:cs="宋体"/>
          <w:b/>
          <w:bCs/>
          <w:color w:val="auto"/>
          <w:sz w:val="24"/>
          <w:highlight w:val="none"/>
        </w:rPr>
        <w:t>日</w:t>
      </w:r>
      <w:r>
        <w:rPr>
          <w:b/>
          <w:bCs/>
          <w:color w:val="auto"/>
          <w:sz w:val="24"/>
          <w:highlight w:val="none"/>
        </w:rPr>
        <w:t xml:space="preserve">         </w:t>
      </w:r>
      <w:r>
        <w:rPr>
          <w:rFonts w:ascii="宋体" w:hAnsi="宋体" w:cs="宋体"/>
          <w:b/>
          <w:bCs/>
          <w:color w:val="auto"/>
          <w:sz w:val="28"/>
          <w:szCs w:val="28"/>
          <w:highlight w:val="none"/>
        </w:rPr>
        <w:t xml:space="preserve">       </w:t>
      </w:r>
    </w:p>
    <w:p>
      <w:pPr>
        <w:spacing w:line="360" w:lineRule="auto"/>
        <w:rPr>
          <w:rFonts w:ascii="宋体"/>
          <w:b/>
          <w:bCs/>
          <w:color w:val="auto"/>
          <w:sz w:val="28"/>
          <w:szCs w:val="28"/>
          <w:highlight w:val="none"/>
        </w:rPr>
        <w:sectPr>
          <w:footerReference r:id="rId8" w:type="default"/>
          <w:pgSz w:w="11906" w:h="16838"/>
          <w:pgMar w:top="1418" w:right="1418" w:bottom="1418" w:left="1417" w:header="998" w:footer="998" w:gutter="0"/>
          <w:pgNumType w:start="1"/>
          <w:cols w:space="720" w:num="1"/>
          <w:docGrid w:type="lines" w:linePitch="312" w:charSpace="0"/>
        </w:sectPr>
      </w:pPr>
    </w:p>
    <w:p>
      <w:pPr>
        <w:spacing w:line="360" w:lineRule="auto"/>
        <w:jc w:val="left"/>
        <w:rPr>
          <w:rFonts w:ascii="宋体" w:hAnsi="宋体" w:cs="宋体"/>
          <w:color w:val="auto"/>
          <w:kern w:val="0"/>
          <w:sz w:val="24"/>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1</w:t>
      </w:r>
      <w:r>
        <w:rPr>
          <w:rFonts w:hint="eastAsia" w:ascii="宋体" w:hAnsi="宋体" w:cs="宋体"/>
          <w:color w:val="auto"/>
          <w:kern w:val="0"/>
          <w:sz w:val="24"/>
          <w:highlight w:val="none"/>
        </w:rPr>
        <w:t>：</w:t>
      </w:r>
    </w:p>
    <w:p>
      <w:pPr>
        <w:spacing w:line="360" w:lineRule="auto"/>
        <w:jc w:val="left"/>
        <w:rPr>
          <w:rFonts w:ascii="宋体"/>
          <w:color w:val="auto"/>
          <w:kern w:val="0"/>
          <w:sz w:val="24"/>
          <w:highlight w:val="none"/>
        </w:rPr>
      </w:pPr>
      <w:r>
        <w:rPr>
          <w:rFonts w:ascii="宋体" w:hAnsi="宋体" w:cs="宋体"/>
          <w:color w:val="auto"/>
          <w:kern w:val="0"/>
          <w:sz w:val="24"/>
          <w:highlight w:val="none"/>
        </w:rPr>
        <w:t xml:space="preserve">                            </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供货范围及分项价格表</w:t>
      </w:r>
      <w:r>
        <w:rPr>
          <w:rFonts w:ascii="宋体" w:hAnsi="宋体" w:cs="宋体"/>
          <w:color w:val="auto"/>
          <w:sz w:val="24"/>
          <w:highlight w:val="none"/>
        </w:rPr>
        <w:t xml:space="preserve">                          </w:t>
      </w:r>
      <w:r>
        <w:rPr>
          <w:rFonts w:hint="eastAsia" w:ascii="宋体" w:hAnsi="宋体" w:cs="宋体"/>
          <w:color w:val="auto"/>
          <w:sz w:val="24"/>
          <w:highlight w:val="none"/>
        </w:rPr>
        <w:t>单位：元</w:t>
      </w:r>
    </w:p>
    <w:tbl>
      <w:tblPr>
        <w:tblStyle w:val="48"/>
        <w:tblW w:w="13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462"/>
        <w:gridCol w:w="1209"/>
        <w:gridCol w:w="1260"/>
        <w:gridCol w:w="1620"/>
        <w:gridCol w:w="2160"/>
        <w:gridCol w:w="1182"/>
        <w:gridCol w:w="970"/>
        <w:gridCol w:w="1050"/>
        <w:gridCol w:w="1260"/>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blHeader/>
        </w:trPr>
        <w:tc>
          <w:tcPr>
            <w:tcW w:w="777" w:type="dxa"/>
            <w:vAlign w:val="center"/>
          </w:tcPr>
          <w:p>
            <w:pPr>
              <w:spacing w:line="300" w:lineRule="exact"/>
              <w:rPr>
                <w:rFonts w:ascii="宋体" w:cs="宋体"/>
                <w:b/>
                <w:bCs/>
                <w:color w:val="auto"/>
                <w:highlight w:val="none"/>
              </w:rPr>
            </w:pPr>
            <w:r>
              <w:rPr>
                <w:rFonts w:hint="eastAsia" w:ascii="宋体" w:hAnsi="宋体" w:cs="宋体"/>
                <w:b/>
                <w:bCs/>
                <w:color w:val="auto"/>
                <w:highlight w:val="none"/>
              </w:rPr>
              <w:t>序号</w:t>
            </w:r>
          </w:p>
        </w:tc>
        <w:tc>
          <w:tcPr>
            <w:tcW w:w="1671" w:type="dxa"/>
            <w:gridSpan w:val="2"/>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设备名称</w:t>
            </w:r>
          </w:p>
        </w:tc>
        <w:tc>
          <w:tcPr>
            <w:tcW w:w="12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品牌型号</w:t>
            </w:r>
          </w:p>
        </w:tc>
        <w:tc>
          <w:tcPr>
            <w:tcW w:w="162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制造厂（商）</w:t>
            </w:r>
          </w:p>
        </w:tc>
        <w:tc>
          <w:tcPr>
            <w:tcW w:w="21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原产地（国）</w:t>
            </w:r>
          </w:p>
        </w:tc>
        <w:tc>
          <w:tcPr>
            <w:tcW w:w="1182"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数量</w:t>
            </w:r>
          </w:p>
        </w:tc>
        <w:tc>
          <w:tcPr>
            <w:tcW w:w="970" w:type="dxa"/>
            <w:vAlign w:val="center"/>
          </w:tcPr>
          <w:p>
            <w:pPr>
              <w:spacing w:line="300" w:lineRule="exact"/>
              <w:jc w:val="center"/>
              <w:rPr>
                <w:rFonts w:ascii="宋体" w:hAnsi="宋体" w:cs="宋体"/>
                <w:b/>
                <w:bCs/>
                <w:color w:val="auto"/>
                <w:highlight w:val="none"/>
              </w:rPr>
            </w:pPr>
            <w:r>
              <w:rPr>
                <w:rFonts w:hint="eastAsia" w:ascii="宋体" w:hAnsi="宋体" w:cs="宋体"/>
                <w:b/>
                <w:bCs/>
                <w:color w:val="auto"/>
                <w:highlight w:val="none"/>
              </w:rPr>
              <w:t>单位</w:t>
            </w:r>
          </w:p>
        </w:tc>
        <w:tc>
          <w:tcPr>
            <w:tcW w:w="105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单价</w:t>
            </w:r>
          </w:p>
        </w:tc>
        <w:tc>
          <w:tcPr>
            <w:tcW w:w="12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合价</w:t>
            </w:r>
          </w:p>
        </w:tc>
        <w:tc>
          <w:tcPr>
            <w:tcW w:w="171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1</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r>
              <w:rPr>
                <w:rFonts w:hint="eastAsia" w:ascii="宋体" w:hAnsi="宋体" w:cs="宋体"/>
                <w:color w:val="auto"/>
                <w:highlight w:val="none"/>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2</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3</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4</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rPr>
                <w:rFonts w:ascii="宋体" w:hAnsi="宋体" w:cs="宋体"/>
                <w:color w:val="auto"/>
                <w:highlight w:val="none"/>
              </w:rPr>
            </w:pPr>
            <w:r>
              <w:rPr>
                <w:rFonts w:ascii="宋体" w:hAnsi="宋体" w:cs="宋体"/>
                <w:color w:val="auto"/>
                <w:highlight w:val="none"/>
              </w:rPr>
              <w:t xml:space="preserve"> ...</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39" w:type="dxa"/>
            <w:gridSpan w:val="2"/>
            <w:vAlign w:val="center"/>
          </w:tcPr>
          <w:p>
            <w:pPr>
              <w:spacing w:line="480" w:lineRule="auto"/>
              <w:rPr>
                <w:rFonts w:ascii="宋体" w:hAnsi="宋体" w:cs="宋体"/>
                <w:color w:val="auto"/>
                <w:highlight w:val="none"/>
              </w:rPr>
            </w:pPr>
          </w:p>
        </w:tc>
        <w:tc>
          <w:tcPr>
            <w:tcW w:w="12421" w:type="dxa"/>
            <w:gridSpan w:val="9"/>
            <w:vAlign w:val="center"/>
          </w:tcPr>
          <w:p>
            <w:pPr>
              <w:spacing w:line="480" w:lineRule="auto"/>
              <w:rPr>
                <w:rFonts w:ascii="宋体" w:cs="宋体"/>
                <w:color w:val="auto"/>
                <w:highlight w:val="none"/>
              </w:rPr>
            </w:pPr>
            <w:r>
              <w:rPr>
                <w:rFonts w:hint="eastAsia" w:ascii="宋体" w:hAnsi="宋体" w:cs="宋体"/>
                <w:color w:val="auto"/>
                <w:highlight w:val="none"/>
              </w:rPr>
              <w:t>合计：</w:t>
            </w:r>
            <w:r>
              <w:rPr>
                <w:rFonts w:ascii="宋体" w:hAnsi="宋体" w:cs="宋体"/>
                <w:color w:val="auto"/>
                <w:highlight w:val="none"/>
              </w:rPr>
              <w:t xml:space="preserve">  </w:t>
            </w:r>
            <w:r>
              <w:rPr>
                <w:rFonts w:hint="eastAsia" w:ascii="宋体" w:hAnsi="宋体" w:cs="宋体"/>
                <w:color w:val="auto"/>
                <w:highlight w:val="none"/>
              </w:rPr>
              <w:t>小写：￥</w:t>
            </w:r>
            <w:r>
              <w:rPr>
                <w:rFonts w:ascii="宋体" w:hAnsi="宋体" w:cs="宋体"/>
                <w:color w:val="auto"/>
                <w:highlight w:val="none"/>
              </w:rPr>
              <w:t xml:space="preserve">         </w:t>
            </w:r>
            <w:r>
              <w:rPr>
                <w:rFonts w:hint="eastAsia" w:ascii="宋体" w:hAnsi="宋体" w:cs="宋体"/>
                <w:color w:val="auto"/>
                <w:highlight w:val="none"/>
              </w:rPr>
              <w:t>元</w:t>
            </w:r>
            <w:r>
              <w:rPr>
                <w:rFonts w:ascii="宋体" w:hAnsi="宋体" w:cs="宋体"/>
                <w:color w:val="auto"/>
                <w:highlight w:val="none"/>
              </w:rPr>
              <w:t xml:space="preserve">     </w:t>
            </w:r>
            <w:r>
              <w:rPr>
                <w:rFonts w:hint="eastAsia" w:ascii="宋体" w:hAnsi="宋体" w:cs="宋体"/>
                <w:color w:val="auto"/>
                <w:highlight w:val="none"/>
              </w:rPr>
              <w:t>大写：人民币</w:t>
            </w:r>
            <w:r>
              <w:rPr>
                <w:rFonts w:ascii="宋体" w:hAnsi="宋体" w:cs="宋体"/>
                <w:b/>
                <w:bCs/>
                <w:color w:val="auto"/>
                <w:kern w:val="0"/>
                <w:sz w:val="28"/>
                <w:szCs w:val="28"/>
                <w:highlight w:val="none"/>
              </w:rPr>
              <w:t xml:space="preserve">         </w:t>
            </w:r>
            <w:r>
              <w:rPr>
                <w:rFonts w:hint="eastAsia" w:ascii="宋体" w:hAnsi="宋体" w:cs="宋体"/>
                <w:color w:val="auto"/>
                <w:highlight w:val="none"/>
              </w:rPr>
              <w:t>元整</w:t>
            </w:r>
          </w:p>
        </w:tc>
      </w:tr>
    </w:tbl>
    <w:p>
      <w:pPr>
        <w:rPr>
          <w:color w:val="auto"/>
          <w:highlight w:val="none"/>
        </w:rPr>
      </w:pPr>
    </w:p>
    <w:p>
      <w:pPr>
        <w:rPr>
          <w:rFonts w:ascii="宋体"/>
          <w:color w:val="auto"/>
          <w:kern w:val="0"/>
          <w:sz w:val="24"/>
          <w:highlight w:val="none"/>
        </w:rPr>
        <w:sectPr>
          <w:footerReference r:id="rId9" w:type="default"/>
          <w:pgSz w:w="16838" w:h="11906" w:orient="landscape"/>
          <w:pgMar w:top="1797" w:right="1440" w:bottom="1797" w:left="1440" w:header="998" w:footer="998" w:gutter="0"/>
          <w:cols w:space="720" w:num="1"/>
          <w:docGrid w:type="linesAndChars" w:linePitch="312" w:charSpace="0"/>
        </w:sectPr>
      </w:pPr>
    </w:p>
    <w:p>
      <w:pPr>
        <w:spacing w:line="360" w:lineRule="auto"/>
        <w:jc w:val="left"/>
        <w:rPr>
          <w:rFonts w:asci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2</w:t>
      </w:r>
      <w:r>
        <w:rPr>
          <w:rFonts w:hint="eastAsia" w:ascii="宋体" w:hAnsi="宋体" w:cs="宋体"/>
          <w:color w:val="auto"/>
          <w:sz w:val="28"/>
          <w:szCs w:val="28"/>
          <w:highlight w:val="none"/>
        </w:rPr>
        <w:t>：</w:t>
      </w:r>
    </w:p>
    <w:p>
      <w:pPr>
        <w:spacing w:line="360" w:lineRule="auto"/>
        <w:jc w:val="center"/>
        <w:rPr>
          <w:rFonts w:ascii="宋体"/>
          <w:b/>
          <w:bCs/>
          <w:color w:val="auto"/>
          <w:kern w:val="0"/>
          <w:sz w:val="28"/>
          <w:szCs w:val="28"/>
          <w:highlight w:val="none"/>
        </w:rPr>
      </w:pPr>
      <w:r>
        <w:rPr>
          <w:rFonts w:hint="eastAsia" w:ascii="宋体" w:hAnsi="宋体" w:cs="宋体"/>
          <w:b/>
          <w:bCs/>
          <w:color w:val="auto"/>
          <w:kern w:val="0"/>
          <w:sz w:val="28"/>
          <w:szCs w:val="28"/>
          <w:highlight w:val="none"/>
        </w:rPr>
        <w:t>设备</w:t>
      </w:r>
      <w:r>
        <w:rPr>
          <w:rFonts w:hint="eastAsia" w:ascii="宋体" w:hAnsi="宋体" w:cs="宋体"/>
          <w:b/>
          <w:bCs/>
          <w:color w:val="auto"/>
          <w:sz w:val="28"/>
          <w:szCs w:val="28"/>
          <w:highlight w:val="none"/>
        </w:rPr>
        <w:t>技术规格参数、功能描述及</w:t>
      </w:r>
      <w:r>
        <w:rPr>
          <w:rFonts w:hint="eastAsia" w:ascii="宋体" w:hAnsi="宋体" w:cs="宋体"/>
          <w:b/>
          <w:bCs/>
          <w:color w:val="auto"/>
          <w:kern w:val="0"/>
          <w:sz w:val="28"/>
          <w:szCs w:val="28"/>
          <w:highlight w:val="none"/>
        </w:rPr>
        <w:t>配置清单表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1346"/>
        <w:gridCol w:w="8374"/>
        <w:gridCol w:w="126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序</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号</w:t>
            </w:r>
          </w:p>
        </w:tc>
        <w:tc>
          <w:tcPr>
            <w:tcW w:w="1346" w:type="dxa"/>
          </w:tcPr>
          <w:p>
            <w:pPr>
              <w:spacing w:line="360" w:lineRule="auto"/>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设备名称</w:t>
            </w:r>
          </w:p>
        </w:tc>
        <w:tc>
          <w:tcPr>
            <w:tcW w:w="8374" w:type="dxa"/>
          </w:tcPr>
          <w:p>
            <w:pPr>
              <w:spacing w:line="360" w:lineRule="auto"/>
              <w:jc w:val="left"/>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具体</w:t>
            </w:r>
            <w:r>
              <w:rPr>
                <w:rFonts w:hint="eastAsia" w:ascii="宋体" w:hAnsi="宋体" w:cs="宋体"/>
                <w:b/>
                <w:bCs/>
                <w:color w:val="auto"/>
                <w:sz w:val="28"/>
                <w:szCs w:val="28"/>
                <w:highlight w:val="none"/>
              </w:rPr>
              <w:t>技术规格参数、功能描述及</w:t>
            </w:r>
            <w:r>
              <w:rPr>
                <w:rFonts w:hint="eastAsia" w:ascii="宋体" w:hAnsi="宋体" w:cs="宋体"/>
                <w:b/>
                <w:bCs/>
                <w:color w:val="auto"/>
                <w:kern w:val="0"/>
                <w:sz w:val="28"/>
                <w:szCs w:val="28"/>
                <w:highlight w:val="none"/>
              </w:rPr>
              <w:t>配置清单描述</w:t>
            </w:r>
          </w:p>
        </w:tc>
        <w:tc>
          <w:tcPr>
            <w:tcW w:w="1260" w:type="dxa"/>
          </w:tcPr>
          <w:p>
            <w:pPr>
              <w:spacing w:line="360" w:lineRule="auto"/>
              <w:jc w:val="left"/>
              <w:rPr>
                <w:rFonts w:ascii="宋体" w:cs="宋体"/>
                <w:b/>
                <w:bCs/>
                <w:color w:val="auto"/>
                <w:kern w:val="0"/>
                <w:sz w:val="28"/>
                <w:szCs w:val="28"/>
                <w:highlight w:val="none"/>
              </w:rPr>
            </w:pP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单</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位</w:t>
            </w:r>
          </w:p>
        </w:tc>
        <w:tc>
          <w:tcPr>
            <w:tcW w:w="1980" w:type="dxa"/>
          </w:tcPr>
          <w:p>
            <w:pPr>
              <w:spacing w:line="360" w:lineRule="auto"/>
              <w:jc w:val="left"/>
              <w:rPr>
                <w:rFonts w:ascii="宋体" w:cs="宋体"/>
                <w:b/>
                <w:bCs/>
                <w:color w:val="auto"/>
                <w:kern w:val="0"/>
                <w:sz w:val="28"/>
                <w:szCs w:val="28"/>
                <w:highlight w:val="none"/>
              </w:rPr>
            </w:pP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数</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1</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2</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3</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4</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5</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6</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7</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8</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bl>
    <w:p>
      <w:pPr>
        <w:spacing w:line="360" w:lineRule="auto"/>
        <w:jc w:val="left"/>
        <w:rPr>
          <w:rFonts w:ascii="宋体"/>
          <w:b/>
          <w:bCs/>
          <w:color w:val="auto"/>
          <w:sz w:val="28"/>
          <w:szCs w:val="28"/>
          <w:highlight w:val="none"/>
        </w:rPr>
        <w:sectPr>
          <w:pgSz w:w="16838" w:h="11906" w:orient="landscape"/>
          <w:pgMar w:top="1797" w:right="1440" w:bottom="1797" w:left="1440" w:header="998" w:footer="998" w:gutter="0"/>
          <w:cols w:space="720" w:num="1"/>
          <w:docGrid w:type="linesAndChars" w:linePitch="312" w:charSpace="0"/>
        </w:sectPr>
      </w:pPr>
      <w:r>
        <w:rPr>
          <w:rFonts w:ascii="宋体" w:hAnsi="宋体" w:cs="宋体"/>
          <w:b/>
          <w:bCs/>
          <w:color w:val="auto"/>
          <w:sz w:val="28"/>
          <w:szCs w:val="28"/>
          <w:highlight w:val="none"/>
        </w:rPr>
        <w:t xml:space="preserve">           </w:t>
      </w:r>
    </w:p>
    <w:p>
      <w:pPr>
        <w:snapToGrid w:val="0"/>
        <w:spacing w:line="360" w:lineRule="auto"/>
        <w:rPr>
          <w:rFonts w:ascii="宋体"/>
          <w:color w:val="auto"/>
          <w:sz w:val="28"/>
          <w:szCs w:val="28"/>
          <w:highlight w:val="none"/>
        </w:rPr>
      </w:pPr>
      <w:r>
        <w:rPr>
          <w:rFonts w:hint="eastAsia" w:ascii="宋体" w:hAnsi="宋体" w:cs="宋体"/>
          <w:color w:val="auto"/>
          <w:kern w:val="0"/>
          <w:sz w:val="28"/>
          <w:szCs w:val="28"/>
          <w:highlight w:val="none"/>
        </w:rPr>
        <w:t>附件</w:t>
      </w:r>
      <w:r>
        <w:rPr>
          <w:rFonts w:ascii="宋体" w:hAnsi="宋体" w:cs="宋体"/>
          <w:color w:val="auto"/>
          <w:kern w:val="0"/>
          <w:sz w:val="28"/>
          <w:szCs w:val="28"/>
          <w:highlight w:val="none"/>
        </w:rPr>
        <w:t>3</w:t>
      </w:r>
      <w:r>
        <w:rPr>
          <w:rFonts w:hint="eastAsia" w:ascii="宋体" w:hAnsi="宋体" w:cs="宋体"/>
          <w:color w:val="auto"/>
          <w:kern w:val="0"/>
          <w:sz w:val="28"/>
          <w:szCs w:val="28"/>
          <w:highlight w:val="none"/>
        </w:rPr>
        <w:t>：</w:t>
      </w:r>
    </w:p>
    <w:p>
      <w:pPr>
        <w:snapToGrid w:val="0"/>
        <w:spacing w:line="360" w:lineRule="auto"/>
        <w:jc w:val="center"/>
        <w:rPr>
          <w:rFonts w:ascii="宋体"/>
          <w:b/>
          <w:bCs/>
          <w:color w:val="auto"/>
          <w:sz w:val="36"/>
          <w:szCs w:val="36"/>
          <w:highlight w:val="none"/>
        </w:rPr>
      </w:pPr>
      <w:r>
        <w:rPr>
          <w:rFonts w:hint="eastAsia" w:ascii="宋体" w:hAnsi="宋体" w:cs="宋体"/>
          <w:b/>
          <w:bCs/>
          <w:color w:val="auto"/>
          <w:sz w:val="36"/>
          <w:szCs w:val="36"/>
          <w:highlight w:val="none"/>
        </w:rPr>
        <w:t>售后服务计划及保障措施</w:t>
      </w: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r>
        <w:rPr>
          <w:rFonts w:ascii="宋体" w:hAnsi="宋体" w:cs="宋体"/>
          <w:b/>
          <w:bCs/>
          <w:color w:val="auto"/>
          <w:sz w:val="28"/>
          <w:szCs w:val="28"/>
          <w:highlight w:val="none"/>
        </w:rPr>
        <w:t xml:space="preserve">                           </w:t>
      </w:r>
      <w:r>
        <w:rPr>
          <w:rFonts w:hint="eastAsia" w:ascii="宋体" w:hAnsi="宋体" w:cs="宋体"/>
          <w:b/>
          <w:bCs/>
          <w:color w:val="auto"/>
          <w:sz w:val="28"/>
          <w:szCs w:val="28"/>
          <w:highlight w:val="none"/>
        </w:rPr>
        <w:t>（由制造商及中标商签字盖章确认）</w:t>
      </w:r>
      <w:r>
        <w:rPr>
          <w:rFonts w:ascii="宋体"/>
          <w:b/>
          <w:bCs/>
          <w:color w:val="auto"/>
          <w:sz w:val="28"/>
          <w:szCs w:val="28"/>
          <w:highlight w:val="none"/>
        </w:rPr>
        <w:br w:type="page"/>
      </w:r>
      <w:r>
        <w:rPr>
          <w:rFonts w:hint="eastAsia" w:ascii="宋体" w:hAnsi="宋体" w:cs="宋体"/>
          <w:color w:val="auto"/>
          <w:sz w:val="28"/>
          <w:szCs w:val="28"/>
          <w:highlight w:val="none"/>
        </w:rPr>
        <w:t>附件</w:t>
      </w:r>
      <w:r>
        <w:rPr>
          <w:rFonts w:ascii="宋体" w:hAnsi="宋体" w:cs="宋体"/>
          <w:color w:val="auto"/>
          <w:sz w:val="28"/>
          <w:szCs w:val="28"/>
          <w:highlight w:val="none"/>
        </w:rPr>
        <w:t>4</w:t>
      </w:r>
      <w:r>
        <w:rPr>
          <w:rFonts w:hint="eastAsia" w:ascii="宋体" w:hAnsi="宋体" w:cs="宋体"/>
          <w:color w:val="auto"/>
          <w:sz w:val="28"/>
          <w:szCs w:val="28"/>
          <w:highlight w:val="none"/>
        </w:rPr>
        <w:t>：</w:t>
      </w:r>
    </w:p>
    <w:p>
      <w:pPr>
        <w:snapToGrid w:val="0"/>
        <w:spacing w:line="360" w:lineRule="auto"/>
        <w:jc w:val="center"/>
        <w:rPr>
          <w:rFonts w:ascii="宋体"/>
          <w:b/>
          <w:bCs/>
          <w:color w:val="auto"/>
          <w:sz w:val="36"/>
          <w:szCs w:val="36"/>
          <w:highlight w:val="none"/>
        </w:rPr>
      </w:pPr>
      <w:r>
        <w:rPr>
          <w:rFonts w:hint="eastAsia" w:ascii="宋体" w:hAnsi="宋体" w:cs="宋体"/>
          <w:b/>
          <w:bCs/>
          <w:color w:val="auto"/>
          <w:sz w:val="36"/>
          <w:szCs w:val="36"/>
          <w:highlight w:val="none"/>
        </w:rPr>
        <w:t>仪器设备初步验收单</w:t>
      </w:r>
    </w:p>
    <w:p>
      <w:pPr>
        <w:ind w:firstLine="354" w:firstLineChars="147"/>
        <w:rPr>
          <w:rFonts w:ascii="宋体"/>
          <w:b/>
          <w:bCs/>
          <w:color w:val="auto"/>
          <w:sz w:val="24"/>
          <w:highlight w:val="none"/>
        </w:rPr>
      </w:pPr>
      <w:r>
        <w:rPr>
          <w:rFonts w:ascii="宋体" w:hAnsi="宋体" w:cs="宋体"/>
          <w:b/>
          <w:bCs/>
          <w:color w:val="auto"/>
          <w:sz w:val="24"/>
          <w:highlight w:val="none"/>
        </w:rPr>
        <w:t xml:space="preserve">No.                                         </w:t>
      </w:r>
      <w:r>
        <w:rPr>
          <w:rFonts w:hint="eastAsia" w:ascii="宋体" w:hAnsi="宋体" w:cs="宋体"/>
          <w:b/>
          <w:bCs/>
          <w:color w:val="auto"/>
          <w:sz w:val="24"/>
          <w:highlight w:val="none"/>
        </w:rPr>
        <w:t>年</w:t>
      </w:r>
      <w:r>
        <w:rPr>
          <w:rFonts w:ascii="宋体" w:hAnsi="宋体" w:cs="宋体"/>
          <w:b/>
          <w:bCs/>
          <w:color w:val="auto"/>
          <w:sz w:val="24"/>
          <w:highlight w:val="none"/>
        </w:rPr>
        <w:t xml:space="preserve">   </w:t>
      </w:r>
      <w:r>
        <w:rPr>
          <w:rFonts w:hint="eastAsia" w:ascii="宋体" w:hAnsi="宋体" w:cs="宋体"/>
          <w:b/>
          <w:bCs/>
          <w:color w:val="auto"/>
          <w:sz w:val="24"/>
          <w:highlight w:val="none"/>
        </w:rPr>
        <w:t>月</w:t>
      </w:r>
      <w:r>
        <w:rPr>
          <w:rFonts w:ascii="宋体" w:hAnsi="宋体" w:cs="宋体"/>
          <w:b/>
          <w:bCs/>
          <w:color w:val="auto"/>
          <w:sz w:val="24"/>
          <w:highlight w:val="none"/>
        </w:rPr>
        <w:t xml:space="preserve">   </w:t>
      </w:r>
      <w:r>
        <w:rPr>
          <w:rFonts w:hint="eastAsia" w:ascii="宋体" w:hAnsi="宋体" w:cs="宋体"/>
          <w:b/>
          <w:bCs/>
          <w:color w:val="auto"/>
          <w:sz w:val="24"/>
          <w:highlight w:val="none"/>
        </w:rPr>
        <w:t>日</w:t>
      </w:r>
    </w:p>
    <w:tbl>
      <w:tblPr>
        <w:tblStyle w:val="4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538"/>
        <w:gridCol w:w="91"/>
        <w:gridCol w:w="1038"/>
        <w:gridCol w:w="452"/>
        <w:gridCol w:w="1249"/>
        <w:gridCol w:w="696"/>
        <w:gridCol w:w="795"/>
        <w:gridCol w:w="564"/>
        <w:gridCol w:w="371"/>
        <w:gridCol w:w="325"/>
        <w:gridCol w:w="388"/>
        <w:gridCol w:w="492"/>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06" w:type="dxa"/>
            <w:gridSpan w:val="2"/>
            <w:tcBorders>
              <w:top w:val="single" w:color="auto" w:sz="12" w:space="0"/>
              <w:left w:val="single" w:color="auto" w:sz="1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使用单位</w:t>
            </w:r>
          </w:p>
        </w:tc>
        <w:tc>
          <w:tcPr>
            <w:tcW w:w="1581" w:type="dxa"/>
            <w:gridSpan w:val="3"/>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p>
        </w:tc>
        <w:tc>
          <w:tcPr>
            <w:tcW w:w="1249" w:type="dxa"/>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使用人</w:t>
            </w:r>
          </w:p>
        </w:tc>
        <w:tc>
          <w:tcPr>
            <w:tcW w:w="1485" w:type="dxa"/>
            <w:gridSpan w:val="2"/>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p>
        </w:tc>
        <w:tc>
          <w:tcPr>
            <w:tcW w:w="1648" w:type="dxa"/>
            <w:gridSpan w:val="4"/>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合同编号</w:t>
            </w:r>
          </w:p>
        </w:tc>
        <w:tc>
          <w:tcPr>
            <w:tcW w:w="1684" w:type="dxa"/>
            <w:gridSpan w:val="2"/>
            <w:tcBorders>
              <w:top w:val="single" w:color="auto" w:sz="12" w:space="0"/>
              <w:left w:val="single" w:color="auto" w:sz="2" w:space="0"/>
              <w:bottom w:val="single" w:color="auto" w:sz="2" w:space="0"/>
              <w:right w:val="single" w:color="auto" w:sz="12"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6" w:type="dxa"/>
            <w:gridSpan w:val="2"/>
            <w:tcBorders>
              <w:left w:val="single" w:color="auto" w:sz="12" w:space="0"/>
              <w:right w:val="single" w:color="auto" w:sz="2" w:space="0"/>
            </w:tcBorders>
            <w:vAlign w:val="center"/>
          </w:tcPr>
          <w:p>
            <w:pPr>
              <w:jc w:val="center"/>
              <w:rPr>
                <w:color w:val="auto"/>
                <w:highlight w:val="none"/>
              </w:rPr>
            </w:pPr>
            <w:r>
              <w:rPr>
                <w:rFonts w:hint="eastAsia" w:cs="宋体"/>
                <w:color w:val="auto"/>
                <w:highlight w:val="none"/>
              </w:rPr>
              <w:t>供货商</w:t>
            </w:r>
          </w:p>
        </w:tc>
        <w:tc>
          <w:tcPr>
            <w:tcW w:w="4321" w:type="dxa"/>
            <w:gridSpan w:val="6"/>
            <w:tcBorders>
              <w:left w:val="single" w:color="auto" w:sz="2" w:space="0"/>
              <w:right w:val="single" w:color="auto" w:sz="2" w:space="0"/>
            </w:tcBorders>
            <w:vAlign w:val="center"/>
          </w:tcPr>
          <w:p>
            <w:pPr>
              <w:jc w:val="center"/>
              <w:rPr>
                <w:color w:val="auto"/>
                <w:highlight w:val="none"/>
              </w:rPr>
            </w:pPr>
          </w:p>
        </w:tc>
        <w:tc>
          <w:tcPr>
            <w:tcW w:w="1642" w:type="dxa"/>
            <w:gridSpan w:val="4"/>
            <w:tcBorders>
              <w:left w:val="single" w:color="auto" w:sz="2" w:space="0"/>
              <w:right w:val="single" w:color="auto" w:sz="2" w:space="0"/>
            </w:tcBorders>
            <w:vAlign w:val="center"/>
          </w:tcPr>
          <w:p>
            <w:pPr>
              <w:jc w:val="center"/>
              <w:rPr>
                <w:color w:val="auto"/>
                <w:highlight w:val="none"/>
              </w:rPr>
            </w:pPr>
            <w:r>
              <w:rPr>
                <w:rFonts w:hint="eastAsia" w:cs="宋体"/>
                <w:color w:val="auto"/>
                <w:highlight w:val="none"/>
              </w:rPr>
              <w:t>合同总金额</w:t>
            </w:r>
            <w:r>
              <w:rPr>
                <w:color w:val="auto"/>
                <w:highlight w:val="none"/>
              </w:rPr>
              <w:t xml:space="preserve">   </w:t>
            </w:r>
          </w:p>
        </w:tc>
        <w:tc>
          <w:tcPr>
            <w:tcW w:w="1684" w:type="dxa"/>
            <w:gridSpan w:val="2"/>
            <w:tcBorders>
              <w:left w:val="single" w:color="auto" w:sz="2" w:space="0"/>
              <w:right w:val="single" w:color="auto" w:sz="12"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853" w:type="dxa"/>
            <w:gridSpan w:val="14"/>
            <w:tcBorders>
              <w:left w:val="single" w:color="auto" w:sz="12" w:space="0"/>
              <w:right w:val="single" w:color="auto" w:sz="12" w:space="0"/>
            </w:tcBorders>
            <w:vAlign w:val="center"/>
          </w:tcPr>
          <w:p>
            <w:pPr>
              <w:jc w:val="center"/>
              <w:rPr>
                <w:color w:val="auto"/>
                <w:highlight w:val="none"/>
              </w:rPr>
            </w:pPr>
            <w:r>
              <w:rPr>
                <w:rFonts w:hint="eastAsia" w:cs="宋体"/>
                <w:color w:val="auto"/>
                <w:highlight w:val="none"/>
              </w:rPr>
              <w:t>设备明细（品名、型号、规格、生产厂家、数量、金额等，不够可另附表）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8" w:type="dxa"/>
            <w:tcBorders>
              <w:left w:val="single" w:color="auto" w:sz="1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序号</w:t>
            </w:r>
          </w:p>
        </w:tc>
        <w:tc>
          <w:tcPr>
            <w:tcW w:w="1667" w:type="dxa"/>
            <w:gridSpan w:val="3"/>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品名</w:t>
            </w:r>
          </w:p>
        </w:tc>
        <w:tc>
          <w:tcPr>
            <w:tcW w:w="2397" w:type="dxa"/>
            <w:gridSpan w:val="3"/>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技术参数</w:t>
            </w:r>
          </w:p>
          <w:p>
            <w:pPr>
              <w:jc w:val="center"/>
              <w:rPr>
                <w:b/>
                <w:bCs/>
                <w:color w:val="auto"/>
                <w:highlight w:val="none"/>
              </w:rPr>
            </w:pPr>
            <w:r>
              <w:rPr>
                <w:rFonts w:hint="eastAsia" w:cs="宋体"/>
                <w:b/>
                <w:bCs/>
                <w:color w:val="auto"/>
                <w:highlight w:val="none"/>
              </w:rPr>
              <w:t>（规格型号）</w:t>
            </w:r>
          </w:p>
        </w:tc>
        <w:tc>
          <w:tcPr>
            <w:tcW w:w="1359" w:type="dxa"/>
            <w:gridSpan w:val="2"/>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生产厂家（产地）</w:t>
            </w:r>
          </w:p>
        </w:tc>
        <w:tc>
          <w:tcPr>
            <w:tcW w:w="696" w:type="dxa"/>
            <w:gridSpan w:val="2"/>
            <w:tcBorders>
              <w:top w:val="single" w:color="auto" w:sz="2" w:space="0"/>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数量</w:t>
            </w:r>
          </w:p>
        </w:tc>
        <w:tc>
          <w:tcPr>
            <w:tcW w:w="880" w:type="dxa"/>
            <w:gridSpan w:val="2"/>
            <w:tcBorders>
              <w:top w:val="single" w:color="auto" w:sz="2" w:space="0"/>
              <w:left w:val="single" w:color="auto" w:sz="2" w:space="0"/>
              <w:bottom w:val="single" w:color="auto" w:sz="2" w:space="0"/>
            </w:tcBorders>
            <w:vAlign w:val="center"/>
          </w:tcPr>
          <w:p>
            <w:pPr>
              <w:jc w:val="center"/>
              <w:rPr>
                <w:b/>
                <w:bCs/>
                <w:color w:val="auto"/>
                <w:highlight w:val="none"/>
              </w:rPr>
            </w:pPr>
            <w:r>
              <w:rPr>
                <w:rFonts w:hint="eastAsia" w:cs="宋体"/>
                <w:b/>
                <w:bCs/>
                <w:color w:val="auto"/>
                <w:highlight w:val="none"/>
              </w:rPr>
              <w:t>单位</w:t>
            </w:r>
          </w:p>
        </w:tc>
        <w:tc>
          <w:tcPr>
            <w:tcW w:w="1186" w:type="dxa"/>
            <w:tcBorders>
              <w:bottom w:val="single" w:color="auto" w:sz="2" w:space="0"/>
              <w:right w:val="single" w:color="auto" w:sz="12" w:space="0"/>
            </w:tcBorders>
            <w:vAlign w:val="center"/>
          </w:tcPr>
          <w:p>
            <w:pPr>
              <w:jc w:val="center"/>
              <w:rPr>
                <w:b/>
                <w:bCs/>
                <w:color w:val="auto"/>
                <w:highlight w:val="none"/>
              </w:rPr>
            </w:pPr>
            <w:r>
              <w:rPr>
                <w:rFonts w:hint="eastAsia" w:cs="宋体"/>
                <w:b/>
                <w:bCs/>
                <w:color w:val="auto"/>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jc w:val="center"/>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jc w:val="center"/>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68" w:type="dxa"/>
            <w:vMerge w:val="restart"/>
            <w:tcBorders>
              <w:top w:val="single" w:color="auto" w:sz="12" w:space="0"/>
              <w:left w:val="single" w:color="auto" w:sz="12" w:space="0"/>
            </w:tcBorders>
            <w:textDirection w:val="tbRlV"/>
            <w:vAlign w:val="center"/>
          </w:tcPr>
          <w:p>
            <w:pPr>
              <w:ind w:left="113" w:right="113"/>
              <w:jc w:val="center"/>
              <w:rPr>
                <w:color w:val="auto"/>
                <w:highlight w:val="none"/>
              </w:rPr>
            </w:pPr>
            <w:r>
              <w:rPr>
                <w:rFonts w:hint="eastAsia" w:cs="宋体"/>
                <w:color w:val="auto"/>
                <w:highlight w:val="none"/>
              </w:rPr>
              <w:t>实</w:t>
            </w:r>
            <w:r>
              <w:rPr>
                <w:color w:val="auto"/>
                <w:highlight w:val="none"/>
              </w:rPr>
              <w:t xml:space="preserve"> </w:t>
            </w:r>
            <w:r>
              <w:rPr>
                <w:rFonts w:hint="eastAsia" w:cs="宋体"/>
                <w:color w:val="auto"/>
                <w:highlight w:val="none"/>
              </w:rPr>
              <w:t>物</w:t>
            </w:r>
            <w:r>
              <w:rPr>
                <w:color w:val="auto"/>
                <w:highlight w:val="none"/>
              </w:rPr>
              <w:t xml:space="preserve"> </w:t>
            </w:r>
            <w:r>
              <w:rPr>
                <w:rFonts w:hint="eastAsia" w:cs="宋体"/>
                <w:color w:val="auto"/>
                <w:highlight w:val="none"/>
              </w:rPr>
              <w:t>验</w:t>
            </w:r>
            <w:r>
              <w:rPr>
                <w:color w:val="auto"/>
                <w:highlight w:val="none"/>
              </w:rPr>
              <w:t xml:space="preserve"> </w:t>
            </w:r>
            <w:r>
              <w:rPr>
                <w:rFonts w:hint="eastAsia" w:cs="宋体"/>
                <w:color w:val="auto"/>
                <w:highlight w:val="none"/>
              </w:rPr>
              <w:t>收</w:t>
            </w:r>
            <w:r>
              <w:rPr>
                <w:color w:val="auto"/>
                <w:highlight w:val="none"/>
              </w:rPr>
              <w:t xml:space="preserve"> </w:t>
            </w:r>
            <w:r>
              <w:rPr>
                <w:rFonts w:hint="eastAsia" w:cs="宋体"/>
                <w:color w:val="auto"/>
                <w:highlight w:val="none"/>
              </w:rPr>
              <w:t>情</w:t>
            </w:r>
            <w:r>
              <w:rPr>
                <w:color w:val="auto"/>
                <w:highlight w:val="none"/>
              </w:rPr>
              <w:t xml:space="preserve"> </w:t>
            </w:r>
            <w:r>
              <w:rPr>
                <w:rFonts w:hint="eastAsia" w:cs="宋体"/>
                <w:color w:val="auto"/>
                <w:highlight w:val="none"/>
              </w:rPr>
              <w:t>况</w:t>
            </w:r>
          </w:p>
        </w:tc>
        <w:tc>
          <w:tcPr>
            <w:tcW w:w="8185" w:type="dxa"/>
            <w:gridSpan w:val="13"/>
            <w:tcBorders>
              <w:top w:val="single" w:color="auto" w:sz="12" w:space="0"/>
              <w:right w:val="single" w:color="auto" w:sz="12" w:space="0"/>
            </w:tcBorders>
          </w:tcPr>
          <w:p>
            <w:pPr>
              <w:rPr>
                <w:color w:val="auto"/>
                <w:highlight w:val="none"/>
              </w:rPr>
            </w:pPr>
            <w:r>
              <w:rPr>
                <w:rFonts w:hint="eastAsia" w:cs="宋体"/>
                <w:color w:val="auto"/>
                <w:highlight w:val="none"/>
              </w:rPr>
              <w:t>外观质量（有无残损，程度如何）。</w:t>
            </w:r>
          </w:p>
          <w:p>
            <w:pPr>
              <w:rPr>
                <w:color w:val="auto"/>
                <w:highlight w:val="none"/>
              </w:rPr>
            </w:pP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68" w:type="dxa"/>
            <w:vMerge w:val="continue"/>
            <w:tcBorders>
              <w:left w:val="single" w:color="auto" w:sz="12" w:space="0"/>
            </w:tcBorders>
            <w:vAlign w:val="center"/>
          </w:tcPr>
          <w:p>
            <w:pPr>
              <w:jc w:val="center"/>
              <w:rPr>
                <w:color w:val="auto"/>
                <w:highlight w:val="none"/>
              </w:rPr>
            </w:pPr>
          </w:p>
        </w:tc>
        <w:tc>
          <w:tcPr>
            <w:tcW w:w="8185" w:type="dxa"/>
            <w:gridSpan w:val="13"/>
            <w:tcBorders>
              <w:right w:val="single" w:color="auto" w:sz="12" w:space="0"/>
            </w:tcBorders>
          </w:tcPr>
          <w:p>
            <w:pPr>
              <w:rPr>
                <w:color w:val="auto"/>
                <w:highlight w:val="none"/>
              </w:rPr>
            </w:pPr>
            <w:r>
              <w:rPr>
                <w:rFonts w:hint="eastAsia" w:cs="宋体"/>
                <w:color w:val="auto"/>
                <w:highlight w:val="none"/>
              </w:rPr>
              <w:t>清点数量（主机、配件、型号、规格、产地是否与招投标文件、合同、发票、装箱单的数量相同，若有出入，说明缺件名称、规格、数量、金额）。</w:t>
            </w:r>
          </w:p>
          <w:p>
            <w:pPr>
              <w:rPr>
                <w:color w:val="auto"/>
                <w:highlight w:val="none"/>
              </w:rPr>
            </w:pP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668" w:type="dxa"/>
            <w:vMerge w:val="continue"/>
            <w:tcBorders>
              <w:left w:val="single" w:color="auto" w:sz="12" w:space="0"/>
            </w:tcBorders>
            <w:vAlign w:val="center"/>
          </w:tcPr>
          <w:p>
            <w:pPr>
              <w:jc w:val="center"/>
              <w:rPr>
                <w:color w:val="auto"/>
                <w:highlight w:val="none"/>
              </w:rPr>
            </w:pPr>
          </w:p>
        </w:tc>
        <w:tc>
          <w:tcPr>
            <w:tcW w:w="8185" w:type="dxa"/>
            <w:gridSpan w:val="13"/>
            <w:tcBorders>
              <w:right w:val="single" w:color="auto" w:sz="12" w:space="0"/>
            </w:tcBorders>
          </w:tcPr>
          <w:p>
            <w:pPr>
              <w:rPr>
                <w:color w:val="auto"/>
                <w:highlight w:val="none"/>
              </w:rPr>
            </w:pPr>
            <w:r>
              <w:rPr>
                <w:rFonts w:hint="eastAsia" w:cs="宋体"/>
                <w:color w:val="auto"/>
                <w:highlight w:val="none"/>
              </w:rPr>
              <w:t>仪器设备安装调试及使用人员培训情况（是否完成整套设备安装、有无安装缺陷，使用人员是否经过培训）。</w:t>
            </w: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trPr>
        <w:tc>
          <w:tcPr>
            <w:tcW w:w="668" w:type="dxa"/>
            <w:tcBorders>
              <w:top w:val="single" w:color="auto" w:sz="12" w:space="0"/>
              <w:left w:val="single" w:color="auto" w:sz="12" w:space="0"/>
            </w:tcBorders>
            <w:textDirection w:val="tbRlV"/>
            <w:vAlign w:val="center"/>
          </w:tcPr>
          <w:p>
            <w:pPr>
              <w:ind w:left="113" w:right="113"/>
              <w:jc w:val="center"/>
              <w:rPr>
                <w:color w:val="auto"/>
                <w:highlight w:val="none"/>
              </w:rPr>
            </w:pPr>
            <w:r>
              <w:rPr>
                <w:rFonts w:hint="eastAsia" w:cs="宋体"/>
                <w:color w:val="auto"/>
                <w:highlight w:val="none"/>
              </w:rPr>
              <w:t>技术验收情况</w:t>
            </w:r>
          </w:p>
        </w:tc>
        <w:tc>
          <w:tcPr>
            <w:tcW w:w="8185" w:type="dxa"/>
            <w:gridSpan w:val="13"/>
            <w:tcBorders>
              <w:top w:val="single" w:color="auto" w:sz="12" w:space="0"/>
              <w:right w:val="single" w:color="auto" w:sz="12" w:space="0"/>
            </w:tcBorders>
          </w:tcPr>
          <w:p>
            <w:pPr>
              <w:rPr>
                <w:rFonts w:ascii="宋体" w:cs="宋体"/>
                <w:color w:val="auto"/>
                <w:highlight w:val="none"/>
              </w:rPr>
            </w:pPr>
            <w:r>
              <w:rPr>
                <w:rFonts w:hint="eastAsia" w:ascii="宋体" w:hAnsi="宋体" w:cs="宋体"/>
                <w:color w:val="auto"/>
                <w:highlight w:val="none"/>
              </w:rPr>
              <w:t>依据合同约定技术条款逐一测定设备的性能和各项技术指标，所测结果是否与合同约定技术条款规定的一样，性能是否稳定，配件是否齐全，是否有安全隐患，具体说明。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0" w:hRule="atLeast"/>
        </w:trPr>
        <w:tc>
          <w:tcPr>
            <w:tcW w:w="668" w:type="dxa"/>
            <w:tcBorders>
              <w:top w:val="single" w:color="auto" w:sz="12" w:space="0"/>
              <w:left w:val="single" w:color="auto" w:sz="12" w:space="0"/>
              <w:bottom w:val="single" w:color="auto" w:sz="12" w:space="0"/>
            </w:tcBorders>
            <w:textDirection w:val="tbRlV"/>
            <w:vAlign w:val="center"/>
          </w:tcPr>
          <w:p>
            <w:pPr>
              <w:spacing w:after="120"/>
              <w:ind w:left="113" w:right="113"/>
              <w:jc w:val="center"/>
              <w:rPr>
                <w:color w:val="auto"/>
                <w:highlight w:val="none"/>
              </w:rPr>
            </w:pPr>
            <w:r>
              <w:rPr>
                <w:rFonts w:hint="eastAsia" w:cs="宋体"/>
                <w:color w:val="auto"/>
                <w:highlight w:val="none"/>
              </w:rPr>
              <w:t>初步验收情况</w:t>
            </w:r>
          </w:p>
        </w:tc>
        <w:tc>
          <w:tcPr>
            <w:tcW w:w="8185" w:type="dxa"/>
            <w:gridSpan w:val="13"/>
            <w:tcBorders>
              <w:top w:val="single" w:color="auto" w:sz="12" w:space="0"/>
              <w:bottom w:val="single" w:color="auto" w:sz="12" w:space="0"/>
              <w:right w:val="single" w:color="auto" w:sz="12" w:space="0"/>
            </w:tcBorders>
            <w:vAlign w:val="center"/>
          </w:tcPr>
          <w:p>
            <w:pPr>
              <w:spacing w:line="240" w:lineRule="atLeast"/>
              <w:rPr>
                <w:rFonts w:ascii="宋体" w:cs="宋体"/>
                <w:color w:val="auto"/>
                <w:highlight w:val="none"/>
              </w:rPr>
            </w:pPr>
            <w:r>
              <w:rPr>
                <w:rFonts w:hint="eastAsia" w:ascii="宋体" w:hAnsi="宋体" w:cs="宋体"/>
                <w:color w:val="auto"/>
                <w:highlight w:val="none"/>
              </w:rPr>
              <w:t>□通过验收</w:t>
            </w:r>
            <w:r>
              <w:rPr>
                <w:rFonts w:ascii="宋体" w:hAnsi="宋体" w:cs="宋体"/>
                <w:color w:val="auto"/>
                <w:highlight w:val="none"/>
              </w:rPr>
              <w:t xml:space="preserve">                  </w:t>
            </w:r>
            <w:r>
              <w:rPr>
                <w:rFonts w:hint="eastAsia" w:ascii="宋体" w:hAnsi="宋体" w:cs="宋体"/>
                <w:color w:val="auto"/>
                <w:highlight w:val="none"/>
              </w:rPr>
              <w:t>□整改后再组织验收</w:t>
            </w:r>
          </w:p>
          <w:p>
            <w:pPr>
              <w:spacing w:line="240" w:lineRule="atLeast"/>
              <w:rPr>
                <w:rFonts w:ascii="宋体" w:cs="宋体"/>
                <w:color w:val="auto"/>
                <w:highlight w:val="none"/>
              </w:rPr>
            </w:pPr>
          </w:p>
          <w:p>
            <w:pPr>
              <w:adjustRightInd w:val="0"/>
              <w:snapToGrid w:val="0"/>
              <w:rPr>
                <w:color w:val="auto"/>
                <w:highlight w:val="none"/>
              </w:rPr>
            </w:pPr>
            <w:r>
              <w:rPr>
                <w:rFonts w:hint="eastAsia" w:ascii="宋体" w:hAnsi="宋体" w:cs="宋体"/>
                <w:color w:val="auto"/>
                <w:highlight w:val="none"/>
              </w:rPr>
              <w:t>□不通过验收</w:t>
            </w:r>
            <w:r>
              <w:rPr>
                <w:rFonts w:ascii="宋体" w:hAnsi="宋体" w:cs="宋体"/>
                <w:color w:val="auto"/>
                <w:highlight w:val="none"/>
              </w:rPr>
              <w:t xml:space="preserve">  </w:t>
            </w:r>
            <w:r>
              <w:rPr>
                <w:rFonts w:hint="eastAsia" w:ascii="宋体" w:hAnsi="宋体" w:cs="宋体"/>
                <w:color w:val="auto"/>
                <w:highlight w:val="none"/>
              </w:rPr>
              <w:t>索赔要求</w:t>
            </w:r>
            <w:r>
              <w:rPr>
                <w:rFonts w:ascii="宋体" w:hAnsi="宋体" w:cs="宋体"/>
                <w:color w:val="auto"/>
                <w:highlight w:val="none"/>
              </w:rPr>
              <w:t xml:space="preserve">      </w:t>
            </w:r>
            <w:r>
              <w:rPr>
                <w:rFonts w:hint="eastAsia" w:ascii="宋体" w:hAnsi="宋体" w:cs="宋体"/>
                <w:color w:val="auto"/>
                <w:highlight w:val="none"/>
              </w:rPr>
              <w:t>□其他结论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3" w:hRule="atLeast"/>
        </w:trPr>
        <w:tc>
          <w:tcPr>
            <w:tcW w:w="1297" w:type="dxa"/>
            <w:gridSpan w:val="3"/>
            <w:tcBorders>
              <w:top w:val="single" w:color="auto" w:sz="12" w:space="0"/>
              <w:left w:val="single" w:color="auto" w:sz="12" w:space="0"/>
              <w:right w:val="single" w:color="auto" w:sz="2" w:space="0"/>
            </w:tcBorders>
            <w:vAlign w:val="center"/>
          </w:tcPr>
          <w:p>
            <w:pPr>
              <w:spacing w:line="240" w:lineRule="atLeast"/>
              <w:jc w:val="center"/>
              <w:rPr>
                <w:rFonts w:ascii="宋体" w:cs="宋体"/>
                <w:color w:val="auto"/>
                <w:highlight w:val="none"/>
              </w:rPr>
            </w:pPr>
            <w:r>
              <w:rPr>
                <w:rFonts w:hint="eastAsia" w:ascii="宋体" w:hAnsi="宋体" w:cs="宋体"/>
                <w:color w:val="auto"/>
                <w:highlight w:val="none"/>
              </w:rPr>
              <w:t>验收小组</w:t>
            </w:r>
          </w:p>
          <w:p>
            <w:pPr>
              <w:spacing w:line="240" w:lineRule="atLeast"/>
              <w:jc w:val="center"/>
              <w:rPr>
                <w:rFonts w:ascii="宋体" w:cs="宋体"/>
                <w:color w:val="auto"/>
                <w:highlight w:val="none"/>
              </w:rPr>
            </w:pPr>
            <w:r>
              <w:rPr>
                <w:rFonts w:hint="eastAsia" w:ascii="宋体" w:hAnsi="宋体" w:cs="宋体"/>
                <w:color w:val="auto"/>
                <w:highlight w:val="none"/>
              </w:rPr>
              <w:t>成员签字</w:t>
            </w:r>
          </w:p>
        </w:tc>
        <w:tc>
          <w:tcPr>
            <w:tcW w:w="3435" w:type="dxa"/>
            <w:gridSpan w:val="4"/>
            <w:tcBorders>
              <w:top w:val="single" w:color="auto" w:sz="12" w:space="0"/>
              <w:left w:val="single" w:color="auto" w:sz="2" w:space="0"/>
              <w:right w:val="single" w:color="auto" w:sz="2" w:space="0"/>
            </w:tcBorders>
            <w:vAlign w:val="center"/>
          </w:tcPr>
          <w:p>
            <w:pPr>
              <w:spacing w:line="240" w:lineRule="atLeast"/>
              <w:jc w:val="center"/>
              <w:rPr>
                <w:rFonts w:ascii="宋体" w:cs="宋体"/>
                <w:color w:val="auto"/>
                <w:highlight w:val="none"/>
              </w:rPr>
            </w:pPr>
          </w:p>
        </w:tc>
        <w:tc>
          <w:tcPr>
            <w:tcW w:w="1730" w:type="dxa"/>
            <w:gridSpan w:val="3"/>
            <w:tcBorders>
              <w:top w:val="single" w:color="auto" w:sz="12" w:space="0"/>
              <w:left w:val="single" w:color="auto" w:sz="2" w:space="0"/>
              <w:right w:val="single" w:color="auto" w:sz="2" w:space="0"/>
            </w:tcBorders>
            <w:vAlign w:val="center"/>
          </w:tcPr>
          <w:p>
            <w:pPr>
              <w:spacing w:line="240" w:lineRule="atLeast"/>
              <w:rPr>
                <w:rFonts w:ascii="宋体" w:cs="宋体"/>
                <w:color w:val="auto"/>
                <w:highlight w:val="none"/>
              </w:rPr>
            </w:pPr>
            <w:r>
              <w:rPr>
                <w:rFonts w:ascii="宋体" w:hAnsi="宋体" w:cs="宋体"/>
                <w:color w:val="auto"/>
                <w:highlight w:val="none"/>
              </w:rPr>
              <w:t xml:space="preserve">    </w:t>
            </w:r>
            <w:r>
              <w:rPr>
                <w:rFonts w:hint="eastAsia" w:ascii="宋体" w:hAnsi="宋体" w:cs="宋体"/>
                <w:color w:val="auto"/>
                <w:highlight w:val="none"/>
              </w:rPr>
              <w:t>供货商</w:t>
            </w:r>
          </w:p>
          <w:p>
            <w:pPr>
              <w:spacing w:line="240" w:lineRule="atLeast"/>
              <w:jc w:val="center"/>
              <w:rPr>
                <w:rFonts w:ascii="宋体" w:cs="宋体"/>
                <w:color w:val="auto"/>
                <w:highlight w:val="none"/>
              </w:rPr>
            </w:pPr>
            <w:r>
              <w:rPr>
                <w:rFonts w:hint="eastAsia" w:ascii="宋体" w:hAnsi="宋体" w:cs="宋体"/>
                <w:color w:val="auto"/>
                <w:highlight w:val="none"/>
              </w:rPr>
              <w:t>授权代表签字</w:t>
            </w:r>
          </w:p>
        </w:tc>
        <w:tc>
          <w:tcPr>
            <w:tcW w:w="2391" w:type="dxa"/>
            <w:gridSpan w:val="4"/>
            <w:tcBorders>
              <w:top w:val="single" w:color="auto" w:sz="12" w:space="0"/>
              <w:left w:val="single" w:color="auto" w:sz="2" w:space="0"/>
              <w:bottom w:val="single" w:color="auto" w:sz="12" w:space="0"/>
              <w:right w:val="single" w:color="auto" w:sz="12" w:space="0"/>
            </w:tcBorders>
            <w:vAlign w:val="center"/>
          </w:tcPr>
          <w:p>
            <w:pPr>
              <w:spacing w:line="240" w:lineRule="atLeast"/>
              <w:jc w:val="center"/>
              <w:rPr>
                <w:rFonts w:ascii="宋体" w:cs="宋体"/>
                <w:color w:val="auto"/>
                <w:highlight w:val="none"/>
              </w:rPr>
            </w:pPr>
          </w:p>
        </w:tc>
      </w:tr>
    </w:tbl>
    <w:p>
      <w:pPr>
        <w:snapToGrid w:val="0"/>
        <w:spacing w:line="360" w:lineRule="auto"/>
        <w:rPr>
          <w:rFonts w:asci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5</w:t>
      </w:r>
      <w:r>
        <w:rPr>
          <w:rFonts w:hint="eastAsia" w:ascii="宋体" w:hAnsi="宋体" w:cs="宋体"/>
          <w:color w:val="auto"/>
          <w:sz w:val="28"/>
          <w:szCs w:val="28"/>
          <w:highlight w:val="none"/>
        </w:rPr>
        <w:t>：</w:t>
      </w:r>
    </w:p>
    <w:p>
      <w:pPr>
        <w:jc w:val="center"/>
        <w:rPr>
          <w:color w:val="auto"/>
          <w:highlight w:val="none"/>
        </w:rPr>
        <w:sectPr>
          <w:pgSz w:w="11906" w:h="16838"/>
          <w:pgMar w:top="1418" w:right="1418" w:bottom="1418" w:left="1417" w:header="998" w:footer="998" w:gutter="0"/>
          <w:cols w:space="720" w:num="1"/>
          <w:docGrid w:type="lines" w:linePitch="312" w:charSpace="0"/>
        </w:sectPr>
      </w:pPr>
      <w:r>
        <w:rPr>
          <w:rFonts w:hint="eastAsia" w:ascii="宋体" w:hAnsi="宋体" w:cs="宋体"/>
          <w:b/>
          <w:bCs/>
          <w:color w:val="auto"/>
          <w:sz w:val="36"/>
          <w:szCs w:val="36"/>
          <w:highlight w:val="none"/>
        </w:rPr>
        <w:t>中标通知书</w:t>
      </w:r>
    </w:p>
    <w:p>
      <w:pPr>
        <w:pStyle w:val="38"/>
        <w:spacing w:line="360" w:lineRule="auto"/>
        <w:ind w:left="0"/>
        <w:rPr>
          <w:b/>
          <w:bCs/>
          <w:color w:val="auto"/>
          <w:sz w:val="21"/>
          <w:szCs w:val="21"/>
          <w:highlight w:val="none"/>
        </w:rPr>
      </w:pPr>
      <w:r>
        <w:rPr>
          <w:rFonts w:ascii="宋体" w:hAnsi="宋体" w:cs="宋体"/>
          <w:b/>
          <w:bCs/>
          <w:color w:val="auto"/>
          <w:sz w:val="24"/>
          <w:szCs w:val="24"/>
          <w:highlight w:val="none"/>
        </w:rPr>
        <w:t>河南省政府采购合同融资政策告知函</w:t>
      </w:r>
    </w:p>
    <w:p>
      <w:pPr>
        <w:pStyle w:val="21"/>
        <w:spacing w:line="360" w:lineRule="auto"/>
        <w:ind w:left="0" w:leftChars="0" w:firstLine="0" w:firstLineChars="0"/>
        <w:jc w:val="center"/>
        <w:rPr>
          <w:rFonts w:ascii="宋体" w:hAnsi="宋体" w:cs="宋体"/>
          <w:b/>
          <w:bCs/>
          <w:color w:val="auto"/>
          <w:sz w:val="24"/>
          <w:highlight w:val="none"/>
        </w:rPr>
      </w:pPr>
    </w:p>
    <w:p>
      <w:pPr>
        <w:pStyle w:val="21"/>
        <w:spacing w:line="360" w:lineRule="auto"/>
        <w:ind w:left="0" w:leftChars="0" w:firstLine="0" w:firstLineChars="0"/>
        <w:jc w:val="center"/>
        <w:rPr>
          <w:rFonts w:ascii="宋体" w:hAnsi="宋体" w:cs="宋体"/>
          <w:b/>
          <w:bCs/>
          <w:color w:val="auto"/>
          <w:sz w:val="24"/>
          <w:highlight w:val="none"/>
        </w:rPr>
      </w:pPr>
      <w:r>
        <w:rPr>
          <w:rFonts w:ascii="宋体" w:hAnsi="宋体" w:cs="宋体"/>
          <w:b/>
          <w:bCs/>
          <w:color w:val="auto"/>
          <w:sz w:val="24"/>
          <w:highlight w:val="none"/>
        </w:rPr>
        <w:t>河南省政府采购合同融资政策告知函</w:t>
      </w:r>
    </w:p>
    <w:p>
      <w:pPr>
        <w:spacing w:line="360" w:lineRule="auto"/>
        <w:rPr>
          <w:rFonts w:ascii="宋体" w:hAnsi="宋体" w:cs="宋体"/>
          <w:color w:val="auto"/>
          <w:highlight w:val="none"/>
        </w:rPr>
      </w:pPr>
      <w:r>
        <w:rPr>
          <w:rFonts w:hint="eastAsia" w:ascii="宋体" w:hAnsi="宋体" w:cs="宋体"/>
          <w:color w:val="auto"/>
          <w:highlight w:val="none"/>
        </w:rPr>
        <w:t>各投标供应商：</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欢迎贵公司参与河南省政府采购活动！</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政府采购合同融资是河南省财政厅支持中小微企业发展，针对参与政府采购活动的投标供应商融资难、融资贵问题推出的一项融资政策。贵公司若成为本次政府采购项目的成交供应商，可持政府采购合同向金融机构申请贷款，无需抵押、担保，融资机构将根据《河南省政府采购合同融资工作实施方案》（豫财购〔2017〕10号），按照双方自愿的原则提供便捷、优惠的贷款服务。</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贷款渠道和提供贷款的金融机构，可在河南省政府采购网“河南省政府采购合同融资平台”查询联系。</w:t>
      </w:r>
    </w:p>
    <w:p>
      <w:pPr>
        <w:pStyle w:val="2"/>
        <w:ind w:left="63" w:right="63"/>
        <w:jc w:val="both"/>
        <w:rPr>
          <w:color w:val="auto"/>
          <w:highlight w:val="none"/>
        </w:rPr>
      </w:pPr>
    </w:p>
    <w:p>
      <w:pPr>
        <w:rPr>
          <w:rFonts w:ascii="宋体" w:hAnsi="宋体" w:cs="宋体"/>
          <w:b/>
          <w:bCs/>
          <w:color w:val="auto"/>
          <w:highlight w:val="none"/>
        </w:rPr>
      </w:pPr>
      <w:r>
        <w:rPr>
          <w:rFonts w:hint="eastAsia" w:ascii="宋体" w:hAnsi="宋体" w:cs="宋体"/>
          <w:b/>
          <w:bCs/>
          <w:color w:val="auto"/>
          <w:highlight w:val="none"/>
        </w:rPr>
        <w:br w:type="page"/>
      </w:r>
    </w:p>
    <w:p>
      <w:pPr>
        <w:pStyle w:val="46"/>
        <w:numPr>
          <w:ilvl w:val="0"/>
          <w:numId w:val="43"/>
        </w:numPr>
        <w:ind w:firstLine="0"/>
        <w:jc w:val="center"/>
        <w:outlineLvl w:val="0"/>
        <w:rPr>
          <w:rFonts w:hint="eastAsia" w:ascii="宋体" w:hAnsi="宋体" w:eastAsia="宋体" w:cs="宋体"/>
          <w:b/>
          <w:bCs/>
          <w:color w:val="auto"/>
          <w:highlight w:val="none"/>
        </w:rPr>
      </w:pPr>
      <w:bookmarkStart w:id="450" w:name="_Toc25633"/>
      <w:r>
        <w:rPr>
          <w:rFonts w:hint="eastAsia" w:ascii="宋体" w:hAnsi="宋体" w:eastAsia="宋体" w:cs="宋体"/>
          <w:b/>
          <w:bCs/>
          <w:color w:val="auto"/>
          <w:highlight w:val="none"/>
        </w:rPr>
        <w:t>技术标准和要求</w:t>
      </w:r>
      <w:bookmarkEnd w:id="450"/>
    </w:p>
    <w:p>
      <w:pPr>
        <w:pStyle w:val="47"/>
        <w:numPr>
          <w:ilvl w:val="0"/>
          <w:numId w:val="0"/>
        </w:numPr>
        <w:rPr>
          <w:rFonts w:hint="default" w:eastAsia="宋体"/>
          <w:b/>
          <w:bCs/>
          <w:lang w:val="en-US" w:eastAsia="zh-CN"/>
        </w:rPr>
      </w:pPr>
      <w:r>
        <w:rPr>
          <w:rFonts w:hint="eastAsia"/>
          <w:b/>
          <w:bCs/>
          <w:lang w:val="en-US" w:eastAsia="zh-CN"/>
        </w:rPr>
        <w:t>包1：国产产品</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HPC高性能计算集群</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登录管理存储节点要求：</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1，双路英特尔三代CPU，不低于24核心48线程，主频不低于2.1GHz，功耗不得大于270W</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2，主板：专业服务器主板，英特尔C621A芯片，支持IPMI远程，不少于16根内存插槽，PCI-E不少于6个，不少于两个M.2插槽，支持RAID；不少于四个U.2硬盘接口，7.1 HD Audio，支持TPM加密，智能温控散热系统</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3，内存不低于64G，使用 DDR4 3200 RECC 芯片，不少于四根</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4，系统硬盘：系统硬盘不低于2块480GB，要求 M.2高速硬盘；数据存储盘不低于48TB企业级，数量不低于6块</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5，阵列卡，不低于12Gb/s  ， 2G缓存，不少于8个端口</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6，网卡：具备不少于两个QSFP28端口，100Gb/s以太网适配器卡ConnectX-4 EN网络接口卡，100GbE双端口QSFP28,PCIe3.0 x16，高支架；配置线缆要求有100 Gb/s直接连接铜质电缆（DAC）、铜质分路器电缆、有源光缆（AOC）和收发器，长度不小于三米；</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7，机箱电源：要求专业级服务器机架式机箱电源，含专业服务器导轨，不低于8盘位热插拔，电源不低于850W</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计算节点要求(不少于10个）：</w:t>
            </w:r>
          </w:p>
          <w:p>
            <w:pPr>
              <w:spacing w:line="240" w:lineRule="auto"/>
              <w:ind w:firstLine="210" w:firstLineChars="1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1，1，双路三代CPU，不低于76核心152线程，主频不低于2.8GHz，功耗不得大于300W</w:t>
            </w:r>
            <w:r>
              <w:rPr>
                <w:rFonts w:hint="eastAsia" w:ascii="宋体" w:hAnsi="宋体" w:cs="宋体"/>
                <w:color w:val="auto"/>
                <w:szCs w:val="21"/>
                <w:highlight w:val="none"/>
                <w:lang w:eastAsia="zh-CN"/>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2，主板：专业服务器主板，英特尔C621A芯片，支持IPMI远程，不少于16根内存插槽，PCI-E不少于6个，不少于两个M.2插槽，支持RAID；不少于四个U.2硬盘接口，7.1 HD Audio，支持TPM加密，智能温控散热系统</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3，内存不低于 64GB，使用 DDR4 3200 RECC 芯片,不少于16根</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4，硬盘：系统硬盘不低于1.92TB，要求 NVME固态硬盘；数据存储盘不低于16TB企业级</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5，网卡：具备不少于两个QSFP28端口，100Gb/s以太网适配器卡ConnectX-4 EN网络接口卡，100GbE双端口QSFP28,PCIe3.0 x16，高支架；配置线缆要求有100 Gb/s直接连接铜质电缆（DAC）、铜质分路器电缆、有源光缆（AOC）和收发器，长度不小于三米；</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6，机箱电源：要求专业级服务器机架式机箱电源，含专业服务器导轨，不低于8盘位热插拔，电源不低于长城1300W 1+1冗余</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网络设备要求：</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1，接入交换机： 不少于24个千兆电口+4个千兆光口，准三层网管，支持静态路由，RIP/OSPF路由，AC220V，机架式安装。交换容量≥256Gbps，包转发能力≥51Mpps，支持802.3ad端口聚合每组最大8个、支持动态LACP或静态聚合；支持IGMPv1/v2/v3、PIM-SM、PIM-DM，支持组播流量跨VLAN复制功能；支持静态路由，rip/ospf动态路由；支持DHCP snooping，DHCP server，DHCP raleay；支持802.1X/Radius认证，支持IP+MAC+端口绑定；支持ZTP零接触配置开通（Zero Touch Provisioning）；原厂提供ISO9001、ISO14001、管理体系认证证书</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2，算力交换机：满足36 x EDR 100Gb/s ports in a 1U switchQSFP28连接7.2Tb/s （EDR）吞吐量，不大于90ns延迟，要求具备自适应路由、拥塞控制、端口镜像功能；不少于9个虚拟通道:8个数据+1个管理；不接受二手或者拆机设备</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4，42U定制机柜：配置2个尺寸600*1000*2000机柜，含托盘，32A PDU不少于两个，为保证质量要求提供第三方测试报告</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numPr>
                <w:ilvl w:val="0"/>
                <w:numId w:val="44"/>
              </w:numPr>
              <w:spacing w:line="240" w:lineRule="auto"/>
              <w:ind w:firstLine="210" w:firstLineChars="100"/>
              <w:rPr>
                <w:rFonts w:hint="eastAsia"/>
              </w:rPr>
            </w:pPr>
            <w:r>
              <w:rPr>
                <w:rFonts w:hint="eastAsia" w:ascii="宋体" w:hAnsi="宋体" w:eastAsia="宋体" w:cs="宋体"/>
                <w:color w:val="auto"/>
                <w:szCs w:val="21"/>
                <w:highlight w:val="none"/>
              </w:rPr>
              <w:t>UPS不间断电源：功率范围：15KVA，三进单出在线式。零切换时间；双转换纯在线式架构，电池市电供电模式切换的零转换时间，支持定频输出，有效保证负载供电可靠性。采用DSP数字控制技术；采用先进的DSP数字化控制技术，提供稳定可靠正弦波供电。三电平逆变技术，高效节能，失真度更小，带载能力更强，适应各种复杂类型负载。超宽输入电压频率范围，可承受90V~300V(单相相电压)/150V~500V(三相线电压)极宽输入电压及40~70Hz频率输入范围，兼容恶劣电力环境，减少电池放电次数，提高电池备用时间及使用寿命。可搭配发电机使用，输入电压与频率范围广，能有效隔离发电机产生的不良电力，为负载提供纯净、安全、稳定的电源。输入功率因数高，采用有源功率因数校正技术(PFC)，输入功率因数达0.99以上，有效地避免电网污染，有效降低电费支出。输出功率因素达0.9,125%额定功率10分钟。，可输出200/ 208/220/230/240Vac 50/60Hz广泛适应各种电压频率制式设备。</w:t>
            </w:r>
          </w:p>
          <w:p>
            <w:pPr>
              <w:numPr>
                <w:ilvl w:val="0"/>
                <w:numId w:val="0"/>
              </w:numPr>
              <w:spacing w:line="240" w:lineRule="auto"/>
              <w:ind w:firstLine="420" w:firstLineChars="200"/>
              <w:rPr>
                <w:rFonts w:hint="eastAsia"/>
              </w:rPr>
            </w:pPr>
            <w:r>
              <w:rPr>
                <w:rFonts w:hint="eastAsia" w:ascii="宋体" w:hAnsi="宋体" w:eastAsia="宋体" w:cs="宋体"/>
                <w:b w:val="0"/>
                <w:bCs w:val="0"/>
                <w:color w:val="auto"/>
                <w:szCs w:val="21"/>
                <w:highlight w:val="none"/>
              </w:rPr>
              <w:t>其他相关服务</w:t>
            </w:r>
            <w:r>
              <w:rPr>
                <w:rFonts w:hint="eastAsia" w:ascii="宋体" w:hAnsi="宋体" w:cs="宋体"/>
                <w:b/>
                <w:bCs/>
                <w:color w:val="auto"/>
                <w:szCs w:val="21"/>
                <w:highlight w:val="none"/>
                <w:lang w:eastAsia="zh-CN"/>
              </w:rPr>
              <w:t>：</w:t>
            </w:r>
            <w:r>
              <w:rPr>
                <w:rFonts w:hint="eastAsia" w:ascii="宋体" w:hAnsi="宋体" w:eastAsia="宋体" w:cs="宋体"/>
                <w:color w:val="auto"/>
                <w:szCs w:val="21"/>
                <w:highlight w:val="none"/>
              </w:rPr>
              <w:t>工程师上门安装调试；完成专业平台搭建服务；提供并行环境、科学计算数学库和编译器调试安装、系统优化服务；协助用户科研软件的安装；协助客户优化平台且移植数据；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高温绝缘材料电阻率测量系统</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☆1.测量温度：RT-1000℃，控温精度±0.5℃；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☆3.配置高阻测量模块，电阻测量范围：100Ω~1016Ω；</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4.电阻率测量范围：103~1016Ω·cm；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☆5.空载泄露电流：&lt;0.5pA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6.要求采用集成化设计，软件、夹具，高温炉集成于一体，带有触摸屏，可视化操作；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☆7.要求采用三环电极夹具系统，采用铂金电极和引线，具有损耗小，耐高温，抗氧化能力；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8.要求控温和测温采用同一个传感器，保证样品每次采集的温度都是样品实际温度；</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9.要求采用高温电学加热炉，内置金属屏蔽罩，有效减小加热丝产生的交流干扰；</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10.要求采用真空气密性设计，可以实现真空、流动气氛等测量环境；</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☆11.要求采用电动炉膛升降平台，固定式夹具，炉膛口朝下，可以使温度更均匀；</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12.仪器内置专业测量分析软件，一次升温可同时测量样品的温度谱，且能对软件提供免费升级服务；</w:t>
            </w:r>
          </w:p>
          <w:p>
            <w:pPr>
              <w:spacing w:line="240" w:lineRule="auto"/>
              <w:ind w:firstLine="200" w:firstLineChars="100"/>
              <w:rPr>
                <w:rFonts w:hint="eastAsia" w:ascii="宋体" w:hAnsi="宋体" w:eastAsia="宋体" w:cs="宋体"/>
                <w:color w:val="auto"/>
                <w:szCs w:val="21"/>
                <w:highlight w:val="none"/>
              </w:rPr>
            </w:pPr>
            <w:r>
              <w:rPr>
                <w:rFonts w:hint="eastAsia" w:ascii="宋体" w:hAnsi="宋体" w:eastAsia="宋体" w:cs="宋体"/>
                <w:i w:val="0"/>
                <w:iCs w:val="0"/>
                <w:color w:val="000000"/>
                <w:kern w:val="0"/>
                <w:sz w:val="20"/>
                <w:szCs w:val="20"/>
                <w:u w:val="none"/>
                <w:lang w:val="en-US" w:eastAsia="zh-CN" w:bidi="ar"/>
              </w:rPr>
              <w:t>13.内置无线WIFI，能实现远程技术测试支持和服务，同时需要提供扫码在线视频教学功能；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高温压电温谱仪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☆1．测量温度：RT-800℃,控温精度±0.5℃；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3．D33测量范围：0~2000 pC/N，量程自动切换；</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4．准确度：≤±2%；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5．力的频率：≥110Hz；</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6．力的大小：≥0.25N；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7．测量速度：FAST，MEDIUM，SLOW；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8．具有放电保护功能；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☆9．可分析样品d33随温度、频率、时间变化的曲线。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10．采用集成化设计，软件、夹具，加热集成于一体，通过自带电脑一体机进行操作；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11．要求采用高温电学加热炉，内置金属屏蔽罩，可以有效减小加热丝交流干扰和外部信号的干扰；</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☆12．要求采用电动炉膛升降平台，固定式夹具，炉膛口朝下，可以使温度更均匀；</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13．要求控温和测温为同一个传感器，保证样品每次采集的温度都是样品实际温度，系统可通过已知样品居里温度校准测温传感器，可以避免样品因导热性能不同带来测量的误差；</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14.仪器内置专业测量分析软件，一次升温可同时测量样品的温度谱，且能对软件提供免费升级服务；</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☆15.要求提供击穿测试模块，电压输出范围：0-30KV可调，保护电流1mA，同时可进行油浴高压极化；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高低温介电阻抗温谱仪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1.测量通道：单通道</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☆2.温度范围：-160℃-450°C ，控温精度：±0.5℃；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☆4.配置WK精密阻抗测量模块，测量频率范围：20Hz~10MHz，阻抗测量精度：0.05%；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5.采用集成化设计，软件、夹具，加热制冷集成于一体，通过自带电脑一体机进行可视化操作；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☆6.仪器采用加热制冷一体化控温平台，配备自动液氮注入系统LNP；</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7.程序自动补给和控制平台所需液氮制冷量和温度控制，液氮罐使用容量35L，接口KF50；</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☆8.采用弹簧电极夹具系统，上电极为半球电极，下电极为平板电极，确保稳定和可靠；</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9.采用高真空气密性设计，可以实现高低温、真空气氛测量环境；☆10.仪器内置真空组件，软件实时显示真空数值，真空度小于200Pa；</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11.控温和测温为同一个传感器，保证样品每次采集的温度都是样品实际温度，系统可通过已知样品居里温度校准测温传感器，可以避免样品因导热性能不同带来测量的误差；</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12.仪器内置专业测量分析软件，一次升温可同时测量样品的温度谱，频率谱等功能，操作简单、使用方便，且能对软件提供免费升级服务；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1200°C不锈钢管式电炉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最高使用温度：1200°C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工作温度：≤1150°C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炉膛材质：多晶莫来纤维，炉膛采用日本技术合资品牌，加热丝径2mm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炉体结构：加热炉膛上下2部分组成，可开启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额定功率：3KW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控温方式：国产智能仪表，PID调节、自整定功能，并可编制50段升降温程序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K型热电偶（2.5mm的丝）</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加热元件：高电阻电热合金丝OCr27AI7Mo2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外形尺寸：360*580*565mm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石英管尺寸：Φ80/72*1000mm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加热区长度：420mm；恒温区长度：210mm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温区：单温区</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密封法兰：多环密封，快速卡箍链接</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排风冷却装置：结合热感应技术，炉体表面50度时排温风扇自动开启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升温速率（推荐）：0-1000°C以下≤10°C/min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1000-1200°C≤5°C/min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重量：75Kg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标准配置：单级泵4L1台，石英管1支，石英堵1对，硅胶圈垫2套，活动平台1台，气路总成1套（含真空压力表），石英舟1个，钩子1把，高温手套1副</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技术特点：炉膛材料采用优质的多晶莫来纤维真空吸附制成，节能50%，温场均匀。密封法兰采用304不锈钢双环密封挤压密封技术，有效的提高了炉管两端的气密性。快速卡箍链接，方便取放样品。有效的保证炉管的密封可靠性。气路具有进出气微量可调功能。两端气路支架，支撑着气路装置。有效消除了气路总成自身的应力，杜绝了因自身应力而造成的炉管损坏。先进的空气隔热技术，结合热感应技术，当炉体表面温升到达50℃时，排温风扇将自动启动，使炉体表面快速降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1600°C真空气氛管式电炉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最高使用温度：1600°C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加热丝径2mm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炉体结构：炉控一体</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额定功率：4KW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控温方式：国产智能仪表，PID调节、自整定功能，并可编制50段升降温程序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加热元件：1700型硅钼棒</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外形尺寸：520*600*803mm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刚玉管尺寸：Φ60/500*1000mm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加热区长度：260mm；恒温区长度：120mm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温区：单温区</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气路法兰：双环密封，卡箍快速链接</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外炉壳：碳钢静电喷涂</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排风冷却装置：结合热感应技术，炉体表面50度时排温风扇自动开启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重量：145Kg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1600°C电炉特殊保护功能：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1.电流限幅功能：此功能延长了硅钼棒加热元件使用寿命，对用户供电设备免受大电流冲击提供安全保护，保护用户在误操作时电炉使用安全</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2.电流缓启动功能：对用户供电设备免受大电流冲击提供安全保护，即使中途取放物料，也可使测温系统随时响应温度变化</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标准配置：单级泵4L1台，刚玉管1支，刚玉堵4个，硅胶圈垫2套，活动平台1台，气路总成1套（含真空压力表），刚玉舟1个，钩子1把，高温手套1副</w:t>
            </w:r>
          </w:p>
          <w:p>
            <w:pPr>
              <w:keepNext w:val="0"/>
              <w:keepLines w:val="0"/>
              <w:widowControl/>
              <w:suppressLineNumbers w:val="0"/>
              <w:jc w:val="left"/>
              <w:textAlignment w:val="top"/>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技术特点：炉膛材料采用优质的多晶莫来纤维真空吸附制成，节能50%，温场均匀。密封法兰采用304不锈钢双环密封挤压密封技术，有效的提高了炉管两端的气密性。快速卡箍链接，方便取放样品。有效的保证炉管的密封可靠性。气路具有进出气微量可调功能。两端气路支架，支撑着气路装置。有效消除了气路总成自身的应力，杜绝了因自身应力而造成的炉管损坏。先进的空气隔热技术，结合热感应技术，当炉体表面温升到达50℃时，排温风扇将自动启动，使炉体表面快速降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7</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1200°C不锈钢箱式电炉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最高温度：1200°C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炉膛材质：多晶莫来纤维，炉膛采用日本技术合资品牌</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炉膛尺寸：300*200*120mm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外形尺寸：590*460*682mm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功率：3KW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开门方式：侧拉平移，开门断电</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加热元件：高电阻电热合金丝OCr27AI7Mo2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炉体结构：加热炉体控制箱一体化</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温控系统：国产智能仪表，PID调节、自整定功能，并可编制30段升降温程序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最快升温速率：≤15°C/min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测温方式：K型热电偶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容积：7L</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重量：90Kg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标准配置：活动平台1台，高温手套1副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1300°C节能箱式电炉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FFFFFF"/>
            <w:vAlign w:val="top"/>
          </w:tcPr>
          <w:p>
            <w:pPr>
              <w:keepNext w:val="0"/>
              <w:keepLines w:val="0"/>
              <w:widowControl/>
              <w:suppressLineNumbers w:val="0"/>
              <w:jc w:val="left"/>
              <w:textAlignment w:val="top"/>
              <w:rPr>
                <w:rFonts w:hint="eastAsia"/>
              </w:rPr>
            </w:pPr>
            <w:r>
              <w:rPr>
                <w:rFonts w:hint="eastAsia"/>
              </w:rPr>
              <w:t>最高温度：1300°C</w:t>
            </w:r>
          </w:p>
          <w:p>
            <w:pPr>
              <w:keepNext w:val="0"/>
              <w:keepLines w:val="0"/>
              <w:widowControl/>
              <w:suppressLineNumbers w:val="0"/>
              <w:jc w:val="left"/>
              <w:textAlignment w:val="top"/>
              <w:rPr>
                <w:rFonts w:hint="eastAsia"/>
              </w:rPr>
            </w:pPr>
            <w:r>
              <w:rPr>
                <w:rFonts w:hint="eastAsia"/>
              </w:rPr>
              <w:t>炉膛材质：多晶莫来纤维</w:t>
            </w:r>
          </w:p>
          <w:p>
            <w:pPr>
              <w:keepNext w:val="0"/>
              <w:keepLines w:val="0"/>
              <w:widowControl/>
              <w:suppressLineNumbers w:val="0"/>
              <w:jc w:val="left"/>
              <w:textAlignment w:val="top"/>
              <w:rPr>
                <w:rFonts w:hint="eastAsia"/>
              </w:rPr>
            </w:pPr>
            <w:r>
              <w:rPr>
                <w:rFonts w:hint="eastAsia"/>
              </w:rPr>
              <w:t>装棒后炉膛尺寸：400*200*160mm</w:t>
            </w:r>
          </w:p>
          <w:p>
            <w:pPr>
              <w:keepNext w:val="0"/>
              <w:keepLines w:val="0"/>
              <w:widowControl/>
              <w:suppressLineNumbers w:val="0"/>
              <w:jc w:val="left"/>
              <w:textAlignment w:val="top"/>
              <w:rPr>
                <w:rFonts w:hint="eastAsia"/>
              </w:rPr>
            </w:pPr>
            <w:r>
              <w:rPr>
                <w:rFonts w:hint="eastAsia"/>
              </w:rPr>
              <w:t>外形尺寸：720*573*870mm</w:t>
            </w:r>
          </w:p>
          <w:p>
            <w:pPr>
              <w:keepNext w:val="0"/>
              <w:keepLines w:val="0"/>
              <w:widowControl/>
              <w:suppressLineNumbers w:val="0"/>
              <w:jc w:val="left"/>
              <w:textAlignment w:val="top"/>
              <w:rPr>
                <w:rFonts w:hint="eastAsia"/>
              </w:rPr>
            </w:pPr>
            <w:r>
              <w:rPr>
                <w:rFonts w:hint="eastAsia"/>
              </w:rPr>
              <w:t>功率：8KW</w:t>
            </w:r>
          </w:p>
          <w:p>
            <w:pPr>
              <w:keepNext w:val="0"/>
              <w:keepLines w:val="0"/>
              <w:widowControl/>
              <w:suppressLineNumbers w:val="0"/>
              <w:jc w:val="left"/>
              <w:textAlignment w:val="top"/>
              <w:rPr>
                <w:rFonts w:hint="eastAsia"/>
              </w:rPr>
            </w:pPr>
            <w:r>
              <w:rPr>
                <w:rFonts w:hint="eastAsia"/>
              </w:rPr>
              <w:t>电压：380V</w:t>
            </w:r>
          </w:p>
          <w:p>
            <w:pPr>
              <w:keepNext w:val="0"/>
              <w:keepLines w:val="0"/>
              <w:widowControl/>
              <w:suppressLineNumbers w:val="0"/>
              <w:jc w:val="left"/>
              <w:textAlignment w:val="top"/>
              <w:rPr>
                <w:rFonts w:hint="eastAsia"/>
              </w:rPr>
            </w:pPr>
            <w:r>
              <w:rPr>
                <w:rFonts w:hint="eastAsia"/>
              </w:rPr>
              <w:t>控温精度：±1°C</w:t>
            </w:r>
          </w:p>
          <w:p>
            <w:pPr>
              <w:keepNext w:val="0"/>
              <w:keepLines w:val="0"/>
              <w:widowControl/>
              <w:suppressLineNumbers w:val="0"/>
              <w:jc w:val="left"/>
              <w:textAlignment w:val="top"/>
              <w:rPr>
                <w:rFonts w:hint="eastAsia"/>
              </w:rPr>
            </w:pPr>
            <w:r>
              <w:rPr>
                <w:rFonts w:hint="eastAsia"/>
              </w:rPr>
              <w:t>开门方式：侧拉平移，开门断电</w:t>
            </w:r>
          </w:p>
          <w:p>
            <w:pPr>
              <w:keepNext w:val="0"/>
              <w:keepLines w:val="0"/>
              <w:widowControl/>
              <w:suppressLineNumbers w:val="0"/>
              <w:jc w:val="left"/>
              <w:textAlignment w:val="top"/>
              <w:rPr>
                <w:rFonts w:hint="eastAsia"/>
              </w:rPr>
            </w:pPr>
            <w:r>
              <w:rPr>
                <w:rFonts w:hint="eastAsia"/>
              </w:rPr>
              <w:t>外炉壳：碳钢静电喷涂</w:t>
            </w:r>
          </w:p>
          <w:p>
            <w:pPr>
              <w:keepNext w:val="0"/>
              <w:keepLines w:val="0"/>
              <w:widowControl/>
              <w:suppressLineNumbers w:val="0"/>
              <w:jc w:val="left"/>
              <w:textAlignment w:val="top"/>
              <w:rPr>
                <w:rFonts w:hint="eastAsia"/>
              </w:rPr>
            </w:pPr>
            <w:r>
              <w:rPr>
                <w:rFonts w:hint="eastAsia"/>
              </w:rPr>
              <w:t>加热元件：1500型硅碳棒</w:t>
            </w:r>
          </w:p>
          <w:p>
            <w:pPr>
              <w:keepNext w:val="0"/>
              <w:keepLines w:val="0"/>
              <w:widowControl/>
              <w:suppressLineNumbers w:val="0"/>
              <w:jc w:val="left"/>
              <w:textAlignment w:val="top"/>
              <w:rPr>
                <w:rFonts w:hint="eastAsia"/>
              </w:rPr>
            </w:pPr>
            <w:r>
              <w:rPr>
                <w:rFonts w:hint="eastAsia"/>
              </w:rPr>
              <w:t>炉体结构：加热炉体控制箱一体化</w:t>
            </w:r>
          </w:p>
          <w:p>
            <w:pPr>
              <w:keepNext w:val="0"/>
              <w:keepLines w:val="0"/>
              <w:widowControl/>
              <w:suppressLineNumbers w:val="0"/>
              <w:jc w:val="left"/>
              <w:textAlignment w:val="top"/>
              <w:rPr>
                <w:rFonts w:hint="eastAsia"/>
              </w:rPr>
            </w:pPr>
            <w:r>
              <w:rPr>
                <w:rFonts w:hint="eastAsia"/>
              </w:rPr>
              <w:t>温控系统：国产智能仪表，PID调节、自整定功能，并可编制30段升降温程序</w:t>
            </w:r>
          </w:p>
          <w:p>
            <w:pPr>
              <w:keepNext w:val="0"/>
              <w:keepLines w:val="0"/>
              <w:widowControl/>
              <w:suppressLineNumbers w:val="0"/>
              <w:jc w:val="left"/>
              <w:textAlignment w:val="top"/>
              <w:rPr>
                <w:rFonts w:hint="eastAsia"/>
              </w:rPr>
            </w:pPr>
            <w:r>
              <w:rPr>
                <w:rFonts w:hint="eastAsia"/>
              </w:rPr>
              <w:t>最快升温速率（建议）：≤15°C/min</w:t>
            </w:r>
          </w:p>
          <w:p>
            <w:pPr>
              <w:keepNext w:val="0"/>
              <w:keepLines w:val="0"/>
              <w:widowControl/>
              <w:suppressLineNumbers w:val="0"/>
              <w:jc w:val="left"/>
              <w:textAlignment w:val="top"/>
              <w:rPr>
                <w:rFonts w:hint="eastAsia"/>
              </w:rPr>
            </w:pPr>
            <w:r>
              <w:rPr>
                <w:rFonts w:hint="eastAsia"/>
              </w:rPr>
              <w:t>测温方式：S型热电偶</w:t>
            </w:r>
          </w:p>
          <w:p>
            <w:pPr>
              <w:keepNext w:val="0"/>
              <w:keepLines w:val="0"/>
              <w:widowControl/>
              <w:suppressLineNumbers w:val="0"/>
              <w:jc w:val="left"/>
              <w:textAlignment w:val="top"/>
              <w:rPr>
                <w:rFonts w:hint="eastAsia"/>
              </w:rPr>
            </w:pPr>
            <w:r>
              <w:rPr>
                <w:rFonts w:hint="eastAsia"/>
              </w:rPr>
              <w:t xml:space="preserve">容积：13L </w:t>
            </w:r>
          </w:p>
          <w:p>
            <w:pPr>
              <w:keepNext w:val="0"/>
              <w:keepLines w:val="0"/>
              <w:widowControl/>
              <w:suppressLineNumbers w:val="0"/>
              <w:jc w:val="left"/>
              <w:textAlignment w:val="top"/>
              <w:rPr>
                <w:rFonts w:hint="eastAsia"/>
              </w:rPr>
            </w:pPr>
            <w:r>
              <w:rPr>
                <w:rFonts w:hint="eastAsia"/>
              </w:rPr>
              <w:t>重量：120Kg</w:t>
            </w:r>
          </w:p>
          <w:p>
            <w:pPr>
              <w:keepNext w:val="0"/>
              <w:keepLines w:val="0"/>
              <w:widowControl/>
              <w:suppressLineNumbers w:val="0"/>
              <w:jc w:val="left"/>
              <w:textAlignment w:val="top"/>
              <w:rPr>
                <w:rFonts w:hint="eastAsia" w:ascii="宋体" w:hAnsi="宋体" w:eastAsia="宋体" w:cs="宋体"/>
                <w:i w:val="0"/>
                <w:iCs w:val="0"/>
                <w:color w:val="000000"/>
                <w:kern w:val="2"/>
                <w:sz w:val="20"/>
                <w:szCs w:val="20"/>
                <w:u w:val="none"/>
                <w:lang w:val="en-US" w:eastAsia="zh-CN" w:bidi="ar-SA"/>
              </w:rPr>
            </w:pPr>
            <w:r>
              <w:rPr>
                <w:rFonts w:hint="eastAsia"/>
              </w:rPr>
              <w:t>标准配置：活动平台1台，高温手套1副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9</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1600°C节能箱式电炉</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FFFFFF"/>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最高温度：1600°C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炉膛尺寸：400*200*160mm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外形尺寸：840*715*1690mm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功率：12KW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电压：380（单相）</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开门方式：侧拉平移，开门断电</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加热元件：1700型硅钼棒</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炉体结构：加热炉体控制箱一体化（上下组合）</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温控系统：国产智能仪表，PID调节、自整定功能，并可编制30段升降温程序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测温方式：B型热电偶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容积：13L</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重量：325Kg</w:t>
            </w:r>
          </w:p>
          <w:p>
            <w:pPr>
              <w:keepNext w:val="0"/>
              <w:keepLines w:val="0"/>
              <w:widowControl/>
              <w:suppressLineNumbers w:val="0"/>
              <w:jc w:val="left"/>
              <w:textAlignment w:val="top"/>
              <w:rPr>
                <w:rFonts w:hint="eastAsia"/>
              </w:rPr>
            </w:pPr>
            <w:r>
              <w:rPr>
                <w:rFonts w:hint="eastAsia" w:ascii="宋体" w:hAnsi="宋体" w:eastAsia="宋体" w:cs="宋体"/>
                <w:i w:val="0"/>
                <w:iCs w:val="0"/>
                <w:color w:val="000000"/>
                <w:kern w:val="0"/>
                <w:sz w:val="20"/>
                <w:szCs w:val="20"/>
                <w:u w:val="none"/>
                <w:lang w:val="en-US" w:eastAsia="zh-CN" w:bidi="ar"/>
              </w:rPr>
              <w:t>标准配件：炉门转1套，高温手套1副</w:t>
            </w:r>
          </w:p>
        </w:tc>
      </w:tr>
    </w:tbl>
    <w:p>
      <w:pPr>
        <w:rPr>
          <w:color w:val="auto"/>
          <w:highlight w:val="none"/>
        </w:rPr>
      </w:pPr>
    </w:p>
    <w:p>
      <w:pPr>
        <w:rPr>
          <w:color w:val="auto"/>
          <w:highlight w:val="none"/>
        </w:rPr>
      </w:pPr>
      <w:bookmarkStart w:id="451" w:name="_Toc531161570"/>
      <w:bookmarkStart w:id="452" w:name="_Toc534361857"/>
      <w:bookmarkStart w:id="453" w:name="_Toc530560434"/>
      <w:r>
        <w:rPr>
          <w:rFonts w:hint="eastAsia" w:ascii="宋体" w:hAnsi="宋体" w:eastAsia="宋体" w:cs="宋体"/>
          <w:b/>
          <w:bCs/>
          <w:color w:val="000000"/>
          <w:sz w:val="22"/>
          <w:szCs w:val="21"/>
        </w:rPr>
        <w:t>包2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热膨胀仪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ind w:firstLine="420" w:firstLineChars="200"/>
              <w:rPr>
                <w:rFonts w:ascii="Times New Roman" w:hAnsi="Times New Roman"/>
                <w:szCs w:val="21"/>
              </w:rPr>
            </w:pPr>
            <w:r>
              <w:rPr>
                <w:rFonts w:ascii="Times New Roman" w:hAnsi="Times New Roman"/>
                <w:szCs w:val="21"/>
              </w:rPr>
              <w:t>1.温度范围：室温</w:t>
            </w:r>
            <w:r>
              <w:rPr>
                <w:rFonts w:ascii="Times New Roman" w:hAnsi="Times New Roman" w:eastAsia="Dotum"/>
                <w:szCs w:val="21"/>
              </w:rPr>
              <w:t>~</w:t>
            </w:r>
            <w:r>
              <w:rPr>
                <w:rFonts w:ascii="Times New Roman" w:hAnsi="Times New Roman"/>
                <w:szCs w:val="21"/>
              </w:rPr>
              <w:t>1350℃；</w:t>
            </w:r>
          </w:p>
          <w:p>
            <w:pPr>
              <w:ind w:firstLine="420" w:firstLineChars="200"/>
              <w:rPr>
                <w:rFonts w:ascii="Times New Roman" w:hAnsi="Times New Roman"/>
                <w:szCs w:val="21"/>
              </w:rPr>
            </w:pPr>
            <w:r>
              <w:rPr>
                <w:rFonts w:ascii="Times New Roman" w:hAnsi="Times New Roman"/>
                <w:szCs w:val="21"/>
              </w:rPr>
              <w:t>2.</w:t>
            </w:r>
            <w:r>
              <w:rPr>
                <w:rFonts w:ascii="Times New Roman" w:hAnsi="Times New Roman"/>
                <w:kern w:val="0"/>
                <w:szCs w:val="21"/>
              </w:rPr>
              <w:t>样品长度：0~50 mm；</w:t>
            </w:r>
            <w:r>
              <w:rPr>
                <w:rFonts w:ascii="Times New Roman" w:hAnsi="Times New Roman"/>
                <w:szCs w:val="21"/>
              </w:rPr>
              <w:t>样品最大直径：14mm；</w:t>
            </w:r>
          </w:p>
          <w:p>
            <w:pPr>
              <w:ind w:firstLine="420" w:firstLineChars="200"/>
              <w:rPr>
                <w:rFonts w:ascii="Times New Roman" w:hAnsi="Times New Roman"/>
                <w:szCs w:val="21"/>
              </w:rPr>
            </w:pPr>
            <w:r>
              <w:rPr>
                <w:rFonts w:ascii="Times New Roman" w:hAnsi="Times New Roman"/>
                <w:szCs w:val="21"/>
              </w:rPr>
              <w:t>3.测量精度：≤1%；</w:t>
            </w:r>
          </w:p>
          <w:p>
            <w:pPr>
              <w:ind w:firstLine="420" w:firstLineChars="200"/>
              <w:rPr>
                <w:rFonts w:ascii="Times New Roman" w:hAnsi="Times New Roman"/>
                <w:szCs w:val="21"/>
              </w:rPr>
            </w:pPr>
            <w:r>
              <w:rPr>
                <w:rFonts w:ascii="Times New Roman" w:hAnsi="Times New Roman"/>
                <w:szCs w:val="21"/>
              </w:rPr>
              <w:t>4.测量范围：+/-2500um；</w:t>
            </w:r>
          </w:p>
          <w:p>
            <w:pPr>
              <w:ind w:firstLine="420" w:firstLineChars="200"/>
              <w:rPr>
                <w:rFonts w:ascii="Times New Roman" w:hAnsi="Times New Roman"/>
                <w:szCs w:val="21"/>
              </w:rPr>
            </w:pPr>
            <w:r>
              <w:rPr>
                <w:rFonts w:ascii="Times New Roman" w:hAnsi="Times New Roman"/>
                <w:szCs w:val="21"/>
              </w:rPr>
              <w:t>5.LVDT传感器分辨率：10nm；</w:t>
            </w:r>
          </w:p>
          <w:p>
            <w:pPr>
              <w:ind w:firstLine="420" w:firstLineChars="200"/>
              <w:rPr>
                <w:rFonts w:ascii="Times New Roman" w:hAnsi="Times New Roman"/>
                <w:szCs w:val="21"/>
              </w:rPr>
            </w:pPr>
            <w:r>
              <w:rPr>
                <w:rFonts w:ascii="Times New Roman" w:hAnsi="Times New Roman"/>
                <w:szCs w:val="21"/>
              </w:rPr>
              <w:t>6.接触力：0.02N到1.00N，可调；</w:t>
            </w:r>
          </w:p>
          <w:p>
            <w:pPr>
              <w:ind w:firstLine="420" w:firstLineChars="200"/>
              <w:rPr>
                <w:rFonts w:ascii="Times New Roman" w:hAnsi="Times New Roman"/>
                <w:kern w:val="0"/>
                <w:szCs w:val="21"/>
              </w:rPr>
            </w:pPr>
            <w:r>
              <w:rPr>
                <w:rFonts w:ascii="Times New Roman" w:hAnsi="Times New Roman"/>
                <w:szCs w:val="21"/>
              </w:rPr>
              <w:t>7.气氛：</w:t>
            </w:r>
            <w:r>
              <w:rPr>
                <w:rFonts w:ascii="Times New Roman" w:hAnsi="Times New Roman"/>
                <w:kern w:val="0"/>
                <w:szCs w:val="21"/>
              </w:rPr>
              <w:t>真空、惰性气体、空气；</w:t>
            </w:r>
          </w:p>
          <w:p>
            <w:pPr>
              <w:ind w:firstLine="420" w:firstLineChars="200"/>
              <w:rPr>
                <w:rFonts w:ascii="Times New Roman" w:hAnsi="Times New Roman"/>
                <w:szCs w:val="21"/>
              </w:rPr>
            </w:pPr>
            <w:r>
              <w:rPr>
                <w:rFonts w:ascii="Times New Roman" w:hAnsi="Times New Roman"/>
                <w:szCs w:val="21"/>
              </w:rPr>
              <w:t>8.最大冷却速率：10℃/min；</w:t>
            </w:r>
          </w:p>
          <w:p>
            <w:pPr>
              <w:ind w:firstLine="420" w:firstLineChars="200"/>
              <w:rPr>
                <w:rFonts w:ascii="Times New Roman" w:hAnsi="Times New Roman"/>
                <w:szCs w:val="21"/>
              </w:rPr>
            </w:pPr>
            <w:r>
              <w:rPr>
                <w:rFonts w:ascii="Times New Roman" w:hAnsi="Times New Roman"/>
                <w:szCs w:val="21"/>
              </w:rPr>
              <w:t>9.样品支架：氧化铝；</w:t>
            </w:r>
          </w:p>
          <w:p>
            <w:pPr>
              <w:ind w:firstLine="420" w:firstLineChars="200"/>
              <w:rPr>
                <w:rFonts w:ascii="Times New Roman" w:hAnsi="Times New Roman"/>
                <w:szCs w:val="21"/>
              </w:rPr>
            </w:pPr>
            <w:r>
              <w:rPr>
                <w:rFonts w:ascii="Times New Roman" w:hAnsi="Times New Roman"/>
                <w:szCs w:val="21"/>
              </w:rPr>
              <w:t>10.最大加热速率：100℃/min；</w:t>
            </w:r>
          </w:p>
          <w:p>
            <w:pPr>
              <w:ind w:firstLine="420" w:firstLineChars="200"/>
              <w:rPr>
                <w:rFonts w:ascii="Times New Roman" w:hAnsi="Times New Roman"/>
                <w:szCs w:val="21"/>
              </w:rPr>
            </w:pPr>
            <w:r>
              <w:rPr>
                <w:rFonts w:ascii="Times New Roman" w:hAnsi="Times New Roman"/>
                <w:szCs w:val="21"/>
              </w:rPr>
              <w:t>11.α准确度：0.03*10</w:t>
            </w:r>
            <w:r>
              <w:rPr>
                <w:rFonts w:ascii="Times New Roman" w:hAnsi="Times New Roman"/>
                <w:szCs w:val="21"/>
                <w:vertAlign w:val="superscript"/>
              </w:rPr>
              <w:t>-6</w:t>
            </w:r>
            <w:r>
              <w:rPr>
                <w:rFonts w:ascii="Times New Roman" w:hAnsi="Times New Roman"/>
                <w:szCs w:val="21"/>
              </w:rPr>
              <w:t>K</w:t>
            </w:r>
            <w:r>
              <w:rPr>
                <w:rFonts w:ascii="Times New Roman" w:hAnsi="Times New Roman"/>
                <w:szCs w:val="21"/>
                <w:vertAlign w:val="superscript"/>
              </w:rPr>
              <w:t>-1</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12.传感器：线性可变差分传感器 (LVDT) 和数字放大器</w:t>
            </w:r>
          </w:p>
          <w:p>
            <w:pPr>
              <w:ind w:firstLine="420" w:firstLineChars="200"/>
              <w:rPr>
                <w:rFonts w:ascii="Times New Roman" w:hAnsi="Times New Roman"/>
                <w:szCs w:val="21"/>
              </w:rPr>
            </w:pPr>
            <w:r>
              <w:rPr>
                <w:rFonts w:ascii="Times New Roman" w:hAnsi="Times New Roman"/>
                <w:szCs w:val="21"/>
              </w:rPr>
              <w:t>*13.软件系统，不受版权限制，终身免费升级，软件至少可以安装十台计算机以上，全功能仪器操作软件及通用分析软件：以Windows为操作系统，多任务、多用户操作，功能强大的数据处理、自动校准方法、结果文件等。</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ascii="Times New Roman" w:hAnsi="Times New Roman"/>
                <w:szCs w:val="21"/>
              </w:rPr>
              <w:t>14.配置：热膨胀仪主机1台、品牌电脑1台、配套国产水浴1台。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39"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热重分析仪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是</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*1、天平量程：≥1000mg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*2、仪器结构：水平结构，横式炉体，能够有效减小气流扰动。</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*3、热天平：采用微量精密电子天平，校准方式为内置砝码自动校准，内置砝码砝码数量不少于2个。天平室有恒温水浴保护，保证天平始终在恒温状态下工作，不漂移。</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4、配备彩色App式液晶触摸屏，可以监测实验进程、设定参数、启动及停止实验、控制炉体开关。</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*5、坩埚支架为陶瓷杆加托盘结构，内嵌热电偶，热电偶为隐藏式设计，不裸露，防腐性能好，不易损坏。</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6、内置气体控制器，可实现三路气体自动切换。</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7、最高测试温度： 1100℃；最低测试温度：&lt;25℃</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8、炉体材质：铂铑炉体</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9、最快升温速率：≥200℃/min（线性可控）</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10、温度准确度：≤±1K</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11、温度精度：≤±0.4K</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*12、天平测量准确度：≤0.005%；天平测量精度：≤0.0025%</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主要配置：</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1、主机（内置微量电子天平和气体控制器）1台。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2、传感器（坩埚支架）1支。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3、高级操作及分析软件1套。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4、彩色App式液晶触摸屏1台。</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5、操作工具1套。</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6、金属标样1套。</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 、恒温水浴槽一台</w:t>
            </w:r>
          </w:p>
          <w:p>
            <w:pPr>
              <w:spacing w:line="240" w:lineRule="auto"/>
              <w:ind w:firstLine="200" w:firstLineChars="100"/>
              <w:rPr>
                <w:rFonts w:hint="eastAsia" w:ascii="宋体" w:hAnsi="宋体" w:eastAsia="宋体" w:cs="宋体"/>
                <w:color w:val="auto"/>
                <w:szCs w:val="21"/>
                <w:highlight w:val="none"/>
              </w:rPr>
            </w:pPr>
            <w:r>
              <w:rPr>
                <w:rFonts w:hint="eastAsia" w:ascii="宋体" w:hAnsi="宋体" w:eastAsia="宋体" w:cs="宋体"/>
                <w:i w:val="0"/>
                <w:iCs w:val="0"/>
                <w:color w:val="000000"/>
                <w:kern w:val="0"/>
                <w:sz w:val="20"/>
                <w:szCs w:val="20"/>
                <w:u w:val="none"/>
                <w:lang w:val="en-US" w:eastAsia="zh-CN" w:bidi="ar"/>
              </w:rPr>
              <w:t>8 、氧化铝坩埚（带盖）20套。</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3</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X射线光电子能谱仪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Al Kα单色化X射线源XPS性能指标</w:t>
            </w:r>
          </w:p>
          <w:p>
            <w:pPr>
              <w:spacing w:line="240" w:lineRule="auto"/>
              <w:ind w:firstLine="210" w:firstLineChars="100"/>
              <w:rPr>
                <w:rFonts w:hint="eastAsia" w:ascii="Times New Roman" w:hAnsi="Times New Roman"/>
                <w:szCs w:val="21"/>
              </w:rPr>
            </w:pPr>
            <w:r>
              <w:rPr>
                <w:rFonts w:hint="eastAsia" w:ascii="Times New Roman" w:hAnsi="Times New Roman"/>
                <w:szCs w:val="21"/>
              </w:rPr>
              <w:t>1.1 Ag样品大束斑分析能量分辨率和灵敏度（Ag 3d5/2峰）：0.45eV@160kcps；0.5eV@650kcps；0.6eV@2500kcps；</w:t>
            </w:r>
          </w:p>
          <w:p>
            <w:pPr>
              <w:spacing w:line="240" w:lineRule="auto"/>
              <w:ind w:firstLine="210" w:firstLineChars="100"/>
              <w:rPr>
                <w:rFonts w:hint="eastAsia" w:ascii="Times New Roman" w:hAnsi="Times New Roman"/>
                <w:szCs w:val="21"/>
              </w:rPr>
            </w:pPr>
            <w:r>
              <w:rPr>
                <w:rFonts w:hint="eastAsia" w:ascii="Times New Roman" w:hAnsi="Times New Roman"/>
                <w:szCs w:val="21"/>
              </w:rPr>
              <w:t>1.2 Ag样品最小束斑能量分辨和灵敏度（Ag 3d5/2峰）：0.5eV@1.5kcps、0.6eV@6kcps，注明束斑大小；</w:t>
            </w:r>
          </w:p>
          <w:p>
            <w:pPr>
              <w:spacing w:line="240" w:lineRule="auto"/>
              <w:ind w:firstLine="210" w:firstLineChars="100"/>
              <w:rPr>
                <w:rFonts w:hint="eastAsia" w:ascii="Times New Roman" w:hAnsi="Times New Roman"/>
                <w:szCs w:val="21"/>
              </w:rPr>
            </w:pPr>
            <w:r>
              <w:rPr>
                <w:rFonts w:hint="eastAsia" w:ascii="Times New Roman" w:hAnsi="Times New Roman"/>
                <w:szCs w:val="21"/>
              </w:rPr>
              <w:t>★1.3 PET样品大束斑分析能量分辨率（O-C=O的C 1s峰）和灵敏度（C-C/C-H的C 1s峰）：0.68eV@20kcps、0.77eV@70kcps；</w:t>
            </w:r>
          </w:p>
          <w:p>
            <w:pPr>
              <w:spacing w:line="240" w:lineRule="auto"/>
              <w:ind w:firstLine="210" w:firstLineChars="100"/>
              <w:rPr>
                <w:rFonts w:hint="eastAsia" w:ascii="Times New Roman" w:hAnsi="Times New Roman"/>
                <w:szCs w:val="21"/>
              </w:rPr>
            </w:pPr>
            <w:r>
              <w:rPr>
                <w:rFonts w:hint="eastAsia" w:ascii="Times New Roman" w:hAnsi="Times New Roman"/>
                <w:szCs w:val="21"/>
              </w:rPr>
              <w:t>1.4 平行成像XPS空间分辨率（锐利刀口样品信号强度80%～20%线宽度）：1μm；</w:t>
            </w:r>
          </w:p>
          <w:p>
            <w:pPr>
              <w:spacing w:line="240" w:lineRule="auto"/>
              <w:ind w:firstLine="210" w:firstLineChars="100"/>
              <w:rPr>
                <w:rFonts w:hint="eastAsia" w:ascii="Times New Roman" w:hAnsi="Times New Roman"/>
                <w:szCs w:val="21"/>
              </w:rPr>
            </w:pPr>
            <w:r>
              <w:rPr>
                <w:rFonts w:hint="eastAsia" w:ascii="Times New Roman" w:hAnsi="Times New Roman"/>
                <w:szCs w:val="21"/>
              </w:rPr>
              <w:t>1.5 选区XPS：选择性分析区域束斑大小：15μm至大束斑（Φ200μm以上），应包含较大束斑（100～120μm）、中等束斑（50～60μm）和小束斑（15～20μm）等，满足微区分析需要；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2. 单色化高能XPS指标（Ag 3d5/2峰半高全宽@强度）</w:t>
            </w:r>
          </w:p>
          <w:p>
            <w:pPr>
              <w:spacing w:line="240" w:lineRule="auto"/>
              <w:ind w:firstLine="210" w:firstLineChars="100"/>
              <w:rPr>
                <w:rFonts w:hint="eastAsia" w:ascii="Times New Roman" w:hAnsi="Times New Roman"/>
                <w:szCs w:val="21"/>
              </w:rPr>
            </w:pPr>
            <w:r>
              <w:rPr>
                <w:rFonts w:hint="eastAsia" w:ascii="Times New Roman" w:hAnsi="Times New Roman"/>
                <w:szCs w:val="21"/>
              </w:rPr>
              <w:t>2.1 X射线源类型：单色化高能X射线源（X射线光子能量&gt;2800eV）；</w:t>
            </w:r>
          </w:p>
          <w:p>
            <w:pPr>
              <w:spacing w:line="240" w:lineRule="auto"/>
              <w:ind w:firstLine="210" w:firstLineChars="100"/>
              <w:rPr>
                <w:rFonts w:hint="eastAsia" w:ascii="Times New Roman" w:hAnsi="Times New Roman"/>
                <w:szCs w:val="21"/>
              </w:rPr>
            </w:pPr>
            <w:r>
              <w:rPr>
                <w:rFonts w:hint="eastAsia" w:ascii="Times New Roman" w:hAnsi="Times New Roman"/>
                <w:szCs w:val="21"/>
              </w:rPr>
              <w:t>2.2 大束斑能量分辨：0.9eV@5kcps；</w:t>
            </w:r>
          </w:p>
          <w:p>
            <w:pPr>
              <w:spacing w:line="240" w:lineRule="auto"/>
              <w:ind w:firstLine="210" w:firstLineChars="100"/>
              <w:rPr>
                <w:rFonts w:hint="eastAsia" w:ascii="Times New Roman" w:hAnsi="Times New Roman"/>
                <w:szCs w:val="21"/>
              </w:rPr>
            </w:pPr>
            <w:r>
              <w:rPr>
                <w:rFonts w:hint="eastAsia" w:ascii="Times New Roman" w:hAnsi="Times New Roman"/>
                <w:szCs w:val="21"/>
              </w:rPr>
              <w:t>2.3 提供单色化高能X射线源(X射线光子能量&gt;2800eV)实用案例(已公开发表的文献不少于5篇)</w:t>
            </w:r>
          </w:p>
          <w:p>
            <w:pPr>
              <w:spacing w:line="240" w:lineRule="auto"/>
              <w:ind w:firstLine="210" w:firstLineChars="100"/>
              <w:rPr>
                <w:rFonts w:hint="eastAsia" w:ascii="Times New Roman" w:hAnsi="Times New Roman"/>
                <w:szCs w:val="21"/>
              </w:rPr>
            </w:pPr>
            <w:r>
              <w:rPr>
                <w:rFonts w:hint="eastAsia" w:ascii="Times New Roman" w:hAnsi="Times New Roman"/>
                <w:szCs w:val="21"/>
              </w:rPr>
              <w:t>3.真空系统性能指标</w:t>
            </w:r>
          </w:p>
          <w:p>
            <w:pPr>
              <w:spacing w:line="240" w:lineRule="auto"/>
              <w:ind w:firstLine="210" w:firstLineChars="100"/>
              <w:rPr>
                <w:rFonts w:hint="eastAsia" w:ascii="Times New Roman" w:hAnsi="Times New Roman"/>
                <w:szCs w:val="21"/>
              </w:rPr>
            </w:pPr>
            <w:r>
              <w:rPr>
                <w:rFonts w:hint="eastAsia" w:ascii="Times New Roman" w:hAnsi="Times New Roman"/>
                <w:szCs w:val="21"/>
              </w:rPr>
              <w:t>3.1 分析室：μ金属制造，涡轮分子泵抽速不小于300升/秒，烘烤后真空度优于7×10-8Pa；</w:t>
            </w:r>
          </w:p>
          <w:p>
            <w:pPr>
              <w:spacing w:line="240" w:lineRule="auto"/>
              <w:ind w:firstLine="210" w:firstLineChars="100"/>
              <w:rPr>
                <w:rFonts w:hint="eastAsia" w:ascii="Times New Roman" w:hAnsi="Times New Roman"/>
                <w:szCs w:val="21"/>
              </w:rPr>
            </w:pPr>
            <w:r>
              <w:rPr>
                <w:rFonts w:hint="eastAsia" w:ascii="Times New Roman" w:hAnsi="Times New Roman"/>
                <w:szCs w:val="21"/>
              </w:rPr>
              <w:t>3.2 进样室：不锈钢制造，涡轮分子泵抽速不小于200升/秒，烘烤后真空度优于7×10-7Pa；</w:t>
            </w:r>
          </w:p>
          <w:p>
            <w:pPr>
              <w:spacing w:line="240" w:lineRule="auto"/>
              <w:ind w:firstLine="210" w:firstLineChars="100"/>
              <w:rPr>
                <w:rFonts w:hint="eastAsia" w:ascii="Times New Roman" w:hAnsi="Times New Roman"/>
                <w:szCs w:val="21"/>
              </w:rPr>
            </w:pPr>
            <w:r>
              <w:rPr>
                <w:rFonts w:hint="eastAsia" w:ascii="Times New Roman" w:hAnsi="Times New Roman"/>
                <w:szCs w:val="21"/>
              </w:rPr>
              <w:t>3.3 烘烤系统：集成于系统，含有控制单元，软件控制，最高烘烤温度不低于120 ºC。</w:t>
            </w:r>
          </w:p>
          <w:p>
            <w:pPr>
              <w:spacing w:line="240" w:lineRule="auto"/>
              <w:ind w:firstLine="210" w:firstLineChars="100"/>
              <w:rPr>
                <w:rFonts w:hint="eastAsia" w:ascii="Times New Roman" w:hAnsi="Times New Roman"/>
                <w:szCs w:val="21"/>
              </w:rPr>
            </w:pPr>
            <w:r>
              <w:rPr>
                <w:rFonts w:hint="eastAsia" w:ascii="Times New Roman" w:hAnsi="Times New Roman"/>
                <w:szCs w:val="21"/>
              </w:rPr>
              <w:t>4.单色化Al/Ag双阳极X光源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4.1 类型：单一靶面的水冷Al/Ag双阳极，至少可换8个Al和4个Ag点，软件控制换点并调整校准；</w:t>
            </w:r>
          </w:p>
          <w:p>
            <w:pPr>
              <w:spacing w:line="240" w:lineRule="auto"/>
              <w:ind w:firstLine="210" w:firstLineChars="100"/>
              <w:rPr>
                <w:rFonts w:hint="eastAsia" w:ascii="Times New Roman" w:hAnsi="Times New Roman"/>
                <w:szCs w:val="21"/>
              </w:rPr>
            </w:pPr>
            <w:r>
              <w:rPr>
                <w:rFonts w:hint="eastAsia" w:ascii="Times New Roman" w:hAnsi="Times New Roman"/>
                <w:szCs w:val="21"/>
              </w:rPr>
              <w:t>★4.2功率：加速电压15kV，在任意束斑下均可实现发射电流0~40mA可调以获得不同的功率。最大功率和最大束斑下，单位面积上的X射线功率不大于0.4mW/μm2，防止对有机高分子材料样品造成损伤；</w:t>
            </w:r>
          </w:p>
          <w:p>
            <w:pPr>
              <w:spacing w:line="240" w:lineRule="auto"/>
              <w:ind w:firstLine="210" w:firstLineChars="100"/>
              <w:rPr>
                <w:rFonts w:hint="eastAsia" w:ascii="Times New Roman" w:hAnsi="Times New Roman"/>
                <w:szCs w:val="21"/>
              </w:rPr>
            </w:pPr>
            <w:r>
              <w:rPr>
                <w:rFonts w:hint="eastAsia" w:ascii="Times New Roman" w:hAnsi="Times New Roman"/>
                <w:szCs w:val="21"/>
              </w:rPr>
              <w:t>4.3单色器：水冷大背板石英晶体单色器，确保分光晶体的晶格常数不随环境温度发生变化；罗兰圆不小于500mm，以获得本征宽度不大于0.25eV的单色Al Kα的X射线；</w:t>
            </w:r>
          </w:p>
          <w:p>
            <w:pPr>
              <w:spacing w:line="240" w:lineRule="auto"/>
              <w:ind w:firstLine="210" w:firstLineChars="100"/>
              <w:rPr>
                <w:rFonts w:hint="eastAsia" w:ascii="Times New Roman" w:hAnsi="Times New Roman"/>
                <w:szCs w:val="21"/>
              </w:rPr>
            </w:pPr>
            <w:r>
              <w:rPr>
                <w:rFonts w:hint="eastAsia" w:ascii="Times New Roman" w:hAnsi="Times New Roman"/>
                <w:szCs w:val="21"/>
              </w:rPr>
              <w:t>5.静电传输透镜：能量扫描范围不小于0～3000eV，最小步长1meV；</w:t>
            </w:r>
          </w:p>
          <w:p>
            <w:pPr>
              <w:spacing w:line="240" w:lineRule="auto"/>
              <w:ind w:firstLine="210" w:firstLineChars="100"/>
              <w:rPr>
                <w:rFonts w:hint="eastAsia" w:ascii="Times New Roman" w:hAnsi="Times New Roman"/>
                <w:szCs w:val="21"/>
              </w:rPr>
            </w:pPr>
            <w:r>
              <w:rPr>
                <w:rFonts w:hint="eastAsia" w:ascii="Times New Roman" w:hAnsi="Times New Roman"/>
                <w:szCs w:val="21"/>
              </w:rPr>
              <w:t>6.荷电中和器：与静电传输透镜同轴的超低能单电子源，不使用双束中和（电子源和离子源），避免离轴的电子源和离子源对粉末样品表面荷电中和时产生荷电阴影，并防止使用离子源时对样品表面产生损伤（化学状态还原、离子迁移等）；</w:t>
            </w:r>
          </w:p>
          <w:p>
            <w:pPr>
              <w:spacing w:line="240" w:lineRule="auto"/>
              <w:ind w:firstLine="210" w:firstLineChars="100"/>
              <w:rPr>
                <w:rFonts w:hint="eastAsia" w:ascii="Times New Roman" w:hAnsi="Times New Roman"/>
                <w:szCs w:val="21"/>
              </w:rPr>
            </w:pPr>
            <w:r>
              <w:rPr>
                <w:rFonts w:hint="eastAsia" w:ascii="Times New Roman" w:hAnsi="Times New Roman"/>
                <w:szCs w:val="21"/>
              </w:rPr>
              <w:t>7. 电子能谱能量分析器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7.1 类型：180°半球扇形分析器；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7.2 平均半径：不小于160mm；</w:t>
            </w:r>
          </w:p>
          <w:p>
            <w:pPr>
              <w:spacing w:line="240" w:lineRule="auto"/>
              <w:ind w:firstLine="210" w:firstLineChars="100"/>
              <w:rPr>
                <w:rFonts w:hint="eastAsia" w:ascii="Times New Roman" w:hAnsi="Times New Roman"/>
                <w:szCs w:val="21"/>
              </w:rPr>
            </w:pPr>
            <w:r>
              <w:rPr>
                <w:rFonts w:hint="eastAsia" w:ascii="Times New Roman" w:hAnsi="Times New Roman"/>
                <w:szCs w:val="21"/>
              </w:rPr>
              <w:t>7.3 通过能（FAT/CAE模式）：1～400eV可调，注明测试时实际使用的通过能预设值。通过能的设置值应保证能用于实际测试，满足电子能谱的不同能量分辨率和灵敏度的需要。对于每一个用于实际测试的通过能设置值，均应精确校准谱仪传输函数，确保在这些通过能设置值下实现精准的XPS定量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8.平行成像电子能量分析器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8.1 类型：180°半球球镜分析器，独立于电子能谱能量分析器的第二能量分析器；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8.2 平均半径：不小于160mm；</w:t>
            </w:r>
          </w:p>
          <w:p>
            <w:pPr>
              <w:spacing w:line="240" w:lineRule="auto"/>
              <w:ind w:firstLine="210" w:firstLineChars="100"/>
              <w:rPr>
                <w:rFonts w:hint="eastAsia" w:ascii="Times New Roman" w:hAnsi="Times New Roman"/>
                <w:szCs w:val="21"/>
              </w:rPr>
            </w:pPr>
            <w:r>
              <w:rPr>
                <w:rFonts w:hint="eastAsia" w:ascii="Times New Roman" w:hAnsi="Times New Roman"/>
                <w:szCs w:val="21"/>
              </w:rPr>
              <w:t>8.3 通过能（FAT/CAE模式）：可满足XPS平行成像的不同能量能量分辨和灵敏度的需要，确保能够区分同一元素的不同化学状态，不可使用FRR/CRR模式，防止傅立叶变换带来的能量分辨的变化和化学状态信息的丢失；</w:t>
            </w:r>
          </w:p>
          <w:p>
            <w:pPr>
              <w:spacing w:line="240" w:lineRule="auto"/>
              <w:ind w:firstLine="210" w:firstLineChars="100"/>
              <w:rPr>
                <w:rFonts w:hint="eastAsia" w:ascii="Times New Roman" w:hAnsi="Times New Roman"/>
                <w:szCs w:val="21"/>
              </w:rPr>
            </w:pPr>
            <w:r>
              <w:rPr>
                <w:rFonts w:hint="eastAsia" w:ascii="Times New Roman" w:hAnsi="Times New Roman"/>
                <w:szCs w:val="21"/>
              </w:rPr>
              <w:t>9.检测器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9.1 类型：单一的二维阵列检测器，具备双层128个物理通道，包含置于真空中的双层128个阳极、前置放大器及计数器，确保可同时记录光电子发射位置及其强度，可满足XPS采谱和成像XPS、微区XPS、深度剖析XPS、动态XPS工作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9.2 工作模式：XPS模式下可实现“扫描”以及“拍照”等工作模式，以满足动态表面X射线光电子能谱分析的需求；</w:t>
            </w:r>
          </w:p>
          <w:p>
            <w:pPr>
              <w:spacing w:line="240" w:lineRule="auto"/>
              <w:ind w:firstLine="210" w:firstLineChars="100"/>
              <w:rPr>
                <w:rFonts w:hint="eastAsia" w:ascii="Times New Roman" w:hAnsi="Times New Roman"/>
                <w:szCs w:val="21"/>
              </w:rPr>
            </w:pPr>
            <w:r>
              <w:rPr>
                <w:rFonts w:hint="eastAsia" w:ascii="Times New Roman" w:hAnsi="Times New Roman"/>
                <w:szCs w:val="21"/>
              </w:rPr>
              <w:t>10.深度剖析离子枪</w:t>
            </w:r>
          </w:p>
          <w:p>
            <w:pPr>
              <w:spacing w:line="240" w:lineRule="auto"/>
              <w:ind w:firstLine="210" w:firstLineChars="100"/>
              <w:rPr>
                <w:rFonts w:hint="eastAsia" w:ascii="Times New Roman" w:hAnsi="Times New Roman"/>
                <w:szCs w:val="21"/>
              </w:rPr>
            </w:pPr>
            <w:r>
              <w:rPr>
                <w:rFonts w:hint="eastAsia" w:ascii="Times New Roman" w:hAnsi="Times New Roman"/>
                <w:szCs w:val="21"/>
              </w:rPr>
              <w:t>★10.1离子源类型：聚焦可扫描离子源，单个Ar原子和团簇Ar双模式；</w:t>
            </w:r>
          </w:p>
          <w:p>
            <w:pPr>
              <w:spacing w:line="240" w:lineRule="auto"/>
              <w:ind w:firstLine="210" w:firstLineChars="100"/>
              <w:rPr>
                <w:rFonts w:hint="eastAsia" w:ascii="Times New Roman" w:hAnsi="Times New Roman"/>
                <w:szCs w:val="21"/>
              </w:rPr>
            </w:pPr>
            <w:r>
              <w:rPr>
                <w:rFonts w:hint="eastAsia" w:ascii="Times New Roman" w:hAnsi="Times New Roman"/>
                <w:szCs w:val="21"/>
              </w:rPr>
              <w:t>10.2 可使用气体：Ar/Ar团簇（XPS深度剖析）/He（离子散射谱，ISS）</w:t>
            </w:r>
          </w:p>
          <w:p>
            <w:pPr>
              <w:spacing w:line="240" w:lineRule="auto"/>
              <w:ind w:firstLine="210" w:firstLineChars="100"/>
              <w:rPr>
                <w:rFonts w:hint="eastAsia" w:ascii="Times New Roman" w:hAnsi="Times New Roman"/>
                <w:szCs w:val="21"/>
              </w:rPr>
            </w:pPr>
            <w:r>
              <w:rPr>
                <w:rFonts w:hint="eastAsia" w:ascii="Times New Roman" w:hAnsi="Times New Roman"/>
                <w:szCs w:val="21"/>
              </w:rPr>
              <w:t>10.3 单Ar离子能量：0.5～5keV；</w:t>
            </w:r>
          </w:p>
          <w:p>
            <w:pPr>
              <w:spacing w:line="240" w:lineRule="auto"/>
              <w:ind w:firstLine="210" w:firstLineChars="100"/>
              <w:rPr>
                <w:rFonts w:hint="eastAsia" w:ascii="Times New Roman" w:hAnsi="Times New Roman"/>
                <w:szCs w:val="21"/>
              </w:rPr>
            </w:pPr>
            <w:r>
              <w:rPr>
                <w:rFonts w:hint="eastAsia" w:ascii="Times New Roman" w:hAnsi="Times New Roman"/>
                <w:szCs w:val="21"/>
              </w:rPr>
              <w:t>★10.4团簇Ar离子能量：2～20keV；</w:t>
            </w:r>
          </w:p>
          <w:p>
            <w:pPr>
              <w:spacing w:line="240" w:lineRule="auto"/>
              <w:ind w:firstLine="210" w:firstLineChars="100"/>
              <w:rPr>
                <w:rFonts w:hint="eastAsia" w:ascii="Times New Roman" w:hAnsi="Times New Roman"/>
                <w:szCs w:val="21"/>
              </w:rPr>
            </w:pPr>
            <w:r>
              <w:rPr>
                <w:rFonts w:hint="eastAsia" w:ascii="Times New Roman" w:hAnsi="Times New Roman"/>
                <w:szCs w:val="21"/>
              </w:rPr>
              <w:t>10.5 团簇Ar离子团簇：500～3,000Ar</w:t>
            </w:r>
          </w:p>
          <w:p>
            <w:pPr>
              <w:spacing w:line="240" w:lineRule="auto"/>
              <w:ind w:firstLine="210" w:firstLineChars="100"/>
              <w:rPr>
                <w:rFonts w:hint="eastAsia" w:ascii="Times New Roman" w:hAnsi="Times New Roman"/>
                <w:szCs w:val="21"/>
              </w:rPr>
            </w:pPr>
            <w:r>
              <w:rPr>
                <w:rFonts w:hint="eastAsia" w:ascii="Times New Roman" w:hAnsi="Times New Roman"/>
                <w:szCs w:val="21"/>
              </w:rPr>
              <w:t>10.6 气体控制：软件控制，配套高精度进气阀门和差分真空抽气系统。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11.分析室样品控制、观察和调整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11.1 轴向：5轴样品台，即X、Y、Z移动，绕轴和绕样品面法线转动；</w:t>
            </w:r>
          </w:p>
          <w:p>
            <w:pPr>
              <w:spacing w:line="240" w:lineRule="auto"/>
              <w:ind w:firstLine="210" w:firstLineChars="100"/>
              <w:rPr>
                <w:rFonts w:hint="eastAsia" w:ascii="Times New Roman" w:hAnsi="Times New Roman"/>
                <w:szCs w:val="21"/>
              </w:rPr>
            </w:pPr>
            <w:r>
              <w:rPr>
                <w:rFonts w:hint="eastAsia" w:ascii="Times New Roman" w:hAnsi="Times New Roman"/>
                <w:szCs w:val="21"/>
              </w:rPr>
              <w:t>11.2 移动：X方向150mm，Y方向±15mm，Z方向≥18mm；</w:t>
            </w:r>
          </w:p>
          <w:p>
            <w:pPr>
              <w:spacing w:line="240" w:lineRule="auto"/>
              <w:ind w:firstLine="210" w:firstLineChars="100"/>
              <w:rPr>
                <w:rFonts w:hint="eastAsia" w:ascii="Times New Roman" w:hAnsi="Times New Roman"/>
                <w:szCs w:val="21"/>
              </w:rPr>
            </w:pPr>
            <w:r>
              <w:rPr>
                <w:rFonts w:hint="eastAsia" w:ascii="Times New Roman" w:hAnsi="Times New Roman"/>
                <w:szCs w:val="21"/>
              </w:rPr>
              <w:t>11.3 绕轴转动：±90°；</w:t>
            </w:r>
          </w:p>
          <w:p>
            <w:pPr>
              <w:spacing w:line="240" w:lineRule="auto"/>
              <w:ind w:firstLine="210" w:firstLineChars="100"/>
              <w:rPr>
                <w:rFonts w:hint="eastAsia" w:ascii="Times New Roman" w:hAnsi="Times New Roman"/>
                <w:szCs w:val="21"/>
              </w:rPr>
            </w:pPr>
            <w:r>
              <w:rPr>
                <w:rFonts w:hint="eastAsia" w:ascii="Times New Roman" w:hAnsi="Times New Roman"/>
                <w:szCs w:val="21"/>
              </w:rPr>
              <w:t>11.4 绕样品法线转动：±180°</w:t>
            </w:r>
          </w:p>
          <w:p>
            <w:pPr>
              <w:spacing w:line="240" w:lineRule="auto"/>
              <w:ind w:firstLine="210" w:firstLineChars="100"/>
              <w:rPr>
                <w:rFonts w:hint="eastAsia" w:ascii="Times New Roman" w:hAnsi="Times New Roman"/>
                <w:szCs w:val="21"/>
              </w:rPr>
            </w:pPr>
            <w:r>
              <w:rPr>
                <w:rFonts w:hint="eastAsia" w:ascii="Times New Roman" w:hAnsi="Times New Roman"/>
                <w:szCs w:val="21"/>
              </w:rPr>
              <w:t>11.5 最大可分析面积：75mm×30mm；</w:t>
            </w:r>
          </w:p>
          <w:p>
            <w:pPr>
              <w:spacing w:line="240" w:lineRule="auto"/>
              <w:ind w:firstLine="210" w:firstLineChars="100"/>
              <w:rPr>
                <w:rFonts w:hint="eastAsia" w:ascii="Times New Roman" w:hAnsi="Times New Roman"/>
                <w:szCs w:val="21"/>
              </w:rPr>
            </w:pPr>
            <w:r>
              <w:rPr>
                <w:rFonts w:hint="eastAsia" w:ascii="Times New Roman" w:hAnsi="Times New Roman"/>
                <w:szCs w:val="21"/>
              </w:rPr>
              <w:t>11.6 控制：软件操控样品台，记忆和恢复分析位置以实现无人值守的自动分析；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11.7 观察：软件控制变焦CCD摄像机在不同的放大倍率下实时观察、精确定位分析位置和截取图像；</w:t>
            </w:r>
          </w:p>
          <w:p>
            <w:pPr>
              <w:spacing w:line="240" w:lineRule="auto"/>
              <w:ind w:firstLine="210" w:firstLineChars="100"/>
              <w:rPr>
                <w:rFonts w:hint="eastAsia" w:ascii="Times New Roman" w:hAnsi="Times New Roman"/>
                <w:szCs w:val="21"/>
              </w:rPr>
            </w:pPr>
            <w:r>
              <w:rPr>
                <w:rFonts w:hint="eastAsia" w:ascii="Times New Roman" w:hAnsi="Times New Roman"/>
                <w:szCs w:val="21"/>
              </w:rPr>
              <w:t>11.8 调整：通过可变焦CCD摄像机和实时成像系统确定分析位置，并可软件自动确定最佳的分析高度；</w:t>
            </w:r>
          </w:p>
          <w:p>
            <w:pPr>
              <w:spacing w:line="240" w:lineRule="auto"/>
              <w:ind w:firstLine="210" w:firstLineChars="100"/>
              <w:rPr>
                <w:rFonts w:hint="eastAsia" w:ascii="Times New Roman" w:hAnsi="Times New Roman"/>
                <w:szCs w:val="21"/>
              </w:rPr>
            </w:pPr>
            <w:r>
              <w:rPr>
                <w:rFonts w:hint="eastAsia" w:ascii="Times New Roman" w:hAnsi="Times New Roman"/>
                <w:szCs w:val="21"/>
              </w:rPr>
              <w:t>12.进样室样品控制、观察和调整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12.1 进样方式：应具备水平放置的、可一次装入并存储3个样品条的多样品停放台，应具备软件控制的全自动进样和样品交换功能；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12.2 定位相机：可在抽真空时对分析样品定位，真空度达到后转入分析室实施无人值守的全自动分析（包括全谱、高分辨谱和自动确定样品最佳分析高度）；</w:t>
            </w:r>
          </w:p>
          <w:p>
            <w:pPr>
              <w:spacing w:line="240" w:lineRule="auto"/>
              <w:ind w:firstLine="210" w:firstLineChars="100"/>
              <w:rPr>
                <w:rFonts w:hint="eastAsia" w:ascii="Times New Roman" w:hAnsi="Times New Roman"/>
                <w:szCs w:val="21"/>
              </w:rPr>
            </w:pPr>
            <w:r>
              <w:rPr>
                <w:rFonts w:hint="eastAsia" w:ascii="Times New Roman" w:hAnsi="Times New Roman"/>
                <w:szCs w:val="21"/>
              </w:rPr>
              <w:t>13.谱仪控制和数据处理</w:t>
            </w:r>
          </w:p>
          <w:p>
            <w:pPr>
              <w:spacing w:line="240" w:lineRule="auto"/>
              <w:ind w:firstLine="210" w:firstLineChars="100"/>
              <w:rPr>
                <w:rFonts w:hint="eastAsia" w:ascii="Times New Roman" w:hAnsi="Times New Roman"/>
                <w:szCs w:val="21"/>
              </w:rPr>
            </w:pPr>
            <w:r>
              <w:rPr>
                <w:rFonts w:hint="eastAsia" w:ascii="Times New Roman" w:hAnsi="Times New Roman"/>
                <w:szCs w:val="21"/>
              </w:rPr>
              <w:t>13.1 谱仪控制：全计算机自动控制；</w:t>
            </w:r>
          </w:p>
          <w:p>
            <w:pPr>
              <w:spacing w:line="240" w:lineRule="auto"/>
              <w:ind w:firstLine="210" w:firstLineChars="100"/>
              <w:rPr>
                <w:rFonts w:hint="eastAsia" w:ascii="Times New Roman" w:hAnsi="Times New Roman"/>
                <w:szCs w:val="21"/>
              </w:rPr>
            </w:pPr>
            <w:r>
              <w:rPr>
                <w:rFonts w:hint="eastAsia" w:ascii="Times New Roman" w:hAnsi="Times New Roman"/>
                <w:szCs w:val="21"/>
              </w:rPr>
              <w:t>13.2 数据处理：定性分析、定量分析、曲线拟合等；</w:t>
            </w:r>
          </w:p>
          <w:p>
            <w:pPr>
              <w:spacing w:line="240" w:lineRule="auto"/>
              <w:ind w:firstLine="210" w:firstLineChars="100"/>
              <w:rPr>
                <w:rFonts w:hint="eastAsia" w:ascii="Times New Roman" w:hAnsi="Times New Roman"/>
                <w:szCs w:val="21"/>
              </w:rPr>
            </w:pPr>
            <w:r>
              <w:rPr>
                <w:rFonts w:hint="eastAsia" w:ascii="Times New Roman" w:hAnsi="Times New Roman"/>
                <w:szCs w:val="21"/>
              </w:rPr>
              <w:t>13.3 计算机：主流HP工作站（双显示器）；</w:t>
            </w:r>
          </w:p>
          <w:p>
            <w:pPr>
              <w:spacing w:line="240" w:lineRule="auto"/>
              <w:ind w:firstLine="210" w:firstLineChars="100"/>
              <w:rPr>
                <w:rFonts w:hint="eastAsia" w:ascii="Times New Roman" w:hAnsi="Times New Roman"/>
                <w:szCs w:val="21"/>
              </w:rPr>
            </w:pPr>
            <w:r>
              <w:rPr>
                <w:rFonts w:hint="eastAsia" w:ascii="Times New Roman" w:hAnsi="Times New Roman"/>
                <w:szCs w:val="21"/>
              </w:rPr>
              <w:t>14.紫外光电子能谱（UPS）</w:t>
            </w:r>
          </w:p>
          <w:p>
            <w:pPr>
              <w:spacing w:line="240" w:lineRule="auto"/>
              <w:ind w:firstLine="210" w:firstLineChars="100"/>
              <w:rPr>
                <w:rFonts w:hint="eastAsia" w:ascii="Times New Roman" w:hAnsi="Times New Roman"/>
                <w:szCs w:val="21"/>
              </w:rPr>
            </w:pPr>
            <w:r>
              <w:rPr>
                <w:rFonts w:hint="eastAsia" w:ascii="Times New Roman" w:hAnsi="Times New Roman"/>
                <w:szCs w:val="21"/>
              </w:rPr>
              <w:t>14.1 光源：He紫外光源；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14.2 能量分辨和灵敏度：Ag费米边20%～80%≤120meV时Ag 4d计数率≥1Mcps；</w:t>
            </w:r>
          </w:p>
          <w:p>
            <w:pPr>
              <w:spacing w:line="240" w:lineRule="auto"/>
              <w:ind w:firstLine="210" w:firstLineChars="100"/>
              <w:rPr>
                <w:rFonts w:hint="eastAsia" w:ascii="Times New Roman" w:hAnsi="Times New Roman"/>
                <w:szCs w:val="21"/>
              </w:rPr>
            </w:pPr>
            <w:r>
              <w:rPr>
                <w:rFonts w:hint="eastAsia" w:ascii="Times New Roman" w:hAnsi="Times New Roman"/>
                <w:szCs w:val="21"/>
              </w:rPr>
              <w:t>15.气氛敏感样品传递装置</w:t>
            </w:r>
          </w:p>
          <w:p>
            <w:pPr>
              <w:spacing w:line="240" w:lineRule="auto"/>
              <w:ind w:firstLine="210" w:firstLineChars="100"/>
              <w:rPr>
                <w:rFonts w:hint="eastAsia" w:ascii="Times New Roman" w:hAnsi="Times New Roman"/>
                <w:szCs w:val="21"/>
              </w:rPr>
            </w:pPr>
            <w:r>
              <w:rPr>
                <w:rFonts w:hint="eastAsia" w:ascii="Times New Roman" w:hAnsi="Times New Roman"/>
                <w:szCs w:val="21"/>
              </w:rPr>
              <w:t>15.1 制造商：XPS主机原厂；</w:t>
            </w:r>
          </w:p>
          <w:p>
            <w:pPr>
              <w:spacing w:line="240" w:lineRule="auto"/>
              <w:ind w:firstLine="210" w:firstLineChars="100"/>
              <w:rPr>
                <w:rFonts w:hint="eastAsia" w:ascii="Times New Roman" w:hAnsi="Times New Roman"/>
                <w:szCs w:val="21"/>
              </w:rPr>
            </w:pPr>
            <w:r>
              <w:rPr>
                <w:rFonts w:hint="eastAsia" w:ascii="Times New Roman" w:hAnsi="Times New Roman"/>
                <w:szCs w:val="21"/>
              </w:rPr>
              <w:t>15.2 工作方式：可抽真空，可充保护性气体；</w:t>
            </w:r>
          </w:p>
          <w:p>
            <w:pPr>
              <w:spacing w:line="240" w:lineRule="auto"/>
              <w:ind w:firstLine="210" w:firstLineChars="100"/>
              <w:rPr>
                <w:rFonts w:hint="eastAsia" w:ascii="Times New Roman" w:hAnsi="Times New Roman"/>
                <w:szCs w:val="21"/>
              </w:rPr>
            </w:pPr>
            <w:r>
              <w:rPr>
                <w:rFonts w:hint="eastAsia" w:ascii="Times New Roman" w:hAnsi="Times New Roman"/>
                <w:szCs w:val="21"/>
              </w:rPr>
              <w:t>15.3 安置位置：进样室专用法兰口连接；</w:t>
            </w:r>
          </w:p>
          <w:p>
            <w:pPr>
              <w:spacing w:line="240" w:lineRule="auto"/>
              <w:ind w:firstLine="210" w:firstLineChars="100"/>
              <w:rPr>
                <w:rFonts w:hint="eastAsia" w:ascii="Times New Roman" w:hAnsi="Times New Roman"/>
                <w:szCs w:val="21"/>
              </w:rPr>
            </w:pPr>
            <w:r>
              <w:rPr>
                <w:rFonts w:hint="eastAsia" w:ascii="Times New Roman" w:hAnsi="Times New Roman"/>
                <w:szCs w:val="21"/>
              </w:rPr>
              <w:t>16.原位充放电</w:t>
            </w:r>
          </w:p>
          <w:p>
            <w:pPr>
              <w:spacing w:line="240" w:lineRule="auto"/>
              <w:ind w:firstLine="210" w:firstLineChars="100"/>
              <w:rPr>
                <w:rFonts w:hint="eastAsia" w:ascii="Times New Roman" w:hAnsi="Times New Roman"/>
                <w:szCs w:val="21"/>
              </w:rPr>
            </w:pPr>
            <w:r>
              <w:rPr>
                <w:rFonts w:hint="eastAsia" w:ascii="Times New Roman" w:hAnsi="Times New Roman"/>
                <w:szCs w:val="21"/>
              </w:rPr>
              <w:t>16.3 电压范围：0～24VDC；</w:t>
            </w:r>
          </w:p>
          <w:p>
            <w:pPr>
              <w:spacing w:line="240" w:lineRule="auto"/>
              <w:ind w:firstLine="210" w:firstLineChars="100"/>
              <w:rPr>
                <w:rFonts w:hint="eastAsia" w:ascii="Times New Roman" w:hAnsi="Times New Roman"/>
                <w:szCs w:val="21"/>
              </w:rPr>
            </w:pPr>
            <w:r>
              <w:rPr>
                <w:rFonts w:hint="eastAsia" w:ascii="Times New Roman" w:hAnsi="Times New Roman"/>
                <w:szCs w:val="21"/>
              </w:rPr>
              <w:t>16.4 电流范围：0.01～1A；</w:t>
            </w:r>
          </w:p>
          <w:p>
            <w:pPr>
              <w:spacing w:line="240" w:lineRule="auto"/>
              <w:ind w:firstLine="210" w:firstLineChars="100"/>
              <w:rPr>
                <w:rFonts w:hint="eastAsia" w:ascii="Times New Roman" w:hAnsi="Times New Roman"/>
                <w:szCs w:val="21"/>
              </w:rPr>
            </w:pPr>
            <w:r>
              <w:rPr>
                <w:rFonts w:hint="eastAsia" w:ascii="Times New Roman" w:hAnsi="Times New Roman"/>
                <w:szCs w:val="21"/>
              </w:rPr>
              <w:t>17.冷却水系统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17.1 制造商：品牌循环冷却系统；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17.2 功率：满足阳极靶、涡轮分子泵、磁透镜和石英单色器冷却需要；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18.备品备件</w:t>
            </w:r>
          </w:p>
          <w:p>
            <w:pPr>
              <w:spacing w:line="240" w:lineRule="auto"/>
              <w:ind w:firstLine="210" w:firstLineChars="100"/>
              <w:rPr>
                <w:rFonts w:hint="eastAsia" w:ascii="Times New Roman" w:hAnsi="Times New Roman"/>
                <w:szCs w:val="21"/>
              </w:rPr>
            </w:pPr>
            <w:r>
              <w:rPr>
                <w:rFonts w:hint="eastAsia" w:ascii="Times New Roman" w:hAnsi="Times New Roman"/>
                <w:szCs w:val="21"/>
              </w:rPr>
              <w:t>18.1 随机备件：保证仪器正常运行的一年随机备件及工具套包；</w:t>
            </w:r>
          </w:p>
          <w:p>
            <w:pPr>
              <w:spacing w:line="240" w:lineRule="auto"/>
              <w:ind w:firstLine="210" w:firstLineChars="100"/>
              <w:rPr>
                <w:rFonts w:hint="eastAsia" w:ascii="Times New Roman" w:hAnsi="Times New Roman"/>
                <w:szCs w:val="21"/>
              </w:rPr>
            </w:pPr>
            <w:r>
              <w:rPr>
                <w:rFonts w:hint="eastAsia" w:ascii="Times New Roman" w:hAnsi="Times New Roman"/>
                <w:szCs w:val="21"/>
              </w:rPr>
              <w:t>19.不间断电源和隔离变压器</w:t>
            </w:r>
          </w:p>
          <w:p>
            <w:pPr>
              <w:spacing w:line="240" w:lineRule="auto"/>
              <w:ind w:firstLine="210" w:firstLineChars="100"/>
              <w:rPr>
                <w:rFonts w:hint="eastAsia" w:ascii="Times New Roman" w:hAnsi="Times New Roman"/>
                <w:szCs w:val="21"/>
              </w:rPr>
            </w:pPr>
            <w:r>
              <w:rPr>
                <w:rFonts w:hint="eastAsia" w:ascii="Times New Roman" w:hAnsi="Times New Roman"/>
                <w:szCs w:val="21"/>
              </w:rPr>
              <w:t>19.1 不间断电源：保证仪器持续运行两小时的不间断电源；</w:t>
            </w:r>
          </w:p>
          <w:p>
            <w:pPr>
              <w:spacing w:line="240" w:lineRule="auto"/>
              <w:ind w:firstLine="210" w:firstLineChars="100"/>
              <w:rPr>
                <w:rFonts w:hint="eastAsia" w:ascii="Times New Roman" w:hAnsi="Times New Roman"/>
                <w:szCs w:val="21"/>
              </w:rPr>
            </w:pPr>
            <w:r>
              <w:rPr>
                <w:rFonts w:hint="eastAsia" w:ascii="Times New Roman" w:hAnsi="Times New Roman"/>
                <w:szCs w:val="21"/>
              </w:rPr>
              <w:t>19.2 隔离变压器：确保仪器正常工作的外电源隔离变压器一套；</w:t>
            </w:r>
          </w:p>
          <w:p>
            <w:pPr>
              <w:spacing w:line="240" w:lineRule="auto"/>
              <w:ind w:firstLine="210" w:firstLineChars="100"/>
              <w:rPr>
                <w:rFonts w:hint="eastAsia" w:ascii="Times New Roman" w:hAnsi="Times New Roman"/>
                <w:szCs w:val="21"/>
              </w:rPr>
            </w:pPr>
            <w:r>
              <w:rPr>
                <w:rFonts w:hint="eastAsia" w:ascii="Times New Roman" w:hAnsi="Times New Roman"/>
                <w:szCs w:val="21"/>
              </w:rPr>
              <w:t>20.培训</w:t>
            </w:r>
          </w:p>
          <w:p>
            <w:pPr>
              <w:spacing w:line="240" w:lineRule="auto"/>
              <w:ind w:firstLine="210" w:firstLineChars="100"/>
              <w:rPr>
                <w:rFonts w:hint="eastAsia" w:ascii="Times New Roman" w:hAnsi="Times New Roman"/>
                <w:szCs w:val="21"/>
              </w:rPr>
            </w:pPr>
            <w:r>
              <w:rPr>
                <w:rFonts w:hint="eastAsia" w:ascii="Times New Roman" w:hAnsi="Times New Roman"/>
                <w:szCs w:val="21"/>
              </w:rPr>
              <w:t>20.1 现场培训：至少三天的现场培训，保证操作人员熟练基本操作；</w:t>
            </w:r>
          </w:p>
          <w:p>
            <w:pPr>
              <w:spacing w:line="240" w:lineRule="auto"/>
              <w:ind w:firstLine="210" w:firstLineChars="100"/>
              <w:rPr>
                <w:rFonts w:hint="eastAsia" w:ascii="Times New Roman" w:hAnsi="Times New Roman"/>
                <w:szCs w:val="21"/>
              </w:rPr>
            </w:pPr>
            <w:r>
              <w:rPr>
                <w:rFonts w:hint="eastAsia" w:ascii="Times New Roman" w:hAnsi="Times New Roman"/>
                <w:szCs w:val="21"/>
              </w:rPr>
              <w:t>20.2 高级应用培训：至少三天的用户现场的高级应用培训；</w:t>
            </w:r>
          </w:p>
          <w:p>
            <w:pPr>
              <w:spacing w:line="240" w:lineRule="auto"/>
              <w:ind w:firstLine="210" w:firstLineChars="100"/>
              <w:rPr>
                <w:rFonts w:hint="eastAsia" w:ascii="Times New Roman" w:hAnsi="Times New Roman"/>
                <w:szCs w:val="21"/>
              </w:rPr>
            </w:pPr>
            <w:r>
              <w:rPr>
                <w:rFonts w:hint="eastAsia" w:ascii="Times New Roman" w:hAnsi="Times New Roman"/>
                <w:szCs w:val="21"/>
              </w:rPr>
              <w:t>21.技术服务要求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21.1交货期：300天；</w:t>
            </w:r>
          </w:p>
          <w:p>
            <w:pPr>
              <w:spacing w:line="240" w:lineRule="auto"/>
              <w:ind w:firstLine="210" w:firstLineChars="100"/>
              <w:rPr>
                <w:rFonts w:hint="eastAsia" w:ascii="Times New Roman" w:hAnsi="Times New Roman"/>
                <w:szCs w:val="21"/>
              </w:rPr>
            </w:pPr>
            <w:r>
              <w:rPr>
                <w:rFonts w:hint="eastAsia" w:ascii="Times New Roman" w:hAnsi="Times New Roman"/>
                <w:szCs w:val="21"/>
              </w:rPr>
              <w:t>21.2安装、调试与验收：合同签订后向买方提出详细的安装要求和提供技术咨询；仪器到达用户所在地后在接到用户通知后尽快安排工程师进行安装调试和验收；</w:t>
            </w:r>
          </w:p>
          <w:p>
            <w:pPr>
              <w:spacing w:line="240" w:lineRule="auto"/>
              <w:ind w:firstLine="210" w:firstLineChars="100"/>
              <w:rPr>
                <w:rFonts w:hint="eastAsia" w:ascii="Times New Roman" w:hAnsi="Times New Roman"/>
                <w:szCs w:val="21"/>
              </w:rPr>
            </w:pPr>
            <w:r>
              <w:rPr>
                <w:rFonts w:hint="eastAsia" w:ascii="Times New Roman" w:hAnsi="Times New Roman"/>
                <w:szCs w:val="21"/>
              </w:rPr>
              <w:t>21.3免费保修期：保修期为1年，保修期自仪器验收签字之日算起；</w:t>
            </w:r>
          </w:p>
          <w:p>
            <w:pPr>
              <w:spacing w:line="240" w:lineRule="auto"/>
              <w:ind w:firstLine="210" w:firstLineChars="100"/>
              <w:rPr>
                <w:rFonts w:hint="eastAsia" w:ascii="Times New Roman" w:hAnsi="Times New Roman"/>
                <w:szCs w:val="21"/>
              </w:rPr>
            </w:pPr>
            <w:r>
              <w:rPr>
                <w:rFonts w:hint="eastAsia" w:ascii="Times New Roman" w:hAnsi="Times New Roman"/>
                <w:szCs w:val="21"/>
              </w:rPr>
              <w:t>21.4维修响应时间：卖方对用户的服务要求及时响应；需要在现场解决问题的，在双方协商时间及时到达仪器现场；</w:t>
            </w:r>
          </w:p>
          <w:p>
            <w:pPr>
              <w:spacing w:line="240" w:lineRule="auto"/>
              <w:ind w:firstLine="210" w:firstLineChars="100"/>
              <w:rPr>
                <w:rFonts w:hint="eastAsia" w:ascii="Times New Roman" w:hAnsi="Times New Roman"/>
                <w:szCs w:val="21"/>
              </w:rPr>
            </w:pPr>
            <w:r>
              <w:rPr>
                <w:rFonts w:hint="eastAsia" w:ascii="Times New Roman" w:hAnsi="Times New Roman"/>
                <w:szCs w:val="21"/>
              </w:rPr>
              <w:t>21.5软硬件升级：卖方应免费向买方提供仪器的软件升级，与之相关的硬件升级收取相关费用；</w:t>
            </w:r>
          </w:p>
          <w:p>
            <w:pPr>
              <w:spacing w:line="240" w:lineRule="auto"/>
              <w:ind w:firstLine="210" w:firstLineChars="100"/>
              <w:rPr>
                <w:rFonts w:hint="eastAsia" w:ascii="Times New Roman" w:hAnsi="Times New Roman"/>
                <w:szCs w:val="21"/>
              </w:rPr>
            </w:pPr>
            <w:r>
              <w:rPr>
                <w:rFonts w:hint="eastAsia" w:ascii="Times New Roman" w:hAnsi="Times New Roman"/>
                <w:szCs w:val="21"/>
              </w:rPr>
              <w:t>21.6技术文件：投标时应提供主要技术文件，如：设备的技术规格和技术性能、出厂合格证书、设备的外形尺寸及正常操作与安装维修时所需的空间位置，操作手册电子版等；</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21.7包装要求：包装应该适用于空运和公路等长途运输。</w:t>
            </w:r>
          </w:p>
        </w:tc>
      </w:tr>
    </w:tbl>
    <w:p>
      <w:pPr>
        <w:rPr>
          <w:rFonts w:hint="eastAsia" w:eastAsia="宋体"/>
          <w:lang w:eastAsia="zh-CN"/>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4</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大功率微区X射线衍射仪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1.1  X射线发生器部分和机柜</w:t>
            </w:r>
          </w:p>
          <w:p>
            <w:pPr>
              <w:spacing w:line="240" w:lineRule="auto"/>
              <w:ind w:firstLine="210" w:firstLineChars="100"/>
              <w:rPr>
                <w:rFonts w:hint="eastAsia" w:ascii="Times New Roman" w:hAnsi="Times New Roman"/>
                <w:szCs w:val="21"/>
              </w:rPr>
            </w:pPr>
            <w:r>
              <w:rPr>
                <w:rFonts w:hint="eastAsia" w:ascii="Times New Roman" w:hAnsi="Times New Roman"/>
                <w:szCs w:val="21"/>
              </w:rPr>
              <w:t>★1.1.1  发生器类型：高功率旋转靶发生器，最大输出功率：≥8.5 kW，可满功率运行。</w:t>
            </w:r>
          </w:p>
          <w:p>
            <w:pPr>
              <w:spacing w:line="240" w:lineRule="auto"/>
              <w:ind w:firstLine="210" w:firstLineChars="100"/>
              <w:rPr>
                <w:rFonts w:hint="eastAsia" w:ascii="Times New Roman" w:hAnsi="Times New Roman"/>
                <w:szCs w:val="21"/>
              </w:rPr>
            </w:pPr>
            <w:r>
              <w:rPr>
                <w:rFonts w:hint="eastAsia" w:ascii="Times New Roman" w:hAnsi="Times New Roman"/>
                <w:szCs w:val="21"/>
              </w:rPr>
              <w:t>1.1.2  管电压：≥45KV</w:t>
            </w:r>
          </w:p>
          <w:p>
            <w:pPr>
              <w:spacing w:line="240" w:lineRule="auto"/>
              <w:ind w:firstLine="210" w:firstLineChars="100"/>
              <w:rPr>
                <w:rFonts w:hint="eastAsia" w:ascii="Times New Roman" w:hAnsi="Times New Roman"/>
                <w:szCs w:val="21"/>
              </w:rPr>
            </w:pPr>
            <w:r>
              <w:rPr>
                <w:rFonts w:hint="eastAsia" w:ascii="Times New Roman" w:hAnsi="Times New Roman"/>
                <w:szCs w:val="21"/>
              </w:rPr>
              <w:t>1.1.3  管电流：≥200mA</w:t>
            </w:r>
          </w:p>
          <w:p>
            <w:pPr>
              <w:spacing w:line="240" w:lineRule="auto"/>
              <w:ind w:firstLine="210" w:firstLineChars="100"/>
              <w:rPr>
                <w:rFonts w:hint="eastAsia" w:ascii="Times New Roman" w:hAnsi="Times New Roman"/>
                <w:szCs w:val="21"/>
              </w:rPr>
            </w:pPr>
            <w:r>
              <w:rPr>
                <w:rFonts w:hint="eastAsia" w:ascii="Times New Roman" w:hAnsi="Times New Roman"/>
                <w:szCs w:val="21"/>
              </w:rPr>
              <w:t>1.1.4  阳极类型：转靶，铜（Cu）</w:t>
            </w:r>
          </w:p>
          <w:p>
            <w:pPr>
              <w:spacing w:line="240" w:lineRule="auto"/>
              <w:ind w:firstLine="210" w:firstLineChars="100"/>
              <w:rPr>
                <w:rFonts w:hint="eastAsia" w:ascii="Times New Roman" w:hAnsi="Times New Roman"/>
                <w:szCs w:val="21"/>
              </w:rPr>
            </w:pPr>
            <w:r>
              <w:rPr>
                <w:rFonts w:hint="eastAsia" w:ascii="Times New Roman" w:hAnsi="Times New Roman"/>
                <w:szCs w:val="21"/>
              </w:rPr>
              <w:t>1.1.5  焦斑尺寸：≤0.4 x 8mm</w:t>
            </w:r>
          </w:p>
          <w:p>
            <w:pPr>
              <w:spacing w:line="240" w:lineRule="auto"/>
              <w:ind w:firstLine="210" w:firstLineChars="100"/>
              <w:rPr>
                <w:rFonts w:hint="eastAsia" w:ascii="Times New Roman" w:hAnsi="Times New Roman"/>
                <w:szCs w:val="21"/>
              </w:rPr>
            </w:pPr>
            <w:r>
              <w:rPr>
                <w:rFonts w:hint="eastAsia" w:ascii="Times New Roman" w:hAnsi="Times New Roman"/>
                <w:szCs w:val="21"/>
              </w:rPr>
              <w:t>1.1.6  灯丝数量≥6根</w:t>
            </w:r>
          </w:p>
          <w:p>
            <w:pPr>
              <w:spacing w:line="240" w:lineRule="auto"/>
              <w:ind w:firstLine="210" w:firstLineChars="100"/>
              <w:rPr>
                <w:rFonts w:hint="eastAsia" w:ascii="Times New Roman" w:hAnsi="Times New Roman"/>
                <w:szCs w:val="21"/>
              </w:rPr>
            </w:pPr>
            <w:r>
              <w:rPr>
                <w:rFonts w:hint="eastAsia" w:ascii="Times New Roman" w:hAnsi="Times New Roman"/>
                <w:szCs w:val="21"/>
              </w:rPr>
              <w:t>1.1.7仪器采用电磁快门技术。</w:t>
            </w:r>
          </w:p>
          <w:p>
            <w:pPr>
              <w:spacing w:line="240" w:lineRule="auto"/>
              <w:ind w:firstLine="210" w:firstLineChars="100"/>
              <w:rPr>
                <w:rFonts w:hint="eastAsia" w:ascii="Times New Roman" w:hAnsi="Times New Roman"/>
                <w:szCs w:val="21"/>
              </w:rPr>
            </w:pPr>
            <w:r>
              <w:rPr>
                <w:rFonts w:hint="eastAsia" w:ascii="Times New Roman" w:hAnsi="Times New Roman"/>
                <w:szCs w:val="21"/>
              </w:rPr>
              <w:t>1.1.8稳定性（电压、电流）：±0.01%以内（电源波动±10%以内）</w:t>
            </w:r>
          </w:p>
          <w:p>
            <w:pPr>
              <w:spacing w:line="240" w:lineRule="auto"/>
              <w:ind w:firstLine="210" w:firstLineChars="100"/>
              <w:rPr>
                <w:rFonts w:hint="eastAsia" w:ascii="Times New Roman" w:hAnsi="Times New Roman"/>
                <w:szCs w:val="21"/>
              </w:rPr>
            </w:pPr>
            <w:r>
              <w:rPr>
                <w:rFonts w:hint="eastAsia" w:ascii="Times New Roman" w:hAnsi="Times New Roman"/>
                <w:szCs w:val="21"/>
              </w:rPr>
              <w:t>1.2 辐射防护：安全连锁机构、辐射剂量符合国标；防护罩外任何一点的X射线泄露小于0.2µSv/h</w:t>
            </w:r>
          </w:p>
          <w:p>
            <w:pPr>
              <w:spacing w:line="240" w:lineRule="auto"/>
              <w:ind w:firstLine="210" w:firstLineChars="100"/>
              <w:rPr>
                <w:rFonts w:hint="eastAsia" w:ascii="Times New Roman" w:hAnsi="Times New Roman"/>
                <w:szCs w:val="21"/>
              </w:rPr>
            </w:pPr>
            <w:r>
              <w:rPr>
                <w:rFonts w:hint="eastAsia" w:ascii="Times New Roman" w:hAnsi="Times New Roman"/>
                <w:szCs w:val="21"/>
              </w:rPr>
              <w:t>1.3 X射线电磁快门：快门装置无需外置空气压缩机，保证安全连锁装置性能稳定。</w:t>
            </w:r>
          </w:p>
          <w:p>
            <w:pPr>
              <w:spacing w:line="240" w:lineRule="auto"/>
              <w:ind w:firstLine="210" w:firstLineChars="100"/>
              <w:rPr>
                <w:rFonts w:hint="eastAsia" w:ascii="Times New Roman" w:hAnsi="Times New Roman"/>
                <w:szCs w:val="21"/>
              </w:rPr>
            </w:pPr>
            <w:r>
              <w:rPr>
                <w:rFonts w:hint="eastAsia" w:ascii="Times New Roman" w:hAnsi="Times New Roman"/>
                <w:szCs w:val="21"/>
              </w:rPr>
              <w:t>2.探测器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2.1全能矩阵探测器:直接计数X光子</w:t>
            </w:r>
          </w:p>
          <w:p>
            <w:pPr>
              <w:spacing w:line="240" w:lineRule="auto"/>
              <w:ind w:firstLine="210" w:firstLineChars="100"/>
              <w:rPr>
                <w:rFonts w:hint="eastAsia" w:ascii="Times New Roman" w:hAnsi="Times New Roman"/>
                <w:szCs w:val="21"/>
              </w:rPr>
            </w:pPr>
            <w:r>
              <w:rPr>
                <w:rFonts w:hint="eastAsia" w:ascii="Times New Roman" w:hAnsi="Times New Roman"/>
                <w:szCs w:val="21"/>
              </w:rPr>
              <w:t>★2.2有效探测器面积: ≥360mm2 ，可实现0D\1D\2D模式，能量分辨率≤350 eV (X射线荧光压制模式)</w:t>
            </w:r>
          </w:p>
          <w:p>
            <w:pPr>
              <w:spacing w:line="240" w:lineRule="auto"/>
              <w:ind w:firstLine="210" w:firstLineChars="100"/>
              <w:rPr>
                <w:rFonts w:hint="eastAsia" w:ascii="Times New Roman" w:hAnsi="Times New Roman"/>
                <w:szCs w:val="21"/>
              </w:rPr>
            </w:pPr>
            <w:r>
              <w:rPr>
                <w:rFonts w:hint="eastAsia" w:ascii="Times New Roman" w:hAnsi="Times New Roman"/>
                <w:szCs w:val="21"/>
              </w:rPr>
              <w:t>3.测角仪</w:t>
            </w:r>
          </w:p>
          <w:p>
            <w:pPr>
              <w:spacing w:line="240" w:lineRule="auto"/>
              <w:ind w:firstLine="210" w:firstLineChars="100"/>
              <w:rPr>
                <w:rFonts w:hint="eastAsia" w:ascii="Times New Roman" w:hAnsi="Times New Roman"/>
                <w:szCs w:val="21"/>
              </w:rPr>
            </w:pPr>
            <w:r>
              <w:rPr>
                <w:rFonts w:hint="eastAsia" w:ascii="Times New Roman" w:hAnsi="Times New Roman"/>
                <w:szCs w:val="21"/>
              </w:rPr>
              <w:t>3.1扫描方式：θ/θ方式；驱动方式：伺服电机驱动；</w:t>
            </w:r>
          </w:p>
          <w:p>
            <w:pPr>
              <w:spacing w:line="240" w:lineRule="auto"/>
              <w:ind w:firstLine="210" w:firstLineChars="100"/>
              <w:rPr>
                <w:rFonts w:hint="eastAsia" w:ascii="Times New Roman" w:hAnsi="Times New Roman"/>
                <w:szCs w:val="21"/>
              </w:rPr>
            </w:pPr>
            <w:r>
              <w:rPr>
                <w:rFonts w:hint="eastAsia" w:ascii="Times New Roman" w:hAnsi="Times New Roman"/>
                <w:szCs w:val="21"/>
              </w:rPr>
              <w:t>3.2 最小步长：≤0.0001°；</w:t>
            </w:r>
          </w:p>
          <w:p>
            <w:pPr>
              <w:spacing w:line="240" w:lineRule="auto"/>
              <w:ind w:firstLine="210" w:firstLineChars="100"/>
              <w:rPr>
                <w:rFonts w:hint="eastAsia" w:ascii="Times New Roman" w:hAnsi="Times New Roman"/>
                <w:szCs w:val="21"/>
              </w:rPr>
            </w:pPr>
            <w:r>
              <w:rPr>
                <w:rFonts w:hint="eastAsia" w:ascii="Times New Roman" w:hAnsi="Times New Roman"/>
                <w:szCs w:val="21"/>
              </w:rPr>
              <w:t>★3.3测角仪半径≥300mm，以保证拥有超高分辨率；</w:t>
            </w:r>
          </w:p>
          <w:p>
            <w:pPr>
              <w:spacing w:line="240" w:lineRule="auto"/>
              <w:ind w:firstLine="210" w:firstLineChars="100"/>
              <w:rPr>
                <w:rFonts w:hint="eastAsia" w:ascii="Times New Roman" w:hAnsi="Times New Roman"/>
                <w:szCs w:val="21"/>
              </w:rPr>
            </w:pPr>
            <w:r>
              <w:rPr>
                <w:rFonts w:hint="eastAsia" w:ascii="Times New Roman" w:hAnsi="Times New Roman"/>
                <w:szCs w:val="21"/>
              </w:rPr>
              <w:t>3.4实现自动化调节光路，保证开机时最佳光源，保证整机重现性。</w:t>
            </w:r>
          </w:p>
          <w:p>
            <w:pPr>
              <w:spacing w:line="240" w:lineRule="auto"/>
              <w:ind w:firstLine="210" w:firstLineChars="100"/>
              <w:rPr>
                <w:rFonts w:hint="eastAsia" w:ascii="Times New Roman" w:hAnsi="Times New Roman"/>
                <w:szCs w:val="21"/>
              </w:rPr>
            </w:pPr>
            <w:r>
              <w:rPr>
                <w:rFonts w:hint="eastAsia" w:ascii="Times New Roman" w:hAnsi="Times New Roman"/>
                <w:szCs w:val="21"/>
              </w:rPr>
              <w:t>3.5 2θ具有低角度衍射附件，2θ扫描范围：≥-10°～160°</w:t>
            </w:r>
          </w:p>
          <w:p>
            <w:pPr>
              <w:spacing w:line="240" w:lineRule="auto"/>
              <w:ind w:firstLine="210" w:firstLineChars="100"/>
              <w:rPr>
                <w:rFonts w:hint="eastAsia" w:ascii="Times New Roman" w:hAnsi="Times New Roman"/>
                <w:szCs w:val="21"/>
              </w:rPr>
            </w:pPr>
            <w:r>
              <w:rPr>
                <w:rFonts w:hint="eastAsia" w:ascii="Times New Roman" w:hAnsi="Times New Roman"/>
                <w:szCs w:val="21"/>
              </w:rPr>
              <w:t>3.6采用智能虚拟测角仪全自动控制，硬件自动识别、自动纠错</w:t>
            </w:r>
          </w:p>
          <w:p>
            <w:pPr>
              <w:spacing w:line="240" w:lineRule="auto"/>
              <w:ind w:firstLine="210" w:firstLineChars="100"/>
              <w:rPr>
                <w:rFonts w:hint="eastAsia" w:ascii="Times New Roman" w:hAnsi="Times New Roman"/>
                <w:szCs w:val="21"/>
              </w:rPr>
            </w:pPr>
            <w:r>
              <w:rPr>
                <w:rFonts w:hint="eastAsia" w:ascii="Times New Roman" w:hAnsi="Times New Roman"/>
                <w:szCs w:val="21"/>
              </w:rPr>
              <w:t>3.7配置内置式角度计管道护罩</w:t>
            </w:r>
          </w:p>
          <w:p>
            <w:pPr>
              <w:spacing w:line="240" w:lineRule="auto"/>
              <w:ind w:firstLine="210" w:firstLineChars="100"/>
              <w:rPr>
                <w:rFonts w:hint="eastAsia" w:ascii="Times New Roman" w:hAnsi="Times New Roman"/>
                <w:szCs w:val="21"/>
              </w:rPr>
            </w:pPr>
            <w:r>
              <w:rPr>
                <w:rFonts w:hint="eastAsia" w:ascii="Times New Roman" w:hAnsi="Times New Roman"/>
                <w:szCs w:val="21"/>
              </w:rPr>
              <w:t>4.光路部分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4.1 所有附件均采用模块化设计，安装、拆卸方便；</w:t>
            </w:r>
          </w:p>
          <w:p>
            <w:pPr>
              <w:spacing w:line="240" w:lineRule="auto"/>
              <w:ind w:firstLine="210" w:firstLineChars="100"/>
              <w:rPr>
                <w:rFonts w:hint="eastAsia" w:ascii="Times New Roman" w:hAnsi="Times New Roman"/>
                <w:szCs w:val="21"/>
              </w:rPr>
            </w:pPr>
            <w:r>
              <w:rPr>
                <w:rFonts w:hint="eastAsia" w:ascii="Times New Roman" w:hAnsi="Times New Roman"/>
                <w:szCs w:val="21"/>
              </w:rPr>
              <w:t>4.2 所有附件智能芯片识别、双光学编码自动精确定位，自动调节光路；</w:t>
            </w:r>
          </w:p>
          <w:p>
            <w:pPr>
              <w:spacing w:line="240" w:lineRule="auto"/>
              <w:ind w:firstLine="210" w:firstLineChars="100"/>
              <w:rPr>
                <w:rFonts w:hint="eastAsia" w:ascii="Times New Roman" w:hAnsi="Times New Roman"/>
                <w:szCs w:val="21"/>
              </w:rPr>
            </w:pPr>
            <w:r>
              <w:rPr>
                <w:rFonts w:hint="eastAsia" w:ascii="Times New Roman" w:hAnsi="Times New Roman"/>
                <w:szCs w:val="21"/>
              </w:rPr>
              <w:t>4.3 配有防散射单元等，降低低角度背景；</w:t>
            </w:r>
          </w:p>
          <w:p>
            <w:pPr>
              <w:spacing w:line="240" w:lineRule="auto"/>
              <w:ind w:firstLine="210" w:firstLineChars="100"/>
              <w:rPr>
                <w:rFonts w:hint="eastAsia" w:ascii="Times New Roman" w:hAnsi="Times New Roman"/>
                <w:szCs w:val="21"/>
              </w:rPr>
            </w:pPr>
            <w:r>
              <w:rPr>
                <w:rFonts w:hint="eastAsia" w:ascii="Times New Roman" w:hAnsi="Times New Roman"/>
                <w:szCs w:val="21"/>
              </w:rPr>
              <w:t>5.基本光学部分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5.1光学系统包括：光源，光路自动调节系统，索拉狭缝，发散狭缝，防反射狭缝，接收狭缝，探测器透射光路部分等。</w:t>
            </w:r>
          </w:p>
          <w:p>
            <w:pPr>
              <w:spacing w:line="240" w:lineRule="auto"/>
              <w:ind w:firstLine="210" w:firstLineChars="100"/>
              <w:rPr>
                <w:rFonts w:hint="eastAsia" w:ascii="Times New Roman" w:hAnsi="Times New Roman"/>
                <w:szCs w:val="21"/>
              </w:rPr>
            </w:pPr>
            <w:r>
              <w:rPr>
                <w:rFonts w:hint="eastAsia" w:ascii="Times New Roman" w:hAnsi="Times New Roman"/>
                <w:szCs w:val="21"/>
              </w:rPr>
              <w:t>5.2配置狭缝系统和索拉狭缝系统，狭缝系统调节范围可适用不同样品种类：自动入射狭缝调节范围至少能覆盖：1mm-7mm；</w:t>
            </w:r>
          </w:p>
          <w:p>
            <w:pPr>
              <w:spacing w:line="240" w:lineRule="auto"/>
              <w:ind w:firstLine="210" w:firstLineChars="100"/>
              <w:rPr>
                <w:rFonts w:hint="eastAsia" w:ascii="Times New Roman" w:hAnsi="Times New Roman"/>
                <w:szCs w:val="21"/>
              </w:rPr>
            </w:pPr>
            <w:r>
              <w:rPr>
                <w:rFonts w:hint="eastAsia" w:ascii="Times New Roman" w:hAnsi="Times New Roman"/>
                <w:szCs w:val="21"/>
              </w:rPr>
              <w:t>5.3 提供原位微量样品台：配置样品台可满足微量样品的测试，也可完成负方向调节，调节范围≥6mm，完成多种类样品测试。</w:t>
            </w:r>
          </w:p>
          <w:p>
            <w:pPr>
              <w:spacing w:line="240" w:lineRule="auto"/>
              <w:ind w:firstLine="210" w:firstLineChars="100"/>
              <w:rPr>
                <w:rFonts w:hint="eastAsia" w:ascii="Times New Roman" w:hAnsi="Times New Roman"/>
                <w:szCs w:val="21"/>
              </w:rPr>
            </w:pPr>
            <w:r>
              <w:rPr>
                <w:rFonts w:hint="eastAsia" w:ascii="Times New Roman" w:hAnsi="Times New Roman"/>
                <w:szCs w:val="21"/>
              </w:rPr>
              <w:t>6.微区系统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6.1配置CCD，双激光自动定位，能够对材料进行不同位置区域，微区系统采用多丝聚焦镜，保证样品（光斑到达样品的距离在0.5mm）进行微区分析。高倍率相机实现微区Mapping和自动聚焦（样品位置调节），摄影范围：X 2.9 mm、Y 2.1 mm（光学倍率为最大倍率3×3摄影时）与XYZ台结合使用时，可在相机视图画面上输入Mapping条件；使用相机自动调节样品位置（高度调节）的功能。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★6.2配置多丝聚焦微区附件：汇聚到样品表面的最小光斑≤500μm；</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7.平行光附件 </w:t>
            </w:r>
          </w:p>
          <w:p>
            <w:pPr>
              <w:spacing w:line="240" w:lineRule="auto"/>
              <w:ind w:firstLine="210" w:firstLineChars="100"/>
              <w:rPr>
                <w:rFonts w:hint="eastAsia" w:ascii="Times New Roman" w:hAnsi="Times New Roman"/>
                <w:szCs w:val="21"/>
              </w:rPr>
            </w:pPr>
            <w:r>
              <w:rPr>
                <w:rFonts w:hint="eastAsia" w:ascii="Times New Roman" w:hAnsi="Times New Roman"/>
                <w:szCs w:val="21"/>
              </w:rPr>
              <w:t>配备多层膜反射镜,进行平行光测试、平行度小于 0.026°，保证光强的和平行度，无需平板准直器，利用多层膜反射镜技术有效去除 Kβ，且平行光和聚焦光为自动切换，无需跟换附件。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8小角散射单元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8.1 小角散射模块，配置小角散射专业样品架，纤维样品台。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8.2 小角散射专用软件：可进行粒径分析、胶体和乳浊液的分散度分析、长周期分析、 孔径解析、聚合物等进行测试等，纳米粒度，孔径大小及分布计算，支持粒子模拟拟合。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★8.3 真空光路：抽真空，排除光路中空气散射干扰和吸收干扰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8.4 小角散射测量时，探测器支持一维线性谱图扫描和二维谱图扫描。 </w:t>
            </w:r>
          </w:p>
          <w:p>
            <w:pPr>
              <w:spacing w:line="240" w:lineRule="auto"/>
              <w:ind w:firstLine="210" w:firstLineChars="100"/>
              <w:rPr>
                <w:rFonts w:hint="eastAsia" w:ascii="Times New Roman" w:hAnsi="Times New Roman"/>
                <w:szCs w:val="21"/>
              </w:rPr>
            </w:pPr>
            <w:r>
              <w:rPr>
                <w:rFonts w:hint="eastAsia" w:ascii="Times New Roman" w:hAnsi="Times New Roman"/>
                <w:szCs w:val="21"/>
              </w:rPr>
              <w:t>9.软件部分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9.1数据处理软件:包括定性分析软件、无标样定量分析软件、结构精修及粉末衍射解结构软件、物相检索软件、图谱处理,包括:平滑,背景扣除,寻峰,点阵参数精密化,晶粒大小与晶胞畸变，结晶度分析，精修等</w:t>
            </w:r>
          </w:p>
          <w:p>
            <w:pPr>
              <w:spacing w:line="240" w:lineRule="auto"/>
              <w:ind w:firstLine="210" w:firstLineChars="100"/>
              <w:rPr>
                <w:rFonts w:hint="eastAsia" w:ascii="Times New Roman" w:hAnsi="Times New Roman"/>
                <w:szCs w:val="21"/>
              </w:rPr>
            </w:pPr>
            <w:r>
              <w:rPr>
                <w:rFonts w:hint="eastAsia" w:ascii="Times New Roman" w:hAnsi="Times New Roman"/>
                <w:szCs w:val="21"/>
              </w:rPr>
              <w:t>9.2 提供人机指导软件，指导试验人员硬件设施的搭载。</w:t>
            </w:r>
          </w:p>
          <w:p>
            <w:pPr>
              <w:spacing w:line="240" w:lineRule="auto"/>
              <w:ind w:firstLine="210" w:firstLineChars="100"/>
              <w:rPr>
                <w:rFonts w:hint="eastAsia" w:ascii="Times New Roman" w:hAnsi="Times New Roman"/>
                <w:szCs w:val="21"/>
              </w:rPr>
            </w:pPr>
            <w:r>
              <w:rPr>
                <w:rFonts w:hint="eastAsia" w:ascii="Times New Roman" w:hAnsi="Times New Roman"/>
                <w:szCs w:val="21"/>
              </w:rPr>
              <w:t>10 服务质量保证</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培训、安装、技术文件：国内培训用户操作人员2人，免费安装调试及现场培训、同时提供有关的全套技术文件； </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技术服务：在国内有维修中心，有专职 XRD 的维修工程师，有备品备件库。由专业人员 4 小时内响应，24 小时内提出具体解决方案，5 个工作日内专业技术人员上门现场解决，使设备尽快恢复正常</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5</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原位红外光谱仪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光学性能:</w:t>
            </w:r>
          </w:p>
          <w:p>
            <w:pPr>
              <w:spacing w:line="240" w:lineRule="auto"/>
              <w:ind w:firstLine="210" w:firstLineChars="100"/>
              <w:rPr>
                <w:rFonts w:hint="eastAsia" w:ascii="Times New Roman" w:hAnsi="Times New Roman"/>
                <w:szCs w:val="21"/>
              </w:rPr>
            </w:pPr>
            <w:r>
              <w:rPr>
                <w:rFonts w:hint="eastAsia" w:ascii="Times New Roman" w:hAnsi="Times New Roman"/>
                <w:szCs w:val="21"/>
              </w:rPr>
              <w:t>1.1 波长范围：7800-350cm-1</w:t>
            </w:r>
          </w:p>
          <w:p>
            <w:pPr>
              <w:spacing w:line="240" w:lineRule="auto"/>
              <w:ind w:firstLine="210" w:firstLineChars="100"/>
              <w:rPr>
                <w:rFonts w:hint="eastAsia" w:ascii="Times New Roman" w:hAnsi="Times New Roman"/>
                <w:szCs w:val="21"/>
              </w:rPr>
            </w:pPr>
            <w:r>
              <w:rPr>
                <w:rFonts w:hint="eastAsia" w:ascii="Times New Roman" w:hAnsi="Times New Roman"/>
                <w:szCs w:val="21"/>
              </w:rPr>
              <w:t>1.2 光谱分辨率：优于0.28cm-1</w:t>
            </w:r>
          </w:p>
          <w:p>
            <w:pPr>
              <w:spacing w:line="240" w:lineRule="auto"/>
              <w:ind w:firstLine="210" w:firstLineChars="100"/>
              <w:rPr>
                <w:rFonts w:hint="eastAsia" w:ascii="Times New Roman" w:hAnsi="Times New Roman"/>
                <w:szCs w:val="21"/>
              </w:rPr>
            </w:pPr>
            <w:r>
              <w:rPr>
                <w:rFonts w:hint="eastAsia" w:ascii="Times New Roman" w:hAnsi="Times New Roman"/>
                <w:szCs w:val="21"/>
              </w:rPr>
              <w:t>1.3 波数精度：优于0.0005 cm-1</w:t>
            </w:r>
          </w:p>
          <w:p>
            <w:pPr>
              <w:spacing w:line="240" w:lineRule="auto"/>
              <w:ind w:firstLine="210" w:firstLineChars="100"/>
              <w:rPr>
                <w:rFonts w:hint="eastAsia" w:ascii="Times New Roman" w:hAnsi="Times New Roman"/>
                <w:szCs w:val="21"/>
              </w:rPr>
            </w:pPr>
            <w:r>
              <w:rPr>
                <w:rFonts w:hint="eastAsia" w:ascii="Times New Roman" w:hAnsi="Times New Roman"/>
                <w:szCs w:val="21"/>
              </w:rPr>
              <w:t>★1.4 信噪比：280000：1（1分钟测试，4cm-1分辨率，DTGS检测器，RMS）</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           或58000：1（1分钟测试，4cm-1分辨率，DTGS检测器，峰峰值）</w:t>
            </w:r>
          </w:p>
          <w:p>
            <w:pPr>
              <w:spacing w:line="240" w:lineRule="auto"/>
              <w:ind w:firstLine="210" w:firstLineChars="100"/>
              <w:rPr>
                <w:rFonts w:hint="eastAsia" w:ascii="Times New Roman" w:hAnsi="Times New Roman"/>
                <w:szCs w:val="21"/>
              </w:rPr>
            </w:pPr>
            <w:r>
              <w:rPr>
                <w:rFonts w:hint="eastAsia" w:ascii="Times New Roman" w:hAnsi="Times New Roman"/>
                <w:szCs w:val="21"/>
              </w:rPr>
              <w:t>1.5 快速扫描信噪比：2000:1（16cm-1分辨率，不低于每秒钟20张光谱的扫描速度，不大于50ms时间内的单次扫描，峰-峰值，MCT检测器）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1.5 纵坐标线性度：≤0.05%T（ASTM1421方法，4cm-1光谱分辨率下对0.0%T的偏离）</w:t>
            </w:r>
          </w:p>
          <w:p>
            <w:pPr>
              <w:spacing w:line="240" w:lineRule="auto"/>
              <w:ind w:firstLine="210" w:firstLineChars="100"/>
              <w:rPr>
                <w:rFonts w:hint="eastAsia" w:ascii="Times New Roman" w:hAnsi="Times New Roman"/>
                <w:szCs w:val="21"/>
              </w:rPr>
            </w:pPr>
            <w:r>
              <w:rPr>
                <w:rFonts w:hint="eastAsia" w:ascii="Times New Roman" w:hAnsi="Times New Roman"/>
                <w:szCs w:val="21"/>
              </w:rPr>
              <w:t>1.6 扫描速度：扫描速度：20张谱图/秒（16 cm-1分辨率），连接红外图像后可达80张谱图/秒</w:t>
            </w:r>
          </w:p>
          <w:p>
            <w:pPr>
              <w:spacing w:line="240" w:lineRule="auto"/>
              <w:ind w:firstLine="210" w:firstLineChars="100"/>
              <w:rPr>
                <w:rFonts w:hint="eastAsia" w:ascii="Times New Roman" w:hAnsi="Times New Roman"/>
                <w:szCs w:val="21"/>
              </w:rPr>
            </w:pPr>
            <w:r>
              <w:rPr>
                <w:rFonts w:hint="eastAsia" w:ascii="Times New Roman" w:hAnsi="Times New Roman"/>
                <w:szCs w:val="21"/>
              </w:rPr>
              <w:t>2 光学系统: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2.1 光学台：密封、干燥光学台，检测器感光元件的封装窗片应为防潮型红外光学窗片。若封装窗片做不到防潮，可以在样品仓两侧壁上的两个光孔也应用特种镀膜盐片密封，而非直接暴露于空气中，以更好地保护湿敏元件，具有防尘作用，并降低空气吸收变化带来的影响。光学台应与底盘隔离，具有较好的防震性能。</w:t>
            </w:r>
          </w:p>
          <w:p>
            <w:pPr>
              <w:spacing w:line="240" w:lineRule="auto"/>
              <w:ind w:firstLine="210" w:firstLineChars="100"/>
              <w:rPr>
                <w:rFonts w:hint="eastAsia" w:ascii="Times New Roman" w:hAnsi="Times New Roman"/>
                <w:szCs w:val="21"/>
              </w:rPr>
            </w:pPr>
            <w:r>
              <w:rPr>
                <w:rFonts w:hint="eastAsia" w:ascii="Times New Roman" w:hAnsi="Times New Roman"/>
                <w:szCs w:val="21"/>
              </w:rPr>
              <w:t>2.2 干涉仪：动态准直（可以实现自动准直和实时准直）。由仪器自动完成，无需任何手动调节。开机后只需很短的预热时间，就能进行稳定的测试。同时具有极佳的长期稳定性和可重复性</w:t>
            </w:r>
          </w:p>
          <w:p>
            <w:pPr>
              <w:spacing w:line="240" w:lineRule="auto"/>
              <w:ind w:firstLine="210" w:firstLineChars="100"/>
              <w:rPr>
                <w:rFonts w:hint="eastAsia" w:ascii="Times New Roman" w:hAnsi="Times New Roman"/>
                <w:szCs w:val="21"/>
              </w:rPr>
            </w:pPr>
            <w:r>
              <w:rPr>
                <w:rFonts w:hint="eastAsia" w:ascii="Times New Roman" w:hAnsi="Times New Roman"/>
                <w:szCs w:val="21"/>
              </w:rPr>
              <w:t>2.3光学系统：零校准光学系统，采用永久准直光路设计，无需在使用过程中进行人工调整。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★2.4 红外光源：高强度中远红外陶瓷光源。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★2.5 检测器：控温型高灵敏度DLATGS检测器+MCT检测器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2.6 分束器：KBr分束器。</w:t>
            </w:r>
          </w:p>
          <w:p>
            <w:pPr>
              <w:spacing w:line="240" w:lineRule="auto"/>
              <w:ind w:firstLine="210" w:firstLineChars="100"/>
              <w:rPr>
                <w:rFonts w:hint="eastAsia" w:ascii="Times New Roman" w:hAnsi="Times New Roman"/>
                <w:szCs w:val="21"/>
              </w:rPr>
            </w:pPr>
            <w:r>
              <w:rPr>
                <w:rFonts w:hint="eastAsia" w:ascii="Times New Roman" w:hAnsi="Times New Roman"/>
                <w:szCs w:val="21"/>
              </w:rPr>
              <w:t>2.7 干燥性能：仪器内置长寿命高效自动电子除湿装置（高分子电解薄膜除湿原理），同时采用密闭干涉仪设计，防潮镀层分束器，再加上常规的干燥剂。确保仪器内部干燥，保证了干涉仪的长期稳定和分束器寿命。</w:t>
            </w:r>
          </w:p>
          <w:p>
            <w:pPr>
              <w:spacing w:line="240" w:lineRule="auto"/>
              <w:ind w:firstLine="210" w:firstLineChars="100"/>
              <w:rPr>
                <w:rFonts w:hint="eastAsia" w:ascii="Times New Roman" w:hAnsi="Times New Roman"/>
                <w:szCs w:val="21"/>
              </w:rPr>
            </w:pPr>
            <w:r>
              <w:rPr>
                <w:rFonts w:hint="eastAsia" w:ascii="Times New Roman" w:hAnsi="Times New Roman"/>
                <w:szCs w:val="21"/>
              </w:rPr>
              <w:t>2.8 导入光束窗口：外部导入光束窗口可选</w:t>
            </w:r>
          </w:p>
          <w:p>
            <w:pPr>
              <w:spacing w:line="240" w:lineRule="auto"/>
              <w:ind w:firstLine="210" w:firstLineChars="100"/>
              <w:rPr>
                <w:rFonts w:hint="eastAsia" w:ascii="Times New Roman" w:hAnsi="Times New Roman"/>
                <w:szCs w:val="21"/>
              </w:rPr>
            </w:pPr>
            <w:r>
              <w:rPr>
                <w:rFonts w:hint="eastAsia" w:ascii="Times New Roman" w:hAnsi="Times New Roman"/>
                <w:szCs w:val="21"/>
              </w:rPr>
              <w:t>2.9 系统性能认证：内置标准集成的NIST可溯源标准聚苯乙烯和用于横坐标重复性校验的NG-11滤光片的自动验证系统。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2.10具有强大的联机功能，可实现与红外图像、红外显微镜、热失重分析仪及气相色谱等仪器的连接。</w:t>
            </w:r>
          </w:p>
          <w:p>
            <w:pPr>
              <w:spacing w:line="240" w:lineRule="auto"/>
              <w:ind w:firstLine="210" w:firstLineChars="100"/>
              <w:rPr>
                <w:rFonts w:hint="eastAsia" w:ascii="Times New Roman" w:hAnsi="Times New Roman"/>
                <w:szCs w:val="21"/>
              </w:rPr>
            </w:pPr>
            <w:r>
              <w:rPr>
                <w:rFonts w:hint="eastAsia" w:ascii="Times New Roman" w:hAnsi="Times New Roman"/>
                <w:szCs w:val="21"/>
              </w:rPr>
              <w:t>3 数据系统: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3.1 通讯接口：USB直接通讯，简单可靠。也可由TCP/IP接口直接连接或者无线网络连接。每台仪器都指定了唯一的一个IP地址，可以通过网络来控制仪器.</w:t>
            </w:r>
          </w:p>
          <w:p>
            <w:pPr>
              <w:spacing w:line="240" w:lineRule="auto"/>
              <w:ind w:firstLine="210" w:firstLineChars="100"/>
              <w:rPr>
                <w:rFonts w:hint="eastAsia" w:ascii="Times New Roman" w:hAnsi="Times New Roman"/>
                <w:szCs w:val="21"/>
              </w:rPr>
            </w:pPr>
            <w:r>
              <w:rPr>
                <w:rFonts w:hint="eastAsia" w:ascii="Times New Roman" w:hAnsi="Times New Roman"/>
                <w:szCs w:val="21"/>
              </w:rPr>
              <w:t>3.2可以内置的可溯源绝对标准（甲烷气体）来校正谱峰的形状和位置，以标准化的仪器保证测量结果的准确性、精确性、可重复性，确保数据在仪器与仪器之间比较和传递的绝对一致性</w:t>
            </w:r>
          </w:p>
          <w:p>
            <w:pPr>
              <w:spacing w:line="240" w:lineRule="auto"/>
              <w:ind w:firstLine="210" w:firstLineChars="100"/>
              <w:rPr>
                <w:rFonts w:hint="eastAsia" w:ascii="Times New Roman" w:hAnsi="Times New Roman"/>
                <w:szCs w:val="21"/>
              </w:rPr>
            </w:pPr>
            <w:r>
              <w:rPr>
                <w:rFonts w:hint="eastAsia" w:ascii="Times New Roman" w:hAnsi="Times New Roman"/>
                <w:szCs w:val="21"/>
              </w:rPr>
              <w:t>3.3自动实时扣除空气中H2O和CO2干扰背景。</w:t>
            </w:r>
          </w:p>
          <w:p>
            <w:pPr>
              <w:spacing w:line="240" w:lineRule="auto"/>
              <w:ind w:firstLine="210" w:firstLineChars="100"/>
              <w:rPr>
                <w:rFonts w:hint="eastAsia" w:ascii="Times New Roman" w:hAnsi="Times New Roman"/>
                <w:szCs w:val="21"/>
              </w:rPr>
            </w:pPr>
            <w:r>
              <w:rPr>
                <w:rFonts w:hint="eastAsia" w:ascii="Times New Roman" w:hAnsi="Times New Roman"/>
                <w:szCs w:val="21"/>
              </w:rPr>
              <w:t>3.4可在开机状态下自动采集背景，即用户无需在测试样品前还得再采集背景；自动预览背景与样品光谱图，方便监控环境与样品变化。</w:t>
            </w:r>
          </w:p>
          <w:p>
            <w:pPr>
              <w:spacing w:line="240" w:lineRule="auto"/>
              <w:ind w:firstLine="210" w:firstLineChars="100"/>
              <w:rPr>
                <w:rFonts w:hint="eastAsia" w:ascii="Times New Roman" w:hAnsi="Times New Roman"/>
                <w:szCs w:val="21"/>
              </w:rPr>
            </w:pPr>
            <w:r>
              <w:rPr>
                <w:rFonts w:hint="eastAsia" w:ascii="Times New Roman" w:hAnsi="Times New Roman"/>
                <w:szCs w:val="21"/>
              </w:rPr>
              <w:t>3.5错误追踪：所有样品光谱均根据常规光谱学和采样方式进行检查，仪器关键部件实时监测。</w:t>
            </w:r>
          </w:p>
          <w:p>
            <w:pPr>
              <w:spacing w:line="240" w:lineRule="auto"/>
              <w:ind w:firstLine="210" w:firstLineChars="100"/>
              <w:rPr>
                <w:rFonts w:hint="eastAsia" w:ascii="Times New Roman" w:hAnsi="Times New Roman"/>
                <w:szCs w:val="21"/>
              </w:rPr>
            </w:pPr>
            <w:r>
              <w:rPr>
                <w:rFonts w:hint="eastAsia" w:ascii="Times New Roman" w:hAnsi="Times New Roman"/>
                <w:szCs w:val="21"/>
              </w:rPr>
              <w:t>4 软件:通过标准认证的FTIR软件，除具备常用的基本功能外，还应包括以下内容：</w:t>
            </w:r>
          </w:p>
          <w:p>
            <w:pPr>
              <w:spacing w:line="240" w:lineRule="auto"/>
              <w:ind w:firstLine="210" w:firstLineChars="100"/>
              <w:rPr>
                <w:rFonts w:hint="eastAsia" w:ascii="Times New Roman" w:hAnsi="Times New Roman"/>
                <w:szCs w:val="21"/>
              </w:rPr>
            </w:pPr>
            <w:r>
              <w:rPr>
                <w:rFonts w:hint="eastAsia" w:ascii="Times New Roman" w:hAnsi="Times New Roman"/>
                <w:szCs w:val="21"/>
              </w:rPr>
              <w:t>4.1光谱比较软件：提供对产品真伪的鉴定最为有用的Compare软件（光谱比较软件），可最大程度降低人为因素对两张光谱的相似程度的比较结果的误判.</w:t>
            </w:r>
          </w:p>
          <w:p>
            <w:pPr>
              <w:spacing w:line="240" w:lineRule="auto"/>
              <w:ind w:firstLine="210" w:firstLineChars="100"/>
              <w:rPr>
                <w:rFonts w:hint="eastAsia" w:ascii="Times New Roman" w:hAnsi="Times New Roman"/>
                <w:szCs w:val="21"/>
              </w:rPr>
            </w:pPr>
            <w:r>
              <w:rPr>
                <w:rFonts w:hint="eastAsia" w:ascii="Times New Roman" w:hAnsi="Times New Roman"/>
                <w:szCs w:val="21"/>
              </w:rPr>
              <w:t>4.2 能够实时监控反映过程的软件，过程中可以看到三维谱图</w:t>
            </w:r>
          </w:p>
          <w:p>
            <w:pPr>
              <w:spacing w:line="240" w:lineRule="auto"/>
              <w:ind w:firstLine="210" w:firstLineChars="100"/>
              <w:rPr>
                <w:rFonts w:hint="eastAsia" w:ascii="Times New Roman" w:hAnsi="Times New Roman"/>
                <w:szCs w:val="21"/>
              </w:rPr>
            </w:pPr>
            <w:r>
              <w:rPr>
                <w:rFonts w:hint="eastAsia" w:ascii="Times New Roman" w:hAnsi="Times New Roman"/>
                <w:szCs w:val="21"/>
              </w:rPr>
              <w:t>5. 配置要求：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5.1傅立叶变换红外光谱仪主机1台</w:t>
            </w:r>
          </w:p>
          <w:p>
            <w:pPr>
              <w:spacing w:line="240" w:lineRule="auto"/>
              <w:ind w:firstLine="210" w:firstLineChars="100"/>
              <w:rPr>
                <w:rFonts w:hint="eastAsia" w:ascii="Times New Roman" w:hAnsi="Times New Roman"/>
                <w:szCs w:val="21"/>
              </w:rPr>
            </w:pPr>
            <w:r>
              <w:rPr>
                <w:rFonts w:hint="eastAsia" w:ascii="Times New Roman" w:hAnsi="Times New Roman"/>
                <w:szCs w:val="21"/>
              </w:rPr>
              <w:t>5.2电源电缆1根</w:t>
            </w:r>
          </w:p>
          <w:p>
            <w:pPr>
              <w:spacing w:line="240" w:lineRule="auto"/>
              <w:ind w:firstLine="210" w:firstLineChars="100"/>
              <w:rPr>
                <w:rFonts w:hint="eastAsia" w:ascii="Times New Roman" w:hAnsi="Times New Roman"/>
                <w:szCs w:val="21"/>
              </w:rPr>
            </w:pPr>
            <w:r>
              <w:rPr>
                <w:rFonts w:hint="eastAsia" w:ascii="Times New Roman" w:hAnsi="Times New Roman"/>
                <w:szCs w:val="21"/>
              </w:rPr>
              <w:t>5.3LabSolutions IR软件1套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5.4固体制样包1套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5.5MCT检测器系统1套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5.6原位漫反射附件1套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5.7原位反应池附件1套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5.8液体制样包1套 </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5.9计算机和打印机各1台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紫外可见近红外分光光度计</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widowControl/>
              <w:rPr>
                <w:rFonts w:ascii="Times New Roman" w:hAnsi="Times New Roman"/>
                <w:color w:val="000000"/>
                <w:kern w:val="0"/>
                <w:szCs w:val="21"/>
                <w:lang w:bidi="ar"/>
              </w:rPr>
            </w:pPr>
            <w:r>
              <w:rPr>
                <w:rFonts w:ascii="Times New Roman" w:hAnsi="Times New Roman"/>
                <w:color w:val="000000"/>
                <w:kern w:val="0"/>
                <w:szCs w:val="21"/>
                <w:lang w:bidi="ar"/>
              </w:rPr>
              <w:t>1. 工作环境：</w:t>
            </w:r>
          </w:p>
          <w:p>
            <w:pPr>
              <w:widowControl/>
              <w:rPr>
                <w:rFonts w:ascii="Times New Roman" w:hAnsi="Times New Roman"/>
                <w:color w:val="000000"/>
                <w:kern w:val="0"/>
                <w:szCs w:val="21"/>
                <w:lang w:bidi="ar"/>
              </w:rPr>
            </w:pPr>
            <w:r>
              <w:rPr>
                <w:rFonts w:ascii="Times New Roman" w:hAnsi="Times New Roman"/>
                <w:color w:val="000000"/>
                <w:kern w:val="0"/>
                <w:szCs w:val="21"/>
                <w:lang w:bidi="ar"/>
              </w:rPr>
              <w:t>1.1 使用温度范围:15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℃～35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w:t>
            </w:r>
          </w:p>
          <w:p>
            <w:pPr>
              <w:widowControl/>
              <w:rPr>
                <w:rFonts w:ascii="Times New Roman" w:hAnsi="Times New Roman"/>
                <w:color w:val="000000"/>
                <w:kern w:val="0"/>
                <w:szCs w:val="21"/>
                <w:lang w:bidi="ar"/>
              </w:rPr>
            </w:pPr>
            <w:r>
              <w:rPr>
                <w:rFonts w:ascii="Times New Roman" w:hAnsi="Times New Roman"/>
                <w:color w:val="000000"/>
                <w:kern w:val="0"/>
                <w:szCs w:val="21"/>
                <w:lang w:bidi="ar"/>
              </w:rPr>
              <w:t>1.2 使用湿度范围:30%～80%；</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 分光系统：</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 光学系统:双光束；</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 分光器:双光栅单色器，象差校正型切尼尔一特纳装置；</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2.3 设定波长范围:185～1400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2.4 测试波长范围:185～900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2.5 衍射光栅刻线数:1300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lines/mm；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2.6 波长准确性:±0.1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nm（656.1nm），±0.3</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nm(全波段)；</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2.7 波长重复精度:±0.05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2.8 波长扫描速度:波长移动速度14000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nm/min;最大扫描速度4000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nm/min;</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2.9 波长设定:扫描开始波长和扫描结束能够以1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nm单位设置，其它为0.1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nm单位；</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2.10 光源切换波长:和波长同步自动切换290.0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nm～370.0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2.11 谱带宽度:0.1/0.2/0.5/1/2/5nm，L2/L5（低杂散光模式）；</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2.12 分辨率:0.1nm；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2.13 杂散光:KCI&lt;1% T（198nm)；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NaI&lt;0.00005%T（220nm)；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NaNO2&lt;0.00002%T（340nm)；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2.14 测光方式:双光束测光方式；</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2.15 测光类型:吸光度（Abs）;透射率（％）;反射率;能量（E）；</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2.16 测定范围:吸光度为-8.5～8.5Abs；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2.17 吸光度准确性:±0.002Abs(0.5Abs)；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2.18 吸光度重现性:±0.001Abs(0.5Abs)；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2.19 噪音:0.00005Abs RMS(500nm)；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2.20基线稳定性:&lt;0.0003Abs/hour；</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2.21基线平直度:±0.0004Abs(200～860nm)；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2.22 记录范围:吸光度为-10～10 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2.23 漂移:小于0.0003Abs/h；</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2.24 基线校正:计算机自动校正（电源启动时，自动存储备份的基线，可以再校正）；</w:t>
            </w:r>
          </w:p>
          <w:p>
            <w:pPr>
              <w:widowControl/>
              <w:rPr>
                <w:rFonts w:ascii="Times New Roman" w:hAnsi="Times New Roman"/>
                <w:color w:val="000000"/>
                <w:kern w:val="0"/>
                <w:szCs w:val="21"/>
                <w:lang w:bidi="ar"/>
              </w:rPr>
            </w:pPr>
            <w:r>
              <w:rPr>
                <w:rFonts w:ascii="Times New Roman" w:hAnsi="Times New Roman"/>
                <w:color w:val="000000"/>
                <w:kern w:val="0"/>
                <w:szCs w:val="21"/>
                <w:lang w:bidi="ar"/>
              </w:rPr>
              <w:t>3.光源:50W卤素灯和氘灯（插座型）；</w:t>
            </w:r>
          </w:p>
          <w:p>
            <w:pPr>
              <w:widowControl/>
              <w:rPr>
                <w:rFonts w:ascii="Times New Roman" w:hAnsi="Times New Roman"/>
                <w:color w:val="000000"/>
                <w:kern w:val="0"/>
                <w:szCs w:val="21"/>
                <w:lang w:bidi="ar"/>
              </w:rPr>
            </w:pPr>
            <w:r>
              <w:rPr>
                <w:rFonts w:ascii="Times New Roman" w:hAnsi="Times New Roman"/>
                <w:color w:val="000000"/>
                <w:kern w:val="0"/>
                <w:szCs w:val="21"/>
                <w:lang w:bidi="ar"/>
              </w:rPr>
              <w:t>4. 检测器:光电倍增管；</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5. 软件:智能网络版系统操作软件，可执行自动光谱评价，实时导出Excel数据；</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 控制与数据处理系统：</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 xml:space="preserve">6.1主流品牌计算机1台，黑白激光打印一体机1台，计算机系统不低于以下配置：主流品牌计算机，WINDOWS 10正版操作系统; INTEL i5  CPU，16GB 内存，128G SSD，采用减震设计并出具证书，500G硬盘，20英寸LED彩显屏；鼠标，键盘，USB接口，网卡； </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6.2 薄膜厚度计算软件：具有使用干涉间隔或者傅立叶变换的方法计算所测光谱的薄膜厚度；</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6.3 安全保护：具有突然断电、断水、真空状态不良保护措施；</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 设备配置清单：</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7.1 双波长紫外分光光度计1台；</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7.2 智能操作软件1套；</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7.3 主机电源线组件1套；</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7.4 10mm方形石英比色皿7个；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7.5 氘灯和卤素灯各1个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7.6 薄膜支架1个；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7.7 60mm积分球1个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7.8 粉末样品支架1个；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7.9膜厚测量软件1套；</w:t>
            </w:r>
          </w:p>
          <w:p>
            <w:pPr>
              <w:spacing w:line="240" w:lineRule="auto"/>
              <w:rPr>
                <w:rFonts w:hint="eastAsia"/>
                <w:lang w:val="en-US" w:eastAsia="zh-CN"/>
              </w:rPr>
            </w:pPr>
            <w:r>
              <w:rPr>
                <w:rFonts w:ascii="Times New Roman" w:hAnsi="Times New Roman"/>
                <w:color w:val="000000"/>
                <w:kern w:val="0"/>
                <w:szCs w:val="21"/>
                <w:lang w:bidi="ar"/>
              </w:rPr>
              <w:t>7.10品牌电脑和打印机各1台</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6</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闪射法导热仪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1.温度范围：RT～1250℃</w:t>
            </w:r>
          </w:p>
          <w:p>
            <w:pPr>
              <w:spacing w:line="240" w:lineRule="auto"/>
              <w:ind w:firstLine="210" w:firstLineChars="100"/>
              <w:rPr>
                <w:rFonts w:hint="eastAsia" w:ascii="Times New Roman" w:hAnsi="Times New Roman"/>
                <w:szCs w:val="21"/>
              </w:rPr>
            </w:pPr>
            <w:r>
              <w:rPr>
                <w:rFonts w:hint="eastAsia" w:ascii="Times New Roman" w:hAnsi="Times New Roman"/>
                <w:szCs w:val="21"/>
              </w:rPr>
              <w:t>2.数据采样速率：2MHz</w:t>
            </w:r>
          </w:p>
          <w:p>
            <w:pPr>
              <w:spacing w:line="240" w:lineRule="auto"/>
              <w:ind w:firstLine="210" w:firstLineChars="100"/>
              <w:rPr>
                <w:rFonts w:hint="eastAsia" w:ascii="Times New Roman" w:hAnsi="Times New Roman"/>
                <w:szCs w:val="21"/>
              </w:rPr>
            </w:pPr>
            <w:r>
              <w:rPr>
                <w:rFonts w:hint="eastAsia" w:ascii="Times New Roman" w:hAnsi="Times New Roman"/>
                <w:szCs w:val="21"/>
              </w:rPr>
              <w:t>3.激光能量校正：Pulse Mapping校正功能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4.具备Zoom Optics检测优化功能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5.自动样品进样器：最大可达4位</w:t>
            </w:r>
          </w:p>
          <w:p>
            <w:pPr>
              <w:spacing w:line="240" w:lineRule="auto"/>
              <w:ind w:firstLine="210" w:firstLineChars="100"/>
              <w:rPr>
                <w:rFonts w:hint="eastAsia" w:ascii="Times New Roman" w:hAnsi="Times New Roman"/>
                <w:szCs w:val="21"/>
              </w:rPr>
            </w:pPr>
            <w:r>
              <w:rPr>
                <w:rFonts w:hint="eastAsia" w:ascii="Times New Roman" w:hAnsi="Times New Roman"/>
                <w:szCs w:val="21"/>
              </w:rPr>
              <w:t>6.导热系数范围：0.1～ 4000 W/mK</w:t>
            </w:r>
          </w:p>
          <w:p>
            <w:pPr>
              <w:spacing w:line="240" w:lineRule="auto"/>
              <w:ind w:firstLine="210" w:firstLineChars="100"/>
              <w:rPr>
                <w:rFonts w:hint="eastAsia" w:ascii="Times New Roman" w:hAnsi="Times New Roman"/>
                <w:szCs w:val="21"/>
              </w:rPr>
            </w:pPr>
            <w:r>
              <w:rPr>
                <w:rFonts w:hint="eastAsia" w:ascii="Times New Roman" w:hAnsi="Times New Roman"/>
                <w:szCs w:val="21"/>
              </w:rPr>
              <w:t>7.热扩散系数范围：0.01～2000mm2/s</w:t>
            </w:r>
          </w:p>
          <w:p>
            <w:pPr>
              <w:spacing w:line="240" w:lineRule="auto"/>
              <w:ind w:firstLine="210" w:firstLineChars="100"/>
              <w:rPr>
                <w:rFonts w:hint="eastAsia" w:ascii="Times New Roman" w:hAnsi="Times New Roman"/>
                <w:szCs w:val="21"/>
              </w:rPr>
            </w:pPr>
            <w:r>
              <w:rPr>
                <w:rFonts w:hint="eastAsia" w:ascii="Times New Roman" w:hAnsi="Times New Roman"/>
                <w:szCs w:val="21"/>
              </w:rPr>
              <w:t>8.升温速率：0～50K/min</w:t>
            </w:r>
          </w:p>
          <w:p>
            <w:pPr>
              <w:spacing w:line="240" w:lineRule="auto"/>
              <w:ind w:firstLine="210" w:firstLineChars="100"/>
              <w:rPr>
                <w:rFonts w:hint="eastAsia" w:ascii="Times New Roman" w:hAnsi="Times New Roman"/>
                <w:szCs w:val="21"/>
              </w:rPr>
            </w:pPr>
            <w:r>
              <w:rPr>
                <w:rFonts w:hint="eastAsia" w:ascii="Times New Roman" w:hAnsi="Times New Roman"/>
                <w:szCs w:val="21"/>
              </w:rPr>
              <w:t>9.准确度：3％</w:t>
            </w:r>
          </w:p>
          <w:p>
            <w:pPr>
              <w:spacing w:line="240" w:lineRule="auto"/>
              <w:ind w:firstLine="210" w:firstLineChars="100"/>
              <w:rPr>
                <w:rFonts w:hint="eastAsia" w:ascii="Times New Roman" w:hAnsi="Times New Roman"/>
                <w:szCs w:val="21"/>
              </w:rPr>
            </w:pPr>
            <w:r>
              <w:rPr>
                <w:rFonts w:hint="eastAsia" w:ascii="Times New Roman" w:hAnsi="Times New Roman"/>
                <w:szCs w:val="21"/>
              </w:rPr>
              <w:t>10.精确度：2％</w:t>
            </w:r>
          </w:p>
          <w:p>
            <w:pPr>
              <w:spacing w:line="240" w:lineRule="auto"/>
              <w:ind w:firstLine="210" w:firstLineChars="100"/>
              <w:rPr>
                <w:rFonts w:hint="eastAsia" w:ascii="Times New Roman" w:hAnsi="Times New Roman"/>
                <w:szCs w:val="21"/>
              </w:rPr>
            </w:pPr>
            <w:r>
              <w:rPr>
                <w:rFonts w:hint="eastAsia" w:ascii="Times New Roman" w:hAnsi="Times New Roman"/>
                <w:szCs w:val="21"/>
              </w:rPr>
              <w:t>11.比热测定精度：3％</w:t>
            </w:r>
          </w:p>
          <w:p>
            <w:pPr>
              <w:spacing w:line="240" w:lineRule="auto"/>
              <w:ind w:firstLine="210" w:firstLineChars="100"/>
              <w:rPr>
                <w:rFonts w:hint="eastAsia" w:ascii="Times New Roman" w:hAnsi="Times New Roman"/>
                <w:szCs w:val="21"/>
              </w:rPr>
            </w:pPr>
            <w:r>
              <w:rPr>
                <w:rFonts w:hint="eastAsia" w:ascii="Times New Roman" w:hAnsi="Times New Roman"/>
                <w:szCs w:val="21"/>
              </w:rPr>
              <w:t>12.样品直径： 6～12.7 mm</w:t>
            </w:r>
          </w:p>
          <w:p>
            <w:pPr>
              <w:spacing w:line="240" w:lineRule="auto"/>
              <w:ind w:firstLine="210" w:firstLineChars="100"/>
              <w:rPr>
                <w:rFonts w:hint="eastAsia" w:ascii="Times New Roman" w:hAnsi="Times New Roman"/>
                <w:szCs w:val="21"/>
              </w:rPr>
            </w:pPr>
            <w:r>
              <w:rPr>
                <w:rFonts w:hint="eastAsia" w:ascii="Times New Roman" w:hAnsi="Times New Roman"/>
                <w:szCs w:val="21"/>
              </w:rPr>
              <w:t>13.样品厚度： 0.01～6 mm</w:t>
            </w:r>
          </w:p>
          <w:p>
            <w:pPr>
              <w:spacing w:line="240" w:lineRule="auto"/>
              <w:ind w:firstLine="210" w:firstLineChars="100"/>
              <w:rPr>
                <w:rFonts w:hint="eastAsia" w:ascii="Times New Roman" w:hAnsi="Times New Roman"/>
                <w:szCs w:val="21"/>
              </w:rPr>
            </w:pPr>
            <w:r>
              <w:rPr>
                <w:rFonts w:hint="eastAsia" w:ascii="Times New Roman" w:hAnsi="Times New Roman"/>
                <w:szCs w:val="21"/>
              </w:rPr>
              <w:t>14.中英文软件: 中英文操作、分析软件。提供全功能导热分析软件，包含16种数学拟合模型，可以校正所有的热损耗。</w:t>
            </w:r>
          </w:p>
          <w:p>
            <w:pPr>
              <w:spacing w:line="240" w:lineRule="auto"/>
              <w:ind w:firstLine="210" w:firstLineChars="100"/>
              <w:rPr>
                <w:rFonts w:hint="eastAsia" w:ascii="Times New Roman" w:hAnsi="Times New Roman"/>
                <w:szCs w:val="21"/>
              </w:rPr>
            </w:pPr>
            <w:r>
              <w:rPr>
                <w:rFonts w:hint="eastAsia" w:ascii="Times New Roman" w:hAnsi="Times New Roman"/>
                <w:szCs w:val="21"/>
              </w:rPr>
              <w:t>15.附件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1）激光导热仪基本单元:：包含炉体、光源、红外检测器。 </w:t>
            </w:r>
          </w:p>
          <w:p>
            <w:pPr>
              <w:spacing w:line="240" w:lineRule="auto"/>
              <w:ind w:firstLine="210" w:firstLineChars="100"/>
              <w:rPr>
                <w:rFonts w:hint="eastAsia" w:ascii="Times New Roman" w:hAnsi="Times New Roman"/>
                <w:szCs w:val="21"/>
              </w:rPr>
            </w:pPr>
            <w:r>
              <w:rPr>
                <w:rFonts w:hint="eastAsia" w:ascii="Times New Roman" w:hAnsi="Times New Roman"/>
                <w:szCs w:val="21"/>
              </w:rPr>
              <w:t>2）软件：中文测试、分析软件，包含16种数学校正模型。</w:t>
            </w:r>
          </w:p>
          <w:p>
            <w:pPr>
              <w:spacing w:line="240" w:lineRule="auto"/>
              <w:ind w:firstLine="210" w:firstLineChars="100"/>
              <w:rPr>
                <w:rFonts w:hint="eastAsia" w:ascii="Times New Roman" w:hAnsi="Times New Roman"/>
                <w:szCs w:val="21"/>
              </w:rPr>
            </w:pPr>
            <w:r>
              <w:rPr>
                <w:rFonts w:hint="eastAsia" w:ascii="Times New Roman" w:hAnsi="Times New Roman"/>
                <w:szCs w:val="21"/>
              </w:rPr>
              <w:t>3）附件：方形/圆形支架</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4）石墨喷灌3套</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7</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200KV透射电子显微镜</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工作条件：</w:t>
            </w:r>
          </w:p>
          <w:p>
            <w:pPr>
              <w:spacing w:line="240" w:lineRule="auto"/>
              <w:ind w:firstLine="210" w:firstLineChars="100"/>
              <w:rPr>
                <w:rFonts w:hint="eastAsia" w:ascii="Times New Roman" w:hAnsi="Times New Roman"/>
                <w:szCs w:val="21"/>
              </w:rPr>
            </w:pPr>
            <w:r>
              <w:rPr>
                <w:rFonts w:hint="eastAsia" w:ascii="Times New Roman" w:hAnsi="Times New Roman"/>
                <w:szCs w:val="21"/>
              </w:rPr>
              <w:t>1.1 电力供应：220V（10%），50Hz，单相；380V（10%），50Hz，三相</w:t>
            </w:r>
          </w:p>
          <w:p>
            <w:pPr>
              <w:spacing w:line="240" w:lineRule="auto"/>
              <w:ind w:firstLine="210" w:firstLineChars="100"/>
              <w:rPr>
                <w:rFonts w:hint="eastAsia" w:ascii="Times New Roman" w:hAnsi="Times New Roman"/>
                <w:szCs w:val="21"/>
              </w:rPr>
            </w:pPr>
            <w:r>
              <w:rPr>
                <w:rFonts w:hint="eastAsia" w:ascii="Times New Roman" w:hAnsi="Times New Roman"/>
                <w:szCs w:val="21"/>
              </w:rPr>
              <w:t>1.2 工作温度：15C-25C</w:t>
            </w:r>
          </w:p>
          <w:p>
            <w:pPr>
              <w:spacing w:line="240" w:lineRule="auto"/>
              <w:ind w:firstLine="210" w:firstLineChars="100"/>
              <w:rPr>
                <w:rFonts w:hint="eastAsia" w:ascii="Times New Roman" w:hAnsi="Times New Roman"/>
                <w:szCs w:val="21"/>
              </w:rPr>
            </w:pPr>
            <w:r>
              <w:rPr>
                <w:rFonts w:hint="eastAsia" w:ascii="Times New Roman" w:hAnsi="Times New Roman"/>
                <w:szCs w:val="21"/>
              </w:rPr>
              <w:t>1.3 工作湿度：&lt; 60%</w:t>
            </w:r>
          </w:p>
          <w:p>
            <w:pPr>
              <w:spacing w:line="240" w:lineRule="auto"/>
              <w:ind w:firstLine="210" w:firstLineChars="100"/>
              <w:rPr>
                <w:rFonts w:hint="eastAsia" w:ascii="Times New Roman" w:hAnsi="Times New Roman"/>
                <w:szCs w:val="21"/>
              </w:rPr>
            </w:pPr>
            <w:r>
              <w:rPr>
                <w:rFonts w:hint="eastAsia" w:ascii="Times New Roman" w:hAnsi="Times New Roman"/>
                <w:szCs w:val="21"/>
              </w:rPr>
              <w:t>1.4 仪器运行的持久性：连续使用</w:t>
            </w:r>
          </w:p>
          <w:p>
            <w:pPr>
              <w:spacing w:line="240" w:lineRule="auto"/>
              <w:ind w:firstLine="210" w:firstLineChars="100"/>
              <w:rPr>
                <w:rFonts w:hint="eastAsia" w:ascii="Times New Roman" w:hAnsi="Times New Roman"/>
                <w:szCs w:val="21"/>
              </w:rPr>
            </w:pPr>
            <w:r>
              <w:rPr>
                <w:rFonts w:hint="eastAsia" w:ascii="Times New Roman" w:hAnsi="Times New Roman"/>
                <w:szCs w:val="21"/>
              </w:rPr>
              <w:t>1.5 独立地线：≤100欧姆</w:t>
            </w:r>
          </w:p>
          <w:p>
            <w:pPr>
              <w:spacing w:line="240" w:lineRule="auto"/>
              <w:ind w:firstLine="210" w:firstLineChars="100"/>
              <w:rPr>
                <w:rFonts w:hint="eastAsia" w:ascii="Times New Roman" w:hAnsi="Times New Roman"/>
                <w:szCs w:val="21"/>
              </w:rPr>
            </w:pPr>
            <w:r>
              <w:rPr>
                <w:rFonts w:hint="eastAsia" w:ascii="Times New Roman" w:hAnsi="Times New Roman"/>
                <w:szCs w:val="21"/>
              </w:rPr>
              <w:t>2. 设备用途：透射电镜可用来金属材料、无机非金属材料、生物材料、化工材料、高分子材料等材料的微观精细结构观察、衍射花样、高分辨成像等。</w:t>
            </w:r>
          </w:p>
          <w:p>
            <w:pPr>
              <w:spacing w:line="240" w:lineRule="auto"/>
              <w:ind w:firstLine="210" w:firstLineChars="100"/>
              <w:rPr>
                <w:rFonts w:hint="eastAsia" w:ascii="Times New Roman" w:hAnsi="Times New Roman"/>
                <w:szCs w:val="21"/>
              </w:rPr>
            </w:pPr>
            <w:r>
              <w:rPr>
                <w:rFonts w:hint="eastAsia" w:ascii="Times New Roman" w:hAnsi="Times New Roman"/>
                <w:szCs w:val="21"/>
              </w:rPr>
              <w:t>3. 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3.1 六硼化镧透射电镜基本单元</w:t>
            </w:r>
          </w:p>
          <w:p>
            <w:pPr>
              <w:spacing w:line="240" w:lineRule="auto"/>
              <w:ind w:firstLine="210" w:firstLineChars="100"/>
              <w:rPr>
                <w:rFonts w:hint="eastAsia" w:ascii="Times New Roman" w:hAnsi="Times New Roman"/>
                <w:szCs w:val="21"/>
              </w:rPr>
            </w:pPr>
            <w:r>
              <w:rPr>
                <w:rFonts w:hint="eastAsia" w:ascii="Times New Roman" w:hAnsi="Times New Roman"/>
                <w:szCs w:val="21"/>
              </w:rPr>
              <w:t>3.1.1 电子枪：六硼化镧型</w:t>
            </w:r>
          </w:p>
          <w:p>
            <w:pPr>
              <w:spacing w:line="240" w:lineRule="auto"/>
              <w:ind w:firstLine="210" w:firstLineChars="100"/>
              <w:rPr>
                <w:rFonts w:hint="eastAsia" w:ascii="Times New Roman" w:hAnsi="Times New Roman"/>
                <w:szCs w:val="21"/>
              </w:rPr>
            </w:pPr>
            <w:r>
              <w:rPr>
                <w:rFonts w:hint="eastAsia" w:ascii="Times New Roman" w:hAnsi="Times New Roman"/>
                <w:szCs w:val="21"/>
              </w:rPr>
              <w:t>★3.1.2 分辨率</w:t>
            </w:r>
          </w:p>
          <w:p>
            <w:pPr>
              <w:spacing w:line="240" w:lineRule="auto"/>
              <w:ind w:firstLine="210" w:firstLineChars="100"/>
              <w:rPr>
                <w:rFonts w:hint="eastAsia" w:ascii="Times New Roman" w:hAnsi="Times New Roman"/>
                <w:szCs w:val="21"/>
              </w:rPr>
            </w:pPr>
            <w:r>
              <w:rPr>
                <w:rFonts w:hint="eastAsia" w:ascii="Times New Roman" w:hAnsi="Times New Roman"/>
                <w:szCs w:val="21"/>
              </w:rPr>
              <w:t>点分辨率：≤0.23nm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线分辨率：≤0.14nm</w:t>
            </w:r>
          </w:p>
          <w:p>
            <w:pPr>
              <w:spacing w:line="240" w:lineRule="auto"/>
              <w:ind w:firstLine="210" w:firstLineChars="100"/>
              <w:rPr>
                <w:rFonts w:hint="eastAsia" w:ascii="Times New Roman" w:hAnsi="Times New Roman"/>
                <w:szCs w:val="21"/>
              </w:rPr>
            </w:pPr>
            <w:r>
              <w:rPr>
                <w:rFonts w:hint="eastAsia" w:ascii="Times New Roman" w:hAnsi="Times New Roman"/>
                <w:szCs w:val="21"/>
              </w:rPr>
              <w:t>STEM分辨率：≤1nm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3.1.3 加速电压</w:t>
            </w:r>
          </w:p>
          <w:p>
            <w:pPr>
              <w:spacing w:line="240" w:lineRule="auto"/>
              <w:ind w:firstLine="210" w:firstLineChars="100"/>
              <w:rPr>
                <w:rFonts w:hint="eastAsia" w:ascii="Times New Roman" w:hAnsi="Times New Roman"/>
                <w:szCs w:val="21"/>
              </w:rPr>
            </w:pPr>
            <w:r>
              <w:rPr>
                <w:rFonts w:hint="eastAsia" w:ascii="Times New Roman" w:hAnsi="Times New Roman"/>
                <w:szCs w:val="21"/>
              </w:rPr>
              <w:t>最高加速电压: 200kV</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3.1.4 稳定度</w:t>
            </w:r>
          </w:p>
          <w:p>
            <w:pPr>
              <w:spacing w:line="240" w:lineRule="auto"/>
              <w:ind w:firstLine="210" w:firstLineChars="100"/>
              <w:rPr>
                <w:rFonts w:hint="eastAsia" w:ascii="Times New Roman" w:hAnsi="Times New Roman"/>
                <w:szCs w:val="21"/>
              </w:rPr>
            </w:pPr>
            <w:r>
              <w:rPr>
                <w:rFonts w:hint="eastAsia" w:ascii="Times New Roman" w:hAnsi="Times New Roman"/>
                <w:szCs w:val="21"/>
              </w:rPr>
              <w:t>加速电压稳定性：≤2 ppm/min（PP）</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物镜电流稳定性：≤1 ppm/min（pp）</w:t>
            </w:r>
          </w:p>
          <w:p>
            <w:pPr>
              <w:spacing w:line="240" w:lineRule="auto"/>
              <w:ind w:firstLine="210" w:firstLineChars="100"/>
              <w:rPr>
                <w:rFonts w:hint="eastAsia" w:ascii="Times New Roman" w:hAnsi="Times New Roman"/>
                <w:szCs w:val="21"/>
              </w:rPr>
            </w:pPr>
            <w:r>
              <w:rPr>
                <w:rFonts w:hint="eastAsia" w:ascii="Times New Roman" w:hAnsi="Times New Roman"/>
                <w:szCs w:val="21"/>
              </w:rPr>
              <w:t>3.1.5放大倍数</w:t>
            </w:r>
          </w:p>
          <w:p>
            <w:pPr>
              <w:spacing w:line="240" w:lineRule="auto"/>
              <w:ind w:firstLine="210" w:firstLineChars="100"/>
              <w:rPr>
                <w:rFonts w:hint="eastAsia" w:ascii="Times New Roman" w:hAnsi="Times New Roman"/>
                <w:szCs w:val="21"/>
              </w:rPr>
            </w:pPr>
            <w:r>
              <w:rPr>
                <w:rFonts w:hint="eastAsia" w:ascii="Times New Roman" w:hAnsi="Times New Roman"/>
                <w:szCs w:val="21"/>
              </w:rPr>
              <w:t>TEM 模式：30× —1,500,000×</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STEM模式：100—2,000,000×</w:t>
            </w:r>
          </w:p>
          <w:p>
            <w:pPr>
              <w:spacing w:line="240" w:lineRule="auto"/>
              <w:ind w:firstLine="210" w:firstLineChars="100"/>
              <w:rPr>
                <w:rFonts w:hint="eastAsia" w:ascii="Times New Roman" w:hAnsi="Times New Roman"/>
                <w:szCs w:val="21"/>
              </w:rPr>
            </w:pPr>
            <w:r>
              <w:rPr>
                <w:rFonts w:hint="eastAsia" w:ascii="Times New Roman" w:hAnsi="Times New Roman"/>
                <w:szCs w:val="21"/>
              </w:rPr>
              <w:t>★3.1.6 物镜</w:t>
            </w:r>
          </w:p>
          <w:p>
            <w:pPr>
              <w:spacing w:line="240" w:lineRule="auto"/>
              <w:ind w:firstLine="210" w:firstLineChars="100"/>
              <w:rPr>
                <w:rFonts w:hint="eastAsia" w:ascii="Times New Roman" w:hAnsi="Times New Roman"/>
                <w:szCs w:val="21"/>
              </w:rPr>
            </w:pPr>
            <w:r>
              <w:rPr>
                <w:rFonts w:hint="eastAsia" w:ascii="Times New Roman" w:hAnsi="Times New Roman"/>
                <w:szCs w:val="21"/>
              </w:rPr>
              <w:t>球差系数：≤1.0mm</w:t>
            </w:r>
          </w:p>
          <w:p>
            <w:pPr>
              <w:spacing w:line="240" w:lineRule="auto"/>
              <w:ind w:firstLine="210" w:firstLineChars="100"/>
              <w:rPr>
                <w:rFonts w:hint="eastAsia" w:ascii="Times New Roman" w:hAnsi="Times New Roman"/>
                <w:szCs w:val="21"/>
              </w:rPr>
            </w:pPr>
            <w:r>
              <w:rPr>
                <w:rFonts w:hint="eastAsia" w:ascii="Times New Roman" w:hAnsi="Times New Roman"/>
                <w:szCs w:val="21"/>
              </w:rPr>
              <w:t>色差系数：≤1.4mm</w:t>
            </w:r>
          </w:p>
          <w:p>
            <w:pPr>
              <w:spacing w:line="240" w:lineRule="auto"/>
              <w:ind w:firstLine="210" w:firstLineChars="100"/>
              <w:rPr>
                <w:rFonts w:hint="eastAsia" w:ascii="Times New Roman" w:hAnsi="Times New Roman"/>
                <w:szCs w:val="21"/>
              </w:rPr>
            </w:pPr>
            <w:r>
              <w:rPr>
                <w:rFonts w:hint="eastAsia" w:ascii="Times New Roman" w:hAnsi="Times New Roman"/>
                <w:szCs w:val="21"/>
              </w:rPr>
              <w:t>最小聚焦步长：≤1.5nm</w:t>
            </w:r>
          </w:p>
          <w:p>
            <w:pPr>
              <w:spacing w:line="240" w:lineRule="auto"/>
              <w:ind w:firstLine="210" w:firstLineChars="100"/>
              <w:rPr>
                <w:rFonts w:hint="eastAsia" w:ascii="Times New Roman" w:hAnsi="Times New Roman"/>
                <w:szCs w:val="21"/>
              </w:rPr>
            </w:pPr>
            <w:r>
              <w:rPr>
                <w:rFonts w:hint="eastAsia" w:ascii="Times New Roman" w:hAnsi="Times New Roman"/>
                <w:szCs w:val="21"/>
              </w:rPr>
              <w:t>3.1.7束斑尺寸</w:t>
            </w:r>
          </w:p>
          <w:p>
            <w:pPr>
              <w:spacing w:line="240" w:lineRule="auto"/>
              <w:ind w:firstLine="210" w:firstLineChars="100"/>
              <w:rPr>
                <w:rFonts w:hint="eastAsia" w:ascii="Times New Roman" w:hAnsi="Times New Roman"/>
                <w:szCs w:val="21"/>
              </w:rPr>
            </w:pPr>
            <w:r>
              <w:rPr>
                <w:rFonts w:hint="eastAsia" w:ascii="Times New Roman" w:hAnsi="Times New Roman"/>
                <w:szCs w:val="21"/>
              </w:rPr>
              <w:t>TEM模式：≥20nm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EDS/NBD/CBD模式：≤1.0nm</w:t>
            </w:r>
          </w:p>
          <w:p>
            <w:pPr>
              <w:spacing w:line="240" w:lineRule="auto"/>
              <w:ind w:firstLine="210" w:firstLineChars="100"/>
              <w:rPr>
                <w:rFonts w:hint="eastAsia" w:ascii="Times New Roman" w:hAnsi="Times New Roman"/>
                <w:szCs w:val="21"/>
              </w:rPr>
            </w:pPr>
            <w:r>
              <w:rPr>
                <w:rFonts w:hint="eastAsia" w:ascii="Times New Roman" w:hAnsi="Times New Roman"/>
                <w:szCs w:val="21"/>
              </w:rPr>
              <w:t>3.1.8相机长度: 80~4300mm</w:t>
            </w:r>
          </w:p>
          <w:p>
            <w:pPr>
              <w:spacing w:line="240" w:lineRule="auto"/>
              <w:ind w:firstLine="210" w:firstLineChars="100"/>
              <w:rPr>
                <w:rFonts w:hint="eastAsia" w:ascii="Times New Roman" w:hAnsi="Times New Roman"/>
                <w:szCs w:val="21"/>
              </w:rPr>
            </w:pPr>
            <w:r>
              <w:rPr>
                <w:rFonts w:hint="eastAsia" w:ascii="Times New Roman" w:hAnsi="Times New Roman"/>
                <w:szCs w:val="21"/>
              </w:rPr>
              <w:t>3.1.9 样品移动：X: ≤2mm ； Y: ≤2mm；Z：≤0.4mm</w:t>
            </w:r>
          </w:p>
          <w:p>
            <w:pPr>
              <w:spacing w:line="240" w:lineRule="auto"/>
              <w:ind w:firstLine="210" w:firstLineChars="100"/>
              <w:rPr>
                <w:rFonts w:hint="eastAsia" w:ascii="Times New Roman" w:hAnsi="Times New Roman"/>
                <w:szCs w:val="21"/>
              </w:rPr>
            </w:pPr>
            <w:r>
              <w:rPr>
                <w:rFonts w:hint="eastAsia" w:ascii="Times New Roman" w:hAnsi="Times New Roman"/>
                <w:szCs w:val="21"/>
              </w:rPr>
              <w:t>3.1.10 最大倾斜角：≥+35°</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3.1.11 X射线能谱分析固体角：≥0.13sr</w:t>
            </w:r>
          </w:p>
          <w:p>
            <w:pPr>
              <w:spacing w:line="240" w:lineRule="auto"/>
              <w:ind w:firstLine="210" w:firstLineChars="100"/>
              <w:rPr>
                <w:rFonts w:hint="eastAsia" w:ascii="Times New Roman" w:hAnsi="Times New Roman"/>
                <w:szCs w:val="21"/>
              </w:rPr>
            </w:pPr>
            <w:r>
              <w:rPr>
                <w:rFonts w:hint="eastAsia" w:ascii="Times New Roman" w:hAnsi="Times New Roman"/>
                <w:szCs w:val="21"/>
              </w:rPr>
              <w:t>★3.1.12 取出角：≥25°</w:t>
            </w:r>
          </w:p>
          <w:p>
            <w:pPr>
              <w:spacing w:line="240" w:lineRule="auto"/>
              <w:ind w:firstLine="210" w:firstLineChars="100"/>
              <w:rPr>
                <w:rFonts w:hint="eastAsia" w:ascii="Times New Roman" w:hAnsi="Times New Roman"/>
                <w:szCs w:val="21"/>
              </w:rPr>
            </w:pPr>
            <w:r>
              <w:rPr>
                <w:rFonts w:hint="eastAsia" w:ascii="Times New Roman" w:hAnsi="Times New Roman"/>
                <w:szCs w:val="21"/>
              </w:rPr>
              <w:t>3.1.13 计算机控制系统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操作系统：Windows 10及以上，控制系统采用分级分块方式控制，即使计算机死机，高压系统、真空系统、操作面板系统仍能正常工作。实验状态（电子光学状态）记忆功能：可多用户储存各自的实验状态并随时恢复样品位置记忆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3.1.14 真空系统: 机械泵+扩散泵+离子泵，自动控制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样品室真空度：好于2.7 × 10-5Pa </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3.1.15 透射电镜具备自动断电、断水保护功能，具备自动诊断功能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3.1.16 透射电镜具备自动烘烤功能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3.2 能谱仪(EDS)的技术规格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3.2.1 功能：该附件是透射电镜的必要附件，用于材料微区的定性、定量成份分析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3.2.2探测器：电制冷</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3.2.3 探测器面积：≥80mm2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3.2.4 分辨率：≤133eV（Mn K线） </w:t>
            </w:r>
          </w:p>
          <w:p>
            <w:pPr>
              <w:spacing w:line="240" w:lineRule="auto"/>
              <w:ind w:firstLine="210" w:firstLineChars="100"/>
              <w:rPr>
                <w:rFonts w:hint="eastAsia" w:ascii="Times New Roman" w:hAnsi="Times New Roman"/>
                <w:szCs w:val="21"/>
              </w:rPr>
            </w:pPr>
            <w:r>
              <w:rPr>
                <w:rFonts w:hint="eastAsia" w:ascii="Times New Roman" w:hAnsi="Times New Roman"/>
                <w:szCs w:val="21"/>
              </w:rPr>
              <w:t>3.2.5 分辨元素范围：5B -U92</w:t>
            </w:r>
          </w:p>
          <w:p>
            <w:pPr>
              <w:spacing w:line="240" w:lineRule="auto"/>
              <w:ind w:firstLine="210" w:firstLineChars="100"/>
              <w:rPr>
                <w:rFonts w:hint="eastAsia" w:ascii="Times New Roman" w:hAnsi="Times New Roman"/>
                <w:szCs w:val="21"/>
              </w:rPr>
            </w:pPr>
            <w:r>
              <w:rPr>
                <w:rFonts w:hint="eastAsia" w:ascii="Times New Roman" w:hAnsi="Times New Roman"/>
                <w:szCs w:val="21"/>
              </w:rPr>
              <w:t>3.2.6 峰背比：≥4,000:1</w:t>
            </w:r>
          </w:p>
          <w:p>
            <w:pPr>
              <w:spacing w:line="240" w:lineRule="auto"/>
              <w:ind w:firstLine="210" w:firstLineChars="100"/>
              <w:rPr>
                <w:rFonts w:hint="eastAsia" w:ascii="Times New Roman" w:hAnsi="Times New Roman"/>
                <w:szCs w:val="21"/>
              </w:rPr>
            </w:pPr>
            <w:r>
              <w:rPr>
                <w:rFonts w:hint="eastAsia" w:ascii="Times New Roman" w:hAnsi="Times New Roman"/>
                <w:szCs w:val="21"/>
              </w:rPr>
              <w:t>3.2.</w:t>
            </w:r>
            <w:r>
              <w:rPr>
                <w:rFonts w:hint="eastAsia"/>
                <w:szCs w:val="21"/>
                <w:lang w:val="en-US" w:eastAsia="zh-CN"/>
              </w:rPr>
              <w:t>7</w:t>
            </w:r>
            <w:r>
              <w:rPr>
                <w:rFonts w:hint="eastAsia" w:ascii="Times New Roman" w:hAnsi="Times New Roman"/>
                <w:szCs w:val="21"/>
              </w:rPr>
              <w:t xml:space="preserve"> 软件： 导航分析器，全英文或者中文软件操作界面及帮助系统，实时帮助系统，信息管理系统， 实验报告系统等</w:t>
            </w:r>
          </w:p>
          <w:p>
            <w:pPr>
              <w:spacing w:line="240" w:lineRule="auto"/>
              <w:ind w:firstLine="210" w:firstLineChars="100"/>
              <w:rPr>
                <w:rFonts w:hint="eastAsia" w:ascii="Times New Roman" w:hAnsi="Times New Roman"/>
                <w:szCs w:val="21"/>
              </w:rPr>
            </w:pPr>
            <w:r>
              <w:rPr>
                <w:rFonts w:hint="eastAsia" w:ascii="Times New Roman" w:hAnsi="Times New Roman"/>
                <w:szCs w:val="21"/>
              </w:rPr>
              <w:t>3.3 底插CMOS相机技术规格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3.3.1 功能：该附件是透射电镜的必要附件，用于透射电镜形貌像和电子衍射花样的数字化图像的记录，具有数字化图像处理的功能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3.3.2 CMOS相机最大像素：≥400万像素 </w:t>
            </w:r>
          </w:p>
          <w:p>
            <w:pPr>
              <w:spacing w:line="240" w:lineRule="auto"/>
              <w:ind w:firstLine="210" w:firstLineChars="100"/>
              <w:rPr>
                <w:rFonts w:hint="eastAsia" w:ascii="Times New Roman" w:hAnsi="Times New Roman"/>
                <w:szCs w:val="21"/>
              </w:rPr>
            </w:pPr>
            <w:r>
              <w:rPr>
                <w:rFonts w:hint="eastAsia" w:ascii="Times New Roman" w:hAnsi="Times New Roman"/>
                <w:szCs w:val="21"/>
              </w:rPr>
              <w:t>3.3.3 具有超高的读取速度，速度应不小于30fps@400万像素</w:t>
            </w:r>
          </w:p>
          <w:p>
            <w:pPr>
              <w:spacing w:line="240" w:lineRule="auto"/>
              <w:ind w:firstLine="210" w:firstLineChars="100"/>
              <w:rPr>
                <w:rFonts w:hint="eastAsia" w:ascii="Times New Roman" w:hAnsi="Times New Roman"/>
                <w:szCs w:val="21"/>
              </w:rPr>
            </w:pPr>
            <w:r>
              <w:rPr>
                <w:rFonts w:hint="eastAsia" w:ascii="Times New Roman" w:hAnsi="Times New Roman"/>
                <w:szCs w:val="21"/>
              </w:rPr>
              <w:t>3.3.4具有大的动态范围，高达16bit，可以快速直接拍摄衍射花样和低剂量图像</w:t>
            </w:r>
          </w:p>
          <w:p>
            <w:pPr>
              <w:spacing w:line="240" w:lineRule="auto"/>
              <w:ind w:firstLine="210" w:firstLineChars="100"/>
              <w:rPr>
                <w:rFonts w:hint="eastAsia" w:ascii="Times New Roman" w:hAnsi="Times New Roman"/>
                <w:szCs w:val="21"/>
              </w:rPr>
            </w:pPr>
            <w:r>
              <w:rPr>
                <w:rFonts w:hint="eastAsia" w:ascii="Times New Roman" w:hAnsi="Times New Roman"/>
                <w:szCs w:val="21"/>
              </w:rPr>
              <w:t>3.3.5 防漂移等高级功能：自动漂移校正</w:t>
            </w:r>
          </w:p>
          <w:p>
            <w:pPr>
              <w:spacing w:line="240" w:lineRule="auto"/>
              <w:ind w:firstLine="210" w:firstLineChars="100"/>
              <w:rPr>
                <w:rFonts w:hint="eastAsia" w:ascii="Times New Roman" w:hAnsi="Times New Roman"/>
                <w:szCs w:val="21"/>
              </w:rPr>
            </w:pPr>
            <w:r>
              <w:rPr>
                <w:rFonts w:hint="eastAsia" w:ascii="Times New Roman" w:hAnsi="Times New Roman"/>
                <w:szCs w:val="21"/>
              </w:rPr>
              <w:t>4. 产品配置要求：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4.1 200kV六硼化斓透射电子显微镜配置要求如下：</w:t>
            </w:r>
          </w:p>
          <w:p>
            <w:pPr>
              <w:spacing w:line="240" w:lineRule="auto"/>
              <w:ind w:firstLine="210" w:firstLineChars="100"/>
              <w:rPr>
                <w:rFonts w:hint="eastAsia" w:ascii="Times New Roman" w:hAnsi="Times New Roman"/>
                <w:szCs w:val="21"/>
              </w:rPr>
            </w:pPr>
            <w:r>
              <w:rPr>
                <w:rFonts w:hint="eastAsia" w:ascii="Times New Roman" w:hAnsi="Times New Roman"/>
                <w:szCs w:val="21"/>
              </w:rPr>
              <w:t>4.1.1透射电子显微镜基本单元完整 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4.1.2 电镜正常工作所需的稳压电源、循环冷却水系、SF6气体统等完整1套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4.1.3普通单倾台</w:t>
            </w:r>
            <w:r>
              <w:rPr>
                <w:rFonts w:hint="eastAsia" w:ascii="Times New Roman" w:hAnsi="Times New Roman"/>
                <w:szCs w:val="21"/>
              </w:rPr>
              <w:tab/>
            </w:r>
            <w:r>
              <w:rPr>
                <w:rFonts w:hint="eastAsia" w:ascii="Times New Roman" w:hAnsi="Times New Roman"/>
                <w:szCs w:val="21"/>
              </w:rPr>
              <w:t>1只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4.1.4 双倾样品台1只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4.1.5 单晶LaB6灯丝2只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4.1.6 透射电镜长期使用所需要的备品备件、专用工具1套</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4.2能谱分析仪(EDS)配置要求：严格满足上述3.2技术规格要求的配置完整1套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4.3 CCD相机的配置要求：严格满足上述3.3技术规格要求的配置完整1套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4.4 满足3.6技术规格的制样设备完整一套</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5．安装、调试和验收</w:t>
            </w:r>
          </w:p>
        </w:tc>
      </w:tr>
    </w:tbl>
    <w:p>
      <w:pPr>
        <w:pStyle w:val="2"/>
      </w:pPr>
    </w:p>
    <w:p>
      <w:pPr>
        <w:pStyle w:val="2"/>
        <w:rPr>
          <w:rFonts w:hint="eastAsia"/>
        </w:rPr>
      </w:pPr>
    </w:p>
    <w:p>
      <w:pPr>
        <w:pStyle w:val="2"/>
        <w:rPr>
          <w:rFonts w:hint="eastAsia"/>
          <w:lang w:eastAsia="zh-CN"/>
        </w:rPr>
        <w:sectPr>
          <w:footerReference r:id="rId10" w:type="default"/>
          <w:pgSz w:w="11906" w:h="16838"/>
          <w:pgMar w:top="1423" w:right="1423" w:bottom="1423" w:left="1423" w:header="851" w:footer="850" w:gutter="0"/>
          <w:cols w:space="0" w:num="1"/>
          <w:docGrid w:type="lines" w:linePitch="312" w:charSpace="0"/>
        </w:sectPr>
      </w:pPr>
    </w:p>
    <w:bookmarkEnd w:id="451"/>
    <w:bookmarkEnd w:id="452"/>
    <w:bookmarkEnd w:id="453"/>
    <w:p>
      <w:pPr>
        <w:bidi w:val="0"/>
        <w:jc w:val="center"/>
        <w:rPr>
          <w:b/>
          <w:bCs/>
          <w:sz w:val="44"/>
          <w:szCs w:val="44"/>
        </w:rPr>
      </w:pPr>
      <w:bookmarkStart w:id="454" w:name="_Toc19690"/>
      <w:bookmarkStart w:id="455" w:name="_Toc30367"/>
      <w:bookmarkStart w:id="456" w:name="_Toc39851949"/>
      <w:bookmarkStart w:id="457" w:name="_Toc24586"/>
      <w:bookmarkStart w:id="458" w:name="_Toc14702"/>
      <w:bookmarkStart w:id="459" w:name="_Toc19603587"/>
      <w:bookmarkStart w:id="460" w:name="_Toc12875"/>
      <w:bookmarkStart w:id="461" w:name="_Toc11008"/>
      <w:bookmarkStart w:id="462" w:name="_Toc26985"/>
      <w:r>
        <w:rPr>
          <w:rFonts w:hint="eastAsia"/>
          <w:b/>
          <w:bCs/>
          <w:sz w:val="44"/>
          <w:szCs w:val="44"/>
        </w:rPr>
        <w:t>投标文件格式</w:t>
      </w:r>
      <w:bookmarkEnd w:id="454"/>
      <w:bookmarkEnd w:id="455"/>
      <w:bookmarkEnd w:id="456"/>
      <w:bookmarkEnd w:id="457"/>
      <w:bookmarkEnd w:id="458"/>
      <w:bookmarkEnd w:id="459"/>
      <w:bookmarkEnd w:id="460"/>
      <w:bookmarkEnd w:id="461"/>
      <w:bookmarkEnd w:id="462"/>
    </w:p>
    <w:p>
      <w:pPr>
        <w:adjustRightInd w:val="0"/>
        <w:snapToGrid w:val="0"/>
        <w:spacing w:line="440" w:lineRule="exact"/>
        <w:rPr>
          <w:rFonts w:ascii="宋体" w:hAnsi="宋体" w:cs="宋体"/>
          <w:b/>
          <w:bCs/>
          <w:color w:val="auto"/>
          <w:highlight w:val="none"/>
        </w:rPr>
      </w:pPr>
    </w:p>
    <w:p>
      <w:pPr>
        <w:adjustRightInd w:val="0"/>
        <w:snapToGrid w:val="0"/>
        <w:spacing w:line="440" w:lineRule="exact"/>
        <w:rPr>
          <w:rFonts w:ascii="宋体" w:hAnsi="宋体" w:cs="宋体"/>
          <w:b/>
          <w:bCs/>
          <w:color w:val="auto"/>
          <w:highlight w:val="none"/>
        </w:rPr>
      </w:pPr>
      <w:r>
        <w:rPr>
          <w:rFonts w:hint="eastAsia" w:ascii="宋体" w:hAnsi="宋体" w:cs="宋体"/>
          <w:b/>
          <w:bCs/>
          <w:color w:val="auto"/>
          <w:highlight w:val="none"/>
        </w:rPr>
        <w:t>说明：</w:t>
      </w:r>
    </w:p>
    <w:p>
      <w:pPr>
        <w:adjustRightInd w:val="0"/>
        <w:snapToGrid w:val="0"/>
        <w:spacing w:line="440" w:lineRule="exact"/>
        <w:ind w:firstLine="413" w:firstLineChars="196"/>
        <w:rPr>
          <w:rFonts w:ascii="宋体" w:hAnsi="宋体" w:cs="宋体"/>
          <w:b/>
          <w:bCs/>
          <w:color w:val="auto"/>
          <w:highlight w:val="none"/>
        </w:rPr>
      </w:pPr>
      <w:r>
        <w:rPr>
          <w:rFonts w:hint="eastAsia" w:ascii="宋体" w:hAnsi="宋体" w:cs="宋体"/>
          <w:b/>
          <w:bCs/>
          <w:color w:val="auto"/>
          <w:highlight w:val="none"/>
        </w:rPr>
        <w:t>本招标文件第六章中所提供的表格、文件格式仅供投标人在制作投标文件时的参考，不作为废标条件。投标文件应编制目录，本章中要求的盖单位公章的地方即盖企业电子签章，法定代表人或授权代理人签字或盖章可以为签字后的扫描件，也可以以CA锁直接签字盖章。</w:t>
      </w:r>
    </w:p>
    <w:p>
      <w:pPr>
        <w:widowControl/>
        <w:jc w:val="center"/>
        <w:outlineLvl w:val="0"/>
        <w:rPr>
          <w:rStyle w:val="65"/>
          <w:rFonts w:ascii="宋体" w:hAnsi="宋体" w:cs="宋体"/>
          <w:color w:val="auto"/>
          <w:sz w:val="32"/>
          <w:szCs w:val="32"/>
          <w:highlight w:val="none"/>
        </w:rPr>
        <w:sectPr>
          <w:pgSz w:w="11906" w:h="16838"/>
          <w:pgMar w:top="1650" w:right="1650" w:bottom="1650" w:left="1650" w:header="851" w:footer="850" w:gutter="0"/>
          <w:cols w:space="0" w:num="1"/>
          <w:docGrid w:type="lines" w:linePitch="312" w:charSpace="0"/>
        </w:sectPr>
      </w:pPr>
    </w:p>
    <w:p>
      <w:pPr>
        <w:widowControl/>
        <w:jc w:val="center"/>
        <w:outlineLvl w:val="0"/>
        <w:rPr>
          <w:rFonts w:ascii="宋体" w:hAnsi="宋体" w:cs="宋体"/>
          <w:color w:val="auto"/>
          <w:sz w:val="32"/>
          <w:szCs w:val="32"/>
          <w:highlight w:val="none"/>
        </w:rPr>
      </w:pPr>
      <w:bookmarkStart w:id="463" w:name="_Toc21039"/>
      <w:r>
        <w:rPr>
          <w:rStyle w:val="65"/>
          <w:rFonts w:hint="eastAsia" w:ascii="宋体" w:hAnsi="宋体" w:cs="宋体"/>
          <w:color w:val="auto"/>
          <w:sz w:val="32"/>
          <w:szCs w:val="32"/>
          <w:highlight w:val="none"/>
        </w:rPr>
        <w:t>第六章 投标文件格式</w:t>
      </w:r>
      <w:bookmarkEnd w:id="463"/>
    </w:p>
    <w:p>
      <w:pPr>
        <w:tabs>
          <w:tab w:val="left" w:pos="825"/>
        </w:tabs>
        <w:spacing w:line="360" w:lineRule="auto"/>
        <w:jc w:val="center"/>
        <w:rPr>
          <w:rFonts w:ascii="宋体" w:hAnsi="宋体" w:cs="宋体"/>
          <w:color w:val="auto"/>
          <w:sz w:val="24"/>
          <w:szCs w:val="24"/>
          <w:highlight w:val="none"/>
        </w:rPr>
      </w:pPr>
    </w:p>
    <w:p>
      <w:pPr>
        <w:tabs>
          <w:tab w:val="left" w:pos="825"/>
        </w:tabs>
        <w:spacing w:line="360" w:lineRule="auto"/>
        <w:jc w:val="center"/>
        <w:rPr>
          <w:rFonts w:ascii="宋体" w:hAnsi="宋体" w:cs="宋体"/>
          <w:color w:val="auto"/>
          <w:sz w:val="24"/>
          <w:szCs w:val="24"/>
          <w:highlight w:val="none"/>
        </w:rPr>
      </w:pPr>
    </w:p>
    <w:p>
      <w:pPr>
        <w:pStyle w:val="46"/>
        <w:ind w:firstLine="0"/>
        <w:jc w:val="center"/>
        <w:rPr>
          <w:rFonts w:hint="eastAsia" w:ascii="宋体" w:hAnsi="宋体" w:eastAsia="宋体"/>
          <w:b/>
          <w:bCs/>
          <w:color w:val="auto"/>
          <w:sz w:val="44"/>
          <w:szCs w:val="44"/>
          <w:highlight w:val="none"/>
          <w:lang w:eastAsia="zh-CN"/>
        </w:rPr>
      </w:pPr>
      <w:r>
        <w:rPr>
          <w:rFonts w:hint="eastAsia" w:ascii="宋体" w:hAnsi="宋体" w:eastAsia="宋体"/>
          <w:b/>
          <w:bCs/>
          <w:color w:val="auto"/>
          <w:sz w:val="44"/>
          <w:szCs w:val="44"/>
          <w:highlight w:val="none"/>
          <w:lang w:eastAsia="zh-CN"/>
        </w:rPr>
        <w:t>尧山实验室2024年陶瓷基复合材料实验设备采购项目</w:t>
      </w:r>
    </w:p>
    <w:p>
      <w:pPr>
        <w:pStyle w:val="47"/>
        <w:rPr>
          <w:color w:val="auto"/>
          <w:highlight w:val="none"/>
        </w:rPr>
      </w:pPr>
    </w:p>
    <w:p>
      <w:pPr>
        <w:spacing w:line="360" w:lineRule="auto"/>
        <w:rPr>
          <w:rFonts w:ascii="宋体" w:hAnsi="宋体"/>
          <w:b/>
          <w:color w:val="auto"/>
          <w:sz w:val="52"/>
          <w:szCs w:val="52"/>
          <w:highlight w:val="none"/>
        </w:rPr>
      </w:pPr>
    </w:p>
    <w:p>
      <w:pPr>
        <w:spacing w:line="360" w:lineRule="auto"/>
        <w:rPr>
          <w:rFonts w:ascii="宋体" w:hAnsi="宋体"/>
          <w:b/>
          <w:color w:val="auto"/>
          <w:sz w:val="52"/>
          <w:szCs w:val="52"/>
          <w:highlight w:val="none"/>
        </w:rPr>
      </w:pPr>
    </w:p>
    <w:p>
      <w:pPr>
        <w:spacing w:line="360" w:lineRule="auto"/>
        <w:jc w:val="center"/>
        <w:rPr>
          <w:rFonts w:ascii="宋体" w:hAnsi="宋体"/>
          <w:b/>
          <w:color w:val="auto"/>
          <w:sz w:val="100"/>
          <w:szCs w:val="100"/>
          <w:highlight w:val="none"/>
        </w:rPr>
      </w:pPr>
      <w:r>
        <w:rPr>
          <w:rFonts w:hint="eastAsia" w:ascii="宋体" w:hAnsi="宋体"/>
          <w:b/>
          <w:color w:val="auto"/>
          <w:sz w:val="100"/>
          <w:szCs w:val="100"/>
          <w:highlight w:val="none"/>
        </w:rPr>
        <w:t>投标文件</w:t>
      </w:r>
    </w:p>
    <w:p>
      <w:pPr>
        <w:spacing w:line="360" w:lineRule="auto"/>
        <w:jc w:val="center"/>
        <w:rPr>
          <w:rFonts w:ascii="宋体" w:hAnsi="宋体"/>
          <w:b/>
          <w:color w:val="auto"/>
          <w:sz w:val="100"/>
          <w:szCs w:val="100"/>
          <w:highlight w:val="none"/>
        </w:rPr>
      </w:pPr>
      <w:r>
        <w:rPr>
          <w:rFonts w:hint="eastAsia" w:ascii="宋体" w:hAnsi="宋体"/>
          <w:color w:val="auto"/>
          <w:sz w:val="32"/>
          <w:szCs w:val="32"/>
          <w:highlight w:val="none"/>
        </w:rPr>
        <w:t>项目编号：</w:t>
      </w:r>
    </w:p>
    <w:p>
      <w:pPr>
        <w:rPr>
          <w:rFonts w:ascii="宋体" w:hAnsi="宋体"/>
          <w:color w:val="auto"/>
          <w:sz w:val="28"/>
          <w:szCs w:val="28"/>
          <w:highlight w:val="none"/>
        </w:rPr>
      </w:pPr>
    </w:p>
    <w:p>
      <w:pPr>
        <w:rPr>
          <w:rFonts w:ascii="宋体" w:hAnsi="宋体"/>
          <w:color w:val="auto"/>
          <w:sz w:val="28"/>
          <w:szCs w:val="28"/>
          <w:highlight w:val="none"/>
        </w:rPr>
      </w:pPr>
    </w:p>
    <w:p>
      <w:pPr>
        <w:tabs>
          <w:tab w:val="left" w:pos="360"/>
        </w:tabs>
        <w:jc w:val="center"/>
        <w:rPr>
          <w:rFonts w:ascii="宋体" w:hAnsi="宋体"/>
          <w:b/>
          <w:color w:val="auto"/>
          <w:sz w:val="28"/>
          <w:szCs w:val="28"/>
          <w:highlight w:val="none"/>
        </w:rPr>
      </w:pPr>
      <w:r>
        <w:rPr>
          <w:rFonts w:hint="eastAsia" w:ascii="宋体" w:hAnsi="宋体"/>
          <w:b/>
          <w:color w:val="auto"/>
          <w:sz w:val="28"/>
          <w:szCs w:val="28"/>
          <w:highlight w:val="none"/>
        </w:rPr>
        <w:t>投 标 人：（企业电子签章）</w:t>
      </w:r>
    </w:p>
    <w:p>
      <w:pPr>
        <w:tabs>
          <w:tab w:val="left" w:pos="360"/>
        </w:tabs>
        <w:jc w:val="center"/>
        <w:rPr>
          <w:rFonts w:ascii="宋体" w:hAnsi="宋体"/>
          <w:b/>
          <w:color w:val="auto"/>
          <w:sz w:val="28"/>
          <w:szCs w:val="28"/>
          <w:highlight w:val="none"/>
        </w:rPr>
      </w:pPr>
    </w:p>
    <w:p>
      <w:pPr>
        <w:tabs>
          <w:tab w:val="left" w:pos="360"/>
        </w:tabs>
        <w:jc w:val="center"/>
        <w:rPr>
          <w:rFonts w:ascii="宋体" w:hAnsi="宋体"/>
          <w:b/>
          <w:color w:val="auto"/>
          <w:sz w:val="28"/>
          <w:szCs w:val="28"/>
          <w:highlight w:val="none"/>
        </w:rPr>
      </w:pPr>
      <w:r>
        <w:rPr>
          <w:rFonts w:hint="eastAsia" w:ascii="宋体" w:hAnsi="宋体"/>
          <w:b/>
          <w:color w:val="auto"/>
          <w:sz w:val="28"/>
          <w:szCs w:val="28"/>
          <w:highlight w:val="none"/>
        </w:rPr>
        <w:t>法定代表人或其委托代理人：（个人电子签章或签字）</w:t>
      </w:r>
    </w:p>
    <w:p>
      <w:pPr>
        <w:rPr>
          <w:rFonts w:ascii="宋体" w:hAnsi="宋体"/>
          <w:color w:val="auto"/>
          <w:sz w:val="28"/>
          <w:szCs w:val="28"/>
          <w:highlight w:val="none"/>
        </w:rPr>
      </w:pPr>
    </w:p>
    <w:p>
      <w:pPr>
        <w:rPr>
          <w:rFonts w:ascii="宋体" w:hAnsi="宋体"/>
          <w:color w:val="auto"/>
          <w:highlight w:val="none"/>
        </w:rPr>
      </w:pPr>
    </w:p>
    <w:p>
      <w:pPr>
        <w:pStyle w:val="46"/>
        <w:rPr>
          <w:rFonts w:ascii="宋体" w:hAnsi="宋体" w:eastAsia="宋体"/>
          <w:color w:val="auto"/>
          <w:highlight w:val="none"/>
        </w:rPr>
      </w:pP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 年  月  日</w:t>
      </w:r>
    </w:p>
    <w:p>
      <w:pPr>
        <w:autoSpaceDE w:val="0"/>
        <w:autoSpaceDN w:val="0"/>
        <w:adjustRightInd w:val="0"/>
        <w:spacing w:line="440" w:lineRule="exact"/>
        <w:jc w:val="left"/>
        <w:rPr>
          <w:rFonts w:ascii="宋体" w:hAnsi="宋体" w:cs="宋体"/>
          <w:color w:val="auto"/>
          <w:kern w:val="0"/>
          <w:highlight w:val="none"/>
        </w:rPr>
      </w:pPr>
    </w:p>
    <w:p>
      <w:pPr>
        <w:pStyle w:val="4"/>
        <w:ind w:left="0" w:firstLine="0"/>
        <w:rPr>
          <w:rFonts w:ascii="宋体" w:hAnsi="宋体"/>
          <w:color w:val="auto"/>
          <w:sz w:val="24"/>
          <w:szCs w:val="24"/>
          <w:highlight w:val="none"/>
        </w:rPr>
      </w:pPr>
      <w:r>
        <w:rPr>
          <w:rFonts w:hint="eastAsia" w:ascii="宋体" w:hAnsi="宋体" w:cs="宋体"/>
          <w:color w:val="auto"/>
          <w:sz w:val="28"/>
          <w:szCs w:val="28"/>
          <w:highlight w:val="none"/>
        </w:rPr>
        <w:br w:type="page"/>
      </w:r>
      <w:bookmarkStart w:id="464" w:name="_Toc13061"/>
      <w:bookmarkStart w:id="465" w:name="_Toc1104"/>
      <w:r>
        <w:rPr>
          <w:rFonts w:hint="eastAsia" w:ascii="宋体" w:hAnsi="宋体" w:cs="宋体"/>
          <w:color w:val="auto"/>
          <w:sz w:val="28"/>
          <w:szCs w:val="28"/>
          <w:highlight w:val="none"/>
        </w:rPr>
        <w:t>一、投标函</w:t>
      </w:r>
      <w:bookmarkEnd w:id="464"/>
      <w:bookmarkEnd w:id="465"/>
    </w:p>
    <w:p>
      <w:pPr>
        <w:pStyle w:val="2"/>
        <w:snapToGrid w:val="0"/>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我方已仔细阅读并研究了</w:t>
      </w:r>
      <w:r>
        <w:rPr>
          <w:rFonts w:hint="eastAsia" w:ascii="宋体" w:hAnsi="宋体" w:cs="宋体"/>
          <w:color w:val="auto"/>
          <w:highlight w:val="none"/>
          <w:u w:val="single"/>
        </w:rPr>
        <w:t xml:space="preserve">                    （项目名称）</w:t>
      </w:r>
      <w:r>
        <w:rPr>
          <w:rFonts w:hint="eastAsia" w:ascii="宋体" w:hAnsi="宋体" w:cs="宋体"/>
          <w:color w:val="auto"/>
          <w:highlight w:val="none"/>
        </w:rPr>
        <w:t>招标文件的全部内容（包含本项目的所有补遗、澄清和变更资料），我们完全熟悉其中的要求、条款和条件。愿意以</w:t>
      </w:r>
      <w:r>
        <w:rPr>
          <w:rFonts w:hint="eastAsia" w:ascii="宋体" w:hAnsi="宋体" w:cs="宋体"/>
          <w:color w:val="auto"/>
          <w:highlight w:val="none"/>
          <w:u w:val="single"/>
        </w:rPr>
        <w:t xml:space="preserve">（大写：              ）（小写：        </w:t>
      </w:r>
      <w:r>
        <w:rPr>
          <w:rFonts w:hint="eastAsia" w:ascii="宋体" w:hAnsi="宋体" w:cs="宋体"/>
          <w:color w:val="auto"/>
          <w:highlight w:val="none"/>
        </w:rPr>
        <w:t>）的投标价格，按招标文件要求对完成本项目全周期内的相应工作。同时做出以下声明：</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1.我方按招标文件的要求编制投标文件。</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2.我方投标有效期为递交投标文件的截止之日起</w:t>
      </w:r>
      <w:r>
        <w:rPr>
          <w:rFonts w:hint="eastAsia" w:ascii="宋体" w:hAnsi="宋体" w:cs="宋体"/>
          <w:color w:val="auto"/>
          <w:highlight w:val="none"/>
          <w:u w:val="single"/>
        </w:rPr>
        <w:t xml:space="preserve">   </w:t>
      </w:r>
      <w:r>
        <w:rPr>
          <w:rFonts w:hint="eastAsia" w:ascii="宋体" w:hAnsi="宋体" w:cs="宋体"/>
          <w:color w:val="auto"/>
          <w:highlight w:val="none"/>
        </w:rPr>
        <w:t>日历天。</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3.我方承诺与采购人聘请的为此项目提供咨询服务的公司及任何附属机构均无关联，我方不是采购人的附属机构。</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4.我方将按招标文件的规定履行合同责任和义务。</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5.我方同意提供贵方可能要求的与其投标有关的一切数据或资料。</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6.我方完全理解贵方不一定接受最低价的响应或收到的任何响应。</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7.我方承诺不泄露投标活动中获取的项目信息、商业秘密。</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8.我方在此声明，所递交的投标文件及有关资料内容完整、真实和准确。</w:t>
      </w:r>
    </w:p>
    <w:p>
      <w:pPr>
        <w:pStyle w:val="2"/>
        <w:tabs>
          <w:tab w:val="left" w:pos="4475"/>
          <w:tab w:val="left" w:pos="4706"/>
          <w:tab w:val="left" w:pos="5392"/>
          <w:tab w:val="left" w:pos="8498"/>
        </w:tabs>
        <w:snapToGrid w:val="0"/>
        <w:spacing w:line="420" w:lineRule="exact"/>
        <w:ind w:firstLine="2446" w:firstLineChars="1176"/>
        <w:rPr>
          <w:rFonts w:ascii="宋体" w:hAnsi="宋体" w:eastAsia="宋体" w:cs="宋体"/>
          <w:color w:val="auto"/>
          <w:spacing w:val="-1"/>
          <w:sz w:val="21"/>
          <w:szCs w:val="21"/>
          <w:highlight w:val="none"/>
        </w:rPr>
      </w:pPr>
    </w:p>
    <w:p>
      <w:pPr>
        <w:pStyle w:val="2"/>
        <w:tabs>
          <w:tab w:val="left" w:pos="4475"/>
          <w:tab w:val="left" w:pos="4706"/>
          <w:tab w:val="left" w:pos="5392"/>
          <w:tab w:val="left" w:pos="8498"/>
        </w:tabs>
        <w:snapToGrid w:val="0"/>
        <w:spacing w:line="420" w:lineRule="exact"/>
        <w:ind w:firstLine="2446" w:firstLineChars="1176"/>
        <w:rPr>
          <w:rFonts w:ascii="宋体" w:hAnsi="宋体" w:eastAsia="宋体" w:cs="宋体"/>
          <w:color w:val="auto"/>
          <w:spacing w:val="-1"/>
          <w:sz w:val="21"/>
          <w:szCs w:val="21"/>
          <w:highlight w:val="none"/>
        </w:rPr>
      </w:pPr>
    </w:p>
    <w:p>
      <w:pPr>
        <w:pStyle w:val="2"/>
        <w:tabs>
          <w:tab w:val="left" w:pos="4475"/>
          <w:tab w:val="left" w:pos="8647"/>
        </w:tabs>
        <w:snapToGrid w:val="0"/>
        <w:spacing w:line="420" w:lineRule="exact"/>
        <w:ind w:right="-40" w:firstLine="4160" w:firstLineChars="2000"/>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 投标人：</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（电子印章）</w:t>
      </w:r>
    </w:p>
    <w:p>
      <w:pPr>
        <w:pStyle w:val="2"/>
        <w:tabs>
          <w:tab w:val="left" w:pos="4475"/>
          <w:tab w:val="left" w:pos="8647"/>
        </w:tabs>
        <w:snapToGrid w:val="0"/>
        <w:spacing w:line="420" w:lineRule="exact"/>
        <w:ind w:right="-40" w:firstLine="2704" w:firstLineChars="1300"/>
        <w:jc w:val="both"/>
        <w:rPr>
          <w:rFonts w:hint="eastAsia" w:ascii="宋体" w:hAnsi="宋体" w:eastAsia="宋体" w:cs="宋体"/>
          <w:color w:val="auto"/>
          <w:spacing w:val="-1"/>
          <w:sz w:val="21"/>
          <w:szCs w:val="21"/>
          <w:highlight w:val="none"/>
        </w:rPr>
      </w:pPr>
    </w:p>
    <w:p>
      <w:pPr>
        <w:pStyle w:val="2"/>
        <w:tabs>
          <w:tab w:val="left" w:pos="4475"/>
          <w:tab w:val="left" w:pos="8647"/>
        </w:tabs>
        <w:snapToGrid w:val="0"/>
        <w:spacing w:line="420" w:lineRule="exact"/>
        <w:ind w:right="-40" w:firstLine="2704" w:firstLineChars="1300"/>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         日  期：</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年</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月</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日</w:t>
      </w:r>
    </w:p>
    <w:p>
      <w:pPr>
        <w:pStyle w:val="4"/>
        <w:ind w:left="0" w:firstLine="0"/>
        <w:jc w:val="center"/>
        <w:rPr>
          <w:color w:val="auto"/>
          <w:sz w:val="21"/>
          <w:szCs w:val="21"/>
          <w:highlight w:val="none"/>
        </w:rPr>
      </w:pPr>
      <w:r>
        <w:rPr>
          <w:rFonts w:hint="eastAsia" w:ascii="宋体" w:hAnsi="宋体"/>
          <w:color w:val="auto"/>
          <w:sz w:val="24"/>
          <w:szCs w:val="24"/>
          <w:highlight w:val="none"/>
        </w:rPr>
        <w:br w:type="page"/>
      </w:r>
      <w:bookmarkStart w:id="466" w:name="_Toc24748"/>
      <w:bookmarkStart w:id="467" w:name="_Toc30441"/>
      <w:r>
        <w:rPr>
          <w:rFonts w:hint="eastAsia" w:ascii="宋体" w:hAnsi="宋体" w:cs="宋体"/>
          <w:color w:val="auto"/>
          <w:sz w:val="28"/>
          <w:szCs w:val="28"/>
          <w:highlight w:val="none"/>
        </w:rPr>
        <w:t>二、开标一览表</w:t>
      </w:r>
      <w:bookmarkEnd w:id="466"/>
      <w:bookmarkEnd w:id="467"/>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5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项目名称</w:t>
            </w:r>
          </w:p>
        </w:tc>
        <w:tc>
          <w:tcPr>
            <w:tcW w:w="5072" w:type="dxa"/>
            <w:vAlign w:val="center"/>
          </w:tcPr>
          <w:p>
            <w:pPr>
              <w:spacing w:line="360" w:lineRule="auto"/>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投标人名称</w:t>
            </w:r>
          </w:p>
        </w:tc>
        <w:tc>
          <w:tcPr>
            <w:tcW w:w="5072" w:type="dxa"/>
            <w:vAlign w:val="center"/>
          </w:tcPr>
          <w:p>
            <w:pPr>
              <w:spacing w:line="360" w:lineRule="auto"/>
              <w:ind w:firstLine="435"/>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投标报价（元）</w:t>
            </w:r>
          </w:p>
        </w:tc>
        <w:tc>
          <w:tcPr>
            <w:tcW w:w="5072" w:type="dxa"/>
            <w:vAlign w:val="center"/>
          </w:tcPr>
          <w:p>
            <w:pPr>
              <w:spacing w:line="360" w:lineRule="auto"/>
              <w:rPr>
                <w:rFonts w:ascii="宋体" w:hAnsi="宋体"/>
                <w:bCs/>
                <w:color w:val="auto"/>
                <w:highlight w:val="none"/>
              </w:rPr>
            </w:pPr>
            <w:r>
              <w:rPr>
                <w:rFonts w:hint="eastAsia" w:ascii="宋体" w:hAnsi="宋体"/>
                <w:bCs/>
                <w:color w:val="auto"/>
                <w:highlight w:val="none"/>
              </w:rPr>
              <w:t>大写：</w:t>
            </w:r>
          </w:p>
          <w:p>
            <w:pPr>
              <w:spacing w:line="360" w:lineRule="auto"/>
              <w:rPr>
                <w:rFonts w:ascii="宋体" w:hAnsi="宋体"/>
                <w:bCs/>
                <w:color w:val="auto"/>
                <w:highlight w:val="none"/>
              </w:rPr>
            </w:pPr>
            <w:r>
              <w:rPr>
                <w:rFonts w:hint="eastAsia" w:ascii="宋体" w:hAnsi="宋体"/>
                <w:bCs/>
                <w:color w:val="auto"/>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投标有效期</w:t>
            </w:r>
          </w:p>
        </w:tc>
        <w:tc>
          <w:tcPr>
            <w:tcW w:w="5072" w:type="dxa"/>
            <w:vAlign w:val="center"/>
          </w:tcPr>
          <w:p>
            <w:pPr>
              <w:spacing w:line="360" w:lineRule="auto"/>
              <w:jc w:val="center"/>
              <w:rPr>
                <w:rFonts w:ascii="宋体" w:hAnsi="宋体" w:cs="宋体"/>
                <w:color w:val="auto"/>
                <w:highlight w:val="none"/>
                <w:u w:val="single"/>
              </w:rPr>
            </w:pPr>
            <w:r>
              <w:rPr>
                <w:rFonts w:hint="eastAsia" w:ascii="宋体" w:hAnsi="宋体" w:cs="宋体"/>
                <w:color w:val="auto"/>
                <w:highlight w:val="none"/>
              </w:rPr>
              <w:t>递交投标文件的截止之日起60日历天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lang w:val="en-US" w:eastAsia="zh-CN"/>
              </w:rPr>
              <w:t>供</w:t>
            </w:r>
            <w:r>
              <w:rPr>
                <w:rFonts w:hint="eastAsia" w:ascii="宋体" w:hAnsi="宋体" w:cs="宋体"/>
                <w:color w:val="auto"/>
                <w:highlight w:val="none"/>
              </w:rPr>
              <w:t>货期</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交货地点</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质量标准</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质保期</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备注</w:t>
            </w:r>
          </w:p>
        </w:tc>
        <w:tc>
          <w:tcPr>
            <w:tcW w:w="5072" w:type="dxa"/>
            <w:vAlign w:val="center"/>
          </w:tcPr>
          <w:p>
            <w:pPr>
              <w:spacing w:line="360" w:lineRule="auto"/>
              <w:jc w:val="center"/>
              <w:rPr>
                <w:rFonts w:ascii="宋体" w:hAnsi="宋体" w:cs="宋体"/>
                <w:color w:val="auto"/>
                <w:highlight w:val="none"/>
              </w:rPr>
            </w:pPr>
          </w:p>
        </w:tc>
      </w:tr>
    </w:tbl>
    <w:p>
      <w:pPr>
        <w:pStyle w:val="2"/>
        <w:spacing w:line="362" w:lineRule="auto"/>
        <w:rPr>
          <w:color w:val="auto"/>
          <w:highlight w:val="none"/>
        </w:rPr>
      </w:pPr>
    </w:p>
    <w:p>
      <w:pPr>
        <w:pStyle w:val="2"/>
        <w:spacing w:line="362" w:lineRule="auto"/>
        <w:rPr>
          <w:rFonts w:ascii="宋体" w:hAnsi="宋体" w:eastAsia="宋体" w:cs="宋体"/>
          <w:color w:val="auto"/>
          <w:highlight w:val="none"/>
        </w:rPr>
      </w:pPr>
    </w:p>
    <w:p>
      <w:pPr>
        <w:pStyle w:val="2"/>
        <w:tabs>
          <w:tab w:val="left" w:pos="4881"/>
        </w:tabs>
        <w:spacing w:line="360" w:lineRule="auto"/>
        <w:ind w:firstLine="832" w:firstLineChars="400"/>
        <w:rPr>
          <w:rFonts w:ascii="宋体" w:hAnsi="宋体" w:eastAsia="宋体" w:cs="宋体"/>
          <w:color w:val="auto"/>
          <w:spacing w:val="-1"/>
          <w:sz w:val="21"/>
          <w:szCs w:val="21"/>
          <w:highlight w:val="none"/>
        </w:rPr>
      </w:pPr>
      <w:bookmarkStart w:id="468" w:name="_Toc443895891"/>
      <w:r>
        <w:rPr>
          <w:rFonts w:hint="eastAsia" w:ascii="宋体" w:hAnsi="宋体" w:eastAsia="宋体" w:cs="宋体"/>
          <w:color w:val="auto"/>
          <w:spacing w:val="-1"/>
          <w:sz w:val="21"/>
          <w:szCs w:val="21"/>
          <w:highlight w:val="none"/>
        </w:rPr>
        <w:t>投标人名称（电子签章）：</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w:t>
      </w:r>
    </w:p>
    <w:p>
      <w:pPr>
        <w:pStyle w:val="2"/>
        <w:tabs>
          <w:tab w:val="left" w:pos="4881"/>
        </w:tabs>
        <w:spacing w:line="360" w:lineRule="auto"/>
        <w:ind w:firstLine="832" w:firstLineChars="40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投标人法定代表人或授权代表（签字或签章）：</w:t>
      </w:r>
      <w:r>
        <w:rPr>
          <w:rFonts w:hint="eastAsia" w:ascii="宋体" w:hAnsi="宋体" w:eastAsia="宋体" w:cs="宋体"/>
          <w:color w:val="auto"/>
          <w:spacing w:val="-1"/>
          <w:sz w:val="21"/>
          <w:szCs w:val="21"/>
          <w:highlight w:val="none"/>
          <w:u w:val="single"/>
        </w:rPr>
        <w:t xml:space="preserve">                     </w:t>
      </w:r>
    </w:p>
    <w:p>
      <w:pPr>
        <w:pStyle w:val="2"/>
        <w:tabs>
          <w:tab w:val="left" w:pos="4881"/>
        </w:tabs>
        <w:spacing w:line="360" w:lineRule="auto"/>
        <w:ind w:firstLine="832" w:firstLineChars="400"/>
        <w:rPr>
          <w:rFonts w:ascii="宋体" w:hAnsi="宋体" w:eastAsia="宋体" w:cs="宋体"/>
          <w:color w:val="auto"/>
          <w:spacing w:val="-1"/>
          <w:sz w:val="21"/>
          <w:szCs w:val="21"/>
          <w:highlight w:val="none"/>
          <w:u w:val="single"/>
        </w:rPr>
      </w:pPr>
      <w:r>
        <w:rPr>
          <w:rFonts w:hint="eastAsia" w:ascii="宋体" w:hAnsi="宋体" w:eastAsia="宋体" w:cs="宋体"/>
          <w:color w:val="auto"/>
          <w:spacing w:val="-1"/>
          <w:sz w:val="21"/>
          <w:szCs w:val="21"/>
          <w:highlight w:val="none"/>
        </w:rPr>
        <w:t>日期：</w:t>
      </w:r>
      <w:r>
        <w:rPr>
          <w:rFonts w:hint="eastAsia" w:ascii="宋体" w:hAnsi="宋体" w:eastAsia="宋体" w:cs="宋体"/>
          <w:color w:val="auto"/>
          <w:spacing w:val="-1"/>
          <w:sz w:val="21"/>
          <w:szCs w:val="21"/>
          <w:highlight w:val="none"/>
          <w:u w:val="single"/>
        </w:rPr>
        <w:t xml:space="preserve">                </w:t>
      </w:r>
    </w:p>
    <w:bookmarkEnd w:id="468"/>
    <w:p>
      <w:pPr>
        <w:spacing w:line="440" w:lineRule="exact"/>
        <w:ind w:firstLine="420" w:firstLineChars="200"/>
        <w:rPr>
          <w:rFonts w:ascii="宋体" w:hAnsi="宋体"/>
          <w:color w:val="auto"/>
          <w:highlight w:val="none"/>
        </w:rPr>
      </w:pPr>
    </w:p>
    <w:p>
      <w:pPr>
        <w:pStyle w:val="4"/>
        <w:ind w:left="0" w:firstLine="0"/>
        <w:rPr>
          <w:rFonts w:ascii="宋体" w:hAnsi="宋体" w:cs="宋体"/>
          <w:color w:val="auto"/>
          <w:sz w:val="28"/>
          <w:szCs w:val="28"/>
          <w:highlight w:val="none"/>
        </w:rPr>
      </w:pPr>
      <w:bookmarkStart w:id="469" w:name="_Toc198518874"/>
      <w:bookmarkStart w:id="470" w:name="_Toc517690440"/>
      <w:r>
        <w:rPr>
          <w:rFonts w:hint="eastAsia" w:ascii="宋体" w:hAnsi="宋体" w:cs="宋体"/>
          <w:color w:val="auto"/>
          <w:sz w:val="28"/>
          <w:szCs w:val="28"/>
          <w:highlight w:val="none"/>
        </w:rPr>
        <w:br w:type="page"/>
      </w:r>
      <w:bookmarkStart w:id="471" w:name="_Toc16429"/>
      <w:bookmarkStart w:id="472" w:name="_Toc13231"/>
      <w:r>
        <w:rPr>
          <w:rFonts w:hint="eastAsia" w:ascii="宋体" w:hAnsi="宋体" w:cs="宋体"/>
          <w:color w:val="auto"/>
          <w:sz w:val="28"/>
          <w:szCs w:val="28"/>
          <w:highlight w:val="none"/>
        </w:rPr>
        <w:t>三、法定代表人身份证明</w:t>
      </w:r>
      <w:bookmarkEnd w:id="469"/>
      <w:bookmarkEnd w:id="470"/>
      <w:bookmarkEnd w:id="471"/>
      <w:bookmarkEnd w:id="472"/>
    </w:p>
    <w:p>
      <w:pPr>
        <w:spacing w:line="360" w:lineRule="auto"/>
        <w:ind w:firstLine="420" w:firstLineChars="200"/>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投标人名称：</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单位性质：</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地址：</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成立时间：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经营期限：</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姓名：</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性别：</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年龄：</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职务：</w:t>
      </w:r>
      <w:r>
        <w:rPr>
          <w:rFonts w:hint="eastAsia" w:ascii="宋体" w:hAnsi="宋体" w:cs="宋体"/>
          <w:color w:val="auto"/>
          <w:kern w:val="0"/>
          <w:highlight w:val="none"/>
          <w:u w:val="singl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系</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（投标人名称）的法定代表人。</w:t>
      </w: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r>
        <w:rPr>
          <w:rFonts w:hint="eastAsia" w:ascii="宋体" w:hAnsi="宋体" w:cs="宋体"/>
          <w:color w:val="auto"/>
          <w:kern w:val="0"/>
          <w:highlight w:val="none"/>
        </w:rPr>
        <w:t>附：法定代表人身份证</w:t>
      </w: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r>
        <w:rPr>
          <w:rFonts w:hint="eastAsia" w:ascii="宋体" w:hAnsi="宋体" w:cs="宋体"/>
          <w:color w:val="auto"/>
          <w:kern w:val="0"/>
          <w:highlight w:val="none"/>
        </w:rPr>
        <w:t>特此证明。</w:t>
      </w:r>
    </w:p>
    <w:p>
      <w:pPr>
        <w:spacing w:line="360" w:lineRule="auto"/>
        <w:rPr>
          <w:rFonts w:ascii="宋体" w:hAnsi="宋体" w:cs="宋体"/>
          <w:color w:val="auto"/>
          <w:kern w:val="0"/>
          <w:highlight w:val="none"/>
        </w:rPr>
      </w:pPr>
    </w:p>
    <w:p>
      <w:pPr>
        <w:spacing w:line="360" w:lineRule="auto"/>
        <w:ind w:firstLine="2520" w:firstLineChars="1200"/>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（电子签章）</w:t>
      </w:r>
    </w:p>
    <w:p>
      <w:pPr>
        <w:spacing w:line="360" w:lineRule="auto"/>
        <w:ind w:firstLine="4515" w:firstLineChars="2150"/>
        <w:rPr>
          <w:rFonts w:ascii="宋体" w:hAnsi="宋体" w:cs="宋体"/>
          <w:color w:val="auto"/>
          <w:kern w:val="0"/>
          <w:highlight w:val="none"/>
          <w:u w:val="single"/>
        </w:rPr>
      </w:pPr>
    </w:p>
    <w:p>
      <w:pPr>
        <w:spacing w:line="360" w:lineRule="auto"/>
        <w:ind w:firstLine="4515" w:firstLineChars="2150"/>
        <w:rPr>
          <w:rFonts w:ascii="宋体" w:hAnsi="宋体" w:cs="宋体"/>
          <w:color w:val="auto"/>
          <w:kern w:val="0"/>
          <w:highlight w:val="none"/>
        </w:rPr>
      </w:pP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
        <w:ind w:left="0" w:firstLine="0"/>
        <w:rPr>
          <w:rFonts w:ascii="宋体" w:hAnsi="宋体" w:cs="宋体"/>
          <w:color w:val="auto"/>
          <w:sz w:val="28"/>
          <w:szCs w:val="28"/>
          <w:highlight w:val="none"/>
        </w:rPr>
      </w:pPr>
      <w:r>
        <w:rPr>
          <w:rFonts w:ascii="宋体" w:hAnsi="宋体"/>
          <w:color w:val="auto"/>
          <w:highlight w:val="none"/>
        </w:rPr>
        <w:br w:type="page"/>
      </w:r>
      <w:bookmarkStart w:id="473" w:name="_Toc517690441"/>
      <w:bookmarkStart w:id="474" w:name="_Toc371"/>
      <w:bookmarkStart w:id="475" w:name="_Toc198518875"/>
      <w:bookmarkStart w:id="476" w:name="_Toc26022"/>
      <w:r>
        <w:rPr>
          <w:rFonts w:hint="eastAsia" w:ascii="宋体" w:hAnsi="宋体" w:cs="宋体"/>
          <w:color w:val="auto"/>
          <w:sz w:val="28"/>
          <w:szCs w:val="28"/>
          <w:highlight w:val="none"/>
        </w:rPr>
        <w:t>四、授权委托书</w:t>
      </w:r>
      <w:bookmarkEnd w:id="473"/>
      <w:bookmarkEnd w:id="474"/>
      <w:bookmarkEnd w:id="475"/>
      <w:bookmarkEnd w:id="476"/>
    </w:p>
    <w:p>
      <w:pPr>
        <w:spacing w:line="360" w:lineRule="auto"/>
        <w:ind w:firstLine="420" w:firstLineChars="200"/>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本人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（姓名）系</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（投标人名称）的法定代表人，现委托</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（姓名）为我方代理人。代理人根据授权，以我方名义签署、澄清、说明、补正、递交、撤回、修改</w:t>
      </w:r>
      <w:r>
        <w:rPr>
          <w:rFonts w:hint="eastAsia" w:ascii="宋体" w:hAnsi="宋体" w:cs="宋体"/>
          <w:color w:val="auto"/>
          <w:kern w:val="0"/>
          <w:highlight w:val="none"/>
          <w:u w:val="single"/>
        </w:rPr>
        <w:t xml:space="preserve">       （项目名称）            </w:t>
      </w:r>
      <w:r>
        <w:rPr>
          <w:rFonts w:hint="eastAsia" w:ascii="宋体" w:hAnsi="宋体" w:cs="宋体"/>
          <w:color w:val="auto"/>
          <w:kern w:val="0"/>
          <w:highlight w:val="none"/>
        </w:rPr>
        <w:t>投标文件、签订合同和处理有关事宜，其法律后果由我方承担。</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代理人无转委托权。</w:t>
      </w:r>
    </w:p>
    <w:p>
      <w:pPr>
        <w:spacing w:after="240" w:afterLines="100" w:line="500" w:lineRule="exact"/>
        <w:ind w:firstLine="420" w:firstLineChars="200"/>
        <w:rPr>
          <w:rFonts w:ascii="宋体" w:hAnsi="宋体"/>
          <w:color w:val="auto"/>
          <w:highlight w:val="none"/>
        </w:rPr>
      </w:pPr>
      <w:r>
        <w:rPr>
          <w:rFonts w:hint="eastAsia" w:ascii="宋体" w:hAnsi="宋体"/>
          <w:color w:val="auto"/>
          <w:highlight w:val="none"/>
        </w:rPr>
        <w:t>附：法定代表人身份证复印件和被授权人身份证复印件</w:t>
      </w:r>
    </w:p>
    <w:p>
      <w:pPr>
        <w:spacing w:line="360" w:lineRule="auto"/>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（电子签章）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法定代表人：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（签字或签章）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身份证号码：</w:t>
      </w:r>
      <w:r>
        <w:rPr>
          <w:rFonts w:hint="eastAsia" w:ascii="宋体" w:hAnsi="宋体" w:cs="宋体"/>
          <w:color w:val="auto"/>
          <w:kern w:val="0"/>
          <w:highlight w:val="none"/>
          <w:u w:val="single"/>
        </w:rPr>
        <w:t xml:space="preserve">                                 </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委托代理人：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（签字或签章）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身份证号码：</w:t>
      </w:r>
      <w:r>
        <w:rPr>
          <w:rFonts w:hint="eastAsia" w:ascii="宋体" w:hAnsi="宋体" w:cs="宋体"/>
          <w:color w:val="auto"/>
          <w:kern w:val="0"/>
          <w:highlight w:val="none"/>
          <w:u w:val="single"/>
        </w:rPr>
        <w:t xml:space="preserve">                                 </w:t>
      </w:r>
    </w:p>
    <w:p>
      <w:pPr>
        <w:spacing w:line="580" w:lineRule="exact"/>
        <w:ind w:firstLine="4620" w:firstLineChars="2200"/>
        <w:rPr>
          <w:rFonts w:ascii="宋体" w:hAnsi="宋体" w:cs="宋体"/>
          <w:color w:val="auto"/>
          <w:kern w:val="0"/>
          <w:highlight w:val="none"/>
          <w:u w:val="single"/>
        </w:rPr>
      </w:pPr>
    </w:p>
    <w:p>
      <w:pPr>
        <w:spacing w:line="580" w:lineRule="exact"/>
        <w:ind w:firstLine="4620" w:firstLineChars="2200"/>
        <w:rPr>
          <w:rFonts w:ascii="宋体" w:hAnsi="宋体" w:cs="宋体"/>
          <w:color w:val="auto"/>
          <w:kern w:val="0"/>
          <w:highlight w:val="none"/>
        </w:rPr>
      </w:pP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
        <w:ind w:left="0" w:firstLine="0"/>
        <w:rPr>
          <w:rFonts w:ascii="宋体" w:hAnsi="宋体" w:cs="宋体"/>
          <w:b w:val="0"/>
          <w:color w:val="auto"/>
          <w:szCs w:val="21"/>
          <w:highlight w:val="none"/>
        </w:rPr>
      </w:pPr>
      <w:r>
        <w:rPr>
          <w:rFonts w:ascii="宋体" w:hAnsi="宋体"/>
          <w:color w:val="auto"/>
          <w:highlight w:val="none"/>
        </w:rPr>
        <w:br w:type="page"/>
      </w:r>
      <w:bookmarkStart w:id="477" w:name="_Toc1051"/>
      <w:bookmarkStart w:id="478" w:name="_Toc29621"/>
      <w:r>
        <w:rPr>
          <w:rFonts w:hint="eastAsia" w:ascii="宋体" w:hAnsi="宋体" w:cs="宋体"/>
          <w:color w:val="auto"/>
          <w:sz w:val="28"/>
          <w:szCs w:val="28"/>
          <w:highlight w:val="none"/>
        </w:rPr>
        <w:t>五、投标承诺函</w:t>
      </w:r>
      <w:bookmarkEnd w:id="477"/>
      <w:bookmarkEnd w:id="478"/>
    </w:p>
    <w:p>
      <w:pPr>
        <w:pStyle w:val="43"/>
        <w:spacing w:before="0" w:beforeAutospacing="0" w:after="0" w:afterAutospacing="0" w:line="400" w:lineRule="exact"/>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致</w:t>
      </w:r>
      <w:r>
        <w:rPr>
          <w:rFonts w:hint="eastAsia" w:ascii="宋体" w:hAnsi="宋体" w:cs="宋体"/>
          <w:color w:val="auto"/>
          <w:spacing w:val="8"/>
          <w:sz w:val="21"/>
          <w:szCs w:val="21"/>
          <w:highlight w:val="none"/>
          <w:u w:val="single"/>
        </w:rPr>
        <w:t xml:space="preserve">           </w:t>
      </w:r>
      <w:r>
        <w:rPr>
          <w:rFonts w:hint="eastAsia" w:ascii="宋体" w:hAnsi="宋体" w:cs="宋体"/>
          <w:color w:val="auto"/>
          <w:spacing w:val="8"/>
          <w:sz w:val="21"/>
          <w:szCs w:val="21"/>
          <w:highlight w:val="none"/>
        </w:rPr>
        <w:t>（采购人及采购代理机构）：</w:t>
      </w:r>
    </w:p>
    <w:p>
      <w:pPr>
        <w:pStyle w:val="43"/>
        <w:spacing w:before="0" w:beforeAutospacing="0" w:after="0" w:afterAutospacing="0" w:line="400" w:lineRule="exact"/>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我公司作为本次采购项目的投标人，根据招标文件要求，现郑重承诺如下：</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一、具备《中华人民共和国政府采购法》第二十二条规定的条件。</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二、完全接受和满足招标文件中规定的实质性要求，如对招标文件有异议，已经在投标截止时间届满前依法进行维权救济，不存在对招标文件有异议的同时又参加投标以求侥幸中标或者为实现其他非法目的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三、参加本次招标采购活动，不存在与单位负责人为同一人或者存在直接控股、管理关系的其他投标人参与同一合同项下的政府采购活动的行为。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四、参加本次招标采购活动，不存在和其他投标人在同一合同项下的采购项目中，同时委托同一个自然人、同一家庭的人员、同一单位的人员作为代理人的行为。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五、招标文件中提供的能够给予我公司带来优惠、好处的任何材料资料和技术、服务、商务等响应承诺情况都是真实的、有效的、合法的。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六、存在以下行为之一的愿意接受相关部门的处理：</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（一）投标有效期内撤销投标文件的；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（二）在采购人确定中标人以前放弃中标候选资格的；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（三）由于中标人的原因未能按照招标文件的规定与采购人签订合同；</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（四）由于中标人的原因未能按照招标文件的规定交纳履约保证金；</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（五）在投标文件中提供虚假材料谋取中标；</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（六）与采购人、其他投标人或者采购代理机构恶意串通的；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（七）投标有效期内，投标人在政府采购活动中有违法、违规、违纪行为。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由此产生的一切法律后果和责任由我公司承担。我公司声明放弃对此提出任何异议和追索的权利。</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本公司对上述承诺的内容事项真实性负责。如经查实上述承诺的内容事项存在虚假，我公司愿意接受以提供虚假材料谋取中标追究法律责任。     </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投标人名称：</w:t>
      </w:r>
      <w:r>
        <w:rPr>
          <w:rFonts w:hint="eastAsia" w:ascii="宋体" w:hAnsi="宋体" w:cs="宋体"/>
          <w:color w:val="auto"/>
          <w:spacing w:val="8"/>
          <w:sz w:val="21"/>
          <w:szCs w:val="21"/>
          <w:highlight w:val="none"/>
          <w:u w:val="single"/>
        </w:rPr>
        <w:t>                  </w:t>
      </w:r>
      <w:r>
        <w:rPr>
          <w:rFonts w:hint="eastAsia" w:ascii="宋体" w:hAnsi="宋体" w:cs="宋体"/>
          <w:color w:val="auto"/>
          <w:spacing w:val="8"/>
          <w:sz w:val="21"/>
          <w:szCs w:val="21"/>
          <w:highlight w:val="none"/>
        </w:rPr>
        <w:t>（电子签章）</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法定代表人或授权代表：</w:t>
      </w:r>
      <w:r>
        <w:rPr>
          <w:rFonts w:hint="eastAsia" w:ascii="宋体" w:hAnsi="宋体" w:cs="宋体"/>
          <w:color w:val="auto"/>
          <w:spacing w:val="8"/>
          <w:sz w:val="21"/>
          <w:szCs w:val="21"/>
          <w:highlight w:val="none"/>
          <w:u w:val="single"/>
        </w:rPr>
        <w:t>                </w:t>
      </w:r>
      <w:r>
        <w:rPr>
          <w:rFonts w:hint="eastAsia" w:ascii="宋体" w:hAnsi="宋体" w:cs="宋体"/>
          <w:color w:val="auto"/>
          <w:spacing w:val="8"/>
          <w:sz w:val="21"/>
          <w:szCs w:val="21"/>
          <w:highlight w:val="none"/>
        </w:rPr>
        <w:t>（签字或签章）</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u w:val="single"/>
        </w:rPr>
      </w:pPr>
      <w:r>
        <w:rPr>
          <w:rFonts w:hint="eastAsia" w:ascii="宋体" w:hAnsi="宋体" w:cs="宋体"/>
          <w:color w:val="auto"/>
          <w:spacing w:val="8"/>
          <w:sz w:val="21"/>
          <w:szCs w:val="21"/>
          <w:highlight w:val="none"/>
        </w:rPr>
        <w:t>日期：</w:t>
      </w:r>
      <w:r>
        <w:rPr>
          <w:rFonts w:hint="eastAsia" w:ascii="宋体" w:hAnsi="宋体" w:cs="宋体"/>
          <w:color w:val="auto"/>
          <w:spacing w:val="8"/>
          <w:sz w:val="21"/>
          <w:szCs w:val="21"/>
          <w:highlight w:val="none"/>
          <w:u w:val="single"/>
        </w:rPr>
        <w:t>              </w:t>
      </w:r>
    </w:p>
    <w:p>
      <w:pPr>
        <w:pStyle w:val="43"/>
        <w:spacing w:before="0" w:beforeAutospacing="0" w:after="0" w:afterAutospacing="0" w:line="440" w:lineRule="exact"/>
        <w:ind w:firstLine="454" w:firstLineChars="200"/>
        <w:jc w:val="both"/>
        <w:rPr>
          <w:b/>
          <w:color w:val="auto"/>
          <w:spacing w:val="8"/>
          <w:sz w:val="21"/>
          <w:szCs w:val="21"/>
          <w:highlight w:val="none"/>
        </w:rPr>
      </w:pPr>
      <w:r>
        <w:rPr>
          <w:rFonts w:hint="eastAsia"/>
          <w:b/>
          <w:color w:val="auto"/>
          <w:spacing w:val="8"/>
          <w:sz w:val="21"/>
          <w:szCs w:val="21"/>
          <w:highlight w:val="none"/>
        </w:rPr>
        <w:t>注：河南省财政厅发布关于优化政府采购营商环境有关问题的通知规定，自2019年8月1日起，在河南省全省政府采购货物和服务招投标活动中，不再向供应商收取投标保证金。非招标采购方式采购货物、工程和服务的，也不再向供应商收取投标保证金。</w:t>
      </w:r>
    </w:p>
    <w:p>
      <w:pPr>
        <w:pStyle w:val="4"/>
        <w:ind w:left="0" w:firstLine="0"/>
        <w:rPr>
          <w:rFonts w:ascii="宋体" w:hAnsi="宋体" w:cs="宋体"/>
          <w:color w:val="auto"/>
          <w:sz w:val="28"/>
          <w:szCs w:val="28"/>
          <w:highlight w:val="none"/>
        </w:rPr>
      </w:pPr>
      <w:r>
        <w:rPr>
          <w:rFonts w:hint="eastAsia" w:ascii="宋体" w:hAnsi="宋体" w:cs="宋体"/>
          <w:color w:val="auto"/>
          <w:sz w:val="28"/>
          <w:szCs w:val="28"/>
          <w:highlight w:val="none"/>
        </w:rPr>
        <w:br w:type="page"/>
      </w:r>
      <w:bookmarkStart w:id="479" w:name="_Toc14964"/>
      <w:bookmarkStart w:id="480" w:name="_Toc1033"/>
      <w:r>
        <w:rPr>
          <w:rFonts w:hint="eastAsia" w:ascii="宋体" w:hAnsi="宋体" w:cs="宋体"/>
          <w:color w:val="auto"/>
          <w:sz w:val="28"/>
          <w:szCs w:val="28"/>
          <w:highlight w:val="none"/>
        </w:rPr>
        <w:t>六、分项报价明细表</w:t>
      </w:r>
      <w:bookmarkEnd w:id="479"/>
      <w:bookmarkEnd w:id="480"/>
    </w:p>
    <w:p>
      <w:pPr>
        <w:jc w:val="right"/>
        <w:rPr>
          <w:rFonts w:ascii="宋体" w:hAnsi="宋体" w:cs="宋体"/>
          <w:color w:val="auto"/>
          <w:kern w:val="0"/>
          <w:highlight w:val="none"/>
        </w:rPr>
      </w:pPr>
      <w:r>
        <w:rPr>
          <w:rFonts w:hint="eastAsia" w:ascii="宋体" w:hAnsi="宋体" w:cs="宋体"/>
          <w:color w:val="auto"/>
          <w:kern w:val="0"/>
          <w:highlight w:val="none"/>
        </w:rPr>
        <w:t>单</w:t>
      </w:r>
      <w:r>
        <w:rPr>
          <w:rFonts w:hint="eastAsia" w:ascii="宋体" w:hAnsi="宋体" w:cs="MS Mincho"/>
          <w:color w:val="auto"/>
          <w:kern w:val="0"/>
          <w:highlight w:val="none"/>
        </w:rPr>
        <w:t>位：人民</w:t>
      </w:r>
      <w:r>
        <w:rPr>
          <w:rFonts w:hint="eastAsia" w:ascii="宋体" w:hAnsi="宋体" w:cs="宋体"/>
          <w:color w:val="auto"/>
          <w:kern w:val="0"/>
          <w:highlight w:val="none"/>
        </w:rPr>
        <w:t>币</w:t>
      </w:r>
      <w:r>
        <w:rPr>
          <w:rFonts w:ascii="宋体" w:hAnsi="宋体" w:cs="宋体"/>
          <w:color w:val="auto"/>
          <w:kern w:val="0"/>
          <w:highlight w:val="none"/>
        </w:rPr>
        <w:t>/</w:t>
      </w:r>
      <w:r>
        <w:rPr>
          <w:rFonts w:hint="eastAsia" w:ascii="宋体" w:hAnsi="宋体" w:cs="宋体"/>
          <w:color w:val="auto"/>
          <w:kern w:val="0"/>
          <w:highlight w:val="none"/>
        </w:rPr>
        <w:t>元</w:t>
      </w:r>
    </w:p>
    <w:tbl>
      <w:tblPr>
        <w:tblStyle w:val="48"/>
        <w:tblW w:w="9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094"/>
        <w:gridCol w:w="1163"/>
        <w:gridCol w:w="1105"/>
        <w:gridCol w:w="1236"/>
        <w:gridCol w:w="743"/>
        <w:gridCol w:w="701"/>
        <w:gridCol w:w="768"/>
        <w:gridCol w:w="932"/>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41" w:type="dxa"/>
            <w:vAlign w:val="center"/>
          </w:tcPr>
          <w:p>
            <w:pPr>
              <w:jc w:val="center"/>
              <w:rPr>
                <w:rFonts w:ascii="宋体" w:hAnsi="宋体" w:cs="宋体"/>
                <w:color w:val="auto"/>
                <w:kern w:val="0"/>
                <w:highlight w:val="none"/>
              </w:rPr>
            </w:pPr>
            <w:r>
              <w:rPr>
                <w:rFonts w:hint="eastAsia" w:ascii="宋体" w:hAnsi="宋体" w:cs="宋体"/>
                <w:color w:val="auto"/>
                <w:kern w:val="0"/>
                <w:highlight w:val="none"/>
              </w:rPr>
              <w:t>序号</w:t>
            </w:r>
          </w:p>
        </w:tc>
        <w:tc>
          <w:tcPr>
            <w:tcW w:w="1094"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设备名称</w:t>
            </w:r>
          </w:p>
        </w:tc>
        <w:tc>
          <w:tcPr>
            <w:tcW w:w="1163"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品牌型号</w:t>
            </w:r>
          </w:p>
        </w:tc>
        <w:tc>
          <w:tcPr>
            <w:tcW w:w="1105"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制造厂（商）</w:t>
            </w:r>
          </w:p>
        </w:tc>
        <w:tc>
          <w:tcPr>
            <w:tcW w:w="1236"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原产地（国）</w:t>
            </w:r>
          </w:p>
        </w:tc>
        <w:tc>
          <w:tcPr>
            <w:tcW w:w="743"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数量</w:t>
            </w:r>
          </w:p>
        </w:tc>
        <w:tc>
          <w:tcPr>
            <w:tcW w:w="701"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单位</w:t>
            </w:r>
          </w:p>
        </w:tc>
        <w:tc>
          <w:tcPr>
            <w:tcW w:w="768"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单价</w:t>
            </w:r>
          </w:p>
        </w:tc>
        <w:tc>
          <w:tcPr>
            <w:tcW w:w="932"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合价</w:t>
            </w:r>
          </w:p>
        </w:tc>
        <w:tc>
          <w:tcPr>
            <w:tcW w:w="932" w:type="dxa"/>
            <w:vAlign w:val="center"/>
          </w:tcPr>
          <w:p>
            <w:pPr>
              <w:spacing w:line="300" w:lineRule="exact"/>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641" w:type="dxa"/>
          </w:tcPr>
          <w:p>
            <w:pPr>
              <w:jc w:val="right"/>
              <w:rPr>
                <w:rFonts w:ascii="宋体" w:hAnsi="宋体"/>
                <w:b/>
                <w:color w:val="auto"/>
                <w:sz w:val="24"/>
                <w:highlight w:val="none"/>
              </w:rPr>
            </w:pPr>
          </w:p>
        </w:tc>
        <w:tc>
          <w:tcPr>
            <w:tcW w:w="1094" w:type="dxa"/>
          </w:tcPr>
          <w:p>
            <w:pPr>
              <w:jc w:val="right"/>
              <w:rPr>
                <w:rFonts w:ascii="宋体" w:hAnsi="宋体"/>
                <w:b/>
                <w:color w:val="auto"/>
                <w:sz w:val="24"/>
                <w:highlight w:val="none"/>
              </w:rPr>
            </w:pPr>
          </w:p>
        </w:tc>
        <w:tc>
          <w:tcPr>
            <w:tcW w:w="1163" w:type="dxa"/>
          </w:tcPr>
          <w:p>
            <w:pPr>
              <w:jc w:val="right"/>
              <w:rPr>
                <w:rFonts w:ascii="宋体" w:hAnsi="宋体"/>
                <w:b/>
                <w:color w:val="auto"/>
                <w:sz w:val="24"/>
                <w:highlight w:val="none"/>
              </w:rPr>
            </w:pPr>
          </w:p>
        </w:tc>
        <w:tc>
          <w:tcPr>
            <w:tcW w:w="1105" w:type="dxa"/>
          </w:tcPr>
          <w:p>
            <w:pPr>
              <w:jc w:val="right"/>
              <w:rPr>
                <w:rFonts w:ascii="宋体" w:hAnsi="宋体"/>
                <w:b/>
                <w:color w:val="auto"/>
                <w:sz w:val="24"/>
                <w:highlight w:val="none"/>
              </w:rPr>
            </w:pPr>
          </w:p>
        </w:tc>
        <w:tc>
          <w:tcPr>
            <w:tcW w:w="1236" w:type="dxa"/>
          </w:tcPr>
          <w:p>
            <w:pPr>
              <w:jc w:val="right"/>
              <w:rPr>
                <w:rFonts w:ascii="宋体" w:hAnsi="宋体"/>
                <w:b/>
                <w:color w:val="auto"/>
                <w:sz w:val="24"/>
                <w:highlight w:val="none"/>
              </w:rPr>
            </w:pPr>
          </w:p>
        </w:tc>
        <w:tc>
          <w:tcPr>
            <w:tcW w:w="743" w:type="dxa"/>
          </w:tcPr>
          <w:p>
            <w:pPr>
              <w:jc w:val="right"/>
              <w:rPr>
                <w:rFonts w:ascii="宋体" w:hAnsi="宋体"/>
                <w:b/>
                <w:color w:val="auto"/>
                <w:sz w:val="24"/>
                <w:highlight w:val="none"/>
              </w:rPr>
            </w:pPr>
          </w:p>
        </w:tc>
        <w:tc>
          <w:tcPr>
            <w:tcW w:w="701" w:type="dxa"/>
          </w:tcPr>
          <w:p>
            <w:pPr>
              <w:jc w:val="right"/>
              <w:rPr>
                <w:rFonts w:ascii="宋体" w:hAnsi="宋体"/>
                <w:b/>
                <w:color w:val="auto"/>
                <w:sz w:val="24"/>
                <w:highlight w:val="none"/>
              </w:rPr>
            </w:pPr>
          </w:p>
        </w:tc>
        <w:tc>
          <w:tcPr>
            <w:tcW w:w="768" w:type="dxa"/>
          </w:tcPr>
          <w:p>
            <w:pPr>
              <w:jc w:val="right"/>
              <w:rPr>
                <w:rFonts w:ascii="宋体" w:hAnsi="宋体"/>
                <w:b/>
                <w:color w:val="auto"/>
                <w:sz w:val="24"/>
                <w:highlight w:val="none"/>
              </w:rPr>
            </w:pPr>
          </w:p>
        </w:tc>
        <w:tc>
          <w:tcPr>
            <w:tcW w:w="932" w:type="dxa"/>
          </w:tcPr>
          <w:p>
            <w:pPr>
              <w:jc w:val="right"/>
              <w:rPr>
                <w:rFonts w:ascii="宋体" w:hAnsi="宋体"/>
                <w:b/>
                <w:color w:val="auto"/>
                <w:sz w:val="24"/>
                <w:highlight w:val="none"/>
              </w:rPr>
            </w:pPr>
          </w:p>
        </w:tc>
        <w:tc>
          <w:tcPr>
            <w:tcW w:w="932" w:type="dxa"/>
          </w:tcPr>
          <w:p>
            <w:pPr>
              <w:jc w:val="right"/>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735" w:type="dxa"/>
            <w:gridSpan w:val="2"/>
          </w:tcPr>
          <w:p>
            <w:pPr>
              <w:jc w:val="center"/>
              <w:rPr>
                <w:rFonts w:ascii="宋体" w:hAnsi="宋体"/>
                <w:b/>
                <w:color w:val="auto"/>
                <w:sz w:val="24"/>
                <w:highlight w:val="none"/>
              </w:rPr>
            </w:pPr>
            <w:r>
              <w:rPr>
                <w:rFonts w:hint="eastAsia" w:ascii="宋体" w:hAnsi="宋体" w:cs="宋体"/>
                <w:color w:val="auto"/>
                <w:kern w:val="0"/>
                <w:highlight w:val="none"/>
              </w:rPr>
              <w:t>合计</w:t>
            </w:r>
            <w:r>
              <w:rPr>
                <w:rFonts w:hint="eastAsia" w:ascii="宋体" w:hAnsi="宋体" w:cs="MS Mincho"/>
                <w:color w:val="auto"/>
                <w:kern w:val="0"/>
                <w:highlight w:val="none"/>
              </w:rPr>
              <w:t>金</w:t>
            </w:r>
            <w:r>
              <w:rPr>
                <w:rFonts w:hint="eastAsia" w:ascii="宋体" w:hAnsi="宋体" w:cs="宋体"/>
                <w:color w:val="auto"/>
                <w:kern w:val="0"/>
                <w:highlight w:val="none"/>
              </w:rPr>
              <w:t>额</w:t>
            </w:r>
          </w:p>
        </w:tc>
        <w:tc>
          <w:tcPr>
            <w:tcW w:w="7580" w:type="dxa"/>
            <w:gridSpan w:val="8"/>
          </w:tcPr>
          <w:p>
            <w:pPr>
              <w:autoSpaceDE w:val="0"/>
              <w:autoSpaceDN w:val="0"/>
              <w:adjustRightInd w:val="0"/>
              <w:jc w:val="left"/>
              <w:rPr>
                <w:rFonts w:ascii="宋体" w:hAnsi="宋体" w:cs="宋体"/>
                <w:color w:val="auto"/>
                <w:kern w:val="0"/>
                <w:highlight w:val="none"/>
              </w:rPr>
            </w:pPr>
            <w:r>
              <w:rPr>
                <w:rFonts w:hint="eastAsia" w:ascii="宋体" w:hAnsi="宋体" w:cs="宋体"/>
                <w:color w:val="auto"/>
                <w:kern w:val="0"/>
                <w:highlight w:val="none"/>
              </w:rPr>
              <w:t>大写：</w:t>
            </w:r>
            <w:r>
              <w:rPr>
                <w:rFonts w:ascii="宋体" w:hAnsi="宋体" w:cs="宋体"/>
                <w:color w:val="auto"/>
                <w:kern w:val="0"/>
                <w:highlight w:val="none"/>
              </w:rPr>
              <w:t xml:space="preserve"> </w:t>
            </w:r>
          </w:p>
          <w:p>
            <w:pPr>
              <w:autoSpaceDE w:val="0"/>
              <w:autoSpaceDN w:val="0"/>
              <w:adjustRightInd w:val="0"/>
              <w:jc w:val="left"/>
              <w:rPr>
                <w:rFonts w:ascii="宋体" w:hAnsi="宋体" w:cs="宋体"/>
                <w:color w:val="auto"/>
                <w:kern w:val="0"/>
                <w:highlight w:val="none"/>
              </w:rPr>
            </w:pPr>
            <w:r>
              <w:rPr>
                <w:rFonts w:hint="eastAsia" w:ascii="宋体" w:hAnsi="宋体" w:cs="宋体"/>
                <w:color w:val="auto"/>
                <w:kern w:val="0"/>
                <w:highlight w:val="none"/>
              </w:rPr>
              <w:t>小写：（￥           ）</w:t>
            </w:r>
          </w:p>
        </w:tc>
      </w:tr>
    </w:tbl>
    <w:p>
      <w:pPr>
        <w:spacing w:line="440" w:lineRule="exact"/>
        <w:jc w:val="left"/>
        <w:rPr>
          <w:rFonts w:ascii="宋体" w:hAnsi="宋体" w:cs="MS Mincho"/>
          <w:color w:val="auto"/>
          <w:kern w:val="0"/>
          <w:highlight w:val="none"/>
        </w:rPr>
      </w:pPr>
      <w:r>
        <w:rPr>
          <w:rFonts w:hint="eastAsia" w:ascii="宋体" w:hAnsi="宋体" w:cs="宋体"/>
          <w:color w:val="auto"/>
          <w:kern w:val="0"/>
          <w:highlight w:val="none"/>
        </w:rPr>
        <w:t>说</w:t>
      </w:r>
      <w:r>
        <w:rPr>
          <w:rFonts w:hint="eastAsia" w:ascii="宋体" w:hAnsi="宋体" w:cs="MS Mincho"/>
          <w:color w:val="auto"/>
          <w:kern w:val="0"/>
          <w:highlight w:val="none"/>
        </w:rPr>
        <w:t>明：</w:t>
      </w:r>
      <w:r>
        <w:rPr>
          <w:rFonts w:ascii="宋体" w:hAnsi="宋体" w:cs="宋体"/>
          <w:color w:val="auto"/>
          <w:kern w:val="0"/>
          <w:highlight w:val="none"/>
        </w:rPr>
        <w:t>1</w:t>
      </w:r>
      <w:r>
        <w:rPr>
          <w:rFonts w:hint="eastAsia" w:ascii="宋体" w:hAnsi="宋体" w:cs="宋体"/>
          <w:color w:val="auto"/>
          <w:kern w:val="0"/>
          <w:highlight w:val="none"/>
        </w:rPr>
        <w:t>、货</w:t>
      </w:r>
      <w:r>
        <w:rPr>
          <w:rFonts w:hint="eastAsia" w:ascii="宋体" w:hAnsi="宋体" w:cs="MS Mincho"/>
          <w:color w:val="auto"/>
          <w:kern w:val="0"/>
          <w:highlight w:val="none"/>
        </w:rPr>
        <w:t>物名称及分</w:t>
      </w:r>
      <w:r>
        <w:rPr>
          <w:rFonts w:hint="eastAsia" w:ascii="宋体" w:hAnsi="宋体" w:cs="宋体"/>
          <w:color w:val="auto"/>
          <w:kern w:val="0"/>
          <w:highlight w:val="none"/>
        </w:rPr>
        <w:t>项需</w:t>
      </w:r>
      <w:r>
        <w:rPr>
          <w:rFonts w:hint="eastAsia" w:ascii="宋体" w:hAnsi="宋体" w:cs="MS Mincho"/>
          <w:color w:val="auto"/>
          <w:kern w:val="0"/>
          <w:highlight w:val="none"/>
        </w:rPr>
        <w:t>与第五章“技术标准和要求</w:t>
      </w:r>
      <w:r>
        <w:rPr>
          <w:rFonts w:hint="eastAsia" w:ascii="宋体" w:hAnsi="宋体" w:cs="宋体"/>
          <w:color w:val="auto"/>
          <w:kern w:val="0"/>
          <w:highlight w:val="none"/>
        </w:rPr>
        <w:t>”相对应</w:t>
      </w:r>
      <w:r>
        <w:rPr>
          <w:rFonts w:hint="eastAsia" w:ascii="宋体" w:hAnsi="宋体" w:cs="MS Mincho"/>
          <w:color w:val="auto"/>
          <w:kern w:val="0"/>
          <w:highlight w:val="none"/>
        </w:rPr>
        <w:t>。</w:t>
      </w:r>
    </w:p>
    <w:p>
      <w:pPr>
        <w:numPr>
          <w:ilvl w:val="0"/>
          <w:numId w:val="45"/>
        </w:numPr>
        <w:autoSpaceDE w:val="0"/>
        <w:autoSpaceDN w:val="0"/>
        <w:adjustRightInd w:val="0"/>
        <w:spacing w:line="440" w:lineRule="exact"/>
        <w:ind w:firstLine="630" w:firstLineChars="300"/>
        <w:jc w:val="left"/>
        <w:rPr>
          <w:rFonts w:ascii="宋体" w:hAnsi="宋体" w:cs="MS Mincho"/>
          <w:color w:val="auto"/>
          <w:kern w:val="0"/>
          <w:highlight w:val="none"/>
        </w:rPr>
      </w:pPr>
      <w:r>
        <w:rPr>
          <w:rFonts w:hint="eastAsia" w:ascii="宋体" w:hAnsi="宋体" w:cs="MS Mincho"/>
          <w:color w:val="auto"/>
          <w:kern w:val="0"/>
          <w:highlight w:val="none"/>
        </w:rPr>
        <w:t>投标人可根据实际情况对表格进行扩展。</w:t>
      </w:r>
    </w:p>
    <w:p>
      <w:pPr>
        <w:numPr>
          <w:ilvl w:val="0"/>
          <w:numId w:val="45"/>
        </w:numPr>
        <w:autoSpaceDE w:val="0"/>
        <w:autoSpaceDN w:val="0"/>
        <w:adjustRightInd w:val="0"/>
        <w:spacing w:line="440" w:lineRule="exact"/>
        <w:ind w:firstLine="630" w:firstLineChars="300"/>
        <w:jc w:val="left"/>
        <w:rPr>
          <w:rFonts w:ascii="宋体" w:hAnsi="宋体" w:cs="宋体"/>
          <w:color w:val="auto"/>
          <w:kern w:val="0"/>
          <w:highlight w:val="none"/>
        </w:rPr>
      </w:pPr>
      <w:r>
        <w:rPr>
          <w:rFonts w:hint="eastAsia" w:ascii="宋体" w:hAnsi="宋体" w:cs="MS Mincho"/>
          <w:color w:val="auto"/>
          <w:kern w:val="0"/>
          <w:highlight w:val="none"/>
        </w:rPr>
        <w:t>报价应</w:t>
      </w:r>
      <w:r>
        <w:rPr>
          <w:rFonts w:hint="eastAsia" w:ascii="宋体" w:hAnsi="宋体" w:cs="宋体"/>
          <w:color w:val="auto"/>
          <w:highlight w:val="none"/>
        </w:rPr>
        <w:t>包括但不限于货物价款、包装、运输、装卸、保险费、安装及相关材料费、调试费、软件费、检验费、培训费等各种伴随服务的费用以及税金等</w:t>
      </w:r>
      <w:r>
        <w:rPr>
          <w:rFonts w:hint="eastAsia" w:ascii="宋体" w:hAnsi="宋体" w:cs="MS Mincho"/>
          <w:color w:val="auto"/>
          <w:kern w:val="0"/>
          <w:highlight w:val="none"/>
        </w:rPr>
        <w:t>。</w:t>
      </w:r>
    </w:p>
    <w:p>
      <w:pPr>
        <w:autoSpaceDE w:val="0"/>
        <w:autoSpaceDN w:val="0"/>
        <w:adjustRightInd w:val="0"/>
        <w:spacing w:line="440" w:lineRule="exact"/>
        <w:ind w:firstLine="630" w:firstLineChars="300"/>
        <w:jc w:val="left"/>
        <w:rPr>
          <w:rFonts w:ascii="宋体" w:hAnsi="宋体" w:cs="宋体"/>
          <w:color w:val="auto"/>
          <w:kern w:val="0"/>
          <w:highlight w:val="none"/>
        </w:rPr>
      </w:pPr>
    </w:p>
    <w:p>
      <w:pPr>
        <w:autoSpaceDE w:val="0"/>
        <w:autoSpaceDN w:val="0"/>
        <w:adjustRightInd w:val="0"/>
        <w:spacing w:line="440" w:lineRule="exact"/>
        <w:jc w:val="left"/>
        <w:rPr>
          <w:rFonts w:ascii="宋体" w:hAnsi="宋体" w:cs="宋体"/>
          <w:color w:val="auto"/>
          <w:kern w:val="0"/>
          <w:highlight w:val="none"/>
        </w:rPr>
      </w:pPr>
    </w:p>
    <w:p>
      <w:pPr>
        <w:autoSpaceDE w:val="0"/>
        <w:autoSpaceDN w:val="0"/>
        <w:adjustRightInd w:val="0"/>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hint="eastAsia" w:ascii="宋体" w:hAnsi="宋体" w:cs="MS Mincho"/>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w:t>
      </w:r>
      <w:r>
        <w:rPr>
          <w:rFonts w:hint="eastAsia"/>
          <w:color w:val="auto"/>
          <w:spacing w:val="8"/>
          <w:highlight w:val="none"/>
        </w:rPr>
        <w:t>电子签章</w:t>
      </w:r>
      <w:r>
        <w:rPr>
          <w:rFonts w:hint="eastAsia" w:ascii="宋体" w:hAnsi="宋体" w:cs="MS Mincho"/>
          <w:color w:val="auto"/>
          <w:kern w:val="0"/>
          <w:highlight w:val="none"/>
        </w:rPr>
        <w:t>）</w:t>
      </w:r>
    </w:p>
    <w:p>
      <w:pPr>
        <w:autoSpaceDE w:val="0"/>
        <w:autoSpaceDN w:val="0"/>
        <w:adjustRightInd w:val="0"/>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（签</w:t>
      </w:r>
      <w:r>
        <w:rPr>
          <w:rFonts w:hint="eastAsia" w:ascii="宋体" w:hAnsi="宋体" w:cs="MS Mincho"/>
          <w:color w:val="auto"/>
          <w:kern w:val="0"/>
          <w:highlight w:val="none"/>
        </w:rPr>
        <w:t>字或签章）</w:t>
      </w:r>
    </w:p>
    <w:p>
      <w:pPr>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日期：</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15"/>
        <w:spacing w:line="400" w:lineRule="exact"/>
        <w:rPr>
          <w:rFonts w:ascii="宋体" w:hAnsi="宋体" w:cs="宋体"/>
          <w:color w:val="auto"/>
          <w:sz w:val="21"/>
          <w:szCs w:val="21"/>
          <w:highlight w:val="none"/>
        </w:rPr>
      </w:pPr>
      <w:r>
        <w:rPr>
          <w:rFonts w:ascii="宋体" w:hAnsi="宋体"/>
          <w:color w:val="auto"/>
          <w:highlight w:val="none"/>
        </w:rPr>
        <w:br w:type="page"/>
      </w:r>
    </w:p>
    <w:p>
      <w:pPr>
        <w:pStyle w:val="4"/>
        <w:ind w:left="0" w:firstLine="0"/>
        <w:rPr>
          <w:rFonts w:ascii="宋体" w:hAnsi="宋体"/>
          <w:color w:val="auto"/>
          <w:sz w:val="28"/>
          <w:szCs w:val="28"/>
          <w:highlight w:val="none"/>
        </w:rPr>
      </w:pPr>
      <w:bookmarkStart w:id="481" w:name="_Toc15639"/>
      <w:bookmarkStart w:id="482" w:name="_Toc23442"/>
      <w:r>
        <w:rPr>
          <w:rFonts w:hint="eastAsia" w:ascii="宋体" w:hAnsi="宋体"/>
          <w:color w:val="auto"/>
          <w:sz w:val="28"/>
          <w:szCs w:val="28"/>
          <w:highlight w:val="none"/>
          <w:lang w:val="en-US" w:eastAsia="zh-CN"/>
        </w:rPr>
        <w:t>七</w:t>
      </w:r>
      <w:r>
        <w:rPr>
          <w:rFonts w:hint="eastAsia" w:ascii="宋体" w:hAnsi="宋体"/>
          <w:color w:val="auto"/>
          <w:sz w:val="28"/>
          <w:szCs w:val="28"/>
          <w:highlight w:val="none"/>
        </w:rPr>
        <w:t>、资格证明文件</w:t>
      </w:r>
      <w:bookmarkEnd w:id="481"/>
      <w:bookmarkEnd w:id="482"/>
    </w:p>
    <w:p>
      <w:pPr>
        <w:spacing w:line="360" w:lineRule="auto"/>
        <w:rPr>
          <w:rFonts w:ascii="宋体" w:hAnsi="宋体" w:cs="宋体"/>
          <w:b/>
          <w:color w:val="auto"/>
          <w:sz w:val="24"/>
          <w:highlight w:val="none"/>
        </w:rPr>
      </w:pPr>
      <w:r>
        <w:rPr>
          <w:rFonts w:hint="eastAsia" w:ascii="宋体" w:hAnsi="宋体" w:cs="宋体"/>
          <w:b/>
          <w:color w:val="auto"/>
          <w:sz w:val="24"/>
          <w:highlight w:val="none"/>
        </w:rPr>
        <w:t>1.投标人基本情况表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4"/>
        <w:gridCol w:w="1468"/>
        <w:gridCol w:w="2556"/>
        <w:gridCol w:w="1111"/>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投标人名称</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注册资金</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成立时间</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注册地址</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邮政编码</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员工总数</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联系方式</w:t>
            </w: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联系人</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电话</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传真</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网址</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法定代表人</w:t>
            </w: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姓名</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电话</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基本账户开户银行</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基本账户银行账号</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其他</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ind w:firstLine="420" w:firstLineChars="200"/>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备注</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ind w:firstLine="420" w:firstLineChars="200"/>
              <w:jc w:val="left"/>
              <w:rPr>
                <w:rFonts w:ascii="宋体" w:hAnsi="宋体" w:cs="宋体"/>
                <w:color w:val="auto"/>
                <w:highlight w:val="none"/>
              </w:rPr>
            </w:pPr>
          </w:p>
        </w:tc>
      </w:tr>
    </w:tbl>
    <w:p>
      <w:pPr>
        <w:spacing w:line="360" w:lineRule="auto"/>
        <w:rPr>
          <w:rFonts w:ascii="宋体" w:hAnsi="宋体" w:cs="宋体"/>
          <w:b/>
          <w:color w:val="auto"/>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2.具有独立承担民事责任的能力(提供有效的营业执照、税务登记证、组织机构代码证或三证合一营业执照或电子营业执照)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如供应商是企业（包括合伙企业），应提供在工商部门注册的有效“企业法人营业执照”或“营业执照”；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如供应商是事业单位，应提供有效的“事业单位法人证书”；</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如供应商是个体工商户，应提供有效的“个体工商户营业执照”；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如供应商是自然人（仅限中国公民），应提供有效的自然人身份证明；</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如供应商是其他组织的，应提供组织机构代码证或与营业执照同等效力的证明材料。</w:t>
      </w:r>
    </w:p>
    <w:p>
      <w:pPr>
        <w:spacing w:line="360" w:lineRule="auto"/>
        <w:jc w:val="left"/>
        <w:rPr>
          <w:rFonts w:ascii="宋体" w:hAnsi="宋体" w:cs="宋体"/>
          <w:b/>
          <w:color w:val="auto"/>
          <w:highlight w:val="none"/>
        </w:rPr>
      </w:pPr>
    </w:p>
    <w:p>
      <w:pPr>
        <w:spacing w:line="360" w:lineRule="auto"/>
        <w:jc w:val="left"/>
        <w:rPr>
          <w:rFonts w:ascii="宋体" w:hAnsi="宋体" w:cs="宋体"/>
          <w:b/>
          <w:color w:val="auto"/>
          <w:sz w:val="24"/>
          <w:highlight w:val="none"/>
        </w:rPr>
      </w:pPr>
      <w:r>
        <w:rPr>
          <w:rFonts w:hint="eastAsia" w:ascii="宋体" w:hAnsi="宋体" w:cs="宋体"/>
          <w:b/>
          <w:color w:val="auto"/>
          <w:sz w:val="24"/>
          <w:highlight w:val="none"/>
        </w:rPr>
        <w:t>3.具有良好的商业信誉和健全的财务会计制度(提供承诺函)</w:t>
      </w: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ascii="宋体" w:hAnsi="宋体" w:cs="宋体"/>
          <w:b/>
          <w:color w:val="auto"/>
          <w:sz w:val="24"/>
          <w:highlight w:val="none"/>
        </w:rPr>
      </w:pPr>
      <w:r>
        <w:rPr>
          <w:rFonts w:hint="eastAsia" w:ascii="宋体" w:hAnsi="宋体" w:cs="宋体"/>
          <w:b/>
          <w:color w:val="auto"/>
          <w:sz w:val="24"/>
          <w:highlight w:val="none"/>
        </w:rPr>
        <w:t>4.有依法缴纳税收和社会保障资金的良好记录(提供承诺函)</w:t>
      </w:r>
    </w:p>
    <w:p>
      <w:pPr>
        <w:spacing w:line="360" w:lineRule="auto"/>
        <w:rPr>
          <w:rFonts w:ascii="宋体" w:hAnsi="宋体" w:cs="宋体"/>
          <w:b/>
          <w:color w:val="auto"/>
          <w:sz w:val="24"/>
          <w:highlight w:val="none"/>
        </w:rPr>
      </w:pPr>
    </w:p>
    <w:p>
      <w:pPr>
        <w:pStyle w:val="47"/>
        <w:rPr>
          <w:color w:val="auto"/>
          <w:highlight w:val="none"/>
        </w:rPr>
      </w:pPr>
    </w:p>
    <w:p>
      <w:pPr>
        <w:rPr>
          <w:rFonts w:ascii="宋体" w:hAnsi="宋体" w:cs="宋体"/>
          <w:b/>
          <w:color w:val="auto"/>
          <w:sz w:val="24"/>
          <w:highlight w:val="none"/>
        </w:rPr>
      </w:pPr>
    </w:p>
    <w:p>
      <w:pPr>
        <w:spacing w:line="360" w:lineRule="auto"/>
        <w:rPr>
          <w:rFonts w:ascii="宋体" w:hAnsi="宋体" w:cs="宋体"/>
          <w:b/>
          <w:color w:val="auto"/>
          <w:highlight w:val="none"/>
        </w:rPr>
      </w:pP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.具备履行合同所必需的设备和专业技术能力的书面声明（格式如下，可补充）</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我公司在参加</w:t>
      </w:r>
      <w:r>
        <w:rPr>
          <w:rFonts w:hint="eastAsia"/>
          <w:color w:val="auto"/>
          <w:highlight w:val="none"/>
          <w:u w:val="single"/>
        </w:rPr>
        <w:t xml:space="preserve">       （项目名称）            </w:t>
      </w:r>
      <w:r>
        <w:rPr>
          <w:rFonts w:hint="eastAsia"/>
          <w:color w:val="auto"/>
          <w:highlight w:val="none"/>
        </w:rPr>
        <w:t>采购</w:t>
      </w:r>
      <w:r>
        <w:rPr>
          <w:rFonts w:hint="eastAsia" w:ascii="宋体" w:hAnsi="宋体" w:cs="宋体"/>
          <w:color w:val="auto"/>
          <w:highlight w:val="none"/>
        </w:rPr>
        <w:t>活动中，作出如下声明：</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我方具有履行合同所必须的设备和专业技术能力，我方对上述声明的真实性负责。如有虚假，将依法承担相应责任。</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特此声明。</w:t>
      </w:r>
    </w:p>
    <w:p>
      <w:pPr>
        <w:spacing w:line="360" w:lineRule="auto"/>
        <w:ind w:firstLine="420" w:firstLineChars="200"/>
        <w:rPr>
          <w:rFonts w:ascii="宋体" w:hAnsi="宋体" w:cs="宋体"/>
          <w:color w:val="auto"/>
          <w:highlight w:val="none"/>
        </w:rPr>
      </w:pP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（签字或签章）</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rPr>
          <w:rFonts w:ascii="宋体" w:hAnsi="宋体" w:cs="宋体"/>
          <w:b/>
          <w:color w:val="auto"/>
          <w:sz w:val="24"/>
          <w:highlight w:val="none"/>
        </w:rPr>
      </w:pPr>
    </w:p>
    <w:p>
      <w:pPr>
        <w:spacing w:line="360" w:lineRule="auto"/>
        <w:jc w:val="left"/>
        <w:rPr>
          <w:rFonts w:ascii="宋体" w:hAnsi="宋体" w:cs="宋体"/>
          <w:b/>
          <w:color w:val="auto"/>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.参加政府采购活动前3年内在经营活动中没有重大违法记录的书面声明（格式如下，可补充）</w:t>
      </w:r>
    </w:p>
    <w:p>
      <w:pPr>
        <w:spacing w:line="360" w:lineRule="auto"/>
        <w:ind w:firstLine="420" w:firstLineChars="200"/>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color w:val="auto"/>
          <w:highlight w:val="none"/>
        </w:rPr>
      </w:pPr>
      <w:r>
        <w:rPr>
          <w:rFonts w:hint="eastAsia"/>
          <w:color w:val="auto"/>
          <w:highlight w:val="none"/>
        </w:rPr>
        <w:t>我方在此声明，在参加本次政府采购活动前三年内，在经营活动中没有重大违法记录。</w:t>
      </w:r>
    </w:p>
    <w:p>
      <w:pPr>
        <w:spacing w:line="360" w:lineRule="auto"/>
        <w:ind w:firstLine="420" w:firstLineChars="200"/>
        <w:rPr>
          <w:color w:val="auto"/>
          <w:highlight w:val="none"/>
        </w:rPr>
      </w:pPr>
      <w:r>
        <w:rPr>
          <w:rFonts w:hint="eastAsia"/>
          <w:color w:val="auto"/>
          <w:highlight w:val="none"/>
        </w:rPr>
        <w:t>我方保证上述信息的真实和准确，并愿意承担因我方就此弄虚作假所引起的一切法律后果。</w:t>
      </w:r>
    </w:p>
    <w:p>
      <w:pPr>
        <w:spacing w:line="360" w:lineRule="auto"/>
        <w:ind w:firstLine="420" w:firstLineChars="200"/>
        <w:rPr>
          <w:color w:val="auto"/>
          <w:highlight w:val="none"/>
        </w:rPr>
      </w:pPr>
    </w:p>
    <w:p>
      <w:pPr>
        <w:spacing w:line="360" w:lineRule="auto"/>
        <w:ind w:firstLine="420" w:firstLineChars="200"/>
        <w:rPr>
          <w:color w:val="auto"/>
          <w:highlight w:val="none"/>
        </w:rPr>
      </w:pPr>
      <w:r>
        <w:rPr>
          <w:rFonts w:hint="eastAsia"/>
          <w:color w:val="auto"/>
          <w:highlight w:val="none"/>
        </w:rPr>
        <w:t>特此承诺。</w:t>
      </w:r>
    </w:p>
    <w:p>
      <w:pPr>
        <w:rPr>
          <w:color w:val="auto"/>
          <w:highlight w:val="none"/>
        </w:rPr>
      </w:pPr>
    </w:p>
    <w:p>
      <w:pPr>
        <w:rPr>
          <w:color w:val="auto"/>
          <w:highlight w:val="none"/>
        </w:rPr>
      </w:pP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（电子签章）    </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（签字或签章）</w:t>
      </w:r>
    </w:p>
    <w:p>
      <w:pPr>
        <w:spacing w:line="360" w:lineRule="auto"/>
        <w:ind w:firstLine="420" w:firstLineChars="200"/>
        <w:rPr>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spacing w:line="360" w:lineRule="auto"/>
        <w:jc w:val="left"/>
        <w:rPr>
          <w:rFonts w:ascii="宋体" w:hAnsi="宋体" w:cs="宋体"/>
          <w:b/>
          <w:color w:val="auto"/>
          <w:sz w:val="24"/>
          <w:highlight w:val="none"/>
        </w:rPr>
      </w:pPr>
    </w:p>
    <w:p>
      <w:pPr>
        <w:spacing w:line="360" w:lineRule="auto"/>
        <w:jc w:val="left"/>
        <w:rPr>
          <w:rFonts w:ascii="宋体" w:hAnsi="宋体" w:cs="宋体"/>
          <w:b/>
          <w:color w:val="auto"/>
          <w:sz w:val="24"/>
          <w:highlight w:val="none"/>
        </w:rPr>
      </w:pPr>
    </w:p>
    <w:p>
      <w:pPr>
        <w:spacing w:line="360" w:lineRule="auto"/>
        <w:jc w:val="lef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7.若投标人所投设备为进口设备，需提供制造商或国内总代理商对于本项目的授权和售后服务承诺函</w:t>
      </w: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投标人关联单位的说明</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我</w:t>
      </w:r>
      <w:r>
        <w:rPr>
          <w:rFonts w:hint="eastAsia" w:ascii="宋体" w:hAnsi="宋体" w:cs="宋体"/>
          <w:color w:val="auto"/>
          <w:highlight w:val="none"/>
          <w:lang w:val="en-US" w:eastAsia="zh-CN"/>
        </w:rPr>
        <w:t>公司</w:t>
      </w:r>
      <w:r>
        <w:rPr>
          <w:rFonts w:hint="eastAsia" w:ascii="宋体" w:hAnsi="宋体" w:cs="宋体"/>
          <w:color w:val="auto"/>
          <w:highlight w:val="none"/>
        </w:rPr>
        <w:t>作为本次采购项目的投标人，根据招标文件要求，现郑重承诺如下：</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我</w:t>
      </w:r>
      <w:r>
        <w:rPr>
          <w:rFonts w:hint="eastAsia" w:ascii="宋体" w:hAnsi="宋体" w:cs="宋体"/>
          <w:color w:val="auto"/>
          <w:highlight w:val="none"/>
          <w:lang w:val="en-US" w:eastAsia="zh-CN"/>
        </w:rPr>
        <w:t>公司</w:t>
      </w:r>
      <w:r>
        <w:rPr>
          <w:rFonts w:hint="eastAsia" w:ascii="宋体" w:hAnsi="宋体" w:cs="宋体"/>
          <w:color w:val="auto"/>
          <w:highlight w:val="none"/>
        </w:rPr>
        <w:t>参加本次招标采购活动，</w:t>
      </w:r>
      <w:r>
        <w:rPr>
          <w:rFonts w:hint="eastAsia" w:ascii="宋体" w:hAnsi="宋体" w:cs="宋体"/>
          <w:color w:val="auto"/>
          <w:highlight w:val="none"/>
          <w:u w:val="single"/>
        </w:rPr>
        <w:t xml:space="preserve">       </w:t>
      </w:r>
      <w:r>
        <w:rPr>
          <w:rFonts w:hint="eastAsia" w:ascii="宋体" w:hAnsi="宋体" w:cs="宋体"/>
          <w:color w:val="auto"/>
          <w:highlight w:val="none"/>
        </w:rPr>
        <w:t>（填写“存在”或“不存在”）与单位负责人为同一人或者存在直接控股、管理关系的其他投标人参与同一合同项下的投标活动行为。</w:t>
      </w:r>
    </w:p>
    <w:p>
      <w:pPr>
        <w:spacing w:line="360" w:lineRule="auto"/>
        <w:ind w:firstLine="420" w:firstLineChars="200"/>
        <w:rPr>
          <w:rFonts w:hint="eastAsia" w:ascii="宋体" w:hAnsi="宋体" w:cs="宋体"/>
          <w:color w:val="auto"/>
          <w:highlight w:val="none"/>
        </w:rPr>
      </w:pP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说明：投标人应当如实披露与本单位存在关联关系的单位名称。</w:t>
      </w:r>
    </w:p>
    <w:p>
      <w:pPr>
        <w:spacing w:line="360" w:lineRule="auto"/>
        <w:ind w:firstLine="420" w:firstLineChars="200"/>
        <w:rPr>
          <w:rFonts w:hint="eastAsia" w:ascii="宋体" w:hAnsi="宋体" w:cs="宋体"/>
          <w:color w:val="auto"/>
          <w:highlight w:val="none"/>
        </w:rPr>
      </w:pP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pPr>
        <w:spacing w:line="360" w:lineRule="auto"/>
        <w:ind w:firstLine="420" w:firstLineChars="200"/>
        <w:rPr>
          <w:rFonts w:hint="eastAsia" w:ascii="宋体" w:hAnsi="宋体" w:cs="宋体"/>
          <w:b/>
          <w:color w:val="auto"/>
          <w:sz w:val="24"/>
          <w:highlight w:val="none"/>
          <w:lang w:val="en-US" w:eastAsia="zh-CN"/>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spacing w:line="360" w:lineRule="auto"/>
        <w:rPr>
          <w:rFonts w:ascii="宋体" w:hAnsi="宋体"/>
          <w:color w:val="auto"/>
          <w:highlight w:val="none"/>
        </w:rPr>
      </w:pPr>
      <w:r>
        <w:rPr>
          <w:rFonts w:ascii="宋体" w:hAnsi="宋体"/>
          <w:color w:val="auto"/>
          <w:highlight w:val="none"/>
        </w:rPr>
        <w:br w:type="page"/>
      </w:r>
    </w:p>
    <w:p>
      <w:pPr>
        <w:pStyle w:val="4"/>
        <w:ind w:left="0" w:firstLine="0"/>
        <w:rPr>
          <w:rFonts w:ascii="宋体" w:hAnsi="宋体" w:cs="MS Mincho"/>
          <w:color w:val="auto"/>
          <w:szCs w:val="21"/>
          <w:highlight w:val="none"/>
        </w:rPr>
      </w:pPr>
      <w:bookmarkStart w:id="483" w:name="_Toc6795"/>
      <w:bookmarkStart w:id="484" w:name="_Toc25147"/>
      <w:bookmarkStart w:id="485" w:name="_Toc29826"/>
      <w:r>
        <w:rPr>
          <w:rFonts w:hint="eastAsia" w:ascii="宋体" w:hAnsi="宋体" w:cs="宋体"/>
          <w:color w:val="auto"/>
          <w:sz w:val="28"/>
          <w:szCs w:val="28"/>
          <w:highlight w:val="none"/>
          <w:lang w:val="en-US" w:eastAsia="zh-CN"/>
        </w:rPr>
        <w:t>八</w:t>
      </w:r>
      <w:r>
        <w:rPr>
          <w:rFonts w:hint="eastAsia" w:ascii="宋体" w:hAnsi="宋体" w:cs="宋体"/>
          <w:color w:val="auto"/>
          <w:sz w:val="28"/>
          <w:szCs w:val="28"/>
          <w:highlight w:val="none"/>
        </w:rPr>
        <w:t>、商务及技术要求偏离表</w:t>
      </w:r>
      <w:bookmarkEnd w:id="483"/>
      <w:bookmarkEnd w:id="484"/>
    </w:p>
    <w:p>
      <w:pPr>
        <w:pStyle w:val="5"/>
        <w:numPr>
          <w:ilvl w:val="2"/>
          <w:numId w:val="0"/>
        </w:numPr>
        <w:jc w:val="center"/>
        <w:rPr>
          <w:rFonts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.1商务条款偏离表</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9"/>
        <w:gridCol w:w="3369"/>
        <w:gridCol w:w="2209"/>
        <w:gridCol w:w="20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889" w:type="dxa"/>
          </w:tcPr>
          <w:p>
            <w:pPr>
              <w:spacing w:before="72"/>
              <w:ind w:left="221" w:right="223"/>
              <w:jc w:val="center"/>
              <w:rPr>
                <w:rFonts w:ascii="宋体" w:hAnsi="宋体" w:cs="宋体"/>
                <w:b/>
                <w:color w:val="auto"/>
                <w:kern w:val="0"/>
                <w:highlight w:val="none"/>
              </w:rPr>
            </w:pPr>
            <w:r>
              <w:rPr>
                <w:rFonts w:hint="eastAsia" w:ascii="宋体" w:hAnsi="宋体" w:cs="宋体"/>
                <w:color w:val="auto"/>
                <w:kern w:val="0"/>
                <w:highlight w:val="none"/>
              </w:rPr>
              <w:t>序号</w:t>
            </w:r>
          </w:p>
        </w:tc>
        <w:tc>
          <w:tcPr>
            <w:tcW w:w="3369"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商务条款要求</w:t>
            </w:r>
          </w:p>
        </w:tc>
        <w:tc>
          <w:tcPr>
            <w:tcW w:w="2209"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是否响应</w:t>
            </w:r>
          </w:p>
        </w:tc>
        <w:tc>
          <w:tcPr>
            <w:tcW w:w="2045"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偏离说明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6"/>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1</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3"/>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2</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3"/>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3</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4"/>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4</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6"/>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5</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bl>
    <w:p>
      <w:pPr>
        <w:autoSpaceDE w:val="0"/>
        <w:autoSpaceDN w:val="0"/>
        <w:adjustRightInd w:val="0"/>
        <w:jc w:val="left"/>
        <w:rPr>
          <w:rFonts w:ascii="宋体" w:hAnsi="宋体"/>
          <w:color w:val="auto"/>
          <w:highlight w:val="none"/>
        </w:rPr>
      </w:pPr>
    </w:p>
    <w:p>
      <w:pPr>
        <w:autoSpaceDE w:val="0"/>
        <w:autoSpaceDN w:val="0"/>
        <w:adjustRightInd w:val="0"/>
        <w:ind w:firstLine="210" w:firstLineChars="100"/>
        <w:jc w:val="left"/>
        <w:rPr>
          <w:rFonts w:ascii="宋体" w:hAnsi="宋体" w:cs="宋体"/>
          <w:color w:val="auto"/>
          <w:kern w:val="0"/>
          <w:highlight w:val="none"/>
        </w:rPr>
      </w:pPr>
      <w:r>
        <w:rPr>
          <w:rFonts w:hint="eastAsia" w:ascii="宋体" w:hAnsi="宋体"/>
          <w:color w:val="auto"/>
          <w:highlight w:val="none"/>
        </w:rPr>
        <w:t>投标人承诺响应招标文件的全部要求。</w:t>
      </w:r>
    </w:p>
    <w:p>
      <w:pPr>
        <w:autoSpaceDE w:val="0"/>
        <w:autoSpaceDN w:val="0"/>
        <w:adjustRightInd w:val="0"/>
        <w:spacing w:line="440" w:lineRule="exact"/>
        <w:ind w:firstLine="3402" w:firstLineChars="1620"/>
        <w:jc w:val="left"/>
        <w:rPr>
          <w:rFonts w:ascii="宋体" w:hAnsi="宋体" w:cs="宋体"/>
          <w:color w:val="auto"/>
          <w:kern w:val="0"/>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（电子签章</w:t>
      </w:r>
      <w:r>
        <w:rPr>
          <w:rFonts w:hint="eastAsia" w:ascii="宋体" w:hAnsi="宋体" w:cs="MS Mincho"/>
          <w:color w:val="auto"/>
          <w:kern w:val="0"/>
          <w:highlight w:val="none"/>
          <w:u w:val="single"/>
        </w:rPr>
        <w:t xml:space="preserve">）   </w:t>
      </w:r>
      <w:r>
        <w:rPr>
          <w:rFonts w:hint="eastAsia" w:ascii="宋体" w:hAnsi="宋体" w:cs="宋体"/>
          <w:color w:val="auto"/>
          <w:kern w:val="0"/>
          <w:highlight w:val="none"/>
          <w:u w:val="single"/>
        </w:rPr>
        <w:t xml:space="preserve"> </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hint="eastAsia" w:ascii="宋体" w:hAnsi="宋体" w:cs="宋体"/>
          <w:color w:val="auto"/>
          <w:kern w:val="0"/>
          <w:highlight w:val="none"/>
          <w:u w:val="single"/>
        </w:rPr>
        <w:t xml:space="preserve">          （签</w:t>
      </w:r>
      <w:r>
        <w:rPr>
          <w:rFonts w:hint="eastAsia" w:ascii="宋体" w:hAnsi="宋体" w:cs="MS Mincho"/>
          <w:color w:val="auto"/>
          <w:kern w:val="0"/>
          <w:highlight w:val="none"/>
          <w:u w:val="single"/>
        </w:rPr>
        <w:t>字或签章）</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日期：</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rPr>
          <w:rFonts w:ascii="宋体" w:hAnsi="宋体"/>
          <w:color w:val="auto"/>
          <w:highlight w:val="none"/>
        </w:rPr>
      </w:pPr>
      <w:r>
        <w:rPr>
          <w:rFonts w:ascii="宋体" w:hAnsi="宋体"/>
          <w:color w:val="auto"/>
          <w:highlight w:val="none"/>
        </w:rPr>
        <w:br w:type="page"/>
      </w:r>
    </w:p>
    <w:p>
      <w:pPr>
        <w:pStyle w:val="5"/>
        <w:jc w:val="center"/>
        <w:rPr>
          <w:rFonts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.2技术性能偏离表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2"/>
        <w:gridCol w:w="2753"/>
        <w:gridCol w:w="2633"/>
        <w:gridCol w:w="1394"/>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r>
              <w:rPr>
                <w:rFonts w:hint="eastAsia" w:ascii="宋体" w:hAnsi="宋体" w:cs="宋体"/>
                <w:color w:val="auto"/>
                <w:highlight w:val="none"/>
              </w:rPr>
              <w:t>序号</w:t>
            </w:r>
          </w:p>
        </w:tc>
        <w:tc>
          <w:tcPr>
            <w:tcW w:w="2753" w:type="dxa"/>
            <w:vAlign w:val="center"/>
          </w:tcPr>
          <w:p>
            <w:pPr>
              <w:jc w:val="center"/>
              <w:rPr>
                <w:rFonts w:ascii="宋体" w:hAnsi="宋体" w:cs="宋体"/>
                <w:color w:val="auto"/>
                <w:highlight w:val="none"/>
              </w:rPr>
            </w:pPr>
            <w:r>
              <w:rPr>
                <w:rFonts w:hint="eastAsia" w:ascii="宋体" w:hAnsi="宋体" w:cs="宋体"/>
                <w:color w:val="auto"/>
                <w:highlight w:val="none"/>
              </w:rPr>
              <w:t>招标规格</w:t>
            </w:r>
          </w:p>
        </w:tc>
        <w:tc>
          <w:tcPr>
            <w:tcW w:w="2633" w:type="dxa"/>
            <w:vAlign w:val="center"/>
          </w:tcPr>
          <w:p>
            <w:pPr>
              <w:jc w:val="center"/>
              <w:rPr>
                <w:rFonts w:ascii="宋体" w:hAnsi="宋体" w:cs="宋体"/>
                <w:color w:val="auto"/>
                <w:highlight w:val="none"/>
              </w:rPr>
            </w:pPr>
            <w:r>
              <w:rPr>
                <w:rFonts w:hint="eastAsia" w:ascii="宋体" w:hAnsi="宋体" w:cs="宋体"/>
                <w:color w:val="auto"/>
                <w:highlight w:val="none"/>
              </w:rPr>
              <w:t>投标规格</w:t>
            </w:r>
          </w:p>
        </w:tc>
        <w:tc>
          <w:tcPr>
            <w:tcW w:w="1394" w:type="dxa"/>
            <w:vAlign w:val="center"/>
          </w:tcPr>
          <w:p>
            <w:pPr>
              <w:jc w:val="center"/>
              <w:rPr>
                <w:rFonts w:ascii="宋体" w:hAnsi="宋体" w:cs="宋体"/>
                <w:color w:val="auto"/>
                <w:highlight w:val="none"/>
              </w:rPr>
            </w:pPr>
            <w:r>
              <w:rPr>
                <w:rFonts w:hint="eastAsia" w:ascii="宋体" w:hAnsi="宋体" w:cs="宋体"/>
                <w:color w:val="auto"/>
                <w:highlight w:val="none"/>
              </w:rPr>
              <w:t>偏离说明</w:t>
            </w:r>
          </w:p>
        </w:tc>
        <w:tc>
          <w:tcPr>
            <w:tcW w:w="1858" w:type="dxa"/>
            <w:vAlign w:val="center"/>
          </w:tcPr>
          <w:p>
            <w:pPr>
              <w:jc w:val="center"/>
              <w:rPr>
                <w:rFonts w:ascii="宋体" w:hAnsi="宋体" w:cs="宋体"/>
                <w:color w:val="auto"/>
                <w:highlight w:val="none"/>
              </w:rPr>
            </w:pPr>
            <w:r>
              <w:rPr>
                <w:rFonts w:hint="eastAsia" w:ascii="宋体" w:hAnsi="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pStyle w:val="2"/>
              <w:jc w:val="center"/>
              <w:rPr>
                <w:rFonts w:ascii="宋体" w:hAnsi="宋体"/>
                <w:color w:val="auto"/>
                <w:kern w:val="2"/>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pStyle w:val="2"/>
              <w:jc w:val="center"/>
              <w:rPr>
                <w:rFonts w:ascii="宋体" w:hAnsi="宋体"/>
                <w:color w:val="auto"/>
                <w:kern w:val="2"/>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9" w:hRule="exact"/>
          <w:jc w:val="center"/>
        </w:trPr>
        <w:tc>
          <w:tcPr>
            <w:tcW w:w="862" w:type="dxa"/>
            <w:vAlign w:val="center"/>
          </w:tcPr>
          <w:p>
            <w:pPr>
              <w:jc w:val="center"/>
              <w:rPr>
                <w:rFonts w:ascii="宋体" w:hAnsi="宋体" w:cs="宋体"/>
                <w:color w:val="auto"/>
                <w:highlight w:val="none"/>
              </w:rPr>
            </w:pPr>
            <w:r>
              <w:rPr>
                <w:rFonts w:hint="eastAsia" w:ascii="宋体" w:hAnsi="宋体" w:cs="宋体"/>
                <w:color w:val="auto"/>
                <w:highlight w:val="none"/>
              </w:rPr>
              <w:t>...</w:t>
            </w: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bl>
    <w:p>
      <w:pPr>
        <w:spacing w:line="440" w:lineRule="exact"/>
        <w:rPr>
          <w:rFonts w:ascii="宋体" w:hAnsi="宋体" w:cs="宋体"/>
          <w:color w:val="auto"/>
          <w:kern w:val="0"/>
          <w:highlight w:val="none"/>
        </w:rPr>
      </w:pPr>
      <w:r>
        <w:rPr>
          <w:rFonts w:hint="eastAsia" w:ascii="宋体" w:hAnsi="宋体" w:cs="宋体"/>
          <w:color w:val="auto"/>
          <w:kern w:val="0"/>
          <w:highlight w:val="none"/>
        </w:rPr>
        <w:t>说明：</w:t>
      </w:r>
    </w:p>
    <w:p>
      <w:pPr>
        <w:spacing w:line="400" w:lineRule="exact"/>
        <w:rPr>
          <w:rFonts w:ascii="宋体" w:hAnsi="宋体" w:cs="宋体"/>
          <w:color w:val="auto"/>
          <w:kern w:val="0"/>
          <w:highlight w:val="none"/>
        </w:rPr>
      </w:pPr>
      <w:r>
        <w:rPr>
          <w:rFonts w:hint="eastAsia" w:ascii="宋体" w:hAnsi="宋体" w:cs="宋体"/>
          <w:color w:val="auto"/>
          <w:kern w:val="0"/>
          <w:highlight w:val="none"/>
        </w:rPr>
        <w:t>1.表中“招标规格”一栏严格按招标文件第五章技术标准和要求逐项填写，不能私自修改产品技术规格。</w:t>
      </w:r>
    </w:p>
    <w:p>
      <w:pPr>
        <w:spacing w:line="400" w:lineRule="exact"/>
        <w:rPr>
          <w:rFonts w:ascii="宋体" w:hAnsi="宋体" w:cs="宋体"/>
          <w:color w:val="auto"/>
          <w:kern w:val="0"/>
          <w:highlight w:val="none"/>
        </w:rPr>
      </w:pPr>
      <w:r>
        <w:rPr>
          <w:rFonts w:hint="eastAsia" w:ascii="宋体" w:hAnsi="宋体" w:cs="宋体"/>
          <w:color w:val="auto"/>
          <w:kern w:val="0"/>
          <w:highlight w:val="none"/>
        </w:rPr>
        <w:t>2.表中“投标规格”一栏投标人填写所投产品此条款的实际规格性能，需逐项如实填写。</w:t>
      </w:r>
    </w:p>
    <w:p>
      <w:pPr>
        <w:pStyle w:val="15"/>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表中“偏离说明”一栏投标人对所投产品的“招标规格”与“投标规格”进行对比后填写偏离说明。（如：无偏离请填写“无偏离”的字样；正偏离请填写“正偏离”字样并对在“备注”一栏对正偏离进行具体说明；负偏离请填写“负偏离”字样并在“备注”一栏对负偏离进行具体说明。）</w:t>
      </w:r>
    </w:p>
    <w:p>
      <w:pPr>
        <w:rPr>
          <w:rFonts w:hint="eastAsia" w:ascii="宋体" w:hAnsi="宋体"/>
          <w:color w:val="auto"/>
          <w:sz w:val="28"/>
          <w:szCs w:val="28"/>
          <w:highlight w:val="none"/>
        </w:rPr>
      </w:pPr>
      <w:r>
        <w:rPr>
          <w:rFonts w:hint="eastAsia" w:ascii="宋体" w:hAnsi="宋体"/>
          <w:color w:val="auto"/>
          <w:sz w:val="28"/>
          <w:szCs w:val="28"/>
          <w:highlight w:val="none"/>
        </w:rPr>
        <w:br w:type="page"/>
      </w:r>
    </w:p>
    <w:p>
      <w:pPr>
        <w:pStyle w:val="4"/>
        <w:ind w:left="0" w:firstLine="0"/>
        <w:rPr>
          <w:rFonts w:ascii="宋体" w:hAnsi="宋体" w:cs="宋体"/>
          <w:color w:val="auto"/>
          <w:sz w:val="28"/>
          <w:szCs w:val="28"/>
          <w:highlight w:val="none"/>
        </w:rPr>
      </w:pPr>
      <w:bookmarkStart w:id="486" w:name="_Toc5783"/>
      <w:r>
        <w:rPr>
          <w:rFonts w:hint="eastAsia" w:ascii="宋体" w:hAnsi="宋体"/>
          <w:color w:val="auto"/>
          <w:sz w:val="28"/>
          <w:szCs w:val="28"/>
          <w:highlight w:val="none"/>
        </w:rPr>
        <w:t>九、</w:t>
      </w:r>
      <w:r>
        <w:rPr>
          <w:rFonts w:hint="eastAsia" w:ascii="宋体" w:hAnsi="宋体" w:cs="宋体"/>
          <w:color w:val="auto"/>
          <w:sz w:val="28"/>
          <w:szCs w:val="28"/>
          <w:highlight w:val="none"/>
        </w:rPr>
        <w:t>技术证明文件</w:t>
      </w:r>
      <w:bookmarkEnd w:id="485"/>
      <w:bookmarkEnd w:id="486"/>
    </w:p>
    <w:p>
      <w:pPr>
        <w:widowControl/>
        <w:spacing w:line="360" w:lineRule="auto"/>
        <w:jc w:val="left"/>
        <w:rPr>
          <w:rFonts w:ascii="宋体" w:hAnsi="宋体" w:cs="宋体"/>
          <w:bCs/>
          <w:color w:val="auto"/>
          <w:kern w:val="0"/>
          <w:highlight w:val="none"/>
        </w:rPr>
      </w:pPr>
      <w:r>
        <w:rPr>
          <w:rFonts w:hint="eastAsia" w:ascii="宋体" w:hAnsi="宋体" w:cs="宋体"/>
          <w:bCs/>
          <w:color w:val="auto"/>
          <w:kern w:val="0"/>
          <w:highlight w:val="none"/>
        </w:rPr>
        <w:t>（1）产品规格一览表</w:t>
      </w:r>
    </w:p>
    <w:tbl>
      <w:tblPr>
        <w:tblStyle w:val="48"/>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863"/>
        <w:gridCol w:w="5169"/>
        <w:gridCol w:w="768"/>
        <w:gridCol w:w="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22"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序号</w:t>
            </w:r>
          </w:p>
        </w:tc>
        <w:tc>
          <w:tcPr>
            <w:tcW w:w="1863"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货物名称</w:t>
            </w:r>
          </w:p>
        </w:tc>
        <w:tc>
          <w:tcPr>
            <w:tcW w:w="5169" w:type="dxa"/>
            <w:vAlign w:val="center"/>
          </w:tcPr>
          <w:p>
            <w:pPr>
              <w:spacing w:line="280" w:lineRule="exact"/>
              <w:rPr>
                <w:rFonts w:ascii="宋体" w:hAnsi="宋体" w:cs="宋体"/>
                <w:color w:val="auto"/>
                <w:highlight w:val="none"/>
              </w:rPr>
            </w:pPr>
            <w:r>
              <w:rPr>
                <w:rFonts w:hint="eastAsia" w:ascii="宋体" w:hAnsi="宋体" w:cs="宋体"/>
                <w:color w:val="auto"/>
                <w:highlight w:val="none"/>
              </w:rPr>
              <w:t>具体技术规格参数、功能描述及配置清单描述</w:t>
            </w:r>
          </w:p>
        </w:tc>
        <w:tc>
          <w:tcPr>
            <w:tcW w:w="768"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单位</w:t>
            </w:r>
          </w:p>
        </w:tc>
        <w:tc>
          <w:tcPr>
            <w:tcW w:w="677"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1</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2</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3</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bl>
    <w:p>
      <w:pPr>
        <w:widowControl/>
        <w:jc w:val="left"/>
        <w:rPr>
          <w:bCs/>
          <w:color w:val="auto"/>
          <w:highlight w:val="none"/>
        </w:rPr>
      </w:pPr>
    </w:p>
    <w:p>
      <w:pPr>
        <w:widowControl/>
        <w:spacing w:line="360" w:lineRule="auto"/>
        <w:jc w:val="left"/>
        <w:rPr>
          <w:bCs/>
          <w:color w:val="auto"/>
          <w:highlight w:val="none"/>
        </w:rPr>
      </w:pPr>
      <w:r>
        <w:rPr>
          <w:rFonts w:hint="eastAsia" w:ascii="宋体" w:hAnsi="宋体" w:cs="宋体"/>
          <w:bCs/>
          <w:color w:val="auto"/>
          <w:kern w:val="0"/>
          <w:highlight w:val="none"/>
        </w:rPr>
        <w:t>（2）提供产品详细介绍（产品技术规格说明书及有关技术资料，若有）</w:t>
      </w:r>
    </w:p>
    <w:p>
      <w:pPr>
        <w:rPr>
          <w:color w:val="auto"/>
          <w:highlight w:val="none"/>
        </w:rPr>
      </w:pPr>
      <w:r>
        <w:rPr>
          <w:rFonts w:hint="eastAsia" w:ascii="宋体" w:hAnsi="宋体" w:cs="宋体"/>
          <w:bCs/>
          <w:color w:val="auto"/>
          <w:kern w:val="0"/>
          <w:highlight w:val="none"/>
        </w:rPr>
        <w:t>（3）产品相关检定证书、检测报告（若有）</w:t>
      </w:r>
    </w:p>
    <w:p>
      <w:pPr>
        <w:pStyle w:val="46"/>
        <w:rPr>
          <w:rFonts w:ascii="宋体" w:hAnsi="宋体" w:eastAsia="宋体"/>
          <w:color w:val="auto"/>
          <w:highlight w:val="none"/>
        </w:rPr>
      </w:pPr>
    </w:p>
    <w:p>
      <w:pPr>
        <w:pStyle w:val="46"/>
        <w:rPr>
          <w:rFonts w:ascii="宋体" w:hAnsi="宋体" w:eastAsia="宋体"/>
          <w:color w:val="auto"/>
          <w:highlight w:val="none"/>
        </w:rPr>
      </w:pPr>
    </w:p>
    <w:p>
      <w:pPr>
        <w:pStyle w:val="4"/>
        <w:numPr>
          <w:ilvl w:val="0"/>
          <w:numId w:val="46"/>
        </w:numPr>
        <w:ind w:left="0" w:firstLine="0"/>
        <w:rPr>
          <w:rFonts w:hint="eastAsia"/>
          <w:color w:val="auto"/>
          <w:highlight w:val="none"/>
          <w:lang w:val="en-US" w:eastAsia="zh-CN"/>
        </w:rPr>
      </w:pPr>
      <w:r>
        <w:rPr>
          <w:rFonts w:ascii="宋体" w:hAnsi="宋体"/>
          <w:color w:val="auto"/>
          <w:highlight w:val="none"/>
        </w:rPr>
        <w:br w:type="page"/>
      </w:r>
      <w:bookmarkStart w:id="487" w:name="_Toc12251"/>
      <w:bookmarkStart w:id="488" w:name="_Toc6296"/>
      <w:r>
        <w:rPr>
          <w:rFonts w:hint="eastAsia" w:ascii="宋体" w:hAnsi="宋体"/>
          <w:color w:val="auto"/>
          <w:sz w:val="28"/>
          <w:szCs w:val="28"/>
          <w:highlight w:val="none"/>
          <w:lang w:val="en-US" w:eastAsia="zh-CN"/>
        </w:rPr>
        <w:t>商务部分</w:t>
      </w:r>
      <w:bookmarkEnd w:id="487"/>
    </w:p>
    <w:p>
      <w:pPr>
        <w:numPr>
          <w:ilvl w:val="0"/>
          <w:numId w:val="47"/>
        </w:numPr>
        <w:bidi w:val="0"/>
        <w:spacing w:line="360" w:lineRule="auto"/>
        <w:rPr>
          <w:rFonts w:hint="eastAsia"/>
          <w:color w:val="auto"/>
          <w:highlight w:val="none"/>
          <w:lang w:val="en-US" w:eastAsia="zh-CN"/>
        </w:rPr>
      </w:pPr>
      <w:r>
        <w:rPr>
          <w:rFonts w:hint="eastAsia"/>
          <w:color w:val="auto"/>
          <w:highlight w:val="none"/>
          <w:lang w:val="en-US" w:eastAsia="zh-CN"/>
        </w:rPr>
        <w:t>企业认证证书</w:t>
      </w:r>
    </w:p>
    <w:p>
      <w:pPr>
        <w:numPr>
          <w:ilvl w:val="0"/>
          <w:numId w:val="0"/>
        </w:numPr>
        <w:bidi w:val="0"/>
        <w:spacing w:line="360" w:lineRule="auto"/>
        <w:rPr>
          <w:rFonts w:hint="eastAsia"/>
          <w:color w:val="auto"/>
          <w:highlight w:val="none"/>
          <w:lang w:val="en-US" w:eastAsia="zh-CN"/>
        </w:rPr>
      </w:pPr>
    </w:p>
    <w:p>
      <w:pPr>
        <w:numPr>
          <w:ilvl w:val="0"/>
          <w:numId w:val="47"/>
        </w:numPr>
        <w:bidi w:val="0"/>
        <w:spacing w:line="360" w:lineRule="auto"/>
        <w:rPr>
          <w:rFonts w:hint="default"/>
          <w:color w:val="auto"/>
          <w:highlight w:val="none"/>
          <w:lang w:val="en-US" w:eastAsia="zh-CN"/>
        </w:rPr>
      </w:pPr>
      <w:r>
        <w:rPr>
          <w:rFonts w:hint="eastAsia"/>
          <w:color w:val="auto"/>
          <w:highlight w:val="none"/>
          <w:lang w:val="en-US" w:eastAsia="zh-CN"/>
        </w:rPr>
        <w:t>企业业绩信息</w:t>
      </w:r>
    </w:p>
    <w:bookmarkEnd w:id="488"/>
    <w:tbl>
      <w:tblPr>
        <w:tblStyle w:val="48"/>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915"/>
        <w:gridCol w:w="1915"/>
        <w:gridCol w:w="1915"/>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序号</w:t>
            </w:r>
          </w:p>
        </w:tc>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w:t>
            </w:r>
            <w:r>
              <w:rPr>
                <w:rFonts w:ascii="宋体" w:hAnsi="宋体" w:eastAsia="宋体"/>
                <w:color w:val="auto"/>
                <w:sz w:val="21"/>
                <w:szCs w:val="21"/>
                <w:highlight w:val="none"/>
              </w:rPr>
              <w:t>名称</w:t>
            </w:r>
          </w:p>
        </w:tc>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业主</w:t>
            </w:r>
            <w:r>
              <w:rPr>
                <w:rFonts w:ascii="宋体" w:hAnsi="宋体" w:eastAsia="宋体"/>
                <w:color w:val="auto"/>
                <w:sz w:val="21"/>
                <w:szCs w:val="21"/>
                <w:highlight w:val="none"/>
              </w:rPr>
              <w:t>单位</w:t>
            </w:r>
          </w:p>
        </w:tc>
        <w:tc>
          <w:tcPr>
            <w:tcW w:w="1915"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合同签订时间</w:t>
            </w:r>
          </w:p>
        </w:tc>
        <w:tc>
          <w:tcPr>
            <w:tcW w:w="1916"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bl>
    <w:p>
      <w:pPr>
        <w:pStyle w:val="46"/>
        <w:ind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rPr>
        <w:t>注：</w:t>
      </w:r>
    </w:p>
    <w:p>
      <w:pPr>
        <w:pStyle w:val="46"/>
        <w:ind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1、以上业绩须提供有关证明材料复印件，以合同签订时间为准。证明材料中须显示出业主单位名称、货物名称，投标人名称等关键性文字。</w:t>
      </w:r>
    </w:p>
    <w:p>
      <w:pPr>
        <w:pStyle w:val="46"/>
        <w:ind w:firstLineChars="200"/>
        <w:jc w:val="left"/>
        <w:rPr>
          <w:rFonts w:ascii="宋体" w:hAnsi="宋体" w:eastAsia="宋体"/>
          <w:color w:val="auto"/>
          <w:highlight w:val="none"/>
        </w:rPr>
      </w:pPr>
      <w:r>
        <w:rPr>
          <w:rFonts w:hint="eastAsia" w:ascii="宋体" w:hAnsi="宋体" w:eastAsia="宋体"/>
          <w:color w:val="auto"/>
          <w:sz w:val="21"/>
          <w:szCs w:val="21"/>
          <w:highlight w:val="none"/>
        </w:rPr>
        <w:t>2、表格不够投标人可按以上表格形式进行扩充复制。</w:t>
      </w:r>
    </w:p>
    <w:p>
      <w:pPr>
        <w:pStyle w:val="4"/>
        <w:ind w:left="0" w:firstLine="0"/>
        <w:rPr>
          <w:rFonts w:hint="eastAsia" w:ascii="宋体" w:hAnsi="宋体" w:cs="宋体"/>
          <w:color w:val="auto"/>
          <w:sz w:val="28"/>
          <w:szCs w:val="28"/>
          <w:highlight w:val="none"/>
          <w:lang w:val="en-US" w:eastAsia="zh-CN"/>
        </w:rPr>
      </w:pPr>
      <w:r>
        <w:rPr>
          <w:rFonts w:ascii="宋体" w:hAnsi="宋体" w:cs="宋体"/>
          <w:color w:val="auto"/>
          <w:szCs w:val="21"/>
          <w:highlight w:val="none"/>
        </w:rPr>
        <w:br w:type="page"/>
      </w:r>
      <w:bookmarkStart w:id="489" w:name="_Toc11414"/>
      <w:bookmarkStart w:id="490" w:name="_Toc459302272"/>
      <w:bookmarkStart w:id="491" w:name="_Toc13988"/>
      <w:r>
        <w:rPr>
          <w:rFonts w:hint="eastAsia" w:ascii="宋体" w:hAnsi="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售后服务</w:t>
      </w:r>
      <w:bookmarkEnd w:id="489"/>
    </w:p>
    <w:p>
      <w:pPr>
        <w:bidi w:val="0"/>
        <w:rPr>
          <w:rFonts w:hint="default"/>
          <w:color w:val="auto"/>
          <w:highlight w:val="none"/>
          <w:lang w:val="en-US" w:eastAsia="zh-CN"/>
        </w:rPr>
      </w:pP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r>
    </w:p>
    <w:p>
      <w:pPr>
        <w:pStyle w:val="4"/>
        <w:ind w:left="0" w:firstLine="0"/>
        <w:rPr>
          <w:rFonts w:ascii="宋体" w:hAnsi="宋体" w:cs="宋体"/>
          <w:color w:val="auto"/>
          <w:sz w:val="28"/>
          <w:szCs w:val="28"/>
          <w:highlight w:val="none"/>
        </w:rPr>
      </w:pPr>
      <w:bookmarkStart w:id="492" w:name="_Toc24527"/>
      <w:r>
        <w:rPr>
          <w:rFonts w:hint="eastAsia" w:ascii="宋体" w:hAnsi="宋体" w:cs="宋体"/>
          <w:color w:val="auto"/>
          <w:sz w:val="28"/>
          <w:szCs w:val="28"/>
          <w:highlight w:val="none"/>
          <w:lang w:val="en-US" w:eastAsia="zh-CN"/>
        </w:rPr>
        <w:t>十二、</w:t>
      </w:r>
      <w:r>
        <w:rPr>
          <w:rFonts w:hint="eastAsia" w:ascii="宋体" w:hAnsi="宋体" w:cs="宋体"/>
          <w:color w:val="auto"/>
          <w:sz w:val="28"/>
          <w:szCs w:val="28"/>
          <w:highlight w:val="none"/>
        </w:rPr>
        <w:t>反商业贿赂承诺书</w:t>
      </w:r>
      <w:bookmarkEnd w:id="490"/>
      <w:bookmarkEnd w:id="491"/>
      <w:bookmarkEnd w:id="492"/>
    </w:p>
    <w:p>
      <w:pPr>
        <w:spacing w:line="360" w:lineRule="auto"/>
        <w:ind w:firstLine="540"/>
        <w:rPr>
          <w:rFonts w:ascii="宋体" w:hAnsi="宋体"/>
          <w:color w:val="auto"/>
          <w:highlight w:val="none"/>
        </w:rPr>
      </w:pPr>
      <w:r>
        <w:rPr>
          <w:rFonts w:hint="eastAsia" w:ascii="宋体" w:hAnsi="宋体"/>
          <w:color w:val="auto"/>
          <w:highlight w:val="none"/>
        </w:rPr>
        <w:t>我公司承诺：</w:t>
      </w:r>
    </w:p>
    <w:p>
      <w:pPr>
        <w:spacing w:line="360" w:lineRule="auto"/>
        <w:ind w:firstLine="540"/>
        <w:rPr>
          <w:rFonts w:ascii="宋体" w:hAnsi="宋体"/>
          <w:color w:val="auto"/>
          <w:highlight w:val="none"/>
        </w:rPr>
      </w:pPr>
      <w:r>
        <w:rPr>
          <w:rFonts w:hint="eastAsia" w:ascii="宋体" w:hAnsi="宋体"/>
          <w:color w:val="auto"/>
          <w:highlight w:val="none"/>
        </w:rPr>
        <w:t>在</w:t>
      </w:r>
      <w:r>
        <w:rPr>
          <w:rFonts w:hint="eastAsia" w:ascii="宋体" w:hAnsi="宋体"/>
          <w:color w:val="auto"/>
          <w:highlight w:val="none"/>
          <w:u w:val="single"/>
        </w:rPr>
        <w:t xml:space="preserve">   （项目名称）</w:t>
      </w:r>
      <w:r>
        <w:rPr>
          <w:rFonts w:hint="eastAsia" w:ascii="宋体" w:hAnsi="宋体"/>
          <w:color w:val="auto"/>
          <w:highlight w:val="none"/>
        </w:rPr>
        <w:t>招标活动中，我公司保证做到：</w:t>
      </w:r>
    </w:p>
    <w:p>
      <w:pPr>
        <w:spacing w:line="360" w:lineRule="auto"/>
        <w:ind w:firstLine="540"/>
        <w:rPr>
          <w:rFonts w:ascii="宋体" w:hAnsi="宋体"/>
          <w:color w:val="auto"/>
          <w:highlight w:val="none"/>
        </w:rPr>
      </w:pPr>
      <w:r>
        <w:rPr>
          <w:rFonts w:hint="eastAsia" w:ascii="宋体" w:hAnsi="宋体"/>
          <w:color w:val="auto"/>
          <w:highlight w:val="none"/>
        </w:rPr>
        <w:t>一、公平竞争参加本次招标活动。</w:t>
      </w:r>
    </w:p>
    <w:p>
      <w:pPr>
        <w:spacing w:line="360" w:lineRule="auto"/>
        <w:ind w:firstLine="540"/>
        <w:rPr>
          <w:rFonts w:ascii="宋体" w:hAnsi="宋体"/>
          <w:color w:val="auto"/>
          <w:highlight w:val="none"/>
        </w:rPr>
      </w:pPr>
      <w:r>
        <w:rPr>
          <w:rFonts w:hint="eastAsia" w:ascii="宋体" w:hAnsi="宋体"/>
          <w:color w:val="auto"/>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360" w:lineRule="auto"/>
        <w:ind w:firstLine="540"/>
        <w:rPr>
          <w:rFonts w:ascii="宋体" w:hAnsi="宋体"/>
          <w:color w:val="auto"/>
          <w:highlight w:val="none"/>
        </w:rPr>
      </w:pPr>
      <w:r>
        <w:rPr>
          <w:rFonts w:hint="eastAsia" w:ascii="宋体" w:hAnsi="宋体"/>
          <w:color w:val="auto"/>
          <w:highlight w:val="none"/>
        </w:rPr>
        <w:t>三、若出现上述行为，我公司及参与投标的工作人员愿意接受按照国家法律法规等有关规定给予的处罚。</w:t>
      </w:r>
    </w:p>
    <w:p>
      <w:pPr>
        <w:spacing w:line="360" w:lineRule="auto"/>
        <w:ind w:firstLine="540"/>
        <w:rPr>
          <w:rFonts w:ascii="宋体" w:hAnsi="宋体"/>
          <w:color w:val="auto"/>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bookmarkStart w:id="493" w:name="_Toc272420870"/>
      <w:bookmarkStart w:id="494" w:name="_Toc459302273"/>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（电子签章</w:t>
      </w:r>
      <w:r>
        <w:rPr>
          <w:rFonts w:hint="eastAsia" w:ascii="宋体" w:hAnsi="宋体" w:cs="MS Mincho"/>
          <w:color w:val="auto"/>
          <w:kern w:val="0"/>
          <w:highlight w:val="none"/>
          <w:u w:val="single"/>
        </w:rPr>
        <w:t>）</w:t>
      </w:r>
      <w:r>
        <w:rPr>
          <w:rFonts w:hint="eastAsia" w:ascii="宋体" w:hAnsi="宋体" w:cs="宋体"/>
          <w:color w:val="auto"/>
          <w:kern w:val="0"/>
          <w:highlight w:val="none"/>
          <w:u w:val="single"/>
        </w:rPr>
        <w:t xml:space="preserve"> </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（签</w:t>
      </w:r>
      <w:r>
        <w:rPr>
          <w:rFonts w:hint="eastAsia" w:ascii="宋体" w:hAnsi="宋体" w:cs="MS Mincho"/>
          <w:color w:val="auto"/>
          <w:kern w:val="0"/>
          <w:highlight w:val="none"/>
          <w:u w:val="single"/>
        </w:rPr>
        <w:t>字或签章）</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日期：</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6"/>
        <w:rPr>
          <w:rFonts w:ascii="宋体" w:hAnsi="宋体" w:eastAsia="宋体" w:cs="宋体"/>
          <w:color w:val="auto"/>
          <w:sz w:val="24"/>
          <w:highlight w:val="none"/>
        </w:rPr>
      </w:pPr>
    </w:p>
    <w:p>
      <w:pPr>
        <w:pStyle w:val="4"/>
        <w:ind w:left="0" w:firstLine="0"/>
        <w:rPr>
          <w:rFonts w:ascii="宋体" w:hAnsi="宋体" w:cs="宋体"/>
          <w:color w:val="auto"/>
          <w:sz w:val="28"/>
          <w:szCs w:val="28"/>
          <w:highlight w:val="none"/>
        </w:rPr>
      </w:pPr>
      <w:r>
        <w:rPr>
          <w:rFonts w:hint="eastAsia" w:ascii="宋体" w:hAnsi="宋体" w:cs="宋体"/>
          <w:color w:val="auto"/>
          <w:sz w:val="28"/>
          <w:szCs w:val="28"/>
          <w:highlight w:val="none"/>
        </w:rPr>
        <w:br w:type="page"/>
      </w:r>
      <w:bookmarkStart w:id="495" w:name="_Toc17795"/>
      <w:bookmarkStart w:id="496" w:name="_Toc18454"/>
      <w:r>
        <w:rPr>
          <w:rFonts w:hint="eastAsia" w:ascii="宋体" w:hAnsi="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cs="宋体"/>
          <w:color w:val="auto"/>
          <w:sz w:val="28"/>
          <w:szCs w:val="28"/>
          <w:highlight w:val="none"/>
        </w:rPr>
        <w:t>、其他资料</w:t>
      </w:r>
      <w:bookmarkEnd w:id="495"/>
      <w:bookmarkEnd w:id="496"/>
    </w:p>
    <w:bookmarkEnd w:id="493"/>
    <w:bookmarkEnd w:id="494"/>
    <w:p>
      <w:pPr>
        <w:spacing w:line="360" w:lineRule="auto"/>
        <w:rPr>
          <w:color w:val="auto"/>
          <w:highlight w:val="none"/>
        </w:rPr>
      </w:pPr>
      <w:r>
        <w:rPr>
          <w:rFonts w:hint="eastAsia"/>
          <w:color w:val="auto"/>
          <w:highlight w:val="none"/>
        </w:rPr>
        <w:t>一、招标文件要求或者投标人认为需要提供的其他资料；</w:t>
      </w:r>
    </w:p>
    <w:p>
      <w:pPr>
        <w:spacing w:line="360" w:lineRule="auto"/>
        <w:rPr>
          <w:color w:val="auto"/>
          <w:highlight w:val="none"/>
        </w:rPr>
      </w:pPr>
      <w:r>
        <w:rPr>
          <w:rFonts w:hint="eastAsia"/>
          <w:color w:val="auto"/>
          <w:highlight w:val="none"/>
        </w:rPr>
        <w:t>二、</w:t>
      </w:r>
      <w:r>
        <w:rPr>
          <w:rFonts w:hint="eastAsia"/>
          <w:color w:val="auto"/>
          <w:highlight w:val="none"/>
          <w:lang w:val="en-US" w:eastAsia="zh-CN"/>
        </w:rPr>
        <w:t>中小企业声明函/残疾人福利性单位声明函/监狱企业证明文件（如是）、</w:t>
      </w:r>
      <w:r>
        <w:rPr>
          <w:rFonts w:hint="eastAsia"/>
          <w:color w:val="auto"/>
          <w:highlight w:val="none"/>
        </w:rPr>
        <w:t>节能产品（如有）</w:t>
      </w:r>
      <w:r>
        <w:rPr>
          <w:rFonts w:hint="eastAsia"/>
          <w:color w:val="auto"/>
          <w:highlight w:val="none"/>
          <w:lang w:val="en-US" w:eastAsia="zh-CN"/>
        </w:rPr>
        <w:t>、</w:t>
      </w:r>
      <w:r>
        <w:rPr>
          <w:rFonts w:hint="eastAsia"/>
          <w:color w:val="auto"/>
          <w:highlight w:val="none"/>
        </w:rPr>
        <w:t>环境标志产品明细表（如有）</w:t>
      </w:r>
      <w:r>
        <w:rPr>
          <w:rFonts w:hint="eastAsia"/>
          <w:color w:val="auto"/>
          <w:highlight w:val="none"/>
          <w:lang w:eastAsia="zh-CN"/>
        </w:rPr>
        <w:t>，</w:t>
      </w:r>
      <w:r>
        <w:rPr>
          <w:rFonts w:hint="eastAsia"/>
          <w:color w:val="auto"/>
          <w:highlight w:val="none"/>
          <w:lang w:val="en-US" w:eastAsia="zh-CN"/>
        </w:rPr>
        <w:t>如不是或没有则投标文件中不需要提供以下格式内容</w:t>
      </w:r>
      <w:r>
        <w:rPr>
          <w:rFonts w:hint="eastAsia"/>
          <w:color w:val="auto"/>
          <w:highlight w:val="none"/>
        </w:rPr>
        <w:t>。</w:t>
      </w:r>
    </w:p>
    <w:p>
      <w:pPr>
        <w:pStyle w:val="46"/>
        <w:ind w:firstLine="211"/>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中小企业声明函（货物）</w:t>
      </w:r>
    </w:p>
    <w:p>
      <w:pPr>
        <w:jc w:val="center"/>
        <w:rPr>
          <w:rFonts w:ascii="仿宋" w:hAnsi="仿宋" w:eastAsia="仿宋" w:cs="宋体"/>
          <w:b/>
          <w:bCs/>
          <w:color w:val="auto"/>
          <w:sz w:val="32"/>
          <w:szCs w:val="32"/>
          <w:highlight w:val="none"/>
        </w:rPr>
      </w:pPr>
      <w:r>
        <w:rPr>
          <w:rFonts w:hint="eastAsia" w:ascii="宋体" w:hAnsi="宋体" w:cs="宋体"/>
          <w:b/>
          <w:bCs/>
          <w:color w:val="auto"/>
          <w:highlight w:val="none"/>
        </w:rPr>
        <w:t>（属于</w:t>
      </w:r>
      <w:r>
        <w:rPr>
          <w:rFonts w:hint="eastAsia" w:ascii="宋体" w:hAnsi="宋体" w:cs="宋体"/>
          <w:b/>
          <w:bCs/>
          <w:color w:val="auto"/>
          <w:highlight w:val="none"/>
          <w:lang w:val="en-US" w:eastAsia="zh-CN"/>
        </w:rPr>
        <w:t>中小企业</w:t>
      </w:r>
      <w:r>
        <w:rPr>
          <w:rFonts w:hint="eastAsia" w:ascii="宋体" w:hAnsi="宋体" w:cs="宋体"/>
          <w:b/>
          <w:bCs/>
          <w:color w:val="auto"/>
          <w:highlight w:val="none"/>
        </w:rPr>
        <w:t>的填写，不属于的则投标文件中无需提供此项内容）</w:t>
      </w:r>
    </w:p>
    <w:p>
      <w:pPr>
        <w:pStyle w:val="43"/>
        <w:wordWrap w:val="0"/>
        <w:spacing w:beforeAutospacing="0" w:afterAutospacing="0" w:line="360" w:lineRule="auto"/>
        <w:ind w:firstLine="420" w:firstLineChars="200"/>
        <w:rPr>
          <w:rFonts w:hint="eastAsia" w:ascii="宋体" w:hAnsi="宋体" w:cs="宋体"/>
          <w:color w:val="auto"/>
          <w:kern w:val="2"/>
          <w:sz w:val="21"/>
          <w:szCs w:val="21"/>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本公司（联合体）郑重声明，</w:t>
      </w:r>
      <w:bookmarkStart w:id="497" w:name="_Hlk484015033"/>
      <w:r>
        <w:rPr>
          <w:rFonts w:hint="eastAsia" w:ascii="宋体" w:hAnsi="宋体" w:cs="宋体"/>
          <w:color w:val="auto"/>
          <w:kern w:val="2"/>
          <w:sz w:val="21"/>
          <w:szCs w:val="21"/>
          <w:highlight w:val="none"/>
        </w:rPr>
        <w:t>根据《政府采购促进中小企业发展管理办法》（财库〔2020〕46号）</w:t>
      </w:r>
      <w:bookmarkEnd w:id="497"/>
      <w:r>
        <w:rPr>
          <w:rFonts w:hint="eastAsia" w:ascii="宋体" w:hAnsi="宋体" w:cs="宋体"/>
          <w:color w:val="auto"/>
          <w:kern w:val="2"/>
          <w:sz w:val="21"/>
          <w:szCs w:val="21"/>
          <w:highlight w:val="none"/>
        </w:rPr>
        <w:t>的规定，本公司（联合体）参加</w:t>
      </w:r>
      <w:r>
        <w:rPr>
          <w:rFonts w:hint="eastAsia" w:ascii="宋体" w:hAnsi="宋体" w:cs="宋体"/>
          <w:color w:val="auto"/>
          <w:kern w:val="2"/>
          <w:sz w:val="21"/>
          <w:szCs w:val="21"/>
          <w:highlight w:val="none"/>
          <w:u w:val="single"/>
        </w:rPr>
        <w:t xml:space="preserve"> （单位名称）  </w:t>
      </w:r>
      <w:r>
        <w:rPr>
          <w:rFonts w:hint="eastAsia" w:ascii="宋体" w:hAnsi="宋体" w:cs="宋体"/>
          <w:color w:val="auto"/>
          <w:kern w:val="2"/>
          <w:sz w:val="21"/>
          <w:szCs w:val="21"/>
          <w:highlight w:val="none"/>
        </w:rPr>
        <w:t>的</w:t>
      </w:r>
      <w:r>
        <w:rPr>
          <w:rFonts w:hint="eastAsia" w:ascii="宋体" w:hAnsi="宋体" w:cs="宋体"/>
          <w:color w:val="auto"/>
          <w:kern w:val="2"/>
          <w:sz w:val="21"/>
          <w:szCs w:val="21"/>
          <w:highlight w:val="none"/>
          <w:u w:val="single"/>
        </w:rPr>
        <w:t>（项目名称）</w:t>
      </w:r>
      <w:r>
        <w:rPr>
          <w:rFonts w:hint="eastAsia" w:ascii="宋体" w:hAnsi="宋体" w:cs="宋体"/>
          <w:color w:val="auto"/>
          <w:kern w:val="2"/>
          <w:sz w:val="21"/>
          <w:szCs w:val="21"/>
          <w:highlight w:val="none"/>
        </w:rPr>
        <w:t>采购活动，提供的货物全部由符合政策要求的中小企业制造。相关企业（含联合体中的中小企业、签订分包意向协议的中小企业）的具体情况如下：</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1.</w:t>
      </w:r>
      <w:r>
        <w:rPr>
          <w:rFonts w:hint="eastAsia" w:ascii="宋体" w:hAnsi="宋体" w:cs="宋体"/>
          <w:color w:val="auto"/>
          <w:kern w:val="2"/>
          <w:sz w:val="21"/>
          <w:szCs w:val="21"/>
          <w:highlight w:val="none"/>
          <w:u w:val="single"/>
        </w:rPr>
        <w:t>（标的名称）</w:t>
      </w:r>
      <w:r>
        <w:rPr>
          <w:rFonts w:hint="eastAsia" w:ascii="宋体" w:hAnsi="宋体" w:cs="宋体"/>
          <w:color w:val="auto"/>
          <w:kern w:val="2"/>
          <w:sz w:val="21"/>
          <w:szCs w:val="21"/>
          <w:highlight w:val="none"/>
        </w:rPr>
        <w:t>，属于</w:t>
      </w:r>
      <w:r>
        <w:rPr>
          <w:rFonts w:hint="eastAsia" w:ascii="宋体" w:hAnsi="宋体" w:cs="宋体"/>
          <w:color w:val="auto"/>
          <w:kern w:val="2"/>
          <w:sz w:val="21"/>
          <w:szCs w:val="21"/>
          <w:highlight w:val="none"/>
          <w:u w:val="single"/>
        </w:rPr>
        <w:t>（采购文件中明确的所属行业）行业</w:t>
      </w:r>
      <w:r>
        <w:rPr>
          <w:rFonts w:hint="eastAsia" w:ascii="宋体" w:hAnsi="宋体" w:cs="宋体"/>
          <w:color w:val="auto"/>
          <w:kern w:val="2"/>
          <w:sz w:val="21"/>
          <w:szCs w:val="21"/>
          <w:highlight w:val="none"/>
        </w:rPr>
        <w:t>；制造商为</w:t>
      </w:r>
      <w:r>
        <w:rPr>
          <w:rFonts w:hint="eastAsia" w:ascii="宋体" w:hAnsi="宋体" w:cs="宋体"/>
          <w:color w:val="auto"/>
          <w:kern w:val="2"/>
          <w:sz w:val="21"/>
          <w:szCs w:val="21"/>
          <w:highlight w:val="none"/>
          <w:u w:val="single"/>
        </w:rPr>
        <w:t>（企业名称）</w:t>
      </w:r>
      <w:r>
        <w:rPr>
          <w:rFonts w:hint="eastAsia" w:ascii="宋体" w:hAnsi="宋体" w:cs="宋体"/>
          <w:color w:val="auto"/>
          <w:kern w:val="2"/>
          <w:sz w:val="21"/>
          <w:szCs w:val="21"/>
          <w:highlight w:val="none"/>
        </w:rPr>
        <w:t>，从业人员</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人，营业收入为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万元，资产总额为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万元，属于</w:t>
      </w:r>
      <w:r>
        <w:rPr>
          <w:rFonts w:hint="eastAsia" w:ascii="宋体" w:hAnsi="宋体" w:cs="宋体"/>
          <w:color w:val="auto"/>
          <w:kern w:val="2"/>
          <w:sz w:val="21"/>
          <w:szCs w:val="21"/>
          <w:highlight w:val="none"/>
          <w:u w:val="single"/>
        </w:rPr>
        <w:t>（中型企业、小型企业、微型企业）</w:t>
      </w: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2.</w:t>
      </w:r>
      <w:r>
        <w:rPr>
          <w:rFonts w:hint="eastAsia" w:ascii="宋体" w:hAnsi="宋体" w:cs="宋体"/>
          <w:color w:val="auto"/>
          <w:kern w:val="2"/>
          <w:sz w:val="21"/>
          <w:szCs w:val="21"/>
          <w:highlight w:val="none"/>
          <w:u w:val="single"/>
        </w:rPr>
        <w:t>（标的名称）</w:t>
      </w:r>
      <w:r>
        <w:rPr>
          <w:rFonts w:hint="eastAsia" w:ascii="宋体" w:hAnsi="宋体" w:cs="宋体"/>
          <w:color w:val="auto"/>
          <w:kern w:val="2"/>
          <w:sz w:val="21"/>
          <w:szCs w:val="21"/>
          <w:highlight w:val="none"/>
        </w:rPr>
        <w:t>，属于</w:t>
      </w:r>
      <w:r>
        <w:rPr>
          <w:rFonts w:hint="eastAsia" w:ascii="宋体" w:hAnsi="宋体" w:cs="宋体"/>
          <w:color w:val="auto"/>
          <w:kern w:val="2"/>
          <w:sz w:val="21"/>
          <w:szCs w:val="21"/>
          <w:highlight w:val="none"/>
          <w:u w:val="single"/>
        </w:rPr>
        <w:t>（采购文件中明确的所属行业）行业</w:t>
      </w:r>
      <w:r>
        <w:rPr>
          <w:rFonts w:hint="eastAsia" w:ascii="宋体" w:hAnsi="宋体" w:cs="宋体"/>
          <w:color w:val="auto"/>
          <w:kern w:val="2"/>
          <w:sz w:val="21"/>
          <w:szCs w:val="21"/>
          <w:highlight w:val="none"/>
        </w:rPr>
        <w:t>；制造商为</w:t>
      </w:r>
      <w:r>
        <w:rPr>
          <w:rFonts w:hint="eastAsia" w:ascii="宋体" w:hAnsi="宋体" w:cs="宋体"/>
          <w:color w:val="auto"/>
          <w:kern w:val="2"/>
          <w:sz w:val="21"/>
          <w:szCs w:val="21"/>
          <w:highlight w:val="none"/>
          <w:u w:val="single"/>
        </w:rPr>
        <w:t>（企业名称）</w:t>
      </w:r>
      <w:r>
        <w:rPr>
          <w:rFonts w:hint="eastAsia" w:ascii="宋体" w:hAnsi="宋体" w:cs="宋体"/>
          <w:color w:val="auto"/>
          <w:kern w:val="2"/>
          <w:sz w:val="21"/>
          <w:szCs w:val="21"/>
          <w:highlight w:val="none"/>
        </w:rPr>
        <w:t>，从业人员</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人，营业收入为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万元，资产总额为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万元，属于</w:t>
      </w:r>
      <w:r>
        <w:rPr>
          <w:rFonts w:hint="eastAsia" w:ascii="宋体" w:hAnsi="宋体" w:cs="宋体"/>
          <w:color w:val="auto"/>
          <w:kern w:val="2"/>
          <w:sz w:val="21"/>
          <w:szCs w:val="21"/>
          <w:highlight w:val="none"/>
          <w:u w:val="single"/>
        </w:rPr>
        <w:t>（中型企业、小型企业、微型企业）</w:t>
      </w: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以上企业，不属于大企业的分支机构，不存在控股股东为大企业的情形，也不存在与大型企业负责人为同一人的情形。</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本企业对上述声明内容的真实性负责。如有虚假，将依法承担相应责任。</w:t>
      </w:r>
    </w:p>
    <w:p>
      <w:pPr>
        <w:pStyle w:val="43"/>
        <w:wordWrap w:val="0"/>
        <w:spacing w:beforeAutospacing="0" w:afterAutospacing="0" w:line="360" w:lineRule="auto"/>
        <w:ind w:firstLine="420" w:firstLineChars="20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企业名称（盖章）：</w:t>
      </w:r>
    </w:p>
    <w:p>
      <w:pPr>
        <w:pStyle w:val="43"/>
        <w:wordWrap w:val="0"/>
        <w:spacing w:beforeAutospacing="0" w:afterAutospacing="0" w:line="360" w:lineRule="auto"/>
        <w:ind w:firstLine="420" w:firstLineChars="200"/>
        <w:jc w:val="center"/>
        <w:rPr>
          <w:rFonts w:ascii="宋体" w:hAnsi="宋体" w:cs="宋体"/>
          <w:color w:val="auto"/>
          <w:kern w:val="2"/>
          <w:highlight w:val="none"/>
        </w:rPr>
      </w:pPr>
      <w:r>
        <w:rPr>
          <w:rFonts w:hint="eastAsia" w:ascii="宋体" w:hAnsi="宋体" w:cs="宋体"/>
          <w:color w:val="auto"/>
          <w:kern w:val="2"/>
          <w:sz w:val="21"/>
          <w:szCs w:val="21"/>
          <w:highlight w:val="none"/>
        </w:rPr>
        <w:t>日 期：</w:t>
      </w:r>
    </w:p>
    <w:p>
      <w:pPr>
        <w:spacing w:line="360" w:lineRule="auto"/>
        <w:rPr>
          <w:rFonts w:ascii="宋体" w:hAnsi="宋体" w:cs="宋体"/>
          <w:color w:val="auto"/>
          <w:highlight w:val="none"/>
        </w:rPr>
      </w:pPr>
    </w:p>
    <w:p>
      <w:pPr>
        <w:spacing w:line="360" w:lineRule="auto"/>
        <w:rPr>
          <w:rFonts w:ascii="宋体" w:hAnsi="宋体" w:cs="宋体"/>
          <w:color w:val="auto"/>
          <w:highlight w:val="none"/>
        </w:rPr>
      </w:pPr>
      <w:r>
        <w:rPr>
          <w:rFonts w:hint="eastAsia" w:ascii="宋体" w:hAnsi="宋体" w:cs="宋体"/>
          <w:color w:val="auto"/>
          <w:highlight w:val="none"/>
        </w:rPr>
        <w:t>注：从业人员、营业收入、资产总额填报上一年度数据，无上一年度数据的新企业可不填报。</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残疾人福利性单位声明函</w:t>
      </w:r>
    </w:p>
    <w:p>
      <w:pPr>
        <w:jc w:val="center"/>
        <w:rPr>
          <w:rFonts w:ascii="仿宋" w:hAnsi="仿宋" w:eastAsia="仿宋" w:cs="宋体"/>
          <w:b/>
          <w:bCs/>
          <w:color w:val="auto"/>
          <w:sz w:val="32"/>
          <w:szCs w:val="32"/>
          <w:highlight w:val="none"/>
        </w:rPr>
      </w:pPr>
      <w:r>
        <w:rPr>
          <w:rFonts w:hint="eastAsia" w:ascii="宋体" w:hAnsi="宋体" w:cs="宋体"/>
          <w:b/>
          <w:bCs/>
          <w:color w:val="auto"/>
          <w:highlight w:val="none"/>
        </w:rPr>
        <w:t>（属于残疾人福利性单位的填写，不属于的则投标文件中无需提供此项内容）</w:t>
      </w:r>
    </w:p>
    <w:p>
      <w:pPr>
        <w:snapToGrid w:val="0"/>
        <w:spacing w:line="520" w:lineRule="exact"/>
        <w:ind w:right="84" w:rightChars="40"/>
        <w:rPr>
          <w:rFonts w:ascii="仿宋" w:hAnsi="仿宋" w:eastAsia="仿宋" w:cs="宋体"/>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本单位对上述声明的真实性负责。如有虚假，将依法承担相应责任。</w:t>
      </w:r>
    </w:p>
    <w:p>
      <w:pPr>
        <w:spacing w:line="360" w:lineRule="auto"/>
        <w:jc w:val="center"/>
        <w:rPr>
          <w:rFonts w:ascii="仿宋" w:hAnsi="仿宋" w:eastAsia="仿宋" w:cs="宋体"/>
          <w:b/>
          <w:bCs/>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企业名称（盖章）：</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日期：</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监狱企业证明文件</w:t>
      </w:r>
    </w:p>
    <w:p>
      <w:pPr>
        <w:pStyle w:val="43"/>
        <w:wordWrap w:val="0"/>
        <w:spacing w:beforeAutospacing="0" w:afterAutospacing="0" w:line="360" w:lineRule="auto"/>
        <w:jc w:val="center"/>
        <w:rPr>
          <w:rFonts w:ascii="宋体" w:hAnsi="宋体" w:cs="宋体"/>
          <w:b/>
          <w:bCs/>
          <w:color w:val="auto"/>
          <w:kern w:val="2"/>
          <w:sz w:val="21"/>
          <w:szCs w:val="21"/>
          <w:highlight w:val="none"/>
        </w:rPr>
      </w:pPr>
      <w:r>
        <w:rPr>
          <w:rFonts w:hint="eastAsia" w:ascii="宋体" w:hAnsi="宋体" w:cs="宋体"/>
          <w:b/>
          <w:bCs/>
          <w:color w:val="auto"/>
          <w:kern w:val="2"/>
          <w:sz w:val="21"/>
          <w:szCs w:val="21"/>
          <w:highlight w:val="none"/>
        </w:rPr>
        <w:t>（属于监狱企业的提供，不属于的则投标文件中无需提供此项内容）</w:t>
      </w:r>
    </w:p>
    <w:p>
      <w:pPr>
        <w:spacing w:line="360" w:lineRule="auto"/>
        <w:rPr>
          <w:rFonts w:ascii="仿宋" w:hAnsi="仿宋" w:eastAsia="仿宋" w:cs="宋体"/>
          <w:b/>
          <w:bCs/>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（监狱企业参加政府采购活动时，应当提供由省级以上监狱管理局、戒毒管理局(含新疆生产建设兵团)出具的属于监狱企业的证明文件。</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p>
    <w:p>
      <w:pPr>
        <w:pStyle w:val="43"/>
        <w:wordWrap w:val="0"/>
        <w:spacing w:beforeAutospacing="0" w:afterAutospacing="0" w:line="360" w:lineRule="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注：在投标文件中附扫描件。</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int="eastAsia" w:hAnsi="宋体" w:cs="宋体"/>
          <w:color w:val="auto"/>
          <w:sz w:val="24"/>
          <w:szCs w:val="24"/>
          <w:highlight w:val="none"/>
        </w:rPr>
      </w:pPr>
      <w:r>
        <w:rPr>
          <w:rFonts w:hint="eastAsia" w:hAnsi="宋体" w:cs="宋体"/>
          <w:color w:val="auto"/>
          <w:sz w:val="24"/>
          <w:szCs w:val="24"/>
          <w:highlight w:val="none"/>
        </w:rPr>
        <w:t>节能产品明细表</w:t>
      </w:r>
    </w:p>
    <w:tbl>
      <w:tblPr>
        <w:tblStyle w:val="48"/>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917"/>
        <w:gridCol w:w="1540"/>
        <w:gridCol w:w="875"/>
        <w:gridCol w:w="917"/>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序号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设备名称</w:t>
            </w:r>
          </w:p>
        </w:tc>
        <w:tc>
          <w:tcPr>
            <w:tcW w:w="916"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品牌</w:t>
            </w:r>
          </w:p>
          <w:p>
            <w:pPr>
              <w:adjustRightInd w:val="0"/>
              <w:snapToGrid w:val="0"/>
              <w:jc w:val="center"/>
              <w:rPr>
                <w:rFonts w:ascii="宋体" w:hAnsi="宋体" w:cs="宋体"/>
                <w:b/>
                <w:color w:val="auto"/>
                <w:highlight w:val="none"/>
              </w:rPr>
            </w:pPr>
            <w:r>
              <w:rPr>
                <w:rFonts w:hint="eastAsia" w:ascii="宋体" w:hAnsi="宋体" w:cs="宋体"/>
                <w:color w:val="auto"/>
                <w:highlight w:val="none"/>
              </w:rPr>
              <w:t>型号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制造商名称</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节字标志认证证书号</w:t>
            </w:r>
          </w:p>
        </w:tc>
        <w:tc>
          <w:tcPr>
            <w:tcW w:w="1540"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国家节能产品认证证书有效截止日期</w:t>
            </w:r>
          </w:p>
        </w:tc>
        <w:tc>
          <w:tcPr>
            <w:tcW w:w="875"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数量</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单价</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bl>
    <w:p>
      <w:pPr>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法定代表人或被授权人（电子签章）：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投标人（电子签章）：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日期：</w:t>
      </w:r>
    </w:p>
    <w:p>
      <w:pPr>
        <w:tabs>
          <w:tab w:val="left" w:pos="840"/>
        </w:tabs>
        <w:autoSpaceDE w:val="0"/>
        <w:autoSpaceDN w:val="0"/>
        <w:adjustRightInd w:val="0"/>
        <w:spacing w:line="360" w:lineRule="auto"/>
        <w:jc w:val="center"/>
        <w:rPr>
          <w:rFonts w:ascii="宋体" w:hAnsi="宋体"/>
          <w:b/>
          <w:color w:val="auto"/>
          <w:sz w:val="28"/>
          <w:szCs w:val="28"/>
          <w:highlight w:val="none"/>
        </w:rPr>
      </w:pPr>
      <w:r>
        <w:rPr>
          <w:rFonts w:ascii="宋体" w:hAnsi="宋体" w:cs="宋体"/>
          <w:b/>
          <w:color w:val="auto"/>
          <w:highlight w:val="none"/>
        </w:rPr>
        <w:br w:type="page"/>
      </w:r>
      <w:r>
        <w:rPr>
          <w:rFonts w:hint="eastAsia" w:ascii="Times New Roman" w:hAnsi="宋体" w:eastAsia="宋体" w:cs="宋体"/>
          <w:b/>
          <w:bCs/>
          <w:color w:val="auto"/>
          <w:kern w:val="0"/>
          <w:sz w:val="24"/>
          <w:szCs w:val="24"/>
          <w:highlight w:val="none"/>
          <w:lang w:val="en-US" w:eastAsia="zh-CN" w:bidi="ar-SA"/>
        </w:rPr>
        <w:t>环境标志产品明细表</w:t>
      </w:r>
    </w:p>
    <w:tbl>
      <w:tblPr>
        <w:tblStyle w:val="48"/>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1255"/>
        <w:gridCol w:w="1181"/>
        <w:gridCol w:w="917"/>
        <w:gridCol w:w="917"/>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序号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设备名称</w:t>
            </w:r>
          </w:p>
        </w:tc>
        <w:tc>
          <w:tcPr>
            <w:tcW w:w="916"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品牌</w:t>
            </w:r>
          </w:p>
          <w:p>
            <w:pPr>
              <w:adjustRightInd w:val="0"/>
              <w:snapToGrid w:val="0"/>
              <w:jc w:val="center"/>
              <w:rPr>
                <w:rFonts w:ascii="宋体" w:hAnsi="宋体" w:cs="宋体"/>
                <w:b/>
                <w:color w:val="auto"/>
                <w:highlight w:val="none"/>
              </w:rPr>
            </w:pPr>
            <w:r>
              <w:rPr>
                <w:rFonts w:hint="eastAsia" w:ascii="宋体" w:hAnsi="宋体" w:cs="宋体"/>
                <w:color w:val="auto"/>
                <w:highlight w:val="none"/>
              </w:rPr>
              <w:t>型号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制造商名称</w:t>
            </w:r>
          </w:p>
        </w:tc>
        <w:tc>
          <w:tcPr>
            <w:tcW w:w="1255"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中国环境标志认证证书编号</w:t>
            </w:r>
          </w:p>
        </w:tc>
        <w:tc>
          <w:tcPr>
            <w:tcW w:w="1181"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认证证书有效</w:t>
            </w:r>
          </w:p>
          <w:p>
            <w:pPr>
              <w:adjustRightInd w:val="0"/>
              <w:snapToGrid w:val="0"/>
              <w:jc w:val="center"/>
              <w:rPr>
                <w:rFonts w:ascii="宋体" w:hAnsi="宋体" w:cs="宋体"/>
                <w:b/>
                <w:color w:val="auto"/>
                <w:highlight w:val="none"/>
              </w:rPr>
            </w:pPr>
            <w:r>
              <w:rPr>
                <w:rFonts w:hint="eastAsia" w:ascii="宋体" w:hAnsi="宋体" w:cs="宋体"/>
                <w:color w:val="auto"/>
                <w:highlight w:val="none"/>
              </w:rPr>
              <w:t>截止日期</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数量</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单价</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bl>
    <w:p>
      <w:pPr>
        <w:tabs>
          <w:tab w:val="left" w:pos="840"/>
        </w:tabs>
        <w:autoSpaceDE w:val="0"/>
        <w:autoSpaceDN w:val="0"/>
        <w:adjustRightInd w:val="0"/>
        <w:spacing w:line="360" w:lineRule="auto"/>
        <w:rPr>
          <w:rFonts w:ascii="宋体" w:hAnsi="宋体" w:cs="宋体"/>
          <w:b/>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法定代表人或被授权人（电子签章）：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投标人（电子签章）：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日期：</w:t>
      </w:r>
    </w:p>
    <w:p>
      <w:pPr>
        <w:pStyle w:val="217"/>
        <w:spacing w:line="360" w:lineRule="auto"/>
        <w:ind w:left="718" w:hanging="718" w:hangingChars="342"/>
        <w:rPr>
          <w:rFonts w:ascii="宋体" w:hAnsi="宋体" w:cs="宋体"/>
          <w:color w:val="auto"/>
          <w:highlight w:val="none"/>
        </w:rPr>
      </w:pPr>
    </w:p>
    <w:p>
      <w:pPr>
        <w:pStyle w:val="217"/>
        <w:spacing w:line="360" w:lineRule="auto"/>
        <w:ind w:left="718" w:hanging="718" w:hangingChars="342"/>
        <w:rPr>
          <w:rFonts w:ascii="宋体" w:hAnsi="宋体" w:cs="宋体"/>
          <w:color w:val="auto"/>
          <w:highlight w:val="none"/>
        </w:rPr>
      </w:pPr>
      <w:r>
        <w:rPr>
          <w:rFonts w:hint="eastAsia" w:ascii="宋体" w:hAnsi="宋体" w:cs="宋体"/>
          <w:color w:val="auto"/>
          <w:highlight w:val="none"/>
        </w:rPr>
        <w:t>填报要求：</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1. 本表的设备名称、品牌型号、金额应与</w:t>
      </w:r>
      <w:r>
        <w:rPr>
          <w:rFonts w:hint="eastAsia" w:ascii="宋体" w:hAnsi="宋体" w:cs="宋体"/>
          <w:bCs/>
          <w:color w:val="auto"/>
          <w:highlight w:val="none"/>
        </w:rPr>
        <w:t>货物分项报价明细表</w:t>
      </w:r>
      <w:r>
        <w:rPr>
          <w:rFonts w:hint="eastAsia" w:ascii="宋体" w:hAnsi="宋体" w:cs="宋体"/>
          <w:color w:val="auto"/>
          <w:highlight w:val="none"/>
        </w:rPr>
        <w:t>一致。</w:t>
      </w:r>
    </w:p>
    <w:p>
      <w:pPr>
        <w:spacing w:line="360" w:lineRule="auto"/>
        <w:ind w:firstLine="420" w:firstLineChars="200"/>
        <w:rPr>
          <w:rFonts w:ascii="宋体" w:hAnsi="宋体" w:cs="宋体"/>
          <w:b/>
          <w:color w:val="auto"/>
          <w:highlight w:val="none"/>
        </w:rPr>
      </w:pPr>
      <w:r>
        <w:rPr>
          <w:rFonts w:hint="eastAsia" w:ascii="宋体" w:hAnsi="宋体" w:cs="宋体"/>
          <w:color w:val="auto"/>
          <w:highlight w:val="none"/>
        </w:rPr>
        <w:t>2. 节能产品是指财政部和国家发展改革委员会公布的《节能产品政府采购品目清单》中的产品，可在中华人民共和国财政部网站（http://www.mof.gov.cn）、中国政府采购网（http://www.ccgp.gov.cn/）查阅。</w:t>
      </w:r>
      <w:r>
        <w:rPr>
          <w:rFonts w:hint="eastAsia" w:ascii="宋体" w:hAnsi="宋体" w:cs="宋体"/>
          <w:b/>
          <w:color w:val="auto"/>
          <w:highlight w:val="none"/>
        </w:rPr>
        <w:t>投标人须在投标文件中附该产品经国家确定的认证机构出具的、处于有效期之内的《国家节能产品认证证书》复印件，否则评标委员会有权不予认可。</w:t>
      </w:r>
    </w:p>
    <w:p>
      <w:pPr>
        <w:spacing w:line="360" w:lineRule="auto"/>
        <w:ind w:firstLine="420" w:firstLineChars="200"/>
        <w:rPr>
          <w:rFonts w:ascii="宋体" w:hAnsi="宋体" w:cs="宋体"/>
          <w:b/>
          <w:color w:val="auto"/>
          <w:highlight w:val="none"/>
        </w:rPr>
      </w:pPr>
      <w:r>
        <w:rPr>
          <w:rFonts w:hint="eastAsia" w:ascii="宋体" w:hAnsi="宋体" w:cs="宋体"/>
          <w:color w:val="auto"/>
          <w:highlight w:val="none"/>
        </w:rPr>
        <w:t>3. 环境标志产品是指财政部、环境保护部发布的《环境标志产品政府采购品目清单》中的产品，可在中华人民共和国财政部网站（http://www.mof.gov.cn）、中国政府采购网（http://www.ccgp.gov.cn/）查阅。</w:t>
      </w:r>
      <w:r>
        <w:rPr>
          <w:rFonts w:hint="eastAsia" w:ascii="宋体" w:hAnsi="宋体" w:cs="宋体"/>
          <w:b/>
          <w:color w:val="auto"/>
          <w:highlight w:val="none"/>
        </w:rPr>
        <w:t>投标人须在投标文件中附该产品经国家确定的认证机构出具的、处于有效期之内的《中国环境标志产品认证证书》复印件，否则评委委员会有权不予认可。</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4. 请投标人正确填写本表，所填内容将作为评审的依据。其内容或数据应与对应的证明资料相符。</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5. 没有相关产品可不提供本表。</w:t>
      </w:r>
    </w:p>
    <w:p>
      <w:pPr>
        <w:autoSpaceDE w:val="0"/>
        <w:autoSpaceDN w:val="0"/>
        <w:adjustRightInd w:val="0"/>
        <w:spacing w:line="440" w:lineRule="exact"/>
        <w:jc w:val="left"/>
        <w:rPr>
          <w:rFonts w:ascii="宋体" w:hAnsi="宋体" w:cs="宋体"/>
          <w:b/>
          <w:color w:val="auto"/>
          <w:highlight w:val="none"/>
        </w:rPr>
      </w:pPr>
    </w:p>
    <w:p>
      <w:pPr>
        <w:widowControl/>
        <w:spacing w:line="336" w:lineRule="auto"/>
        <w:ind w:firstLine="420" w:firstLineChars="200"/>
        <w:rPr>
          <w:rFonts w:ascii="宋体" w:hAnsi="宋体" w:cs="宋体"/>
          <w:b/>
          <w:color w:val="auto"/>
          <w:highlight w:val="none"/>
        </w:rPr>
      </w:pPr>
      <w:r>
        <w:rPr>
          <w:rFonts w:hint="eastAsia" w:ascii="宋体" w:hAnsi="宋体" w:cs="宋体"/>
          <w:color w:val="auto"/>
          <w:highlight w:val="none"/>
        </w:rPr>
        <w:br w:type="page"/>
      </w:r>
    </w:p>
    <w:p>
      <w:pPr>
        <w:bidi w:val="0"/>
        <w:jc w:val="center"/>
        <w:rPr>
          <w:rFonts w:hint="eastAsia"/>
          <w:sz w:val="30"/>
          <w:szCs w:val="30"/>
          <w:lang w:val="en-US"/>
        </w:rPr>
      </w:pPr>
      <w:bookmarkStart w:id="498" w:name="_Toc124154822"/>
      <w:r>
        <w:rPr>
          <w:rFonts w:hint="eastAsia"/>
          <w:sz w:val="30"/>
          <w:szCs w:val="30"/>
          <w:lang w:val="en-US"/>
        </w:rPr>
        <w:t>关于印发中小企业划型标准规定的通知</w:t>
      </w:r>
      <w:bookmarkEnd w:id="498"/>
    </w:p>
    <w:p>
      <w:pPr>
        <w:widowControl/>
        <w:autoSpaceDE/>
        <w:autoSpaceDN/>
        <w:spacing w:line="432" w:lineRule="auto"/>
        <w:jc w:val="center"/>
        <w:rPr>
          <w:rFonts w:hint="eastAsia" w:cs="Times New Roman"/>
          <w:sz w:val="24"/>
          <w:szCs w:val="24"/>
          <w:lang w:val="en-US" w:bidi="ar-SA"/>
        </w:rPr>
      </w:pPr>
      <w:r>
        <w:rPr>
          <w:rFonts w:hint="eastAsia" w:cs="Times New Roman"/>
          <w:kern w:val="2"/>
          <w:sz w:val="32"/>
          <w:szCs w:val="32"/>
          <w:lang w:val="en-US" w:bidi="ar-SA"/>
        </w:rPr>
        <w:t>工信部联企业〔2011〕300号</w:t>
      </w:r>
    </w:p>
    <w:p>
      <w:pPr>
        <w:autoSpaceDE/>
        <w:autoSpaceDN/>
        <w:spacing w:line="560" w:lineRule="exact"/>
        <w:jc w:val="both"/>
        <w:rPr>
          <w:rFonts w:hint="eastAsia" w:cs="Times New Roman"/>
          <w:kern w:val="2"/>
          <w:sz w:val="24"/>
          <w:szCs w:val="24"/>
          <w:lang w:val="en-US" w:bidi="ar-SA"/>
        </w:rPr>
      </w:pPr>
      <w:r>
        <w:rPr>
          <w:rFonts w:hint="eastAsia" w:cs="Times New Roman"/>
          <w:kern w:val="2"/>
          <w:sz w:val="24"/>
          <w:szCs w:val="24"/>
          <w:lang w:val="en-US" w:bidi="ar-SA"/>
        </w:rPr>
        <w:t>各省、自治区、直辖市人民政府，国务院各部委、各直属机构及有关单位：</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工业和信息化部</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国家统计局</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国家发展和改革委员会</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财政部</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二○一一年六月十八日</w:t>
      </w:r>
    </w:p>
    <w:p>
      <w:pPr>
        <w:autoSpaceDE/>
        <w:autoSpaceDN/>
        <w:spacing w:line="560" w:lineRule="exact"/>
        <w:ind w:firstLine="480" w:firstLineChars="200"/>
        <w:jc w:val="center"/>
        <w:rPr>
          <w:rFonts w:hint="eastAsia" w:cs="Times New Roman"/>
          <w:kern w:val="2"/>
          <w:sz w:val="24"/>
          <w:szCs w:val="24"/>
          <w:lang w:val="en-US" w:bidi="ar-SA"/>
        </w:rPr>
      </w:pPr>
      <w:bookmarkStart w:id="499" w:name="_Toc124154823"/>
      <w:r>
        <w:rPr>
          <w:rFonts w:hint="eastAsia" w:cs="Times New Roman"/>
          <w:kern w:val="2"/>
          <w:sz w:val="24"/>
          <w:szCs w:val="24"/>
          <w:lang w:val="en-US" w:bidi="ar-SA"/>
        </w:rPr>
        <w:t>中小企业划型标准规定</w:t>
      </w:r>
      <w:bookmarkEnd w:id="499"/>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一、根据《中华人民共和国中小企业促进法》和《国务院关于进一步促进中小企业发展的若干意见》(国发〔2009〕36号)，制定本规定。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二、中小企业划分为中型、小型、微型三种类型，具体标准根据企业从业人员、营业收入、资产总额等指标，结合行业特点制定。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四、各行业划型标准为：</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（一）农、林、牧、渔业。营业收入20000万元以下的为中小微型企业。其中，营业收入500万元及以上的为中型企业，营业收入50万元及以上的为小型企业，营业收入50万元以下的为微型企业。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（十六）其他未列明行业。从业人员300人以下的为中小微型企业。其中，从业人员100人及以上的为中型企业；从业人员10人及以上的为小型企业；从业人员10人以下的为微型企业。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五、企业类型的划分以统计部门的统计数据为依据。</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六、本规定适用于在中华人民共和国境内依法设立的各类所有制和各种组织形式的企业。个体工商户和本规定以外的行业，参照本规定进行划型。</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七、本规定的中型企业标准上限即为大型企业标准的下限，国家统计部门据此制定大中小微型企业的统计分类。国务院有关部门据此进行相关数据分析，不得制定与本规定不一致的企业划型标准。</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八、本规定由工业和信息化部、国家统计局会同有关部门根据《国民经济行业分类》修订情况和企业发展变化情况适时修订。</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九、本规定由工业和信息化部、国家统计局会同有关部门负责解释。</w:t>
      </w:r>
    </w:p>
    <w:p>
      <w:pPr>
        <w:autoSpaceDE/>
        <w:autoSpaceDN/>
        <w:spacing w:line="360" w:lineRule="auto"/>
        <w:jc w:val="both"/>
        <w:rPr>
          <w:rFonts w:hint="eastAsia" w:cs="Times New Roman"/>
          <w:sz w:val="21"/>
          <w:szCs w:val="21"/>
          <w:lang w:val="en-US" w:bidi="ar-SA"/>
        </w:rPr>
      </w:pPr>
      <w:r>
        <w:rPr>
          <w:rFonts w:hint="eastAsia" w:cs="Times New Roman"/>
          <w:kern w:val="2"/>
          <w:sz w:val="24"/>
          <w:szCs w:val="24"/>
          <w:lang w:val="en-US" w:bidi="ar-SA"/>
        </w:rPr>
        <w:t xml:space="preserve">    十、本规定自发布之日起执行，原国家经贸委、原国家计委、财政部和国家统计局2003年颁布的《中小企业标准暂行规定》同时废止。</w:t>
      </w:r>
    </w:p>
    <w:p>
      <w:pPr>
        <w:widowControl/>
        <w:autoSpaceDE/>
        <w:autoSpaceDN/>
        <w:spacing w:line="360" w:lineRule="auto"/>
        <w:jc w:val="center"/>
        <w:rPr>
          <w:rFonts w:hint="eastAsia"/>
          <w:b/>
          <w:bCs/>
          <w:sz w:val="32"/>
          <w:szCs w:val="32"/>
        </w:rPr>
      </w:pPr>
      <w:r>
        <w:rPr>
          <w:b/>
          <w:bCs/>
          <w:sz w:val="32"/>
          <w:szCs w:val="32"/>
        </w:rPr>
        <w:br w:type="page"/>
      </w:r>
      <w:r>
        <w:rPr>
          <w:rFonts w:hint="eastAsia"/>
          <w:b/>
          <w:bCs/>
          <w:sz w:val="32"/>
          <w:szCs w:val="32"/>
        </w:rPr>
        <w:t>政府采购合同融资政策告知函</w:t>
      </w:r>
    </w:p>
    <w:p>
      <w:pPr>
        <w:widowControl/>
        <w:autoSpaceDE/>
        <w:autoSpaceDN/>
        <w:spacing w:line="360" w:lineRule="auto"/>
        <w:rPr>
          <w:rFonts w:hint="eastAsia"/>
          <w:sz w:val="24"/>
          <w:szCs w:val="24"/>
        </w:rPr>
      </w:pPr>
      <w:r>
        <w:rPr>
          <w:rFonts w:hint="eastAsia"/>
          <w:sz w:val="24"/>
          <w:szCs w:val="24"/>
        </w:rPr>
        <w:t xml:space="preserve">各投标人： </w:t>
      </w:r>
    </w:p>
    <w:p>
      <w:pPr>
        <w:widowControl/>
        <w:autoSpaceDE/>
        <w:autoSpaceDN/>
        <w:spacing w:line="360" w:lineRule="auto"/>
        <w:ind w:firstLine="480" w:firstLineChars="200"/>
        <w:rPr>
          <w:rFonts w:hint="eastAsia"/>
          <w:sz w:val="24"/>
          <w:szCs w:val="24"/>
        </w:rPr>
      </w:pPr>
      <w:r>
        <w:rPr>
          <w:rFonts w:hint="eastAsia"/>
          <w:sz w:val="24"/>
          <w:szCs w:val="24"/>
        </w:rPr>
        <w:t xml:space="preserve">欢迎贵公司参与河南省政府采购活动！ </w:t>
      </w:r>
    </w:p>
    <w:p>
      <w:pPr>
        <w:widowControl/>
        <w:autoSpaceDE/>
        <w:autoSpaceDN/>
        <w:spacing w:line="360" w:lineRule="auto"/>
        <w:ind w:firstLine="480" w:firstLineChars="200"/>
        <w:rPr>
          <w:rFonts w:hint="eastAsia"/>
          <w:sz w:val="24"/>
          <w:szCs w:val="24"/>
        </w:rPr>
      </w:pPr>
      <w:r>
        <w:rPr>
          <w:rFonts w:hint="eastAsia"/>
          <w:sz w:val="24"/>
          <w:szCs w:val="24"/>
        </w:rPr>
        <w:t xml:space="preserve">政府采购合同融资是河南省财政厅支持中小微企业发展，针对参与政府采购活动的投标人融资难、融资贵问题推出的一项融资政策。 贵公司若成为本次政府采购项目的中标成交投标人，可持政府采购合 同向金融机构申请贷款，无需抵押、担保，融资机构将根据《河南省 政府采购合同融资工作实施方案》（豫财购〔2017〕10 号），按照双方自愿的原则提供便捷、优惠的贷款服务。 </w:t>
      </w:r>
    </w:p>
    <w:p>
      <w:pPr>
        <w:widowControl/>
        <w:autoSpaceDE/>
        <w:autoSpaceDN/>
        <w:spacing w:line="360" w:lineRule="auto"/>
        <w:ind w:firstLine="480" w:firstLineChars="200"/>
        <w:rPr>
          <w:rFonts w:hint="eastAsia"/>
          <w:lang w:val="en-US" w:bidi="ar-SA"/>
        </w:rPr>
      </w:pPr>
      <w:r>
        <w:rPr>
          <w:rFonts w:hint="eastAsia"/>
          <w:sz w:val="24"/>
          <w:szCs w:val="24"/>
        </w:rPr>
        <w:t>贷款渠道和提供贷款的金融机构，可在河南省政府采购网“河南 省政府采购合同融资平台”查询联系。</w:t>
      </w:r>
    </w:p>
    <w:p>
      <w:pPr>
        <w:pStyle w:val="47"/>
        <w:ind w:left="0" w:leftChars="0" w:firstLine="0" w:firstLineChars="0"/>
        <w:rPr>
          <w:rFonts w:ascii="宋体" w:hAnsi="宋体" w:cs="宋体"/>
          <w:color w:val="auto"/>
          <w:highlight w:val="none"/>
        </w:rPr>
      </w:pPr>
    </w:p>
    <w:sectPr>
      <w:pgSz w:w="11906" w:h="16838"/>
      <w:pgMar w:top="1650" w:right="1650" w:bottom="1650" w:left="1650" w:header="851" w:footer="85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_x000B__x000C_">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10609000101010101"/>
    <w:charset w:val="88"/>
    <w:family w:val="modern"/>
    <w:pitch w:val="default"/>
    <w:sig w:usb0="00000000" w:usb1="00000000" w:usb2="00000010" w:usb3="00000000" w:csb0="00100000" w:csb1="00000000"/>
  </w:font>
  <w:font w:name="仿宋">
    <w:panose1 w:val="02010609060101010101"/>
    <w:charset w:val="86"/>
    <w:family w:val="modern"/>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Segoe UI Symbol">
    <w:panose1 w:val="020B0502040204020203"/>
    <w:charset w:val="00"/>
    <w:family w:val="swiss"/>
    <w:pitch w:val="default"/>
    <w:sig w:usb0="800001E3" w:usb1="1200FFEF" w:usb2="00040000" w:usb3="04000000" w:csb0="00000001" w:csb1="40000000"/>
  </w:font>
  <w:font w:name="MS Mincho">
    <w:altName w:val="Yu Gothic UI"/>
    <w:panose1 w:val="02020609040205080304"/>
    <w:charset w:val="80"/>
    <w:family w:val="modern"/>
    <w:pitch w:val="default"/>
    <w:sig w:usb0="00000000" w:usb1="00000000" w:usb2="08000012" w:usb3="00000000" w:csb0="000200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w:drawing>
        <wp:inline distT="0" distB="0" distL="114300" distR="114300">
          <wp:extent cx="2179320" cy="302895"/>
          <wp:effectExtent l="0" t="0" r="11430" b="190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
                  <a:stretch>
                    <a:fillRect/>
                  </a:stretch>
                </pic:blipFill>
                <pic:spPr>
                  <a:xfrm>
                    <a:off x="0" y="0"/>
                    <a:ext cx="2179320" cy="30289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922780" cy="267335"/>
          <wp:effectExtent l="0" t="0" r="1270" b="184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stretch>
                    <a:fillRect/>
                  </a:stretch>
                </pic:blipFill>
                <pic:spPr>
                  <a:xfrm>
                    <a:off x="0" y="0"/>
                    <a:ext cx="1922780" cy="26733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922780" cy="267335"/>
          <wp:effectExtent l="0" t="0" r="127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1922780" cy="26733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2179320" cy="302895"/>
          <wp:effectExtent l="0" t="0" r="11430" b="190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
                  <a:stretch>
                    <a:fillRect/>
                  </a:stretch>
                </pic:blipFill>
                <pic:spPr>
                  <a:xfrm>
                    <a:off x="0" y="0"/>
                    <a:ext cx="2179320" cy="302895"/>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1"/>
      </w:pBdr>
      <w:jc w:val="right"/>
      <w:rPr>
        <w:b/>
        <w:bCs/>
        <w:sz w:val="21"/>
        <w:szCs w:val="21"/>
      </w:rPr>
    </w:pPr>
    <w:r>
      <w:rPr>
        <w:rFonts w:hint="eastAsia" w:hAnsi="??"/>
        <w:b/>
        <w:bCs/>
        <w:lang w:eastAsia="zh-CN"/>
      </w:rPr>
      <w:t>尧山实验室2024年陶瓷基复合材料实验设备采购项目</w:t>
    </w:r>
    <w:r>
      <w:rPr>
        <w:rFonts w:hint="eastAsia" w:hAnsi="??"/>
        <w:b/>
        <w:bCs/>
      </w:rPr>
      <w:t>招标</w:t>
    </w:r>
    <w:r>
      <w:rPr>
        <w:rFonts w:hAnsi="??" w:eastAsia="Times New Roman"/>
        <w:b/>
        <w:bCs/>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365639"/>
    <w:multiLevelType w:val="multilevel"/>
    <w:tmpl w:val="9B365639"/>
    <w:lvl w:ilvl="0" w:tentative="0">
      <w:start w:val="11"/>
      <w:numFmt w:val="decimal"/>
      <w:lvlText w:val="%1"/>
      <w:lvlJc w:val="left"/>
      <w:pPr>
        <w:tabs>
          <w:tab w:val="left" w:pos="480"/>
        </w:tabs>
        <w:ind w:left="480" w:hanging="480"/>
      </w:pPr>
      <w:rPr>
        <w:rFonts w:hint="default" w:cs="Times New Roman"/>
      </w:rPr>
    </w:lvl>
    <w:lvl w:ilvl="1" w:tentative="0">
      <w:start w:val="1"/>
      <w:numFmt w:val="decimal"/>
      <w:lvlText w:val="3.5.%2"/>
      <w:lvlJc w:val="left"/>
      <w:pPr>
        <w:tabs>
          <w:tab w:val="left" w:pos="480"/>
        </w:tabs>
        <w:ind w:left="270" w:hanging="378"/>
      </w:pPr>
      <w:rPr>
        <w:rFonts w:hint="default" w:cs="Times New Roman"/>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1">
    <w:nsid w:val="AF9C17AC"/>
    <w:multiLevelType w:val="singleLevel"/>
    <w:tmpl w:val="AF9C17AC"/>
    <w:lvl w:ilvl="0" w:tentative="0">
      <w:start w:val="1"/>
      <w:numFmt w:val="decimal"/>
      <w:suff w:val="nothing"/>
      <w:lvlText w:val="%1、"/>
      <w:lvlJc w:val="left"/>
    </w:lvl>
  </w:abstractNum>
  <w:abstractNum w:abstractNumId="2">
    <w:nsid w:val="F127CFE8"/>
    <w:multiLevelType w:val="multilevel"/>
    <w:tmpl w:val="F127CFE8"/>
    <w:lvl w:ilvl="0" w:tentative="0">
      <w:start w:val="1"/>
      <w:numFmt w:val="decimal"/>
      <w:lvlText w:val="9.2.%1"/>
      <w:lvlJc w:val="left"/>
      <w:pPr>
        <w:ind w:left="84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FE95C5B3"/>
    <w:multiLevelType w:val="singleLevel"/>
    <w:tmpl w:val="FE95C5B3"/>
    <w:lvl w:ilvl="0" w:tentative="0">
      <w:start w:val="1"/>
      <w:numFmt w:val="chineseCounting"/>
      <w:suff w:val="nothing"/>
      <w:lvlText w:val="（%1）"/>
      <w:lvlJc w:val="left"/>
      <w:rPr>
        <w:rFonts w:hint="eastAsia"/>
      </w:rPr>
    </w:lvl>
  </w:abstractNum>
  <w:abstractNum w:abstractNumId="4">
    <w:nsid w:val="0000000C"/>
    <w:multiLevelType w:val="multilevel"/>
    <w:tmpl w:val="0000000C"/>
    <w:lvl w:ilvl="0" w:tentative="0">
      <w:start w:val="2"/>
      <w:numFmt w:val="decimal"/>
      <w:lvlText w:val="%1"/>
      <w:lvlJc w:val="left"/>
      <w:pPr>
        <w:tabs>
          <w:tab w:val="left" w:pos="360"/>
        </w:tabs>
        <w:ind w:left="360" w:hanging="360"/>
      </w:pPr>
      <w:rPr>
        <w:rFonts w:hint="eastAsia" w:cs="Times New Roman"/>
        <w:b w:val="0"/>
        <w:bCs w:val="0"/>
      </w:rPr>
    </w:lvl>
    <w:lvl w:ilvl="1" w:tentative="0">
      <w:start w:val="1"/>
      <w:numFmt w:val="decimal"/>
      <w:lvlText w:val="1.2.%2"/>
      <w:lvlJc w:val="left"/>
      <w:pPr>
        <w:tabs>
          <w:tab w:val="left" w:pos="720"/>
        </w:tabs>
        <w:ind w:left="720" w:hanging="720"/>
      </w:pPr>
      <w:rPr>
        <w:rFonts w:hint="eastAsia" w:cs="Times New Roman"/>
        <w:b w:val="0"/>
        <w:bCs w:val="0"/>
      </w:rPr>
    </w:lvl>
    <w:lvl w:ilvl="2" w:tentative="0">
      <w:start w:val="1"/>
      <w:numFmt w:val="decimal"/>
      <w:lvlText w:val="%1.%2.%3"/>
      <w:lvlJc w:val="left"/>
      <w:pPr>
        <w:tabs>
          <w:tab w:val="left" w:pos="720"/>
        </w:tabs>
        <w:ind w:left="720" w:hanging="720"/>
      </w:pPr>
      <w:rPr>
        <w:rFonts w:hint="eastAsia" w:cs="Times New Roman"/>
        <w:b w:val="0"/>
        <w:bCs w:val="0"/>
      </w:rPr>
    </w:lvl>
    <w:lvl w:ilvl="3" w:tentative="0">
      <w:start w:val="1"/>
      <w:numFmt w:val="decimal"/>
      <w:lvlText w:val="%1.%2.%3.%4"/>
      <w:lvlJc w:val="left"/>
      <w:pPr>
        <w:tabs>
          <w:tab w:val="left" w:pos="1080"/>
        </w:tabs>
        <w:ind w:left="1080" w:hanging="1080"/>
      </w:pPr>
      <w:rPr>
        <w:rFonts w:hint="eastAsia" w:cs="Times New Roman"/>
        <w:b w:val="0"/>
        <w:bCs w:val="0"/>
      </w:rPr>
    </w:lvl>
    <w:lvl w:ilvl="4" w:tentative="0">
      <w:start w:val="1"/>
      <w:numFmt w:val="decimal"/>
      <w:lvlText w:val="%1.%2.%3.%4.%5"/>
      <w:lvlJc w:val="left"/>
      <w:pPr>
        <w:tabs>
          <w:tab w:val="left" w:pos="1440"/>
        </w:tabs>
        <w:ind w:left="1440" w:hanging="1440"/>
      </w:pPr>
      <w:rPr>
        <w:rFonts w:hint="eastAsia" w:cs="Times New Roman"/>
        <w:b w:val="0"/>
        <w:bCs w:val="0"/>
      </w:rPr>
    </w:lvl>
    <w:lvl w:ilvl="5" w:tentative="0">
      <w:start w:val="1"/>
      <w:numFmt w:val="decimal"/>
      <w:lvlText w:val="%1.%2.%3.%4.%5.%6"/>
      <w:lvlJc w:val="left"/>
      <w:pPr>
        <w:tabs>
          <w:tab w:val="left" w:pos="1440"/>
        </w:tabs>
        <w:ind w:left="1440" w:hanging="1440"/>
      </w:pPr>
      <w:rPr>
        <w:rFonts w:hint="eastAsia" w:cs="Times New Roman"/>
        <w:b w:val="0"/>
        <w:bCs w:val="0"/>
      </w:rPr>
    </w:lvl>
    <w:lvl w:ilvl="6" w:tentative="0">
      <w:start w:val="1"/>
      <w:numFmt w:val="decimal"/>
      <w:lvlText w:val="%1.%2.%3.%4.%5.%6.%7"/>
      <w:lvlJc w:val="left"/>
      <w:pPr>
        <w:tabs>
          <w:tab w:val="left" w:pos="1800"/>
        </w:tabs>
        <w:ind w:left="1800" w:hanging="1800"/>
      </w:pPr>
      <w:rPr>
        <w:rFonts w:hint="eastAsia" w:cs="Times New Roman"/>
        <w:b w:val="0"/>
        <w:bCs w:val="0"/>
      </w:rPr>
    </w:lvl>
    <w:lvl w:ilvl="7" w:tentative="0">
      <w:start w:val="1"/>
      <w:numFmt w:val="decimal"/>
      <w:lvlText w:val="%1.%2.%3.%4.%5.%6.%7.%8"/>
      <w:lvlJc w:val="left"/>
      <w:pPr>
        <w:tabs>
          <w:tab w:val="left" w:pos="2160"/>
        </w:tabs>
        <w:ind w:left="2160" w:hanging="2160"/>
      </w:pPr>
      <w:rPr>
        <w:rFonts w:hint="eastAsia" w:cs="Times New Roman"/>
        <w:b w:val="0"/>
        <w:bCs w:val="0"/>
      </w:rPr>
    </w:lvl>
    <w:lvl w:ilvl="8" w:tentative="0">
      <w:start w:val="1"/>
      <w:numFmt w:val="decimal"/>
      <w:lvlText w:val="%1.%2.%3.%4.%5.%6.%7.%8.%9"/>
      <w:lvlJc w:val="left"/>
      <w:pPr>
        <w:tabs>
          <w:tab w:val="left" w:pos="2160"/>
        </w:tabs>
        <w:ind w:left="2160" w:hanging="2160"/>
      </w:pPr>
      <w:rPr>
        <w:rFonts w:hint="eastAsia" w:cs="Times New Roman"/>
        <w:b w:val="0"/>
        <w:bCs w:val="0"/>
      </w:rPr>
    </w:lvl>
  </w:abstractNum>
  <w:abstractNum w:abstractNumId="5">
    <w:nsid w:val="0000000E"/>
    <w:multiLevelType w:val="multilevel"/>
    <w:tmpl w:val="0000000E"/>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2.1.%2"/>
      <w:lvlJc w:val="left"/>
      <w:pPr>
        <w:tabs>
          <w:tab w:val="left" w:pos="360"/>
        </w:tabs>
        <w:ind w:left="360" w:hanging="360"/>
      </w:pPr>
      <w:rPr>
        <w:rFonts w:hint="eastAsia"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6">
    <w:nsid w:val="0000000F"/>
    <w:multiLevelType w:val="multilevel"/>
    <w:tmpl w:val="0000000F"/>
    <w:lvl w:ilvl="0" w:tentative="0">
      <w:start w:val="9"/>
      <w:numFmt w:val="decimal"/>
      <w:lvlText w:val="%1"/>
      <w:lvlJc w:val="left"/>
      <w:pPr>
        <w:tabs>
          <w:tab w:val="left" w:pos="360"/>
        </w:tabs>
        <w:ind w:left="360" w:hanging="360"/>
      </w:pPr>
      <w:rPr>
        <w:rFonts w:hint="default" w:cs="Times New Roman"/>
      </w:rPr>
    </w:lvl>
    <w:lvl w:ilvl="1" w:tentative="0">
      <w:start w:val="1"/>
      <w:numFmt w:val="decimal"/>
      <w:lvlText w:val="3.3.%2"/>
      <w:lvlJc w:val="left"/>
      <w:pPr>
        <w:tabs>
          <w:tab w:val="left" w:pos="360"/>
        </w:tabs>
        <w:ind w:left="360" w:hanging="360"/>
      </w:pPr>
      <w:rPr>
        <w:rFonts w:hint="default" w:cs="Times New Roman"/>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7">
    <w:nsid w:val="00000010"/>
    <w:multiLevelType w:val="multilevel"/>
    <w:tmpl w:val="00000010"/>
    <w:lvl w:ilvl="0" w:tentative="0">
      <w:start w:val="1"/>
      <w:numFmt w:val="japaneseCounting"/>
      <w:lvlText w:val="第%1章"/>
      <w:lvlJc w:val="left"/>
      <w:pPr>
        <w:tabs>
          <w:tab w:val="left" w:pos="1980"/>
        </w:tabs>
        <w:ind w:left="1980" w:hanging="1260"/>
      </w:pPr>
      <w:rPr>
        <w:rFonts w:hint="eastAsia" w:cs="Times New Roman"/>
      </w:rPr>
    </w:lvl>
    <w:lvl w:ilvl="1" w:tentative="0">
      <w:start w:val="1"/>
      <w:numFmt w:val="decimal"/>
      <w:lvlText w:val="(%2)"/>
      <w:lvlJc w:val="left"/>
      <w:pPr>
        <w:tabs>
          <w:tab w:val="left" w:pos="1500"/>
        </w:tabs>
        <w:ind w:left="1500" w:hanging="360"/>
      </w:pPr>
      <w:rPr>
        <w:rFonts w:hint="default" w:cs="Times New Roman"/>
      </w:rPr>
    </w:lvl>
    <w:lvl w:ilvl="2" w:tentative="0">
      <w:start w:val="1"/>
      <w:numFmt w:val="upperLetter"/>
      <w:lvlText w:val="%3."/>
      <w:lvlJc w:val="left"/>
      <w:pPr>
        <w:tabs>
          <w:tab w:val="left" w:pos="2115"/>
        </w:tabs>
        <w:ind w:left="2115" w:hanging="555"/>
      </w:pPr>
      <w:rPr>
        <w:rFonts w:hint="eastAsia" w:cs="Times New Roman"/>
      </w:rPr>
    </w:lvl>
    <w:lvl w:ilvl="3" w:tentative="0">
      <w:start w:val="10"/>
      <w:numFmt w:val="decimal"/>
      <w:lvlText w:val="%4."/>
      <w:lvlJc w:val="left"/>
      <w:pPr>
        <w:tabs>
          <w:tab w:val="left" w:pos="2340"/>
        </w:tabs>
        <w:ind w:left="2340" w:hanging="360"/>
      </w:pPr>
      <w:rPr>
        <w:rFonts w:hint="default" w:cs="Times New Roman"/>
      </w:rPr>
    </w:lvl>
    <w:lvl w:ilvl="4" w:tentative="0">
      <w:start w:val="1"/>
      <w:numFmt w:val="lowerLetter"/>
      <w:lvlText w:val="%5)"/>
      <w:lvlJc w:val="left"/>
      <w:pPr>
        <w:tabs>
          <w:tab w:val="left" w:pos="2820"/>
        </w:tabs>
        <w:ind w:left="2820" w:hanging="420"/>
      </w:pPr>
      <w:rPr>
        <w:rFonts w:cs="Times New Roman"/>
      </w:rPr>
    </w:lvl>
    <w:lvl w:ilvl="5" w:tentative="0">
      <w:start w:val="1"/>
      <w:numFmt w:val="lowerRoman"/>
      <w:lvlText w:val="%6."/>
      <w:lvlJc w:val="right"/>
      <w:pPr>
        <w:tabs>
          <w:tab w:val="left" w:pos="3240"/>
        </w:tabs>
        <w:ind w:left="3240" w:hanging="420"/>
      </w:pPr>
      <w:rPr>
        <w:rFonts w:cs="Times New Roman"/>
      </w:rPr>
    </w:lvl>
    <w:lvl w:ilvl="6" w:tentative="0">
      <w:start w:val="1"/>
      <w:numFmt w:val="decimal"/>
      <w:lvlText w:val="%7."/>
      <w:lvlJc w:val="left"/>
      <w:pPr>
        <w:tabs>
          <w:tab w:val="left" w:pos="3660"/>
        </w:tabs>
        <w:ind w:left="3660" w:hanging="420"/>
      </w:pPr>
      <w:rPr>
        <w:rFonts w:cs="Times New Roman"/>
      </w:rPr>
    </w:lvl>
    <w:lvl w:ilvl="7" w:tentative="0">
      <w:start w:val="1"/>
      <w:numFmt w:val="lowerLetter"/>
      <w:lvlText w:val="%8)"/>
      <w:lvlJc w:val="left"/>
      <w:pPr>
        <w:tabs>
          <w:tab w:val="left" w:pos="4080"/>
        </w:tabs>
        <w:ind w:left="4080" w:hanging="420"/>
      </w:pPr>
      <w:rPr>
        <w:rFonts w:cs="Times New Roman"/>
      </w:rPr>
    </w:lvl>
    <w:lvl w:ilvl="8" w:tentative="0">
      <w:start w:val="1"/>
      <w:numFmt w:val="lowerRoman"/>
      <w:lvlText w:val="%9."/>
      <w:lvlJc w:val="right"/>
      <w:pPr>
        <w:tabs>
          <w:tab w:val="left" w:pos="4500"/>
        </w:tabs>
        <w:ind w:left="4500" w:hanging="420"/>
      </w:pPr>
      <w:rPr>
        <w:rFonts w:cs="Times New Roman"/>
      </w:rPr>
    </w:lvl>
  </w:abstractNum>
  <w:abstractNum w:abstractNumId="8">
    <w:nsid w:val="00000016"/>
    <w:multiLevelType w:val="multilevel"/>
    <w:tmpl w:val="00000016"/>
    <w:lvl w:ilvl="0" w:tentative="0">
      <w:start w:val="1"/>
      <w:numFmt w:val="decimal"/>
      <w:lvlText w:val="%1."/>
      <w:lvlJc w:val="left"/>
      <w:pPr>
        <w:tabs>
          <w:tab w:val="left" w:pos="405"/>
        </w:tabs>
        <w:ind w:left="405" w:hanging="405"/>
      </w:pPr>
      <w:rPr>
        <w:rFonts w:hint="eastAsia" w:ascii="??" w:hAnsi="??" w:eastAsia="Times New Roman" w:cs="Times New Roman"/>
      </w:rPr>
    </w:lvl>
    <w:lvl w:ilvl="1" w:tentative="0">
      <w:start w:val="2"/>
      <w:numFmt w:val="decimal"/>
      <w:isLgl/>
      <w:lvlText w:val="%1.%2"/>
      <w:lvlJc w:val="left"/>
      <w:pPr>
        <w:ind w:left="795" w:hanging="615"/>
      </w:pPr>
      <w:rPr>
        <w:rFonts w:hint="default" w:cs="Times New Roman"/>
      </w:rPr>
    </w:lvl>
    <w:lvl w:ilvl="2" w:tentative="0">
      <w:start w:val="1"/>
      <w:numFmt w:val="decimal"/>
      <w:isLgl/>
      <w:lvlText w:val="%1.%2.%3"/>
      <w:lvlJc w:val="left"/>
      <w:pPr>
        <w:ind w:left="1080" w:hanging="720"/>
      </w:pPr>
      <w:rPr>
        <w:rFonts w:hint="default" w:cs="Times New Roman"/>
      </w:rPr>
    </w:lvl>
    <w:lvl w:ilvl="3" w:tentative="0">
      <w:start w:val="1"/>
      <w:numFmt w:val="decimal"/>
      <w:isLgl/>
      <w:lvlText w:val="%1.%2.%3.%4"/>
      <w:lvlJc w:val="left"/>
      <w:pPr>
        <w:ind w:left="1620" w:hanging="1080"/>
      </w:pPr>
      <w:rPr>
        <w:rFonts w:hint="default" w:cs="Times New Roman"/>
      </w:rPr>
    </w:lvl>
    <w:lvl w:ilvl="4" w:tentative="0">
      <w:start w:val="1"/>
      <w:numFmt w:val="decimal"/>
      <w:isLgl/>
      <w:lvlText w:val="%1.%2.%3.%4.%5"/>
      <w:lvlJc w:val="left"/>
      <w:pPr>
        <w:ind w:left="1800" w:hanging="1080"/>
      </w:pPr>
      <w:rPr>
        <w:rFonts w:hint="default" w:cs="Times New Roman"/>
      </w:rPr>
    </w:lvl>
    <w:lvl w:ilvl="5" w:tentative="0">
      <w:start w:val="1"/>
      <w:numFmt w:val="decimal"/>
      <w:isLgl/>
      <w:lvlText w:val="%1.%2.%3.%4.%5.%6"/>
      <w:lvlJc w:val="left"/>
      <w:pPr>
        <w:ind w:left="2340" w:hanging="1440"/>
      </w:pPr>
      <w:rPr>
        <w:rFonts w:hint="default" w:cs="Times New Roman"/>
      </w:rPr>
    </w:lvl>
    <w:lvl w:ilvl="6" w:tentative="0">
      <w:start w:val="1"/>
      <w:numFmt w:val="decimal"/>
      <w:isLgl/>
      <w:lvlText w:val="%1.%2.%3.%4.%5.%6.%7"/>
      <w:lvlJc w:val="left"/>
      <w:pPr>
        <w:ind w:left="2520" w:hanging="1440"/>
      </w:pPr>
      <w:rPr>
        <w:rFonts w:hint="default" w:cs="Times New Roman"/>
      </w:rPr>
    </w:lvl>
    <w:lvl w:ilvl="7" w:tentative="0">
      <w:start w:val="1"/>
      <w:numFmt w:val="decimal"/>
      <w:isLgl/>
      <w:lvlText w:val="%1.%2.%3.%4.%5.%6.%7.%8"/>
      <w:lvlJc w:val="left"/>
      <w:pPr>
        <w:ind w:left="3060" w:hanging="1800"/>
      </w:pPr>
      <w:rPr>
        <w:rFonts w:hint="default" w:cs="Times New Roman"/>
      </w:rPr>
    </w:lvl>
    <w:lvl w:ilvl="8" w:tentative="0">
      <w:start w:val="1"/>
      <w:numFmt w:val="decimal"/>
      <w:isLgl/>
      <w:lvlText w:val="%1.%2.%3.%4.%5.%6.%7.%8.%9"/>
      <w:lvlJc w:val="left"/>
      <w:pPr>
        <w:ind w:left="3240" w:hanging="1800"/>
      </w:pPr>
      <w:rPr>
        <w:rFonts w:hint="default" w:cs="Times New Roman"/>
      </w:rPr>
    </w:lvl>
  </w:abstractNum>
  <w:abstractNum w:abstractNumId="9">
    <w:nsid w:val="00000018"/>
    <w:multiLevelType w:val="multilevel"/>
    <w:tmpl w:val="00000018"/>
    <w:lvl w:ilvl="0" w:tentative="0">
      <w:start w:val="3"/>
      <w:numFmt w:val="none"/>
      <w:lvlText w:val="1.3.1"/>
      <w:lvlJc w:val="left"/>
      <w:pPr>
        <w:tabs>
          <w:tab w:val="left" w:pos="360"/>
        </w:tabs>
        <w:ind w:left="360" w:hanging="360"/>
      </w:pPr>
      <w:rPr>
        <w:rFonts w:hint="eastAsia" w:hAnsi="??" w:cs="Times New Roman"/>
      </w:rPr>
    </w:lvl>
    <w:lvl w:ilvl="1" w:tentative="0">
      <w:start w:val="1"/>
      <w:numFmt w:val="decimal"/>
      <w:lvlText w:val="1.5.%2"/>
      <w:lvlJc w:val="left"/>
      <w:pPr>
        <w:tabs>
          <w:tab w:val="left" w:pos="1070"/>
        </w:tabs>
        <w:ind w:left="1070" w:hanging="360"/>
      </w:pPr>
      <w:rPr>
        <w:rFonts w:hint="eastAsia" w:cs="Times New Roman"/>
      </w:rPr>
    </w:lvl>
    <w:lvl w:ilvl="2" w:tentative="0">
      <w:start w:val="1"/>
      <w:numFmt w:val="decimal"/>
      <w:lvlText w:val="%1.%2.%3"/>
      <w:lvlJc w:val="left"/>
      <w:pPr>
        <w:tabs>
          <w:tab w:val="left" w:pos="720"/>
        </w:tabs>
        <w:ind w:left="720" w:hanging="720"/>
      </w:pPr>
      <w:rPr>
        <w:rFonts w:hint="eastAsia" w:hAnsi="??" w:cs="Times New Roman"/>
      </w:rPr>
    </w:lvl>
    <w:lvl w:ilvl="3" w:tentative="0">
      <w:start w:val="1"/>
      <w:numFmt w:val="decimal"/>
      <w:lvlText w:val="%1.%2.%3.%4"/>
      <w:lvlJc w:val="left"/>
      <w:pPr>
        <w:tabs>
          <w:tab w:val="left" w:pos="1080"/>
        </w:tabs>
        <w:ind w:left="1080" w:hanging="1080"/>
      </w:pPr>
      <w:rPr>
        <w:rFonts w:hint="eastAsia" w:hAnsi="??" w:cs="Times New Roman"/>
      </w:rPr>
    </w:lvl>
    <w:lvl w:ilvl="4" w:tentative="0">
      <w:start w:val="1"/>
      <w:numFmt w:val="decimal"/>
      <w:lvlText w:val="%1.%2.%3.%4.%5"/>
      <w:lvlJc w:val="left"/>
      <w:pPr>
        <w:tabs>
          <w:tab w:val="left" w:pos="1080"/>
        </w:tabs>
        <w:ind w:left="1080" w:hanging="1080"/>
      </w:pPr>
      <w:rPr>
        <w:rFonts w:hint="eastAsia" w:hAnsi="??" w:cs="Times New Roman"/>
      </w:rPr>
    </w:lvl>
    <w:lvl w:ilvl="5" w:tentative="0">
      <w:start w:val="1"/>
      <w:numFmt w:val="decimal"/>
      <w:lvlText w:val="%1.%2.%3.%4.%5.%6"/>
      <w:lvlJc w:val="left"/>
      <w:pPr>
        <w:tabs>
          <w:tab w:val="left" w:pos="1440"/>
        </w:tabs>
        <w:ind w:left="1440" w:hanging="1440"/>
      </w:pPr>
      <w:rPr>
        <w:rFonts w:hint="eastAsia" w:hAnsi="??" w:cs="Times New Roman"/>
      </w:rPr>
    </w:lvl>
    <w:lvl w:ilvl="6" w:tentative="0">
      <w:start w:val="1"/>
      <w:numFmt w:val="decimal"/>
      <w:lvlText w:val="%1.%2.%3.%4.%5.%6.%7"/>
      <w:lvlJc w:val="left"/>
      <w:pPr>
        <w:tabs>
          <w:tab w:val="left" w:pos="1800"/>
        </w:tabs>
        <w:ind w:left="1800" w:hanging="1800"/>
      </w:pPr>
      <w:rPr>
        <w:rFonts w:hint="eastAsia" w:hAnsi="??" w:cs="Times New Roman"/>
      </w:rPr>
    </w:lvl>
    <w:lvl w:ilvl="7" w:tentative="0">
      <w:start w:val="1"/>
      <w:numFmt w:val="decimal"/>
      <w:lvlText w:val="%1.%2.%3.%4.%5.%6.%7.%8"/>
      <w:lvlJc w:val="left"/>
      <w:pPr>
        <w:tabs>
          <w:tab w:val="left" w:pos="1800"/>
        </w:tabs>
        <w:ind w:left="1800" w:hanging="1800"/>
      </w:pPr>
      <w:rPr>
        <w:rFonts w:hint="eastAsia" w:hAnsi="??" w:cs="Times New Roman"/>
      </w:rPr>
    </w:lvl>
    <w:lvl w:ilvl="8" w:tentative="0">
      <w:start w:val="1"/>
      <w:numFmt w:val="decimal"/>
      <w:lvlText w:val="%1.%2.%3.%4.%5.%6.%7.%8.%9"/>
      <w:lvlJc w:val="left"/>
      <w:pPr>
        <w:tabs>
          <w:tab w:val="left" w:pos="2160"/>
        </w:tabs>
        <w:ind w:left="2160" w:hanging="2160"/>
      </w:pPr>
      <w:rPr>
        <w:rFonts w:hint="eastAsia" w:hAnsi="??" w:cs="Times New Roman"/>
      </w:rPr>
    </w:lvl>
  </w:abstractNum>
  <w:abstractNum w:abstractNumId="10">
    <w:nsid w:val="00000019"/>
    <w:multiLevelType w:val="multilevel"/>
    <w:tmpl w:val="00000019"/>
    <w:lvl w:ilvl="0" w:tentative="0">
      <w:start w:val="1"/>
      <w:numFmt w:val="decimal"/>
      <w:lvlText w:val="%1)"/>
      <w:lvlJc w:val="left"/>
      <w:pPr>
        <w:tabs>
          <w:tab w:val="left" w:pos="420"/>
        </w:tabs>
        <w:ind w:left="420" w:hanging="420"/>
      </w:pPr>
      <w:rPr>
        <w:rFonts w:cs="Times New Roman"/>
      </w:rPr>
    </w:lvl>
    <w:lvl w:ilvl="1" w:tentative="0">
      <w:start w:val="1"/>
      <w:numFmt w:val="decimal"/>
      <w:lvlText w:val="%2."/>
      <w:lvlJc w:val="left"/>
      <w:pPr>
        <w:tabs>
          <w:tab w:val="left" w:pos="840"/>
        </w:tabs>
        <w:ind w:left="840" w:hanging="420"/>
      </w:pPr>
      <w:rPr>
        <w:rFonts w:hint="eastAsia" w:cs="Times New Roman"/>
      </w:rPr>
    </w:lvl>
    <w:lvl w:ilvl="2" w:tentative="0">
      <w:start w:val="1"/>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01C476E8"/>
    <w:multiLevelType w:val="multilevel"/>
    <w:tmpl w:val="01C476E8"/>
    <w:lvl w:ilvl="0" w:tentative="0">
      <w:start w:val="1"/>
      <w:numFmt w:val="decimal"/>
      <w:lvlText w:val="3.7.%1"/>
      <w:lvlJc w:val="left"/>
      <w:pPr>
        <w:ind w:left="198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2">
    <w:nsid w:val="0E394334"/>
    <w:multiLevelType w:val="multilevel"/>
    <w:tmpl w:val="0E394334"/>
    <w:lvl w:ilvl="0" w:tentative="0">
      <w:start w:val="1"/>
      <w:numFmt w:val="decimal"/>
      <w:lvlText w:val="9.2.%1"/>
      <w:lvlJc w:val="left"/>
      <w:pPr>
        <w:ind w:left="84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3">
    <w:nsid w:val="11981BDB"/>
    <w:multiLevelType w:val="multilevel"/>
    <w:tmpl w:val="11981BDB"/>
    <w:lvl w:ilvl="0" w:tentative="0">
      <w:start w:val="1"/>
      <w:numFmt w:val="decimal"/>
      <w:lvlText w:val="2.%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14">
    <w:nsid w:val="11AF073F"/>
    <w:multiLevelType w:val="multilevel"/>
    <w:tmpl w:val="11AF073F"/>
    <w:lvl w:ilvl="0" w:tentative="0">
      <w:start w:val="1"/>
      <w:numFmt w:val="decimal"/>
      <w:lvlText w:val="6.5.%1"/>
      <w:lvlJc w:val="left"/>
      <w:pPr>
        <w:ind w:left="988" w:hanging="420"/>
      </w:pPr>
      <w:rPr>
        <w:rFonts w:hint="eastAsia" w:cs="Times New Roman"/>
        <w:b/>
        <w:bCs/>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5">
    <w:nsid w:val="17363519"/>
    <w:multiLevelType w:val="singleLevel"/>
    <w:tmpl w:val="17363519"/>
    <w:lvl w:ilvl="0" w:tentative="0">
      <w:start w:val="2"/>
      <w:numFmt w:val="decimal"/>
      <w:suff w:val="nothing"/>
      <w:lvlText w:val="%1、"/>
      <w:lvlJc w:val="left"/>
    </w:lvl>
  </w:abstractNum>
  <w:abstractNum w:abstractNumId="16">
    <w:nsid w:val="1A242053"/>
    <w:multiLevelType w:val="multilevel"/>
    <w:tmpl w:val="1A242053"/>
    <w:lvl w:ilvl="0" w:tentative="0">
      <w:start w:val="1"/>
      <w:numFmt w:val="decimal"/>
      <w:lvlText w:val="3.4.%1"/>
      <w:lvlJc w:val="left"/>
      <w:pPr>
        <w:ind w:left="120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1EBE1B2E"/>
    <w:multiLevelType w:val="multilevel"/>
    <w:tmpl w:val="1EBE1B2E"/>
    <w:lvl w:ilvl="0" w:tentative="0">
      <w:start w:val="1"/>
      <w:numFmt w:val="decimal"/>
      <w:lvlText w:val="4.1.%1"/>
      <w:lvlJc w:val="left"/>
      <w:pPr>
        <w:ind w:left="988" w:hanging="420"/>
      </w:pPr>
      <w:rPr>
        <w:rFonts w:hint="eastAsia" w:cs="Times New Roman"/>
        <w:sz w:val="21"/>
        <w:szCs w:val="21"/>
      </w:rPr>
    </w:lvl>
    <w:lvl w:ilvl="1" w:tentative="0">
      <w:start w:val="1"/>
      <w:numFmt w:val="lowerLetter"/>
      <w:lvlText w:val="%2)"/>
      <w:lvlJc w:val="left"/>
      <w:pPr>
        <w:ind w:left="628" w:hanging="420"/>
      </w:pPr>
      <w:rPr>
        <w:rFonts w:cs="Times New Roman"/>
      </w:rPr>
    </w:lvl>
    <w:lvl w:ilvl="2" w:tentative="0">
      <w:start w:val="1"/>
      <w:numFmt w:val="lowerRoman"/>
      <w:lvlText w:val="%3."/>
      <w:lvlJc w:val="right"/>
      <w:pPr>
        <w:ind w:left="1048" w:hanging="420"/>
      </w:pPr>
      <w:rPr>
        <w:rFonts w:cs="Times New Roman"/>
      </w:rPr>
    </w:lvl>
    <w:lvl w:ilvl="3" w:tentative="0">
      <w:start w:val="1"/>
      <w:numFmt w:val="decimal"/>
      <w:lvlText w:val="%4."/>
      <w:lvlJc w:val="left"/>
      <w:pPr>
        <w:ind w:left="1468" w:hanging="420"/>
      </w:pPr>
      <w:rPr>
        <w:rFonts w:cs="Times New Roman"/>
      </w:rPr>
    </w:lvl>
    <w:lvl w:ilvl="4" w:tentative="0">
      <w:start w:val="1"/>
      <w:numFmt w:val="lowerLetter"/>
      <w:lvlText w:val="%5)"/>
      <w:lvlJc w:val="left"/>
      <w:pPr>
        <w:ind w:left="1888" w:hanging="420"/>
      </w:pPr>
      <w:rPr>
        <w:rFonts w:cs="Times New Roman"/>
      </w:rPr>
    </w:lvl>
    <w:lvl w:ilvl="5" w:tentative="0">
      <w:start w:val="1"/>
      <w:numFmt w:val="lowerRoman"/>
      <w:lvlText w:val="%6."/>
      <w:lvlJc w:val="right"/>
      <w:pPr>
        <w:ind w:left="2308" w:hanging="420"/>
      </w:pPr>
      <w:rPr>
        <w:rFonts w:cs="Times New Roman"/>
      </w:rPr>
    </w:lvl>
    <w:lvl w:ilvl="6" w:tentative="0">
      <w:start w:val="1"/>
      <w:numFmt w:val="decimal"/>
      <w:lvlText w:val="%7."/>
      <w:lvlJc w:val="left"/>
      <w:pPr>
        <w:ind w:left="2728" w:hanging="420"/>
      </w:pPr>
      <w:rPr>
        <w:rFonts w:cs="Times New Roman"/>
      </w:rPr>
    </w:lvl>
    <w:lvl w:ilvl="7" w:tentative="0">
      <w:start w:val="1"/>
      <w:numFmt w:val="lowerLetter"/>
      <w:lvlText w:val="%8)"/>
      <w:lvlJc w:val="left"/>
      <w:pPr>
        <w:ind w:left="3148" w:hanging="420"/>
      </w:pPr>
      <w:rPr>
        <w:rFonts w:cs="Times New Roman"/>
      </w:rPr>
    </w:lvl>
    <w:lvl w:ilvl="8" w:tentative="0">
      <w:start w:val="1"/>
      <w:numFmt w:val="lowerRoman"/>
      <w:lvlText w:val="%9."/>
      <w:lvlJc w:val="right"/>
      <w:pPr>
        <w:ind w:left="3568" w:hanging="420"/>
      </w:pPr>
      <w:rPr>
        <w:rFonts w:cs="Times New Roman"/>
      </w:rPr>
    </w:lvl>
  </w:abstractNum>
  <w:abstractNum w:abstractNumId="18">
    <w:nsid w:val="1FC6DB79"/>
    <w:multiLevelType w:val="singleLevel"/>
    <w:tmpl w:val="1FC6DB79"/>
    <w:lvl w:ilvl="0" w:tentative="0">
      <w:start w:val="5"/>
      <w:numFmt w:val="decimal"/>
      <w:suff w:val="nothing"/>
      <w:lvlText w:val="%1，"/>
      <w:lvlJc w:val="left"/>
    </w:lvl>
  </w:abstractNum>
  <w:abstractNum w:abstractNumId="19">
    <w:nsid w:val="1FDB3F3E"/>
    <w:multiLevelType w:val="multilevel"/>
    <w:tmpl w:val="1FDB3F3E"/>
    <w:lvl w:ilvl="0" w:tentative="0">
      <w:start w:val="1"/>
      <w:numFmt w:val="decimal"/>
      <w:lvlText w:val="3.6.%1"/>
      <w:lvlJc w:val="left"/>
      <w:pPr>
        <w:ind w:left="159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0">
    <w:nsid w:val="230C4AA3"/>
    <w:multiLevelType w:val="multilevel"/>
    <w:tmpl w:val="230C4AA3"/>
    <w:lvl w:ilvl="0" w:tentative="0">
      <w:start w:val="1"/>
      <w:numFmt w:val="decimal"/>
      <w:lvlText w:val="4.%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1">
    <w:nsid w:val="23A071DF"/>
    <w:multiLevelType w:val="multilevel"/>
    <w:tmpl w:val="23A071DF"/>
    <w:lvl w:ilvl="0" w:tentative="0">
      <w:start w:val="1"/>
      <w:numFmt w:val="decimal"/>
      <w:lvlText w:val="7.1.%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2">
    <w:nsid w:val="29460D5B"/>
    <w:multiLevelType w:val="multilevel"/>
    <w:tmpl w:val="29460D5B"/>
    <w:lvl w:ilvl="0" w:tentative="0">
      <w:start w:val="1"/>
      <w:numFmt w:val="decimal"/>
      <w:lvlText w:val="5.1.%1"/>
      <w:lvlJc w:val="left"/>
      <w:pPr>
        <w:ind w:left="81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3">
    <w:nsid w:val="2B6C0E0B"/>
    <w:multiLevelType w:val="multilevel"/>
    <w:tmpl w:val="2B6C0E0B"/>
    <w:lvl w:ilvl="0" w:tentative="0">
      <w:start w:val="1"/>
      <w:numFmt w:val="decimal"/>
      <w:lvlText w:val="3.%1"/>
      <w:lvlJc w:val="left"/>
      <w:pPr>
        <w:ind w:left="810" w:hanging="420"/>
      </w:pPr>
      <w:rPr>
        <w:rFonts w:hint="default" w:cs="Times New Roman"/>
        <w:b/>
        <w:bCs/>
        <w:sz w:val="21"/>
        <w:szCs w:val="21"/>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4">
    <w:nsid w:val="2BBA2E75"/>
    <w:multiLevelType w:val="multilevel"/>
    <w:tmpl w:val="2BBA2E75"/>
    <w:lvl w:ilvl="0" w:tentative="0">
      <w:start w:val="1"/>
      <w:numFmt w:val="decimal"/>
      <w:lvlText w:val="5.%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5">
    <w:nsid w:val="36D72587"/>
    <w:multiLevelType w:val="multilevel"/>
    <w:tmpl w:val="36D72587"/>
    <w:lvl w:ilvl="0" w:tentative="0">
      <w:start w:val="1"/>
      <w:numFmt w:val="decimal"/>
      <w:lvlText w:val="2.%1"/>
      <w:lvlJc w:val="left"/>
      <w:pPr>
        <w:ind w:left="810" w:hanging="420"/>
      </w:pPr>
      <w:rPr>
        <w:rFonts w:hint="eastAsia" w:cs="Times New Roman"/>
      </w:rPr>
    </w:lvl>
    <w:lvl w:ilvl="1" w:tentative="0">
      <w:start w:val="1"/>
      <w:numFmt w:val="decimal"/>
      <w:lvlText w:val="1.%2"/>
      <w:lvlJc w:val="left"/>
      <w:pPr>
        <w:ind w:left="1230" w:hanging="420"/>
      </w:pPr>
      <w:rPr>
        <w:rFonts w:hint="eastAsia"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6">
    <w:nsid w:val="3F1D773D"/>
    <w:multiLevelType w:val="multilevel"/>
    <w:tmpl w:val="3F1D773D"/>
    <w:lvl w:ilvl="0" w:tentative="0">
      <w:start w:val="1"/>
      <w:numFmt w:val="decimal"/>
      <w:lvlText w:val="7.3.%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3F3506E4"/>
    <w:multiLevelType w:val="multilevel"/>
    <w:tmpl w:val="3F3506E4"/>
    <w:lvl w:ilvl="0" w:tentative="0">
      <w:start w:val="1"/>
      <w:numFmt w:val="decimal"/>
      <w:lvlText w:val="6.3.%1"/>
      <w:lvlJc w:val="left"/>
      <w:pPr>
        <w:ind w:left="159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8">
    <w:nsid w:val="43903FA1"/>
    <w:multiLevelType w:val="multilevel"/>
    <w:tmpl w:val="43903FA1"/>
    <w:lvl w:ilvl="0" w:tentative="0">
      <w:start w:val="1"/>
      <w:numFmt w:val="decimal"/>
      <w:lvlText w:val="4.3.%1"/>
      <w:lvlJc w:val="left"/>
      <w:pPr>
        <w:ind w:left="1620" w:hanging="420"/>
      </w:pPr>
      <w:rPr>
        <w:rFonts w:hint="default" w:cs="Times New Roman"/>
        <w:sz w:val="21"/>
        <w:szCs w:val="21"/>
      </w:rPr>
    </w:lvl>
    <w:lvl w:ilvl="1" w:tentative="0">
      <w:start w:val="1"/>
      <w:numFmt w:val="decimal"/>
      <w:lvlText w:val="4.2.%2"/>
      <w:lvlJc w:val="left"/>
      <w:pPr>
        <w:ind w:left="840" w:hanging="4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9">
    <w:nsid w:val="469A3E16"/>
    <w:multiLevelType w:val="multilevel"/>
    <w:tmpl w:val="469A3E16"/>
    <w:lvl w:ilvl="0" w:tentative="0">
      <w:start w:val="1"/>
      <w:numFmt w:val="decimal"/>
      <w:lvlText w:val="1.3.%1"/>
      <w:lvlJc w:val="left"/>
      <w:pPr>
        <w:tabs>
          <w:tab w:val="left" w:pos="765"/>
        </w:tabs>
        <w:ind w:left="765" w:hanging="405"/>
      </w:pPr>
      <w:rPr>
        <w:rFonts w:hint="eastAsia" w:ascii="??" w:hAnsi="??" w:eastAsia="Times New Roman" w:cs="Times New Roman"/>
      </w:rPr>
    </w:lvl>
    <w:lvl w:ilvl="1" w:tentative="0">
      <w:start w:val="1"/>
      <w:numFmt w:val="lowerLetter"/>
      <w:lvlText w:val="%2)"/>
      <w:lvlJc w:val="left"/>
      <w:pPr>
        <w:ind w:left="840" w:hanging="420"/>
      </w:pPr>
      <w:rPr>
        <w:rFonts w:cs="Times New Roman"/>
      </w:rPr>
    </w:lvl>
    <w:lvl w:ilvl="2" w:tentative="0">
      <w:start w:val="1"/>
      <w:numFmt w:val="decimal"/>
      <w:lvlText w:val="1.3.%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0">
    <w:nsid w:val="49050C6B"/>
    <w:multiLevelType w:val="multilevel"/>
    <w:tmpl w:val="49050C6B"/>
    <w:lvl w:ilvl="0" w:tentative="0">
      <w:start w:val="1"/>
      <w:numFmt w:val="decimal"/>
      <w:lvlText w:val="7.4.%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1">
    <w:nsid w:val="4CF46614"/>
    <w:multiLevelType w:val="multilevel"/>
    <w:tmpl w:val="4CF46614"/>
    <w:lvl w:ilvl="0" w:tentative="0">
      <w:start w:val="1"/>
      <w:numFmt w:val="decimal"/>
      <w:lvlText w:val="1.4.%1"/>
      <w:lvlJc w:val="left"/>
      <w:pPr>
        <w:ind w:left="78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2">
    <w:nsid w:val="50CD1E10"/>
    <w:multiLevelType w:val="multilevel"/>
    <w:tmpl w:val="50CD1E10"/>
    <w:lvl w:ilvl="0" w:tentative="0">
      <w:start w:val="1"/>
      <w:numFmt w:val="decimal"/>
      <w:lvlText w:val="7.6.%1"/>
      <w:lvlJc w:val="left"/>
      <w:pPr>
        <w:ind w:left="113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3">
    <w:nsid w:val="50DB1A19"/>
    <w:multiLevelType w:val="multilevel"/>
    <w:tmpl w:val="50DB1A19"/>
    <w:lvl w:ilvl="0" w:tentative="0">
      <w:start w:val="1"/>
      <w:numFmt w:val="decimal"/>
      <w:lvlText w:val="7.5.%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4">
    <w:nsid w:val="51C95750"/>
    <w:multiLevelType w:val="multilevel"/>
    <w:tmpl w:val="51C95750"/>
    <w:lvl w:ilvl="0" w:tentative="0">
      <w:start w:val="1"/>
      <w:numFmt w:val="decimal"/>
      <w:lvlText w:val="8.%1"/>
      <w:lvlJc w:val="left"/>
      <w:pPr>
        <w:ind w:left="1482" w:hanging="420"/>
      </w:pPr>
      <w:rPr>
        <w:rFonts w:hint="eastAsia" w:cs="Times New Roman"/>
      </w:rPr>
    </w:lvl>
    <w:lvl w:ilvl="1" w:tentative="0">
      <w:start w:val="5"/>
      <w:numFmt w:val="japaneseCounting"/>
      <w:lvlText w:val="（%2）"/>
      <w:lvlJc w:val="left"/>
      <w:pPr>
        <w:ind w:left="1140" w:hanging="720"/>
      </w:pPr>
      <w:rPr>
        <w:rFonts w:hint="default" w:cs="Times New Roman"/>
      </w:rPr>
    </w:lvl>
    <w:lvl w:ilvl="2" w:tentative="0">
      <w:start w:val="1"/>
      <w:numFmt w:val="decimal"/>
      <w:lvlText w:val="8.%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5">
    <w:nsid w:val="51DE77F9"/>
    <w:multiLevelType w:val="multilevel"/>
    <w:tmpl w:val="51DE77F9"/>
    <w:lvl w:ilvl="0" w:tentative="0">
      <w:start w:val="1"/>
      <w:numFmt w:val="decimal"/>
      <w:lvlText w:val="7.2.%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6">
    <w:nsid w:val="531B0133"/>
    <w:multiLevelType w:val="multilevel"/>
    <w:tmpl w:val="531B0133"/>
    <w:lvl w:ilvl="0" w:tentative="0">
      <w:start w:val="1"/>
      <w:numFmt w:val="decimal"/>
      <w:lvlText w:val="3.8.%1"/>
      <w:lvlJc w:val="left"/>
      <w:pPr>
        <w:ind w:left="810" w:hanging="420"/>
      </w:pPr>
      <w:rPr>
        <w:rFonts w:hint="default" w:cs="Times New Roman"/>
        <w:sz w:val="21"/>
        <w:szCs w:val="21"/>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37">
    <w:nsid w:val="546C71C1"/>
    <w:multiLevelType w:val="singleLevel"/>
    <w:tmpl w:val="546C71C1"/>
    <w:lvl w:ilvl="0" w:tentative="0">
      <w:start w:val="10"/>
      <w:numFmt w:val="chineseCounting"/>
      <w:suff w:val="nothing"/>
      <w:lvlText w:val="%1、"/>
      <w:lvlJc w:val="left"/>
      <w:rPr>
        <w:rFonts w:hint="eastAsia"/>
      </w:rPr>
    </w:lvl>
  </w:abstractNum>
  <w:abstractNum w:abstractNumId="38">
    <w:nsid w:val="5A3A08A6"/>
    <w:multiLevelType w:val="singleLevel"/>
    <w:tmpl w:val="5A3A08A6"/>
    <w:lvl w:ilvl="0" w:tentative="0">
      <w:start w:val="1"/>
      <w:numFmt w:val="decimal"/>
      <w:suff w:val="nothing"/>
      <w:lvlText w:val="（%1）"/>
      <w:lvlJc w:val="left"/>
      <w:rPr>
        <w:rFonts w:cs="Times New Roman"/>
      </w:rPr>
    </w:lvl>
  </w:abstractNum>
  <w:abstractNum w:abstractNumId="39">
    <w:nsid w:val="5B692046"/>
    <w:multiLevelType w:val="multilevel"/>
    <w:tmpl w:val="5B692046"/>
    <w:lvl w:ilvl="0" w:tentative="0">
      <w:start w:val="1"/>
      <w:numFmt w:val="decimal"/>
      <w:lvlText w:val="2.2.%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40">
    <w:nsid w:val="5E1C220F"/>
    <w:multiLevelType w:val="multilevel"/>
    <w:tmpl w:val="5E1C220F"/>
    <w:lvl w:ilvl="0" w:tentative="0">
      <w:start w:val="1"/>
      <w:numFmt w:val="decimal"/>
      <w:lvlText w:val="9.%1"/>
      <w:lvlJc w:val="right"/>
      <w:pPr>
        <w:ind w:left="1643" w:hanging="420"/>
      </w:pPr>
      <w:rPr>
        <w:rFonts w:hint="eastAsia" w:cs="Times New Roman"/>
      </w:rPr>
    </w:lvl>
    <w:lvl w:ilvl="1" w:tentative="0">
      <w:start w:val="1"/>
      <w:numFmt w:val="decimal"/>
      <w:lvlText w:val="9.%2"/>
      <w:lvlJc w:val="left"/>
      <w:pPr>
        <w:ind w:left="840" w:hanging="4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1">
    <w:nsid w:val="61F67671"/>
    <w:multiLevelType w:val="multilevel"/>
    <w:tmpl w:val="61F67671"/>
    <w:lvl w:ilvl="0" w:tentative="0">
      <w:start w:val="1"/>
      <w:numFmt w:val="decimal"/>
      <w:lvlText w:val="6.1.%1"/>
      <w:lvlJc w:val="left"/>
      <w:pPr>
        <w:ind w:left="1271"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2">
    <w:nsid w:val="67823C52"/>
    <w:multiLevelType w:val="multilevel"/>
    <w:tmpl w:val="67823C52"/>
    <w:lvl w:ilvl="0" w:tentative="0">
      <w:start w:val="1"/>
      <w:numFmt w:val="decimal"/>
      <w:lvlText w:val="7.%1"/>
      <w:lvlJc w:val="right"/>
      <w:pPr>
        <w:ind w:left="120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decimal"/>
      <w:lvlText w:val="7.%3"/>
      <w:lvlJc w:val="left"/>
      <w:pPr>
        <w:ind w:left="1413" w:hanging="420"/>
      </w:pPr>
      <w:rPr>
        <w:rFonts w:hint="eastAsia" w:cs="Times New Roman"/>
        <w:b/>
        <w:bCs/>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3">
    <w:nsid w:val="748312B3"/>
    <w:multiLevelType w:val="multilevel"/>
    <w:tmpl w:val="748312B3"/>
    <w:lvl w:ilvl="0" w:tentative="0">
      <w:start w:val="1"/>
      <w:numFmt w:val="decimal"/>
      <w:lvlText w:val="6.2.%1"/>
      <w:lvlJc w:val="left"/>
      <w:pPr>
        <w:ind w:left="120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4">
    <w:nsid w:val="783557AC"/>
    <w:multiLevelType w:val="multilevel"/>
    <w:tmpl w:val="783557AC"/>
    <w:lvl w:ilvl="0" w:tentative="0">
      <w:start w:val="1"/>
      <w:numFmt w:val="decimal"/>
      <w:lvlText w:val="3.10.%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5">
    <w:nsid w:val="79E0AA2E"/>
    <w:multiLevelType w:val="singleLevel"/>
    <w:tmpl w:val="79E0AA2E"/>
    <w:lvl w:ilvl="0" w:tentative="0">
      <w:start w:val="5"/>
      <w:numFmt w:val="chineseCounting"/>
      <w:suff w:val="space"/>
      <w:lvlText w:val="第%1章"/>
      <w:lvlJc w:val="left"/>
      <w:rPr>
        <w:rFonts w:hint="eastAsia"/>
      </w:rPr>
    </w:lvl>
  </w:abstractNum>
  <w:abstractNum w:abstractNumId="46">
    <w:nsid w:val="7EF833A3"/>
    <w:multiLevelType w:val="multilevel"/>
    <w:tmpl w:val="7EF833A3"/>
    <w:lvl w:ilvl="0" w:tentative="0">
      <w:start w:val="1"/>
      <w:numFmt w:val="decimal"/>
      <w:lvlText w:val="3.9.%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8"/>
  </w:num>
  <w:num w:numId="2">
    <w:abstractNumId w:val="25"/>
  </w:num>
  <w:num w:numId="3">
    <w:abstractNumId w:val="4"/>
  </w:num>
  <w:num w:numId="4">
    <w:abstractNumId w:val="29"/>
  </w:num>
  <w:num w:numId="5">
    <w:abstractNumId w:val="31"/>
  </w:num>
  <w:num w:numId="6">
    <w:abstractNumId w:val="9"/>
  </w:num>
  <w:num w:numId="7">
    <w:abstractNumId w:val="13"/>
  </w:num>
  <w:num w:numId="8">
    <w:abstractNumId w:val="5"/>
  </w:num>
  <w:num w:numId="9">
    <w:abstractNumId w:val="7"/>
  </w:num>
  <w:num w:numId="10">
    <w:abstractNumId w:val="39"/>
  </w:num>
  <w:num w:numId="11">
    <w:abstractNumId w:val="23"/>
  </w:num>
  <w:num w:numId="12">
    <w:abstractNumId w:val="6"/>
  </w:num>
  <w:num w:numId="13">
    <w:abstractNumId w:val="16"/>
  </w:num>
  <w:num w:numId="14">
    <w:abstractNumId w:val="0"/>
  </w:num>
  <w:num w:numId="15">
    <w:abstractNumId w:val="19"/>
  </w:num>
  <w:num w:numId="16">
    <w:abstractNumId w:val="11"/>
  </w:num>
  <w:num w:numId="17">
    <w:abstractNumId w:val="36"/>
  </w:num>
  <w:num w:numId="18">
    <w:abstractNumId w:val="46"/>
  </w:num>
  <w:num w:numId="19">
    <w:abstractNumId w:val="44"/>
  </w:num>
  <w:num w:numId="20">
    <w:abstractNumId w:val="20"/>
  </w:num>
  <w:num w:numId="21">
    <w:abstractNumId w:val="17"/>
  </w:num>
  <w:num w:numId="22">
    <w:abstractNumId w:val="28"/>
  </w:num>
  <w:num w:numId="23">
    <w:abstractNumId w:val="24"/>
  </w:num>
  <w:num w:numId="24">
    <w:abstractNumId w:val="22"/>
  </w:num>
  <w:num w:numId="25">
    <w:abstractNumId w:val="41"/>
  </w:num>
  <w:num w:numId="26">
    <w:abstractNumId w:val="43"/>
  </w:num>
  <w:num w:numId="27">
    <w:abstractNumId w:val="27"/>
  </w:num>
  <w:num w:numId="28">
    <w:abstractNumId w:val="14"/>
  </w:num>
  <w:num w:numId="29">
    <w:abstractNumId w:val="42"/>
  </w:num>
  <w:num w:numId="30">
    <w:abstractNumId w:val="21"/>
  </w:num>
  <w:num w:numId="31">
    <w:abstractNumId w:val="35"/>
  </w:num>
  <w:num w:numId="32">
    <w:abstractNumId w:val="26"/>
  </w:num>
  <w:num w:numId="33">
    <w:abstractNumId w:val="30"/>
  </w:num>
  <w:num w:numId="34">
    <w:abstractNumId w:val="33"/>
  </w:num>
  <w:num w:numId="35">
    <w:abstractNumId w:val="32"/>
  </w:num>
  <w:num w:numId="36">
    <w:abstractNumId w:val="34"/>
  </w:num>
  <w:num w:numId="37">
    <w:abstractNumId w:val="38"/>
  </w:num>
  <w:num w:numId="38">
    <w:abstractNumId w:val="40"/>
  </w:num>
  <w:num w:numId="39">
    <w:abstractNumId w:val="12"/>
  </w:num>
  <w:num w:numId="40">
    <w:abstractNumId w:val="2"/>
  </w:num>
  <w:num w:numId="41">
    <w:abstractNumId w:val="1"/>
  </w:num>
  <w:num w:numId="42">
    <w:abstractNumId w:val="10"/>
  </w:num>
  <w:num w:numId="43">
    <w:abstractNumId w:val="45"/>
  </w:num>
  <w:num w:numId="44">
    <w:abstractNumId w:val="18"/>
  </w:num>
  <w:num w:numId="45">
    <w:abstractNumId w:val="15"/>
  </w:num>
  <w:num w:numId="46">
    <w:abstractNumId w:val="37"/>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embedSystemFonts/>
  <w:bordersDoNotSurroundHeader w:val="0"/>
  <w:bordersDoNotSurroundFooter w:val="0"/>
  <w:hideSpellingErrors/>
  <w:doNotTrackMove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hMTAyZTM4ZjA1OTFiNWMyMWQ3NmM4OTljZjBlMmMifQ=="/>
  </w:docVars>
  <w:rsids>
    <w:rsidRoot w:val="00172A27"/>
    <w:rsid w:val="000003DF"/>
    <w:rsid w:val="00000A31"/>
    <w:rsid w:val="000010F5"/>
    <w:rsid w:val="000012FE"/>
    <w:rsid w:val="00001451"/>
    <w:rsid w:val="00001646"/>
    <w:rsid w:val="000032BB"/>
    <w:rsid w:val="00005D0E"/>
    <w:rsid w:val="0000700B"/>
    <w:rsid w:val="00007015"/>
    <w:rsid w:val="000073FE"/>
    <w:rsid w:val="00010329"/>
    <w:rsid w:val="000116B3"/>
    <w:rsid w:val="00017B47"/>
    <w:rsid w:val="00021B33"/>
    <w:rsid w:val="000223FB"/>
    <w:rsid w:val="0002330B"/>
    <w:rsid w:val="0002398B"/>
    <w:rsid w:val="00025986"/>
    <w:rsid w:val="000270C5"/>
    <w:rsid w:val="00030237"/>
    <w:rsid w:val="000302C7"/>
    <w:rsid w:val="00030AFC"/>
    <w:rsid w:val="0003173F"/>
    <w:rsid w:val="00031D39"/>
    <w:rsid w:val="000321BF"/>
    <w:rsid w:val="00032951"/>
    <w:rsid w:val="00032A11"/>
    <w:rsid w:val="000339DE"/>
    <w:rsid w:val="0003407F"/>
    <w:rsid w:val="00034D09"/>
    <w:rsid w:val="00034D23"/>
    <w:rsid w:val="00036559"/>
    <w:rsid w:val="00037720"/>
    <w:rsid w:val="0003799C"/>
    <w:rsid w:val="00037CC8"/>
    <w:rsid w:val="00042B2D"/>
    <w:rsid w:val="00042BF6"/>
    <w:rsid w:val="0004351C"/>
    <w:rsid w:val="000448E7"/>
    <w:rsid w:val="000456F0"/>
    <w:rsid w:val="000466C5"/>
    <w:rsid w:val="0005053F"/>
    <w:rsid w:val="00050666"/>
    <w:rsid w:val="00054753"/>
    <w:rsid w:val="00054C91"/>
    <w:rsid w:val="00054D45"/>
    <w:rsid w:val="00054E98"/>
    <w:rsid w:val="000552C8"/>
    <w:rsid w:val="00055510"/>
    <w:rsid w:val="00056A21"/>
    <w:rsid w:val="00056B97"/>
    <w:rsid w:val="000613E0"/>
    <w:rsid w:val="00061F67"/>
    <w:rsid w:val="000628DA"/>
    <w:rsid w:val="00063E0B"/>
    <w:rsid w:val="000650B6"/>
    <w:rsid w:val="000657AE"/>
    <w:rsid w:val="000659C7"/>
    <w:rsid w:val="00066044"/>
    <w:rsid w:val="00066F07"/>
    <w:rsid w:val="0007041E"/>
    <w:rsid w:val="00072FEC"/>
    <w:rsid w:val="00074611"/>
    <w:rsid w:val="000771E6"/>
    <w:rsid w:val="0008068A"/>
    <w:rsid w:val="0008225F"/>
    <w:rsid w:val="00082885"/>
    <w:rsid w:val="00082E9F"/>
    <w:rsid w:val="00083DB7"/>
    <w:rsid w:val="00084639"/>
    <w:rsid w:val="00085A72"/>
    <w:rsid w:val="000860E0"/>
    <w:rsid w:val="000901BE"/>
    <w:rsid w:val="00090873"/>
    <w:rsid w:val="00091116"/>
    <w:rsid w:val="000923FE"/>
    <w:rsid w:val="00092FC3"/>
    <w:rsid w:val="000949D4"/>
    <w:rsid w:val="00094BE4"/>
    <w:rsid w:val="000955F5"/>
    <w:rsid w:val="0009563D"/>
    <w:rsid w:val="0009634F"/>
    <w:rsid w:val="00096C66"/>
    <w:rsid w:val="00096C6B"/>
    <w:rsid w:val="00097A42"/>
    <w:rsid w:val="00097AA9"/>
    <w:rsid w:val="000A13AE"/>
    <w:rsid w:val="000A42B6"/>
    <w:rsid w:val="000A4A19"/>
    <w:rsid w:val="000A6808"/>
    <w:rsid w:val="000A72F4"/>
    <w:rsid w:val="000A7D3D"/>
    <w:rsid w:val="000B14FD"/>
    <w:rsid w:val="000B18D4"/>
    <w:rsid w:val="000B1C0E"/>
    <w:rsid w:val="000B4332"/>
    <w:rsid w:val="000B572F"/>
    <w:rsid w:val="000B62D2"/>
    <w:rsid w:val="000B6C62"/>
    <w:rsid w:val="000C014B"/>
    <w:rsid w:val="000C145B"/>
    <w:rsid w:val="000C2891"/>
    <w:rsid w:val="000C3EA6"/>
    <w:rsid w:val="000C4181"/>
    <w:rsid w:val="000C47AB"/>
    <w:rsid w:val="000C51E3"/>
    <w:rsid w:val="000C5805"/>
    <w:rsid w:val="000C5CBB"/>
    <w:rsid w:val="000C667A"/>
    <w:rsid w:val="000C7457"/>
    <w:rsid w:val="000C7FA5"/>
    <w:rsid w:val="000D085B"/>
    <w:rsid w:val="000D2198"/>
    <w:rsid w:val="000D32D2"/>
    <w:rsid w:val="000D3A71"/>
    <w:rsid w:val="000D40B3"/>
    <w:rsid w:val="000E009C"/>
    <w:rsid w:val="000E0166"/>
    <w:rsid w:val="000E02E3"/>
    <w:rsid w:val="000E0973"/>
    <w:rsid w:val="000E0CE4"/>
    <w:rsid w:val="000E2A5E"/>
    <w:rsid w:val="000E2C90"/>
    <w:rsid w:val="000E2E68"/>
    <w:rsid w:val="000E3F9D"/>
    <w:rsid w:val="000E5546"/>
    <w:rsid w:val="000E5B1A"/>
    <w:rsid w:val="000E66B0"/>
    <w:rsid w:val="000F3443"/>
    <w:rsid w:val="000F4260"/>
    <w:rsid w:val="000F4290"/>
    <w:rsid w:val="000F5350"/>
    <w:rsid w:val="000F6E93"/>
    <w:rsid w:val="000F7312"/>
    <w:rsid w:val="0010276C"/>
    <w:rsid w:val="001045EF"/>
    <w:rsid w:val="00105735"/>
    <w:rsid w:val="001057A1"/>
    <w:rsid w:val="0010594A"/>
    <w:rsid w:val="00106F18"/>
    <w:rsid w:val="001111B5"/>
    <w:rsid w:val="00116168"/>
    <w:rsid w:val="00116A80"/>
    <w:rsid w:val="00117BA5"/>
    <w:rsid w:val="00120110"/>
    <w:rsid w:val="001206BB"/>
    <w:rsid w:val="00120FC8"/>
    <w:rsid w:val="0012113E"/>
    <w:rsid w:val="0012132B"/>
    <w:rsid w:val="00122C9E"/>
    <w:rsid w:val="00123BF5"/>
    <w:rsid w:val="00124090"/>
    <w:rsid w:val="00124A1A"/>
    <w:rsid w:val="001275F1"/>
    <w:rsid w:val="001314BB"/>
    <w:rsid w:val="0013259D"/>
    <w:rsid w:val="00132E1C"/>
    <w:rsid w:val="001349FB"/>
    <w:rsid w:val="00134B2C"/>
    <w:rsid w:val="00134F33"/>
    <w:rsid w:val="001356CF"/>
    <w:rsid w:val="00135F78"/>
    <w:rsid w:val="001402ED"/>
    <w:rsid w:val="001421E8"/>
    <w:rsid w:val="00144BE4"/>
    <w:rsid w:val="00144DF0"/>
    <w:rsid w:val="00145B5A"/>
    <w:rsid w:val="001463CF"/>
    <w:rsid w:val="001467E0"/>
    <w:rsid w:val="0014735A"/>
    <w:rsid w:val="00150034"/>
    <w:rsid w:val="001517C9"/>
    <w:rsid w:val="00151C7D"/>
    <w:rsid w:val="0015269E"/>
    <w:rsid w:val="00153C97"/>
    <w:rsid w:val="001541B0"/>
    <w:rsid w:val="00154416"/>
    <w:rsid w:val="001553BE"/>
    <w:rsid w:val="001554B2"/>
    <w:rsid w:val="00156210"/>
    <w:rsid w:val="00157F7E"/>
    <w:rsid w:val="0016141E"/>
    <w:rsid w:val="001633C1"/>
    <w:rsid w:val="001633CD"/>
    <w:rsid w:val="00163953"/>
    <w:rsid w:val="001659B1"/>
    <w:rsid w:val="001659B3"/>
    <w:rsid w:val="00166CFE"/>
    <w:rsid w:val="00167A0D"/>
    <w:rsid w:val="001703D4"/>
    <w:rsid w:val="00172A27"/>
    <w:rsid w:val="00173530"/>
    <w:rsid w:val="00177CD7"/>
    <w:rsid w:val="00177F7C"/>
    <w:rsid w:val="001803A6"/>
    <w:rsid w:val="00180871"/>
    <w:rsid w:val="00180886"/>
    <w:rsid w:val="00182299"/>
    <w:rsid w:val="00184A7A"/>
    <w:rsid w:val="001853B1"/>
    <w:rsid w:val="001870C7"/>
    <w:rsid w:val="00187A08"/>
    <w:rsid w:val="001910C6"/>
    <w:rsid w:val="00191D84"/>
    <w:rsid w:val="001928A1"/>
    <w:rsid w:val="00193134"/>
    <w:rsid w:val="00193DD1"/>
    <w:rsid w:val="00193EE0"/>
    <w:rsid w:val="00195386"/>
    <w:rsid w:val="001955DE"/>
    <w:rsid w:val="00195F50"/>
    <w:rsid w:val="001964BB"/>
    <w:rsid w:val="001976D0"/>
    <w:rsid w:val="00197F94"/>
    <w:rsid w:val="001A12B3"/>
    <w:rsid w:val="001A1AAA"/>
    <w:rsid w:val="001A21EC"/>
    <w:rsid w:val="001A2ED6"/>
    <w:rsid w:val="001A3CAA"/>
    <w:rsid w:val="001A4408"/>
    <w:rsid w:val="001A4EB3"/>
    <w:rsid w:val="001A64C4"/>
    <w:rsid w:val="001A79FF"/>
    <w:rsid w:val="001B26A2"/>
    <w:rsid w:val="001B5A69"/>
    <w:rsid w:val="001B5BAB"/>
    <w:rsid w:val="001B6EBF"/>
    <w:rsid w:val="001B7727"/>
    <w:rsid w:val="001C0D6E"/>
    <w:rsid w:val="001C1D37"/>
    <w:rsid w:val="001C200A"/>
    <w:rsid w:val="001C3662"/>
    <w:rsid w:val="001C5457"/>
    <w:rsid w:val="001C60E3"/>
    <w:rsid w:val="001C6673"/>
    <w:rsid w:val="001C6FB9"/>
    <w:rsid w:val="001C75F5"/>
    <w:rsid w:val="001D0426"/>
    <w:rsid w:val="001D05E5"/>
    <w:rsid w:val="001D0EFC"/>
    <w:rsid w:val="001D2818"/>
    <w:rsid w:val="001D2F92"/>
    <w:rsid w:val="001D3C82"/>
    <w:rsid w:val="001D3D86"/>
    <w:rsid w:val="001D627A"/>
    <w:rsid w:val="001D65DE"/>
    <w:rsid w:val="001D7FAC"/>
    <w:rsid w:val="001E0856"/>
    <w:rsid w:val="001E2B2D"/>
    <w:rsid w:val="001E3ADC"/>
    <w:rsid w:val="001E4564"/>
    <w:rsid w:val="001E6000"/>
    <w:rsid w:val="001E7DC9"/>
    <w:rsid w:val="001F018D"/>
    <w:rsid w:val="001F08AD"/>
    <w:rsid w:val="001F1D8A"/>
    <w:rsid w:val="001F25B9"/>
    <w:rsid w:val="001F25E8"/>
    <w:rsid w:val="001F2E90"/>
    <w:rsid w:val="001F2FCD"/>
    <w:rsid w:val="001F33D6"/>
    <w:rsid w:val="001F43A5"/>
    <w:rsid w:val="001F4665"/>
    <w:rsid w:val="001F4CD6"/>
    <w:rsid w:val="001F4D79"/>
    <w:rsid w:val="001F53A5"/>
    <w:rsid w:val="001F5D49"/>
    <w:rsid w:val="001F7DF5"/>
    <w:rsid w:val="00202748"/>
    <w:rsid w:val="00202ED8"/>
    <w:rsid w:val="00202F89"/>
    <w:rsid w:val="00203F98"/>
    <w:rsid w:val="0020677A"/>
    <w:rsid w:val="00206FEC"/>
    <w:rsid w:val="00207635"/>
    <w:rsid w:val="002102CF"/>
    <w:rsid w:val="0021316C"/>
    <w:rsid w:val="00213943"/>
    <w:rsid w:val="00213AE3"/>
    <w:rsid w:val="00213E5E"/>
    <w:rsid w:val="00214CED"/>
    <w:rsid w:val="00215ADC"/>
    <w:rsid w:val="00215CDD"/>
    <w:rsid w:val="00215DAE"/>
    <w:rsid w:val="00215E66"/>
    <w:rsid w:val="00216081"/>
    <w:rsid w:val="00217220"/>
    <w:rsid w:val="00217452"/>
    <w:rsid w:val="0021792A"/>
    <w:rsid w:val="00220DE2"/>
    <w:rsid w:val="00222978"/>
    <w:rsid w:val="00222FD7"/>
    <w:rsid w:val="002233A3"/>
    <w:rsid w:val="002238E6"/>
    <w:rsid w:val="00223973"/>
    <w:rsid w:val="00223A13"/>
    <w:rsid w:val="00223CE1"/>
    <w:rsid w:val="00224F41"/>
    <w:rsid w:val="00225855"/>
    <w:rsid w:val="00226682"/>
    <w:rsid w:val="00226F9C"/>
    <w:rsid w:val="00227442"/>
    <w:rsid w:val="002310A2"/>
    <w:rsid w:val="002330DE"/>
    <w:rsid w:val="00234344"/>
    <w:rsid w:val="0024001F"/>
    <w:rsid w:val="00240D86"/>
    <w:rsid w:val="00243878"/>
    <w:rsid w:val="002443DF"/>
    <w:rsid w:val="00245C83"/>
    <w:rsid w:val="002463C9"/>
    <w:rsid w:val="00247E62"/>
    <w:rsid w:val="0025381C"/>
    <w:rsid w:val="00253A03"/>
    <w:rsid w:val="002548C4"/>
    <w:rsid w:val="00255726"/>
    <w:rsid w:val="002557F6"/>
    <w:rsid w:val="002562E4"/>
    <w:rsid w:val="00256CD5"/>
    <w:rsid w:val="002576DD"/>
    <w:rsid w:val="00257C6F"/>
    <w:rsid w:val="00262EA5"/>
    <w:rsid w:val="00262EC8"/>
    <w:rsid w:val="0026303F"/>
    <w:rsid w:val="00264453"/>
    <w:rsid w:val="00264711"/>
    <w:rsid w:val="00264AB2"/>
    <w:rsid w:val="00266EAE"/>
    <w:rsid w:val="0026786F"/>
    <w:rsid w:val="002678FC"/>
    <w:rsid w:val="0027020E"/>
    <w:rsid w:val="002703A2"/>
    <w:rsid w:val="00270856"/>
    <w:rsid w:val="00271C6E"/>
    <w:rsid w:val="002759AA"/>
    <w:rsid w:val="002761A7"/>
    <w:rsid w:val="00276BE6"/>
    <w:rsid w:val="002774D5"/>
    <w:rsid w:val="00281535"/>
    <w:rsid w:val="00281606"/>
    <w:rsid w:val="002821E5"/>
    <w:rsid w:val="00282C84"/>
    <w:rsid w:val="00282D24"/>
    <w:rsid w:val="00283292"/>
    <w:rsid w:val="00283458"/>
    <w:rsid w:val="0028346D"/>
    <w:rsid w:val="00283ECA"/>
    <w:rsid w:val="00285852"/>
    <w:rsid w:val="00285935"/>
    <w:rsid w:val="00285BD6"/>
    <w:rsid w:val="002902A2"/>
    <w:rsid w:val="00290B2F"/>
    <w:rsid w:val="00290F39"/>
    <w:rsid w:val="002943B8"/>
    <w:rsid w:val="002946C4"/>
    <w:rsid w:val="00295577"/>
    <w:rsid w:val="00295F12"/>
    <w:rsid w:val="002A1BB7"/>
    <w:rsid w:val="002A2275"/>
    <w:rsid w:val="002A3D92"/>
    <w:rsid w:val="002A3F63"/>
    <w:rsid w:val="002A3FF2"/>
    <w:rsid w:val="002A40C6"/>
    <w:rsid w:val="002A45D1"/>
    <w:rsid w:val="002A5768"/>
    <w:rsid w:val="002A66F1"/>
    <w:rsid w:val="002A7667"/>
    <w:rsid w:val="002A7762"/>
    <w:rsid w:val="002A7D48"/>
    <w:rsid w:val="002B0712"/>
    <w:rsid w:val="002B0B7D"/>
    <w:rsid w:val="002B0F33"/>
    <w:rsid w:val="002B2546"/>
    <w:rsid w:val="002B2727"/>
    <w:rsid w:val="002B43CD"/>
    <w:rsid w:val="002B4631"/>
    <w:rsid w:val="002B5192"/>
    <w:rsid w:val="002B584C"/>
    <w:rsid w:val="002B720B"/>
    <w:rsid w:val="002C0006"/>
    <w:rsid w:val="002C021C"/>
    <w:rsid w:val="002C1B4F"/>
    <w:rsid w:val="002C2783"/>
    <w:rsid w:val="002C3441"/>
    <w:rsid w:val="002C4000"/>
    <w:rsid w:val="002C42EA"/>
    <w:rsid w:val="002C45FB"/>
    <w:rsid w:val="002C53B4"/>
    <w:rsid w:val="002C5596"/>
    <w:rsid w:val="002D030E"/>
    <w:rsid w:val="002D10CD"/>
    <w:rsid w:val="002D156F"/>
    <w:rsid w:val="002D2F5D"/>
    <w:rsid w:val="002D3B75"/>
    <w:rsid w:val="002D4D5F"/>
    <w:rsid w:val="002D68AC"/>
    <w:rsid w:val="002D696A"/>
    <w:rsid w:val="002D6FAE"/>
    <w:rsid w:val="002E0203"/>
    <w:rsid w:val="002E2784"/>
    <w:rsid w:val="002E383E"/>
    <w:rsid w:val="002E476A"/>
    <w:rsid w:val="002E4856"/>
    <w:rsid w:val="002E5FA0"/>
    <w:rsid w:val="002E6AFB"/>
    <w:rsid w:val="002F059C"/>
    <w:rsid w:val="002F3459"/>
    <w:rsid w:val="002F39A8"/>
    <w:rsid w:val="002F3A4E"/>
    <w:rsid w:val="002F3DDC"/>
    <w:rsid w:val="002F4FDC"/>
    <w:rsid w:val="002F648D"/>
    <w:rsid w:val="002F65C1"/>
    <w:rsid w:val="00300257"/>
    <w:rsid w:val="00301894"/>
    <w:rsid w:val="0030278B"/>
    <w:rsid w:val="00302CCA"/>
    <w:rsid w:val="003103F8"/>
    <w:rsid w:val="00310864"/>
    <w:rsid w:val="0031270D"/>
    <w:rsid w:val="003147A3"/>
    <w:rsid w:val="0032129C"/>
    <w:rsid w:val="003215A0"/>
    <w:rsid w:val="00324CB0"/>
    <w:rsid w:val="00325411"/>
    <w:rsid w:val="003255FC"/>
    <w:rsid w:val="003258FA"/>
    <w:rsid w:val="00325E56"/>
    <w:rsid w:val="00326B4B"/>
    <w:rsid w:val="003271EB"/>
    <w:rsid w:val="003276E5"/>
    <w:rsid w:val="0033062E"/>
    <w:rsid w:val="00330631"/>
    <w:rsid w:val="00331B9E"/>
    <w:rsid w:val="00332E6B"/>
    <w:rsid w:val="00335206"/>
    <w:rsid w:val="0033671F"/>
    <w:rsid w:val="0033714A"/>
    <w:rsid w:val="0033765B"/>
    <w:rsid w:val="0033771F"/>
    <w:rsid w:val="00340D20"/>
    <w:rsid w:val="00341B3C"/>
    <w:rsid w:val="00341DC3"/>
    <w:rsid w:val="003423FB"/>
    <w:rsid w:val="003428D5"/>
    <w:rsid w:val="00343613"/>
    <w:rsid w:val="0034396C"/>
    <w:rsid w:val="003439AC"/>
    <w:rsid w:val="00344BD1"/>
    <w:rsid w:val="00344D9D"/>
    <w:rsid w:val="00346A63"/>
    <w:rsid w:val="00347C2C"/>
    <w:rsid w:val="00347FA5"/>
    <w:rsid w:val="00350671"/>
    <w:rsid w:val="00353441"/>
    <w:rsid w:val="0035400A"/>
    <w:rsid w:val="00354F3F"/>
    <w:rsid w:val="003600F1"/>
    <w:rsid w:val="0036010A"/>
    <w:rsid w:val="00360F36"/>
    <w:rsid w:val="003636FE"/>
    <w:rsid w:val="003647B2"/>
    <w:rsid w:val="00365B66"/>
    <w:rsid w:val="00370B27"/>
    <w:rsid w:val="00371042"/>
    <w:rsid w:val="003733F7"/>
    <w:rsid w:val="00374255"/>
    <w:rsid w:val="0037459E"/>
    <w:rsid w:val="0037605A"/>
    <w:rsid w:val="00376DFA"/>
    <w:rsid w:val="00381D10"/>
    <w:rsid w:val="00382043"/>
    <w:rsid w:val="00382199"/>
    <w:rsid w:val="00383AE9"/>
    <w:rsid w:val="00384138"/>
    <w:rsid w:val="003841DC"/>
    <w:rsid w:val="00390301"/>
    <w:rsid w:val="003921AF"/>
    <w:rsid w:val="003924BE"/>
    <w:rsid w:val="00393424"/>
    <w:rsid w:val="00394A6C"/>
    <w:rsid w:val="003971F2"/>
    <w:rsid w:val="00397E1D"/>
    <w:rsid w:val="003A0A9B"/>
    <w:rsid w:val="003A2095"/>
    <w:rsid w:val="003A41D4"/>
    <w:rsid w:val="003A6D5A"/>
    <w:rsid w:val="003A6EA5"/>
    <w:rsid w:val="003A6F6B"/>
    <w:rsid w:val="003B0B0C"/>
    <w:rsid w:val="003B1CED"/>
    <w:rsid w:val="003B373E"/>
    <w:rsid w:val="003B3AAC"/>
    <w:rsid w:val="003B74E2"/>
    <w:rsid w:val="003C0700"/>
    <w:rsid w:val="003C0CBF"/>
    <w:rsid w:val="003C0F62"/>
    <w:rsid w:val="003C1639"/>
    <w:rsid w:val="003C39BD"/>
    <w:rsid w:val="003C3ADA"/>
    <w:rsid w:val="003C3E94"/>
    <w:rsid w:val="003C4BDB"/>
    <w:rsid w:val="003C4DA8"/>
    <w:rsid w:val="003C657E"/>
    <w:rsid w:val="003C7B70"/>
    <w:rsid w:val="003C7CA5"/>
    <w:rsid w:val="003D0095"/>
    <w:rsid w:val="003D0636"/>
    <w:rsid w:val="003D072E"/>
    <w:rsid w:val="003D222B"/>
    <w:rsid w:val="003D309D"/>
    <w:rsid w:val="003D44E7"/>
    <w:rsid w:val="003D57BF"/>
    <w:rsid w:val="003D5C51"/>
    <w:rsid w:val="003D5F32"/>
    <w:rsid w:val="003D6122"/>
    <w:rsid w:val="003D7762"/>
    <w:rsid w:val="003D778F"/>
    <w:rsid w:val="003D7E15"/>
    <w:rsid w:val="003E099A"/>
    <w:rsid w:val="003E0D70"/>
    <w:rsid w:val="003E1C4E"/>
    <w:rsid w:val="003E2F1B"/>
    <w:rsid w:val="003E337D"/>
    <w:rsid w:val="003E5315"/>
    <w:rsid w:val="003E6E22"/>
    <w:rsid w:val="003E6F89"/>
    <w:rsid w:val="003F0B1D"/>
    <w:rsid w:val="003F0D17"/>
    <w:rsid w:val="003F0DD1"/>
    <w:rsid w:val="003F126C"/>
    <w:rsid w:val="003F2B8E"/>
    <w:rsid w:val="003F30EA"/>
    <w:rsid w:val="003F32F0"/>
    <w:rsid w:val="003F43F2"/>
    <w:rsid w:val="003F56A2"/>
    <w:rsid w:val="003F5B36"/>
    <w:rsid w:val="003F6D1E"/>
    <w:rsid w:val="003F7EC0"/>
    <w:rsid w:val="00401240"/>
    <w:rsid w:val="004022BF"/>
    <w:rsid w:val="00402760"/>
    <w:rsid w:val="00404C6F"/>
    <w:rsid w:val="004113D9"/>
    <w:rsid w:val="00412E9E"/>
    <w:rsid w:val="0041369F"/>
    <w:rsid w:val="00413E60"/>
    <w:rsid w:val="00414252"/>
    <w:rsid w:val="004159D7"/>
    <w:rsid w:val="004171F7"/>
    <w:rsid w:val="004171FB"/>
    <w:rsid w:val="004173C0"/>
    <w:rsid w:val="00421881"/>
    <w:rsid w:val="00421E98"/>
    <w:rsid w:val="00421ED4"/>
    <w:rsid w:val="00422230"/>
    <w:rsid w:val="0042284B"/>
    <w:rsid w:val="00423AF9"/>
    <w:rsid w:val="00424CA5"/>
    <w:rsid w:val="00426275"/>
    <w:rsid w:val="004262E5"/>
    <w:rsid w:val="00426817"/>
    <w:rsid w:val="004306F3"/>
    <w:rsid w:val="00432718"/>
    <w:rsid w:val="00434689"/>
    <w:rsid w:val="004354C3"/>
    <w:rsid w:val="00436BD1"/>
    <w:rsid w:val="0044109A"/>
    <w:rsid w:val="004415A8"/>
    <w:rsid w:val="00443271"/>
    <w:rsid w:val="00446AA2"/>
    <w:rsid w:val="0044795F"/>
    <w:rsid w:val="004531D2"/>
    <w:rsid w:val="004535E1"/>
    <w:rsid w:val="004557AA"/>
    <w:rsid w:val="004557C8"/>
    <w:rsid w:val="0045585F"/>
    <w:rsid w:val="00455A5C"/>
    <w:rsid w:val="004561A4"/>
    <w:rsid w:val="004566B4"/>
    <w:rsid w:val="00460BC1"/>
    <w:rsid w:val="00462D1C"/>
    <w:rsid w:val="004634A0"/>
    <w:rsid w:val="00463719"/>
    <w:rsid w:val="00464740"/>
    <w:rsid w:val="004647F1"/>
    <w:rsid w:val="00465417"/>
    <w:rsid w:val="0046717D"/>
    <w:rsid w:val="00467821"/>
    <w:rsid w:val="0047088A"/>
    <w:rsid w:val="00470EAD"/>
    <w:rsid w:val="00471A9A"/>
    <w:rsid w:val="00473BDC"/>
    <w:rsid w:val="004750ED"/>
    <w:rsid w:val="00477851"/>
    <w:rsid w:val="00477A2A"/>
    <w:rsid w:val="0048218F"/>
    <w:rsid w:val="00482204"/>
    <w:rsid w:val="0048221E"/>
    <w:rsid w:val="00482B74"/>
    <w:rsid w:val="00482E2E"/>
    <w:rsid w:val="0048314F"/>
    <w:rsid w:val="00483742"/>
    <w:rsid w:val="00484965"/>
    <w:rsid w:val="00485145"/>
    <w:rsid w:val="00485FC6"/>
    <w:rsid w:val="00486BBA"/>
    <w:rsid w:val="00486D32"/>
    <w:rsid w:val="004911A2"/>
    <w:rsid w:val="004919CA"/>
    <w:rsid w:val="0049380F"/>
    <w:rsid w:val="0049455F"/>
    <w:rsid w:val="004947CF"/>
    <w:rsid w:val="00495262"/>
    <w:rsid w:val="00495324"/>
    <w:rsid w:val="004958DB"/>
    <w:rsid w:val="00495A8F"/>
    <w:rsid w:val="00496153"/>
    <w:rsid w:val="004974D4"/>
    <w:rsid w:val="004977E7"/>
    <w:rsid w:val="004A1647"/>
    <w:rsid w:val="004A2068"/>
    <w:rsid w:val="004A2BF0"/>
    <w:rsid w:val="004A3359"/>
    <w:rsid w:val="004A49AD"/>
    <w:rsid w:val="004A665F"/>
    <w:rsid w:val="004A72B5"/>
    <w:rsid w:val="004A7B03"/>
    <w:rsid w:val="004B003C"/>
    <w:rsid w:val="004B0B94"/>
    <w:rsid w:val="004B4BCE"/>
    <w:rsid w:val="004B7E8E"/>
    <w:rsid w:val="004C0E5E"/>
    <w:rsid w:val="004C1868"/>
    <w:rsid w:val="004C2A71"/>
    <w:rsid w:val="004C2C32"/>
    <w:rsid w:val="004C3531"/>
    <w:rsid w:val="004C3B86"/>
    <w:rsid w:val="004C46BA"/>
    <w:rsid w:val="004C55F4"/>
    <w:rsid w:val="004C6CD3"/>
    <w:rsid w:val="004D00C6"/>
    <w:rsid w:val="004D2568"/>
    <w:rsid w:val="004D2A32"/>
    <w:rsid w:val="004D3409"/>
    <w:rsid w:val="004D3871"/>
    <w:rsid w:val="004D4027"/>
    <w:rsid w:val="004D4563"/>
    <w:rsid w:val="004D5360"/>
    <w:rsid w:val="004D6AFA"/>
    <w:rsid w:val="004D6D98"/>
    <w:rsid w:val="004E083E"/>
    <w:rsid w:val="004E0B66"/>
    <w:rsid w:val="004E28C4"/>
    <w:rsid w:val="004E36A7"/>
    <w:rsid w:val="004E3EE0"/>
    <w:rsid w:val="004E4511"/>
    <w:rsid w:val="004E678B"/>
    <w:rsid w:val="004E7F9E"/>
    <w:rsid w:val="004F36B1"/>
    <w:rsid w:val="004F4053"/>
    <w:rsid w:val="004F44F9"/>
    <w:rsid w:val="004F5452"/>
    <w:rsid w:val="004F5552"/>
    <w:rsid w:val="004F5A4F"/>
    <w:rsid w:val="004F7284"/>
    <w:rsid w:val="004F7915"/>
    <w:rsid w:val="005001FD"/>
    <w:rsid w:val="0050144E"/>
    <w:rsid w:val="0050382C"/>
    <w:rsid w:val="00505304"/>
    <w:rsid w:val="00505876"/>
    <w:rsid w:val="00510083"/>
    <w:rsid w:val="005112F0"/>
    <w:rsid w:val="00511E90"/>
    <w:rsid w:val="00512193"/>
    <w:rsid w:val="005122A8"/>
    <w:rsid w:val="00512632"/>
    <w:rsid w:val="00513908"/>
    <w:rsid w:val="00513969"/>
    <w:rsid w:val="0052065B"/>
    <w:rsid w:val="0052198B"/>
    <w:rsid w:val="00521DBC"/>
    <w:rsid w:val="00522244"/>
    <w:rsid w:val="005224F5"/>
    <w:rsid w:val="005226D0"/>
    <w:rsid w:val="00522D94"/>
    <w:rsid w:val="00526331"/>
    <w:rsid w:val="00526389"/>
    <w:rsid w:val="005268D3"/>
    <w:rsid w:val="00526B0A"/>
    <w:rsid w:val="005273F2"/>
    <w:rsid w:val="00527BC5"/>
    <w:rsid w:val="00527E7E"/>
    <w:rsid w:val="00530371"/>
    <w:rsid w:val="00530C91"/>
    <w:rsid w:val="00530DC8"/>
    <w:rsid w:val="0053139D"/>
    <w:rsid w:val="0053422C"/>
    <w:rsid w:val="00534BA5"/>
    <w:rsid w:val="005353DB"/>
    <w:rsid w:val="00535A6C"/>
    <w:rsid w:val="0053698F"/>
    <w:rsid w:val="00537A47"/>
    <w:rsid w:val="00537DF3"/>
    <w:rsid w:val="00540395"/>
    <w:rsid w:val="005417E5"/>
    <w:rsid w:val="00542A4D"/>
    <w:rsid w:val="00543161"/>
    <w:rsid w:val="00544250"/>
    <w:rsid w:val="00544593"/>
    <w:rsid w:val="0054465E"/>
    <w:rsid w:val="00545765"/>
    <w:rsid w:val="00545989"/>
    <w:rsid w:val="00545DA4"/>
    <w:rsid w:val="00545F15"/>
    <w:rsid w:val="00547C79"/>
    <w:rsid w:val="0055033D"/>
    <w:rsid w:val="00550D51"/>
    <w:rsid w:val="00551F7F"/>
    <w:rsid w:val="005520F2"/>
    <w:rsid w:val="00553E66"/>
    <w:rsid w:val="00554134"/>
    <w:rsid w:val="00554560"/>
    <w:rsid w:val="00556755"/>
    <w:rsid w:val="00556A41"/>
    <w:rsid w:val="00557A9A"/>
    <w:rsid w:val="00560B3E"/>
    <w:rsid w:val="00561290"/>
    <w:rsid w:val="00561451"/>
    <w:rsid w:val="00561703"/>
    <w:rsid w:val="00561A2A"/>
    <w:rsid w:val="00561E11"/>
    <w:rsid w:val="00562170"/>
    <w:rsid w:val="00563327"/>
    <w:rsid w:val="00563F6F"/>
    <w:rsid w:val="00564735"/>
    <w:rsid w:val="00564C17"/>
    <w:rsid w:val="00565C07"/>
    <w:rsid w:val="00567778"/>
    <w:rsid w:val="00567C32"/>
    <w:rsid w:val="00571DB6"/>
    <w:rsid w:val="00571F08"/>
    <w:rsid w:val="00572D4C"/>
    <w:rsid w:val="00573CCE"/>
    <w:rsid w:val="005747DC"/>
    <w:rsid w:val="00574A6F"/>
    <w:rsid w:val="00575490"/>
    <w:rsid w:val="005755F4"/>
    <w:rsid w:val="00575CC7"/>
    <w:rsid w:val="00576F6C"/>
    <w:rsid w:val="0057709C"/>
    <w:rsid w:val="0058007F"/>
    <w:rsid w:val="00580145"/>
    <w:rsid w:val="00580EB2"/>
    <w:rsid w:val="00581402"/>
    <w:rsid w:val="005827AD"/>
    <w:rsid w:val="00582BCE"/>
    <w:rsid w:val="00582C30"/>
    <w:rsid w:val="00583063"/>
    <w:rsid w:val="00586FD0"/>
    <w:rsid w:val="005874BC"/>
    <w:rsid w:val="005879AC"/>
    <w:rsid w:val="00587F8D"/>
    <w:rsid w:val="0059001F"/>
    <w:rsid w:val="0059241C"/>
    <w:rsid w:val="00592805"/>
    <w:rsid w:val="00592F76"/>
    <w:rsid w:val="00593F21"/>
    <w:rsid w:val="00594285"/>
    <w:rsid w:val="00594F5C"/>
    <w:rsid w:val="0059539E"/>
    <w:rsid w:val="005959B6"/>
    <w:rsid w:val="005A1A66"/>
    <w:rsid w:val="005A2139"/>
    <w:rsid w:val="005A4117"/>
    <w:rsid w:val="005A414D"/>
    <w:rsid w:val="005A4657"/>
    <w:rsid w:val="005A4755"/>
    <w:rsid w:val="005A4974"/>
    <w:rsid w:val="005A4D94"/>
    <w:rsid w:val="005A52FA"/>
    <w:rsid w:val="005A58B7"/>
    <w:rsid w:val="005A5984"/>
    <w:rsid w:val="005A622B"/>
    <w:rsid w:val="005A693A"/>
    <w:rsid w:val="005A75FD"/>
    <w:rsid w:val="005B14D0"/>
    <w:rsid w:val="005B3014"/>
    <w:rsid w:val="005B42B6"/>
    <w:rsid w:val="005B521F"/>
    <w:rsid w:val="005B757B"/>
    <w:rsid w:val="005B78CE"/>
    <w:rsid w:val="005C0491"/>
    <w:rsid w:val="005C0FBF"/>
    <w:rsid w:val="005C1F25"/>
    <w:rsid w:val="005C1F9B"/>
    <w:rsid w:val="005C337A"/>
    <w:rsid w:val="005C34AE"/>
    <w:rsid w:val="005C3708"/>
    <w:rsid w:val="005C41BD"/>
    <w:rsid w:val="005C4D0A"/>
    <w:rsid w:val="005C54DD"/>
    <w:rsid w:val="005C6C8E"/>
    <w:rsid w:val="005C6FEE"/>
    <w:rsid w:val="005C72D1"/>
    <w:rsid w:val="005C7D31"/>
    <w:rsid w:val="005C7EA8"/>
    <w:rsid w:val="005D0132"/>
    <w:rsid w:val="005D05D3"/>
    <w:rsid w:val="005D1CB4"/>
    <w:rsid w:val="005D3F7B"/>
    <w:rsid w:val="005D4384"/>
    <w:rsid w:val="005D7E8D"/>
    <w:rsid w:val="005E0BA0"/>
    <w:rsid w:val="005E10D7"/>
    <w:rsid w:val="005E1408"/>
    <w:rsid w:val="005E38FC"/>
    <w:rsid w:val="005E3DD6"/>
    <w:rsid w:val="005E3DF7"/>
    <w:rsid w:val="005E58CC"/>
    <w:rsid w:val="005E65D8"/>
    <w:rsid w:val="005E6D32"/>
    <w:rsid w:val="005E7783"/>
    <w:rsid w:val="005E7DB8"/>
    <w:rsid w:val="005F0D76"/>
    <w:rsid w:val="005F0DAE"/>
    <w:rsid w:val="005F2651"/>
    <w:rsid w:val="005F39BA"/>
    <w:rsid w:val="005F5B87"/>
    <w:rsid w:val="005F61AF"/>
    <w:rsid w:val="005F6BAB"/>
    <w:rsid w:val="005F7262"/>
    <w:rsid w:val="005F7385"/>
    <w:rsid w:val="005F73A0"/>
    <w:rsid w:val="005F7E14"/>
    <w:rsid w:val="006000F9"/>
    <w:rsid w:val="00601D70"/>
    <w:rsid w:val="0060442C"/>
    <w:rsid w:val="00605404"/>
    <w:rsid w:val="00606495"/>
    <w:rsid w:val="00607725"/>
    <w:rsid w:val="00610032"/>
    <w:rsid w:val="00611002"/>
    <w:rsid w:val="00611BDE"/>
    <w:rsid w:val="00615CAB"/>
    <w:rsid w:val="006163AF"/>
    <w:rsid w:val="006177AE"/>
    <w:rsid w:val="00617E80"/>
    <w:rsid w:val="00620F41"/>
    <w:rsid w:val="0062159B"/>
    <w:rsid w:val="00622D3B"/>
    <w:rsid w:val="00623128"/>
    <w:rsid w:val="0062364F"/>
    <w:rsid w:val="00623680"/>
    <w:rsid w:val="00623B84"/>
    <w:rsid w:val="00623F40"/>
    <w:rsid w:val="006253CF"/>
    <w:rsid w:val="0062666D"/>
    <w:rsid w:val="006279B5"/>
    <w:rsid w:val="00630034"/>
    <w:rsid w:val="00631244"/>
    <w:rsid w:val="006321D1"/>
    <w:rsid w:val="0063330C"/>
    <w:rsid w:val="006334B3"/>
    <w:rsid w:val="006336A2"/>
    <w:rsid w:val="0063509E"/>
    <w:rsid w:val="0063527C"/>
    <w:rsid w:val="0063584F"/>
    <w:rsid w:val="0063589C"/>
    <w:rsid w:val="00635C72"/>
    <w:rsid w:val="006360C5"/>
    <w:rsid w:val="006407C2"/>
    <w:rsid w:val="0064136A"/>
    <w:rsid w:val="0064143D"/>
    <w:rsid w:val="00642026"/>
    <w:rsid w:val="00642A88"/>
    <w:rsid w:val="006431BF"/>
    <w:rsid w:val="00643D47"/>
    <w:rsid w:val="0064422B"/>
    <w:rsid w:val="006445E3"/>
    <w:rsid w:val="006465BE"/>
    <w:rsid w:val="006468E7"/>
    <w:rsid w:val="00651CB5"/>
    <w:rsid w:val="00656094"/>
    <w:rsid w:val="006560D9"/>
    <w:rsid w:val="00656FCC"/>
    <w:rsid w:val="006571D0"/>
    <w:rsid w:val="006573EC"/>
    <w:rsid w:val="006579A5"/>
    <w:rsid w:val="00660209"/>
    <w:rsid w:val="006618BB"/>
    <w:rsid w:val="006619D8"/>
    <w:rsid w:val="00661D54"/>
    <w:rsid w:val="006630BB"/>
    <w:rsid w:val="00663208"/>
    <w:rsid w:val="006658F4"/>
    <w:rsid w:val="00667209"/>
    <w:rsid w:val="006674ED"/>
    <w:rsid w:val="00670011"/>
    <w:rsid w:val="006710D9"/>
    <w:rsid w:val="00671656"/>
    <w:rsid w:val="006719F0"/>
    <w:rsid w:val="00672582"/>
    <w:rsid w:val="006729CC"/>
    <w:rsid w:val="00672AEE"/>
    <w:rsid w:val="00673BEA"/>
    <w:rsid w:val="00674613"/>
    <w:rsid w:val="00674C4B"/>
    <w:rsid w:val="00676366"/>
    <w:rsid w:val="00676EB6"/>
    <w:rsid w:val="00680261"/>
    <w:rsid w:val="00680E3C"/>
    <w:rsid w:val="00681E1C"/>
    <w:rsid w:val="00682526"/>
    <w:rsid w:val="00682AB9"/>
    <w:rsid w:val="00682DD4"/>
    <w:rsid w:val="006831D4"/>
    <w:rsid w:val="00683D4B"/>
    <w:rsid w:val="0068472E"/>
    <w:rsid w:val="006849D2"/>
    <w:rsid w:val="00686A51"/>
    <w:rsid w:val="00686C24"/>
    <w:rsid w:val="006871F0"/>
    <w:rsid w:val="00690BE2"/>
    <w:rsid w:val="00691229"/>
    <w:rsid w:val="00693219"/>
    <w:rsid w:val="006948F8"/>
    <w:rsid w:val="006949E9"/>
    <w:rsid w:val="00694B32"/>
    <w:rsid w:val="006950D4"/>
    <w:rsid w:val="0069532B"/>
    <w:rsid w:val="006958E6"/>
    <w:rsid w:val="00695CE6"/>
    <w:rsid w:val="00697394"/>
    <w:rsid w:val="006A09CE"/>
    <w:rsid w:val="006A0DF2"/>
    <w:rsid w:val="006A1970"/>
    <w:rsid w:val="006A1AB6"/>
    <w:rsid w:val="006A2483"/>
    <w:rsid w:val="006A4073"/>
    <w:rsid w:val="006A531B"/>
    <w:rsid w:val="006B1B25"/>
    <w:rsid w:val="006B2B41"/>
    <w:rsid w:val="006B2FD3"/>
    <w:rsid w:val="006B3BD1"/>
    <w:rsid w:val="006B3CC0"/>
    <w:rsid w:val="006B5414"/>
    <w:rsid w:val="006B544D"/>
    <w:rsid w:val="006B5881"/>
    <w:rsid w:val="006B6ADD"/>
    <w:rsid w:val="006B74D7"/>
    <w:rsid w:val="006C0D45"/>
    <w:rsid w:val="006C0DD4"/>
    <w:rsid w:val="006C1B8E"/>
    <w:rsid w:val="006C1FD7"/>
    <w:rsid w:val="006C2697"/>
    <w:rsid w:val="006C280B"/>
    <w:rsid w:val="006C39D0"/>
    <w:rsid w:val="006C47CE"/>
    <w:rsid w:val="006C5316"/>
    <w:rsid w:val="006C5BAE"/>
    <w:rsid w:val="006C5DFA"/>
    <w:rsid w:val="006D06C3"/>
    <w:rsid w:val="006D13B8"/>
    <w:rsid w:val="006D17D9"/>
    <w:rsid w:val="006D185A"/>
    <w:rsid w:val="006D22FE"/>
    <w:rsid w:val="006D2DD7"/>
    <w:rsid w:val="006D416D"/>
    <w:rsid w:val="006D466C"/>
    <w:rsid w:val="006D4F7F"/>
    <w:rsid w:val="006D55C8"/>
    <w:rsid w:val="006D6353"/>
    <w:rsid w:val="006D6846"/>
    <w:rsid w:val="006D6994"/>
    <w:rsid w:val="006E1038"/>
    <w:rsid w:val="006E1F99"/>
    <w:rsid w:val="006E2EC5"/>
    <w:rsid w:val="006E32F9"/>
    <w:rsid w:val="006E4640"/>
    <w:rsid w:val="006E487C"/>
    <w:rsid w:val="006E6D92"/>
    <w:rsid w:val="006E6E0B"/>
    <w:rsid w:val="006E7914"/>
    <w:rsid w:val="006E7A9D"/>
    <w:rsid w:val="006F164D"/>
    <w:rsid w:val="006F2314"/>
    <w:rsid w:val="006F2B35"/>
    <w:rsid w:val="006F2B96"/>
    <w:rsid w:val="006F2CDF"/>
    <w:rsid w:val="006F3917"/>
    <w:rsid w:val="006F4D2E"/>
    <w:rsid w:val="006F6751"/>
    <w:rsid w:val="006F6B82"/>
    <w:rsid w:val="006F6EB9"/>
    <w:rsid w:val="006F7008"/>
    <w:rsid w:val="006F78D0"/>
    <w:rsid w:val="006F7E27"/>
    <w:rsid w:val="007036F6"/>
    <w:rsid w:val="00704164"/>
    <w:rsid w:val="007041BA"/>
    <w:rsid w:val="00711000"/>
    <w:rsid w:val="00711347"/>
    <w:rsid w:val="00711B0D"/>
    <w:rsid w:val="00711F08"/>
    <w:rsid w:val="00712479"/>
    <w:rsid w:val="0071326A"/>
    <w:rsid w:val="00713601"/>
    <w:rsid w:val="00715551"/>
    <w:rsid w:val="0071604A"/>
    <w:rsid w:val="0071629E"/>
    <w:rsid w:val="00716F8F"/>
    <w:rsid w:val="00717BEB"/>
    <w:rsid w:val="007208EC"/>
    <w:rsid w:val="00720F89"/>
    <w:rsid w:val="00724DF1"/>
    <w:rsid w:val="007266C3"/>
    <w:rsid w:val="0072717B"/>
    <w:rsid w:val="00730D1B"/>
    <w:rsid w:val="00731E3A"/>
    <w:rsid w:val="00733E72"/>
    <w:rsid w:val="00734425"/>
    <w:rsid w:val="00735967"/>
    <w:rsid w:val="00737C00"/>
    <w:rsid w:val="007404C1"/>
    <w:rsid w:val="00740526"/>
    <w:rsid w:val="007414C0"/>
    <w:rsid w:val="00741CDE"/>
    <w:rsid w:val="0074217E"/>
    <w:rsid w:val="0074307B"/>
    <w:rsid w:val="007437B8"/>
    <w:rsid w:val="00744A19"/>
    <w:rsid w:val="00744BCB"/>
    <w:rsid w:val="00751B2B"/>
    <w:rsid w:val="0075277F"/>
    <w:rsid w:val="00752905"/>
    <w:rsid w:val="00753EBB"/>
    <w:rsid w:val="007559C5"/>
    <w:rsid w:val="00755C31"/>
    <w:rsid w:val="00756DA4"/>
    <w:rsid w:val="0075776C"/>
    <w:rsid w:val="007578E4"/>
    <w:rsid w:val="007579C6"/>
    <w:rsid w:val="00760734"/>
    <w:rsid w:val="007609BF"/>
    <w:rsid w:val="00760BEE"/>
    <w:rsid w:val="00764BD7"/>
    <w:rsid w:val="00764C64"/>
    <w:rsid w:val="00764CFE"/>
    <w:rsid w:val="0076630A"/>
    <w:rsid w:val="00766A82"/>
    <w:rsid w:val="00766D06"/>
    <w:rsid w:val="007703F0"/>
    <w:rsid w:val="00770CA1"/>
    <w:rsid w:val="00770E90"/>
    <w:rsid w:val="0077439D"/>
    <w:rsid w:val="007748DB"/>
    <w:rsid w:val="00776B62"/>
    <w:rsid w:val="0078115D"/>
    <w:rsid w:val="00781A1E"/>
    <w:rsid w:val="00781D02"/>
    <w:rsid w:val="00783C46"/>
    <w:rsid w:val="00784B9D"/>
    <w:rsid w:val="007913A6"/>
    <w:rsid w:val="00791E57"/>
    <w:rsid w:val="007928C0"/>
    <w:rsid w:val="00795345"/>
    <w:rsid w:val="00796AB8"/>
    <w:rsid w:val="00796DD1"/>
    <w:rsid w:val="00797141"/>
    <w:rsid w:val="007A1820"/>
    <w:rsid w:val="007A1FBC"/>
    <w:rsid w:val="007A427F"/>
    <w:rsid w:val="007A4950"/>
    <w:rsid w:val="007A4F37"/>
    <w:rsid w:val="007A558C"/>
    <w:rsid w:val="007A5A2B"/>
    <w:rsid w:val="007A6EE8"/>
    <w:rsid w:val="007A7E3E"/>
    <w:rsid w:val="007B0560"/>
    <w:rsid w:val="007B1A2C"/>
    <w:rsid w:val="007B2087"/>
    <w:rsid w:val="007B3019"/>
    <w:rsid w:val="007B40C9"/>
    <w:rsid w:val="007B5C4D"/>
    <w:rsid w:val="007B6A13"/>
    <w:rsid w:val="007B6DD5"/>
    <w:rsid w:val="007B718F"/>
    <w:rsid w:val="007C0692"/>
    <w:rsid w:val="007C1FE2"/>
    <w:rsid w:val="007C2216"/>
    <w:rsid w:val="007C3E58"/>
    <w:rsid w:val="007D04A8"/>
    <w:rsid w:val="007D09C8"/>
    <w:rsid w:val="007D380F"/>
    <w:rsid w:val="007D44BD"/>
    <w:rsid w:val="007E0AC1"/>
    <w:rsid w:val="007E0D6D"/>
    <w:rsid w:val="007E1611"/>
    <w:rsid w:val="007E1A64"/>
    <w:rsid w:val="007E1F0D"/>
    <w:rsid w:val="007E2144"/>
    <w:rsid w:val="007E218F"/>
    <w:rsid w:val="007E2BB3"/>
    <w:rsid w:val="007E2E16"/>
    <w:rsid w:val="007E303C"/>
    <w:rsid w:val="007E398B"/>
    <w:rsid w:val="007E61E8"/>
    <w:rsid w:val="007E79B4"/>
    <w:rsid w:val="007F1806"/>
    <w:rsid w:val="007F1829"/>
    <w:rsid w:val="007F259F"/>
    <w:rsid w:val="007F25E9"/>
    <w:rsid w:val="007F2C36"/>
    <w:rsid w:val="007F5415"/>
    <w:rsid w:val="007F58C7"/>
    <w:rsid w:val="007F5CE6"/>
    <w:rsid w:val="007F6840"/>
    <w:rsid w:val="007F79F6"/>
    <w:rsid w:val="00800D16"/>
    <w:rsid w:val="00801194"/>
    <w:rsid w:val="00802B22"/>
    <w:rsid w:val="00804413"/>
    <w:rsid w:val="008044F8"/>
    <w:rsid w:val="008049D4"/>
    <w:rsid w:val="008050B9"/>
    <w:rsid w:val="008055D2"/>
    <w:rsid w:val="00806A11"/>
    <w:rsid w:val="0080778C"/>
    <w:rsid w:val="008109D2"/>
    <w:rsid w:val="00810B54"/>
    <w:rsid w:val="008115C5"/>
    <w:rsid w:val="0081173D"/>
    <w:rsid w:val="00811B13"/>
    <w:rsid w:val="00813DFE"/>
    <w:rsid w:val="00816A3D"/>
    <w:rsid w:val="00816AD3"/>
    <w:rsid w:val="008172AC"/>
    <w:rsid w:val="00820DB7"/>
    <w:rsid w:val="00820EF6"/>
    <w:rsid w:val="008220E8"/>
    <w:rsid w:val="0082218F"/>
    <w:rsid w:val="008224F1"/>
    <w:rsid w:val="00823E42"/>
    <w:rsid w:val="008247E8"/>
    <w:rsid w:val="0082656D"/>
    <w:rsid w:val="008267C6"/>
    <w:rsid w:val="008269F5"/>
    <w:rsid w:val="00826F8D"/>
    <w:rsid w:val="00827122"/>
    <w:rsid w:val="00830636"/>
    <w:rsid w:val="00831493"/>
    <w:rsid w:val="00831C8E"/>
    <w:rsid w:val="00831D44"/>
    <w:rsid w:val="00832013"/>
    <w:rsid w:val="008327B5"/>
    <w:rsid w:val="00834AFB"/>
    <w:rsid w:val="00836D53"/>
    <w:rsid w:val="00837D05"/>
    <w:rsid w:val="00841076"/>
    <w:rsid w:val="00841B77"/>
    <w:rsid w:val="0084240F"/>
    <w:rsid w:val="0084472F"/>
    <w:rsid w:val="00844BE7"/>
    <w:rsid w:val="0084518A"/>
    <w:rsid w:val="00845358"/>
    <w:rsid w:val="008456ED"/>
    <w:rsid w:val="0084773C"/>
    <w:rsid w:val="00847BAE"/>
    <w:rsid w:val="00851415"/>
    <w:rsid w:val="008519A9"/>
    <w:rsid w:val="0085292E"/>
    <w:rsid w:val="00852D67"/>
    <w:rsid w:val="00852E65"/>
    <w:rsid w:val="0085323F"/>
    <w:rsid w:val="00853609"/>
    <w:rsid w:val="00854350"/>
    <w:rsid w:val="008543AD"/>
    <w:rsid w:val="00855713"/>
    <w:rsid w:val="008557B2"/>
    <w:rsid w:val="008559B4"/>
    <w:rsid w:val="008561DC"/>
    <w:rsid w:val="00857369"/>
    <w:rsid w:val="008608EF"/>
    <w:rsid w:val="00862330"/>
    <w:rsid w:val="00862FB3"/>
    <w:rsid w:val="00863152"/>
    <w:rsid w:val="00863E25"/>
    <w:rsid w:val="0086416A"/>
    <w:rsid w:val="00864957"/>
    <w:rsid w:val="00864D34"/>
    <w:rsid w:val="00864F3D"/>
    <w:rsid w:val="00865985"/>
    <w:rsid w:val="008660D7"/>
    <w:rsid w:val="00866EE3"/>
    <w:rsid w:val="00870431"/>
    <w:rsid w:val="008715BB"/>
    <w:rsid w:val="00871B5F"/>
    <w:rsid w:val="00871B85"/>
    <w:rsid w:val="008727EE"/>
    <w:rsid w:val="00872933"/>
    <w:rsid w:val="00873D35"/>
    <w:rsid w:val="00874CDF"/>
    <w:rsid w:val="00874D7C"/>
    <w:rsid w:val="00875BC4"/>
    <w:rsid w:val="00876801"/>
    <w:rsid w:val="00877C23"/>
    <w:rsid w:val="00880602"/>
    <w:rsid w:val="00881208"/>
    <w:rsid w:val="008814EF"/>
    <w:rsid w:val="00885172"/>
    <w:rsid w:val="00887D6B"/>
    <w:rsid w:val="00887FB0"/>
    <w:rsid w:val="008918A9"/>
    <w:rsid w:val="00892ADE"/>
    <w:rsid w:val="00892F84"/>
    <w:rsid w:val="00894183"/>
    <w:rsid w:val="00895A9A"/>
    <w:rsid w:val="0089656E"/>
    <w:rsid w:val="008965CC"/>
    <w:rsid w:val="008A0070"/>
    <w:rsid w:val="008A099B"/>
    <w:rsid w:val="008A0FA4"/>
    <w:rsid w:val="008A1B96"/>
    <w:rsid w:val="008A246F"/>
    <w:rsid w:val="008A26D3"/>
    <w:rsid w:val="008A30FE"/>
    <w:rsid w:val="008A3BD8"/>
    <w:rsid w:val="008A3F41"/>
    <w:rsid w:val="008A4549"/>
    <w:rsid w:val="008A472E"/>
    <w:rsid w:val="008A4DD9"/>
    <w:rsid w:val="008A6824"/>
    <w:rsid w:val="008B1D37"/>
    <w:rsid w:val="008B21D9"/>
    <w:rsid w:val="008B3DEF"/>
    <w:rsid w:val="008B3EE9"/>
    <w:rsid w:val="008B4309"/>
    <w:rsid w:val="008B5805"/>
    <w:rsid w:val="008B5B4B"/>
    <w:rsid w:val="008B63E8"/>
    <w:rsid w:val="008C3627"/>
    <w:rsid w:val="008C382C"/>
    <w:rsid w:val="008C4E1C"/>
    <w:rsid w:val="008C4E7E"/>
    <w:rsid w:val="008C5324"/>
    <w:rsid w:val="008C5994"/>
    <w:rsid w:val="008C5F54"/>
    <w:rsid w:val="008D0A29"/>
    <w:rsid w:val="008D0A56"/>
    <w:rsid w:val="008D0C09"/>
    <w:rsid w:val="008D3257"/>
    <w:rsid w:val="008D6096"/>
    <w:rsid w:val="008D6128"/>
    <w:rsid w:val="008D62BB"/>
    <w:rsid w:val="008D62E3"/>
    <w:rsid w:val="008D6D0F"/>
    <w:rsid w:val="008D724E"/>
    <w:rsid w:val="008D7958"/>
    <w:rsid w:val="008E1DDC"/>
    <w:rsid w:val="008E2841"/>
    <w:rsid w:val="008E2E0C"/>
    <w:rsid w:val="008E39EA"/>
    <w:rsid w:val="008E4162"/>
    <w:rsid w:val="008E4409"/>
    <w:rsid w:val="008E507C"/>
    <w:rsid w:val="008E5F9C"/>
    <w:rsid w:val="008E67A4"/>
    <w:rsid w:val="008E6A48"/>
    <w:rsid w:val="008E6F6B"/>
    <w:rsid w:val="008E7D20"/>
    <w:rsid w:val="008F0403"/>
    <w:rsid w:val="008F0A9F"/>
    <w:rsid w:val="008F0B95"/>
    <w:rsid w:val="008F0CFB"/>
    <w:rsid w:val="008F12A0"/>
    <w:rsid w:val="008F2895"/>
    <w:rsid w:val="008F2E07"/>
    <w:rsid w:val="008F3136"/>
    <w:rsid w:val="008F31FF"/>
    <w:rsid w:val="008F74D2"/>
    <w:rsid w:val="008F7A1C"/>
    <w:rsid w:val="00901A38"/>
    <w:rsid w:val="00901D86"/>
    <w:rsid w:val="00901E16"/>
    <w:rsid w:val="00905230"/>
    <w:rsid w:val="009104AB"/>
    <w:rsid w:val="00911BAF"/>
    <w:rsid w:val="00911D4B"/>
    <w:rsid w:val="009127EC"/>
    <w:rsid w:val="00912AA3"/>
    <w:rsid w:val="00912DAC"/>
    <w:rsid w:val="00914BDB"/>
    <w:rsid w:val="00917E63"/>
    <w:rsid w:val="009214CB"/>
    <w:rsid w:val="00923798"/>
    <w:rsid w:val="009245BE"/>
    <w:rsid w:val="0092576E"/>
    <w:rsid w:val="009258DF"/>
    <w:rsid w:val="00925FB4"/>
    <w:rsid w:val="009260B3"/>
    <w:rsid w:val="00931F2D"/>
    <w:rsid w:val="0093207F"/>
    <w:rsid w:val="00932455"/>
    <w:rsid w:val="009341A5"/>
    <w:rsid w:val="0093427F"/>
    <w:rsid w:val="009347C0"/>
    <w:rsid w:val="00934E2B"/>
    <w:rsid w:val="00934E9C"/>
    <w:rsid w:val="0093596A"/>
    <w:rsid w:val="00936276"/>
    <w:rsid w:val="00940502"/>
    <w:rsid w:val="009405E1"/>
    <w:rsid w:val="00940F86"/>
    <w:rsid w:val="00941574"/>
    <w:rsid w:val="00942AC1"/>
    <w:rsid w:val="00943341"/>
    <w:rsid w:val="00943F59"/>
    <w:rsid w:val="00944665"/>
    <w:rsid w:val="009470CD"/>
    <w:rsid w:val="0094716D"/>
    <w:rsid w:val="00951576"/>
    <w:rsid w:val="0095175A"/>
    <w:rsid w:val="00951D65"/>
    <w:rsid w:val="00952B8A"/>
    <w:rsid w:val="00952F18"/>
    <w:rsid w:val="00953ADB"/>
    <w:rsid w:val="00954257"/>
    <w:rsid w:val="00954BEC"/>
    <w:rsid w:val="009550AA"/>
    <w:rsid w:val="00955B2A"/>
    <w:rsid w:val="00955E53"/>
    <w:rsid w:val="00956BA2"/>
    <w:rsid w:val="00957EBF"/>
    <w:rsid w:val="00960F21"/>
    <w:rsid w:val="00961191"/>
    <w:rsid w:val="00961E00"/>
    <w:rsid w:val="00963922"/>
    <w:rsid w:val="00964BE9"/>
    <w:rsid w:val="00965183"/>
    <w:rsid w:val="009659AA"/>
    <w:rsid w:val="0096629E"/>
    <w:rsid w:val="00967A07"/>
    <w:rsid w:val="00970226"/>
    <w:rsid w:val="00971E04"/>
    <w:rsid w:val="00972596"/>
    <w:rsid w:val="00973142"/>
    <w:rsid w:val="00973BE8"/>
    <w:rsid w:val="00973C2B"/>
    <w:rsid w:val="009819E5"/>
    <w:rsid w:val="009827E1"/>
    <w:rsid w:val="009835C9"/>
    <w:rsid w:val="00986FFF"/>
    <w:rsid w:val="00987831"/>
    <w:rsid w:val="009919B3"/>
    <w:rsid w:val="00991A55"/>
    <w:rsid w:val="0099350B"/>
    <w:rsid w:val="00994B4C"/>
    <w:rsid w:val="00994E98"/>
    <w:rsid w:val="00996E32"/>
    <w:rsid w:val="009A00EB"/>
    <w:rsid w:val="009A16A1"/>
    <w:rsid w:val="009A58C3"/>
    <w:rsid w:val="009A7C96"/>
    <w:rsid w:val="009A7F67"/>
    <w:rsid w:val="009B0AC0"/>
    <w:rsid w:val="009B1F32"/>
    <w:rsid w:val="009B3845"/>
    <w:rsid w:val="009B4B00"/>
    <w:rsid w:val="009B5580"/>
    <w:rsid w:val="009B622F"/>
    <w:rsid w:val="009B6F53"/>
    <w:rsid w:val="009B765F"/>
    <w:rsid w:val="009C02AE"/>
    <w:rsid w:val="009C02D3"/>
    <w:rsid w:val="009C02E9"/>
    <w:rsid w:val="009C0392"/>
    <w:rsid w:val="009C10CA"/>
    <w:rsid w:val="009C1C02"/>
    <w:rsid w:val="009C25C1"/>
    <w:rsid w:val="009C57BF"/>
    <w:rsid w:val="009C7612"/>
    <w:rsid w:val="009D09E2"/>
    <w:rsid w:val="009D0DF7"/>
    <w:rsid w:val="009D0FAE"/>
    <w:rsid w:val="009D1E46"/>
    <w:rsid w:val="009D31D9"/>
    <w:rsid w:val="009D34BC"/>
    <w:rsid w:val="009D3ECA"/>
    <w:rsid w:val="009D48CC"/>
    <w:rsid w:val="009D5C7B"/>
    <w:rsid w:val="009D7039"/>
    <w:rsid w:val="009D7299"/>
    <w:rsid w:val="009D7331"/>
    <w:rsid w:val="009E2184"/>
    <w:rsid w:val="009E3088"/>
    <w:rsid w:val="009E351E"/>
    <w:rsid w:val="009E55BD"/>
    <w:rsid w:val="009E6853"/>
    <w:rsid w:val="009E7F85"/>
    <w:rsid w:val="009E7FFB"/>
    <w:rsid w:val="009F1102"/>
    <w:rsid w:val="009F1B48"/>
    <w:rsid w:val="009F6403"/>
    <w:rsid w:val="009F6B5B"/>
    <w:rsid w:val="009F74C6"/>
    <w:rsid w:val="00A00104"/>
    <w:rsid w:val="00A002A5"/>
    <w:rsid w:val="00A00F19"/>
    <w:rsid w:val="00A0115A"/>
    <w:rsid w:val="00A03C18"/>
    <w:rsid w:val="00A03C94"/>
    <w:rsid w:val="00A04442"/>
    <w:rsid w:val="00A064E3"/>
    <w:rsid w:val="00A067DC"/>
    <w:rsid w:val="00A07BBA"/>
    <w:rsid w:val="00A07BE5"/>
    <w:rsid w:val="00A128F8"/>
    <w:rsid w:val="00A132B2"/>
    <w:rsid w:val="00A1376A"/>
    <w:rsid w:val="00A13DC7"/>
    <w:rsid w:val="00A14403"/>
    <w:rsid w:val="00A15C90"/>
    <w:rsid w:val="00A17FE6"/>
    <w:rsid w:val="00A202A9"/>
    <w:rsid w:val="00A21413"/>
    <w:rsid w:val="00A22D29"/>
    <w:rsid w:val="00A236B6"/>
    <w:rsid w:val="00A248F7"/>
    <w:rsid w:val="00A24EA7"/>
    <w:rsid w:val="00A25381"/>
    <w:rsid w:val="00A27854"/>
    <w:rsid w:val="00A30561"/>
    <w:rsid w:val="00A3411F"/>
    <w:rsid w:val="00A3413D"/>
    <w:rsid w:val="00A342B9"/>
    <w:rsid w:val="00A366F3"/>
    <w:rsid w:val="00A37D19"/>
    <w:rsid w:val="00A40073"/>
    <w:rsid w:val="00A414A3"/>
    <w:rsid w:val="00A42034"/>
    <w:rsid w:val="00A4260C"/>
    <w:rsid w:val="00A44A22"/>
    <w:rsid w:val="00A450D3"/>
    <w:rsid w:val="00A455DA"/>
    <w:rsid w:val="00A45826"/>
    <w:rsid w:val="00A458D0"/>
    <w:rsid w:val="00A46690"/>
    <w:rsid w:val="00A46694"/>
    <w:rsid w:val="00A473B3"/>
    <w:rsid w:val="00A47483"/>
    <w:rsid w:val="00A50319"/>
    <w:rsid w:val="00A506DC"/>
    <w:rsid w:val="00A51527"/>
    <w:rsid w:val="00A521A1"/>
    <w:rsid w:val="00A52701"/>
    <w:rsid w:val="00A528DC"/>
    <w:rsid w:val="00A53F5B"/>
    <w:rsid w:val="00A557B5"/>
    <w:rsid w:val="00A5581F"/>
    <w:rsid w:val="00A609BB"/>
    <w:rsid w:val="00A62C98"/>
    <w:rsid w:val="00A62E46"/>
    <w:rsid w:val="00A62EFA"/>
    <w:rsid w:val="00A62FF6"/>
    <w:rsid w:val="00A63D85"/>
    <w:rsid w:val="00A63EDD"/>
    <w:rsid w:val="00A6601E"/>
    <w:rsid w:val="00A6627D"/>
    <w:rsid w:val="00A66B47"/>
    <w:rsid w:val="00A67FD6"/>
    <w:rsid w:val="00A71BAE"/>
    <w:rsid w:val="00A71E72"/>
    <w:rsid w:val="00A721CA"/>
    <w:rsid w:val="00A7396D"/>
    <w:rsid w:val="00A74899"/>
    <w:rsid w:val="00A752E3"/>
    <w:rsid w:val="00A76750"/>
    <w:rsid w:val="00A76F1F"/>
    <w:rsid w:val="00A77109"/>
    <w:rsid w:val="00A77545"/>
    <w:rsid w:val="00A776CE"/>
    <w:rsid w:val="00A77E59"/>
    <w:rsid w:val="00A81462"/>
    <w:rsid w:val="00A8479C"/>
    <w:rsid w:val="00A84A13"/>
    <w:rsid w:val="00A854C6"/>
    <w:rsid w:val="00A85B45"/>
    <w:rsid w:val="00A85DF1"/>
    <w:rsid w:val="00A866DC"/>
    <w:rsid w:val="00A86A76"/>
    <w:rsid w:val="00A86C58"/>
    <w:rsid w:val="00A86EBE"/>
    <w:rsid w:val="00A87972"/>
    <w:rsid w:val="00A9018C"/>
    <w:rsid w:val="00A9103E"/>
    <w:rsid w:val="00A92089"/>
    <w:rsid w:val="00A921AC"/>
    <w:rsid w:val="00A9258A"/>
    <w:rsid w:val="00A9275D"/>
    <w:rsid w:val="00A9312D"/>
    <w:rsid w:val="00A938AC"/>
    <w:rsid w:val="00A94EF4"/>
    <w:rsid w:val="00A950D4"/>
    <w:rsid w:val="00A951EA"/>
    <w:rsid w:val="00A96023"/>
    <w:rsid w:val="00A97F85"/>
    <w:rsid w:val="00AA0DA1"/>
    <w:rsid w:val="00AA2F2B"/>
    <w:rsid w:val="00AA473C"/>
    <w:rsid w:val="00AA62B1"/>
    <w:rsid w:val="00AB0946"/>
    <w:rsid w:val="00AB18A0"/>
    <w:rsid w:val="00AB1EDE"/>
    <w:rsid w:val="00AB22B0"/>
    <w:rsid w:val="00AB304D"/>
    <w:rsid w:val="00AB3F3B"/>
    <w:rsid w:val="00AB45C5"/>
    <w:rsid w:val="00AB51A3"/>
    <w:rsid w:val="00AB5CD1"/>
    <w:rsid w:val="00AB753D"/>
    <w:rsid w:val="00AC0877"/>
    <w:rsid w:val="00AC0EF0"/>
    <w:rsid w:val="00AC0F1B"/>
    <w:rsid w:val="00AC2E49"/>
    <w:rsid w:val="00AC30B5"/>
    <w:rsid w:val="00AC342A"/>
    <w:rsid w:val="00AC3E38"/>
    <w:rsid w:val="00AC732B"/>
    <w:rsid w:val="00AD1DDD"/>
    <w:rsid w:val="00AD22BE"/>
    <w:rsid w:val="00AD244C"/>
    <w:rsid w:val="00AD2FF6"/>
    <w:rsid w:val="00AD411D"/>
    <w:rsid w:val="00AD54E9"/>
    <w:rsid w:val="00AD5564"/>
    <w:rsid w:val="00AD69D3"/>
    <w:rsid w:val="00AD6B24"/>
    <w:rsid w:val="00AE1717"/>
    <w:rsid w:val="00AE3D8A"/>
    <w:rsid w:val="00AE5E50"/>
    <w:rsid w:val="00AE672E"/>
    <w:rsid w:val="00AE6A73"/>
    <w:rsid w:val="00AE6EB1"/>
    <w:rsid w:val="00AE713E"/>
    <w:rsid w:val="00AE7791"/>
    <w:rsid w:val="00AF13C2"/>
    <w:rsid w:val="00AF1B19"/>
    <w:rsid w:val="00AF28AF"/>
    <w:rsid w:val="00AF2BAD"/>
    <w:rsid w:val="00AF372D"/>
    <w:rsid w:val="00AF6FA7"/>
    <w:rsid w:val="00AF7416"/>
    <w:rsid w:val="00AF781B"/>
    <w:rsid w:val="00AF7B0B"/>
    <w:rsid w:val="00B01A6C"/>
    <w:rsid w:val="00B01CB1"/>
    <w:rsid w:val="00B02080"/>
    <w:rsid w:val="00B02A93"/>
    <w:rsid w:val="00B03DA9"/>
    <w:rsid w:val="00B04F95"/>
    <w:rsid w:val="00B063AE"/>
    <w:rsid w:val="00B063CC"/>
    <w:rsid w:val="00B0655F"/>
    <w:rsid w:val="00B11F18"/>
    <w:rsid w:val="00B12409"/>
    <w:rsid w:val="00B12C79"/>
    <w:rsid w:val="00B12C8C"/>
    <w:rsid w:val="00B1369B"/>
    <w:rsid w:val="00B13CAC"/>
    <w:rsid w:val="00B14A79"/>
    <w:rsid w:val="00B14E60"/>
    <w:rsid w:val="00B15D23"/>
    <w:rsid w:val="00B21090"/>
    <w:rsid w:val="00B2159E"/>
    <w:rsid w:val="00B21C2A"/>
    <w:rsid w:val="00B239D0"/>
    <w:rsid w:val="00B23AC4"/>
    <w:rsid w:val="00B24279"/>
    <w:rsid w:val="00B25C7C"/>
    <w:rsid w:val="00B26BCB"/>
    <w:rsid w:val="00B2727F"/>
    <w:rsid w:val="00B3104B"/>
    <w:rsid w:val="00B31A49"/>
    <w:rsid w:val="00B31B9F"/>
    <w:rsid w:val="00B3216C"/>
    <w:rsid w:val="00B33255"/>
    <w:rsid w:val="00B3378E"/>
    <w:rsid w:val="00B33ED6"/>
    <w:rsid w:val="00B3405A"/>
    <w:rsid w:val="00B34B55"/>
    <w:rsid w:val="00B370E9"/>
    <w:rsid w:val="00B3719A"/>
    <w:rsid w:val="00B37893"/>
    <w:rsid w:val="00B40EF8"/>
    <w:rsid w:val="00B42644"/>
    <w:rsid w:val="00B445B7"/>
    <w:rsid w:val="00B4472C"/>
    <w:rsid w:val="00B4534F"/>
    <w:rsid w:val="00B453A8"/>
    <w:rsid w:val="00B4592E"/>
    <w:rsid w:val="00B45A0E"/>
    <w:rsid w:val="00B4770F"/>
    <w:rsid w:val="00B47B2D"/>
    <w:rsid w:val="00B520E4"/>
    <w:rsid w:val="00B52619"/>
    <w:rsid w:val="00B52F4F"/>
    <w:rsid w:val="00B549E8"/>
    <w:rsid w:val="00B54AB3"/>
    <w:rsid w:val="00B5541D"/>
    <w:rsid w:val="00B5545B"/>
    <w:rsid w:val="00B5620A"/>
    <w:rsid w:val="00B565C9"/>
    <w:rsid w:val="00B56D6B"/>
    <w:rsid w:val="00B56E44"/>
    <w:rsid w:val="00B5736B"/>
    <w:rsid w:val="00B6048A"/>
    <w:rsid w:val="00B608C4"/>
    <w:rsid w:val="00B62836"/>
    <w:rsid w:val="00B640D4"/>
    <w:rsid w:val="00B64841"/>
    <w:rsid w:val="00B64F65"/>
    <w:rsid w:val="00B668CA"/>
    <w:rsid w:val="00B670C2"/>
    <w:rsid w:val="00B708D2"/>
    <w:rsid w:val="00B715BB"/>
    <w:rsid w:val="00B72081"/>
    <w:rsid w:val="00B73F8B"/>
    <w:rsid w:val="00B75E73"/>
    <w:rsid w:val="00B770F5"/>
    <w:rsid w:val="00B773F3"/>
    <w:rsid w:val="00B8020C"/>
    <w:rsid w:val="00B807F6"/>
    <w:rsid w:val="00B81928"/>
    <w:rsid w:val="00B81B1E"/>
    <w:rsid w:val="00B83F9B"/>
    <w:rsid w:val="00B84990"/>
    <w:rsid w:val="00B85B76"/>
    <w:rsid w:val="00B8750B"/>
    <w:rsid w:val="00B8755C"/>
    <w:rsid w:val="00B87CCC"/>
    <w:rsid w:val="00B91CA4"/>
    <w:rsid w:val="00B92A49"/>
    <w:rsid w:val="00B94309"/>
    <w:rsid w:val="00B94B3A"/>
    <w:rsid w:val="00B95666"/>
    <w:rsid w:val="00B95A21"/>
    <w:rsid w:val="00B967BA"/>
    <w:rsid w:val="00B96B06"/>
    <w:rsid w:val="00BA1037"/>
    <w:rsid w:val="00BA433F"/>
    <w:rsid w:val="00BA5404"/>
    <w:rsid w:val="00BA5B0A"/>
    <w:rsid w:val="00BA657D"/>
    <w:rsid w:val="00BA7074"/>
    <w:rsid w:val="00BA7E11"/>
    <w:rsid w:val="00BB0A8A"/>
    <w:rsid w:val="00BB316E"/>
    <w:rsid w:val="00BB3E81"/>
    <w:rsid w:val="00BB45F5"/>
    <w:rsid w:val="00BB48D7"/>
    <w:rsid w:val="00BB59E3"/>
    <w:rsid w:val="00BB5C3D"/>
    <w:rsid w:val="00BB5E7D"/>
    <w:rsid w:val="00BB6094"/>
    <w:rsid w:val="00BB7629"/>
    <w:rsid w:val="00BB7C9F"/>
    <w:rsid w:val="00BC0318"/>
    <w:rsid w:val="00BC0784"/>
    <w:rsid w:val="00BC0CCA"/>
    <w:rsid w:val="00BC4311"/>
    <w:rsid w:val="00BC68B0"/>
    <w:rsid w:val="00BC7F63"/>
    <w:rsid w:val="00BD183B"/>
    <w:rsid w:val="00BD1C56"/>
    <w:rsid w:val="00BD2F05"/>
    <w:rsid w:val="00BD355F"/>
    <w:rsid w:val="00BD4308"/>
    <w:rsid w:val="00BD47F5"/>
    <w:rsid w:val="00BD4896"/>
    <w:rsid w:val="00BD4CC2"/>
    <w:rsid w:val="00BE0568"/>
    <w:rsid w:val="00BE1773"/>
    <w:rsid w:val="00BE1B48"/>
    <w:rsid w:val="00BE1B9C"/>
    <w:rsid w:val="00BE2DFF"/>
    <w:rsid w:val="00BE535C"/>
    <w:rsid w:val="00BE5F8A"/>
    <w:rsid w:val="00BE6C13"/>
    <w:rsid w:val="00BE7076"/>
    <w:rsid w:val="00BE75E0"/>
    <w:rsid w:val="00BF005C"/>
    <w:rsid w:val="00BF3714"/>
    <w:rsid w:val="00BF3E68"/>
    <w:rsid w:val="00BF440A"/>
    <w:rsid w:val="00BF580B"/>
    <w:rsid w:val="00BF5A47"/>
    <w:rsid w:val="00BF5A76"/>
    <w:rsid w:val="00BF5F87"/>
    <w:rsid w:val="00C02626"/>
    <w:rsid w:val="00C03D98"/>
    <w:rsid w:val="00C04265"/>
    <w:rsid w:val="00C051EE"/>
    <w:rsid w:val="00C05C1F"/>
    <w:rsid w:val="00C0627C"/>
    <w:rsid w:val="00C07256"/>
    <w:rsid w:val="00C073BF"/>
    <w:rsid w:val="00C076B7"/>
    <w:rsid w:val="00C10839"/>
    <w:rsid w:val="00C10CB7"/>
    <w:rsid w:val="00C111A6"/>
    <w:rsid w:val="00C12BD5"/>
    <w:rsid w:val="00C137D8"/>
    <w:rsid w:val="00C13C14"/>
    <w:rsid w:val="00C141C8"/>
    <w:rsid w:val="00C1458C"/>
    <w:rsid w:val="00C150F5"/>
    <w:rsid w:val="00C16355"/>
    <w:rsid w:val="00C1750C"/>
    <w:rsid w:val="00C1793C"/>
    <w:rsid w:val="00C17C4B"/>
    <w:rsid w:val="00C20AE1"/>
    <w:rsid w:val="00C20E02"/>
    <w:rsid w:val="00C22827"/>
    <w:rsid w:val="00C23046"/>
    <w:rsid w:val="00C23B5A"/>
    <w:rsid w:val="00C24FB2"/>
    <w:rsid w:val="00C254DA"/>
    <w:rsid w:val="00C255EC"/>
    <w:rsid w:val="00C257CF"/>
    <w:rsid w:val="00C30D02"/>
    <w:rsid w:val="00C32140"/>
    <w:rsid w:val="00C3285C"/>
    <w:rsid w:val="00C32B65"/>
    <w:rsid w:val="00C336E6"/>
    <w:rsid w:val="00C35DF3"/>
    <w:rsid w:val="00C37BAD"/>
    <w:rsid w:val="00C40BE5"/>
    <w:rsid w:val="00C42A6F"/>
    <w:rsid w:val="00C44BF5"/>
    <w:rsid w:val="00C46338"/>
    <w:rsid w:val="00C46396"/>
    <w:rsid w:val="00C46D64"/>
    <w:rsid w:val="00C47EC6"/>
    <w:rsid w:val="00C52114"/>
    <w:rsid w:val="00C52209"/>
    <w:rsid w:val="00C54E32"/>
    <w:rsid w:val="00C54F35"/>
    <w:rsid w:val="00C563C8"/>
    <w:rsid w:val="00C60D18"/>
    <w:rsid w:val="00C61316"/>
    <w:rsid w:val="00C63F3C"/>
    <w:rsid w:val="00C6488A"/>
    <w:rsid w:val="00C65457"/>
    <w:rsid w:val="00C65719"/>
    <w:rsid w:val="00C65740"/>
    <w:rsid w:val="00C6799B"/>
    <w:rsid w:val="00C729F9"/>
    <w:rsid w:val="00C72C6D"/>
    <w:rsid w:val="00C72DAF"/>
    <w:rsid w:val="00C7321B"/>
    <w:rsid w:val="00C74F54"/>
    <w:rsid w:val="00C75CA0"/>
    <w:rsid w:val="00C75D24"/>
    <w:rsid w:val="00C765FD"/>
    <w:rsid w:val="00C7758C"/>
    <w:rsid w:val="00C77622"/>
    <w:rsid w:val="00C77E4B"/>
    <w:rsid w:val="00C77F77"/>
    <w:rsid w:val="00C80679"/>
    <w:rsid w:val="00C81183"/>
    <w:rsid w:val="00C8158D"/>
    <w:rsid w:val="00C81807"/>
    <w:rsid w:val="00C82737"/>
    <w:rsid w:val="00C833D5"/>
    <w:rsid w:val="00C8572C"/>
    <w:rsid w:val="00C860E1"/>
    <w:rsid w:val="00C869BA"/>
    <w:rsid w:val="00C87F29"/>
    <w:rsid w:val="00C90818"/>
    <w:rsid w:val="00C908F2"/>
    <w:rsid w:val="00C90CDD"/>
    <w:rsid w:val="00C94907"/>
    <w:rsid w:val="00C95EEE"/>
    <w:rsid w:val="00C9671C"/>
    <w:rsid w:val="00C968F1"/>
    <w:rsid w:val="00CA081D"/>
    <w:rsid w:val="00CA254C"/>
    <w:rsid w:val="00CA3947"/>
    <w:rsid w:val="00CA54D6"/>
    <w:rsid w:val="00CA729E"/>
    <w:rsid w:val="00CA7E25"/>
    <w:rsid w:val="00CA7EAB"/>
    <w:rsid w:val="00CB0051"/>
    <w:rsid w:val="00CB18A9"/>
    <w:rsid w:val="00CB1B6F"/>
    <w:rsid w:val="00CB3240"/>
    <w:rsid w:val="00CB451A"/>
    <w:rsid w:val="00CB4825"/>
    <w:rsid w:val="00CB5226"/>
    <w:rsid w:val="00CB5A8A"/>
    <w:rsid w:val="00CB5C16"/>
    <w:rsid w:val="00CB6E75"/>
    <w:rsid w:val="00CC00DE"/>
    <w:rsid w:val="00CC0C13"/>
    <w:rsid w:val="00CC1B12"/>
    <w:rsid w:val="00CC25A3"/>
    <w:rsid w:val="00CC2DAC"/>
    <w:rsid w:val="00CC3350"/>
    <w:rsid w:val="00CC3F05"/>
    <w:rsid w:val="00CC55F1"/>
    <w:rsid w:val="00CC58D2"/>
    <w:rsid w:val="00CD04A6"/>
    <w:rsid w:val="00CD04E3"/>
    <w:rsid w:val="00CD078D"/>
    <w:rsid w:val="00CD1090"/>
    <w:rsid w:val="00CD4AC2"/>
    <w:rsid w:val="00CD5AC7"/>
    <w:rsid w:val="00CD6718"/>
    <w:rsid w:val="00CD6CF8"/>
    <w:rsid w:val="00CD729C"/>
    <w:rsid w:val="00CD7D1D"/>
    <w:rsid w:val="00CE00AB"/>
    <w:rsid w:val="00CE1C0A"/>
    <w:rsid w:val="00CE2495"/>
    <w:rsid w:val="00CE32EF"/>
    <w:rsid w:val="00CE35A1"/>
    <w:rsid w:val="00CE429D"/>
    <w:rsid w:val="00CE4BBE"/>
    <w:rsid w:val="00CE6753"/>
    <w:rsid w:val="00CE6783"/>
    <w:rsid w:val="00CE6E44"/>
    <w:rsid w:val="00CE6EFC"/>
    <w:rsid w:val="00CE7F48"/>
    <w:rsid w:val="00CF05B0"/>
    <w:rsid w:val="00CF1716"/>
    <w:rsid w:val="00CF17BD"/>
    <w:rsid w:val="00CF5760"/>
    <w:rsid w:val="00CF7ECB"/>
    <w:rsid w:val="00D011B6"/>
    <w:rsid w:val="00D01643"/>
    <w:rsid w:val="00D01D7E"/>
    <w:rsid w:val="00D02CF1"/>
    <w:rsid w:val="00D046CA"/>
    <w:rsid w:val="00D04C19"/>
    <w:rsid w:val="00D050AD"/>
    <w:rsid w:val="00D054A9"/>
    <w:rsid w:val="00D05599"/>
    <w:rsid w:val="00D05644"/>
    <w:rsid w:val="00D05CC9"/>
    <w:rsid w:val="00D06197"/>
    <w:rsid w:val="00D07011"/>
    <w:rsid w:val="00D10494"/>
    <w:rsid w:val="00D11008"/>
    <w:rsid w:val="00D115CB"/>
    <w:rsid w:val="00D1300B"/>
    <w:rsid w:val="00D13313"/>
    <w:rsid w:val="00D13876"/>
    <w:rsid w:val="00D13C86"/>
    <w:rsid w:val="00D1515F"/>
    <w:rsid w:val="00D15225"/>
    <w:rsid w:val="00D15835"/>
    <w:rsid w:val="00D21738"/>
    <w:rsid w:val="00D22CC4"/>
    <w:rsid w:val="00D25FBE"/>
    <w:rsid w:val="00D26D44"/>
    <w:rsid w:val="00D26D9F"/>
    <w:rsid w:val="00D309C5"/>
    <w:rsid w:val="00D3160F"/>
    <w:rsid w:val="00D320E3"/>
    <w:rsid w:val="00D33168"/>
    <w:rsid w:val="00D3403A"/>
    <w:rsid w:val="00D34BCE"/>
    <w:rsid w:val="00D34D18"/>
    <w:rsid w:val="00D36BEE"/>
    <w:rsid w:val="00D44406"/>
    <w:rsid w:val="00D45D3D"/>
    <w:rsid w:val="00D45EFA"/>
    <w:rsid w:val="00D465DF"/>
    <w:rsid w:val="00D46817"/>
    <w:rsid w:val="00D47084"/>
    <w:rsid w:val="00D47D8B"/>
    <w:rsid w:val="00D50385"/>
    <w:rsid w:val="00D51D97"/>
    <w:rsid w:val="00D523AF"/>
    <w:rsid w:val="00D535FA"/>
    <w:rsid w:val="00D536AB"/>
    <w:rsid w:val="00D54E9D"/>
    <w:rsid w:val="00D56430"/>
    <w:rsid w:val="00D5695C"/>
    <w:rsid w:val="00D57387"/>
    <w:rsid w:val="00D603BC"/>
    <w:rsid w:val="00D609A5"/>
    <w:rsid w:val="00D6390A"/>
    <w:rsid w:val="00D64E5E"/>
    <w:rsid w:val="00D65364"/>
    <w:rsid w:val="00D6576B"/>
    <w:rsid w:val="00D73C35"/>
    <w:rsid w:val="00D73F06"/>
    <w:rsid w:val="00D74831"/>
    <w:rsid w:val="00D754D4"/>
    <w:rsid w:val="00D77AA8"/>
    <w:rsid w:val="00D8040C"/>
    <w:rsid w:val="00D8120A"/>
    <w:rsid w:val="00D81E47"/>
    <w:rsid w:val="00D82368"/>
    <w:rsid w:val="00D82838"/>
    <w:rsid w:val="00D85249"/>
    <w:rsid w:val="00D853EC"/>
    <w:rsid w:val="00D856C9"/>
    <w:rsid w:val="00D85BB3"/>
    <w:rsid w:val="00D85CBC"/>
    <w:rsid w:val="00D86C46"/>
    <w:rsid w:val="00D9099E"/>
    <w:rsid w:val="00D915A1"/>
    <w:rsid w:val="00D941BB"/>
    <w:rsid w:val="00D96771"/>
    <w:rsid w:val="00D96851"/>
    <w:rsid w:val="00D9692C"/>
    <w:rsid w:val="00D978FD"/>
    <w:rsid w:val="00DA1596"/>
    <w:rsid w:val="00DA17AC"/>
    <w:rsid w:val="00DA37A5"/>
    <w:rsid w:val="00DA47B5"/>
    <w:rsid w:val="00DA4B68"/>
    <w:rsid w:val="00DA5439"/>
    <w:rsid w:val="00DA592B"/>
    <w:rsid w:val="00DB14D4"/>
    <w:rsid w:val="00DB1538"/>
    <w:rsid w:val="00DB175A"/>
    <w:rsid w:val="00DB26FA"/>
    <w:rsid w:val="00DB70B5"/>
    <w:rsid w:val="00DC0A58"/>
    <w:rsid w:val="00DC1274"/>
    <w:rsid w:val="00DC1C96"/>
    <w:rsid w:val="00DC2345"/>
    <w:rsid w:val="00DC25DB"/>
    <w:rsid w:val="00DC2772"/>
    <w:rsid w:val="00DC3D11"/>
    <w:rsid w:val="00DC42E0"/>
    <w:rsid w:val="00DC5C8F"/>
    <w:rsid w:val="00DC6660"/>
    <w:rsid w:val="00DD1964"/>
    <w:rsid w:val="00DD4434"/>
    <w:rsid w:val="00DD5835"/>
    <w:rsid w:val="00DD609E"/>
    <w:rsid w:val="00DD67AD"/>
    <w:rsid w:val="00DD7267"/>
    <w:rsid w:val="00DD7FEB"/>
    <w:rsid w:val="00DE287D"/>
    <w:rsid w:val="00DE37EC"/>
    <w:rsid w:val="00DE4A62"/>
    <w:rsid w:val="00DE5A32"/>
    <w:rsid w:val="00DE5EFB"/>
    <w:rsid w:val="00DE7878"/>
    <w:rsid w:val="00DF0667"/>
    <w:rsid w:val="00DF1056"/>
    <w:rsid w:val="00DF18A4"/>
    <w:rsid w:val="00DF30E6"/>
    <w:rsid w:val="00DF3278"/>
    <w:rsid w:val="00DF3BB1"/>
    <w:rsid w:val="00DF3CB1"/>
    <w:rsid w:val="00DF4DE1"/>
    <w:rsid w:val="00DF4ECC"/>
    <w:rsid w:val="00DF4F9E"/>
    <w:rsid w:val="00DF62BA"/>
    <w:rsid w:val="00DF684E"/>
    <w:rsid w:val="00DF6B4F"/>
    <w:rsid w:val="00DF7A01"/>
    <w:rsid w:val="00DF7CD5"/>
    <w:rsid w:val="00E008A7"/>
    <w:rsid w:val="00E035B1"/>
    <w:rsid w:val="00E04465"/>
    <w:rsid w:val="00E04780"/>
    <w:rsid w:val="00E04BD5"/>
    <w:rsid w:val="00E05658"/>
    <w:rsid w:val="00E05825"/>
    <w:rsid w:val="00E06A7A"/>
    <w:rsid w:val="00E06DBD"/>
    <w:rsid w:val="00E1091D"/>
    <w:rsid w:val="00E126FF"/>
    <w:rsid w:val="00E12D59"/>
    <w:rsid w:val="00E13A02"/>
    <w:rsid w:val="00E13C52"/>
    <w:rsid w:val="00E140D0"/>
    <w:rsid w:val="00E1497E"/>
    <w:rsid w:val="00E15AC3"/>
    <w:rsid w:val="00E16C82"/>
    <w:rsid w:val="00E16D23"/>
    <w:rsid w:val="00E16D92"/>
    <w:rsid w:val="00E16FE2"/>
    <w:rsid w:val="00E205E2"/>
    <w:rsid w:val="00E205FA"/>
    <w:rsid w:val="00E20E46"/>
    <w:rsid w:val="00E21596"/>
    <w:rsid w:val="00E2384E"/>
    <w:rsid w:val="00E25FA4"/>
    <w:rsid w:val="00E26E7A"/>
    <w:rsid w:val="00E30055"/>
    <w:rsid w:val="00E30B04"/>
    <w:rsid w:val="00E31E50"/>
    <w:rsid w:val="00E32465"/>
    <w:rsid w:val="00E33B3B"/>
    <w:rsid w:val="00E36008"/>
    <w:rsid w:val="00E425F3"/>
    <w:rsid w:val="00E43176"/>
    <w:rsid w:val="00E4322F"/>
    <w:rsid w:val="00E4355B"/>
    <w:rsid w:val="00E44B41"/>
    <w:rsid w:val="00E45B06"/>
    <w:rsid w:val="00E45F0C"/>
    <w:rsid w:val="00E4627D"/>
    <w:rsid w:val="00E478D2"/>
    <w:rsid w:val="00E507A5"/>
    <w:rsid w:val="00E50B81"/>
    <w:rsid w:val="00E5119A"/>
    <w:rsid w:val="00E523CA"/>
    <w:rsid w:val="00E52A47"/>
    <w:rsid w:val="00E52D9A"/>
    <w:rsid w:val="00E537AA"/>
    <w:rsid w:val="00E57C88"/>
    <w:rsid w:val="00E6280F"/>
    <w:rsid w:val="00E63FC8"/>
    <w:rsid w:val="00E70013"/>
    <w:rsid w:val="00E71AD4"/>
    <w:rsid w:val="00E72450"/>
    <w:rsid w:val="00E72FB3"/>
    <w:rsid w:val="00E741A3"/>
    <w:rsid w:val="00E74A9D"/>
    <w:rsid w:val="00E758A8"/>
    <w:rsid w:val="00E809D0"/>
    <w:rsid w:val="00E8295E"/>
    <w:rsid w:val="00E82965"/>
    <w:rsid w:val="00E83113"/>
    <w:rsid w:val="00E831B7"/>
    <w:rsid w:val="00E84327"/>
    <w:rsid w:val="00E846F8"/>
    <w:rsid w:val="00E85E4F"/>
    <w:rsid w:val="00E87432"/>
    <w:rsid w:val="00E87D6E"/>
    <w:rsid w:val="00E909CC"/>
    <w:rsid w:val="00E922DD"/>
    <w:rsid w:val="00E93539"/>
    <w:rsid w:val="00E93579"/>
    <w:rsid w:val="00E93588"/>
    <w:rsid w:val="00E9512D"/>
    <w:rsid w:val="00E97384"/>
    <w:rsid w:val="00E97879"/>
    <w:rsid w:val="00EA12F8"/>
    <w:rsid w:val="00EA1EB3"/>
    <w:rsid w:val="00EA325E"/>
    <w:rsid w:val="00EA6174"/>
    <w:rsid w:val="00EA6371"/>
    <w:rsid w:val="00EA7276"/>
    <w:rsid w:val="00EA79C4"/>
    <w:rsid w:val="00EA7F88"/>
    <w:rsid w:val="00EB199B"/>
    <w:rsid w:val="00EB1B6D"/>
    <w:rsid w:val="00EB3269"/>
    <w:rsid w:val="00EB3552"/>
    <w:rsid w:val="00EB5256"/>
    <w:rsid w:val="00EB5429"/>
    <w:rsid w:val="00EB5FEE"/>
    <w:rsid w:val="00EB6550"/>
    <w:rsid w:val="00EC0D98"/>
    <w:rsid w:val="00EC1773"/>
    <w:rsid w:val="00EC1FF9"/>
    <w:rsid w:val="00EC3B3E"/>
    <w:rsid w:val="00EC4FF4"/>
    <w:rsid w:val="00EC508F"/>
    <w:rsid w:val="00EC6CB3"/>
    <w:rsid w:val="00EC6D76"/>
    <w:rsid w:val="00EC6EDA"/>
    <w:rsid w:val="00ED0694"/>
    <w:rsid w:val="00ED19E8"/>
    <w:rsid w:val="00ED2152"/>
    <w:rsid w:val="00ED243B"/>
    <w:rsid w:val="00ED24DD"/>
    <w:rsid w:val="00ED3629"/>
    <w:rsid w:val="00ED510F"/>
    <w:rsid w:val="00ED5120"/>
    <w:rsid w:val="00ED5CBF"/>
    <w:rsid w:val="00ED60ED"/>
    <w:rsid w:val="00ED6124"/>
    <w:rsid w:val="00ED67DE"/>
    <w:rsid w:val="00ED77A2"/>
    <w:rsid w:val="00EE188A"/>
    <w:rsid w:val="00EE1A2F"/>
    <w:rsid w:val="00EE2015"/>
    <w:rsid w:val="00EE2B4A"/>
    <w:rsid w:val="00EE3AA9"/>
    <w:rsid w:val="00EE3CDD"/>
    <w:rsid w:val="00EE3EB2"/>
    <w:rsid w:val="00EE439D"/>
    <w:rsid w:val="00EE450A"/>
    <w:rsid w:val="00EE5E4A"/>
    <w:rsid w:val="00EE7DEB"/>
    <w:rsid w:val="00EF05B1"/>
    <w:rsid w:val="00EF37C0"/>
    <w:rsid w:val="00EF4818"/>
    <w:rsid w:val="00EF5A1C"/>
    <w:rsid w:val="00EF6D7B"/>
    <w:rsid w:val="00EF7A0F"/>
    <w:rsid w:val="00F018E4"/>
    <w:rsid w:val="00F019AD"/>
    <w:rsid w:val="00F04A42"/>
    <w:rsid w:val="00F05C4C"/>
    <w:rsid w:val="00F07E1B"/>
    <w:rsid w:val="00F105EF"/>
    <w:rsid w:val="00F11BEA"/>
    <w:rsid w:val="00F121CD"/>
    <w:rsid w:val="00F1258A"/>
    <w:rsid w:val="00F12E1E"/>
    <w:rsid w:val="00F1303C"/>
    <w:rsid w:val="00F13216"/>
    <w:rsid w:val="00F13C44"/>
    <w:rsid w:val="00F13F1E"/>
    <w:rsid w:val="00F14A5F"/>
    <w:rsid w:val="00F1760A"/>
    <w:rsid w:val="00F178A0"/>
    <w:rsid w:val="00F17DAB"/>
    <w:rsid w:val="00F20F95"/>
    <w:rsid w:val="00F232E3"/>
    <w:rsid w:val="00F2396C"/>
    <w:rsid w:val="00F24424"/>
    <w:rsid w:val="00F25219"/>
    <w:rsid w:val="00F26472"/>
    <w:rsid w:val="00F26C7D"/>
    <w:rsid w:val="00F26CA7"/>
    <w:rsid w:val="00F270E9"/>
    <w:rsid w:val="00F32E96"/>
    <w:rsid w:val="00F34D89"/>
    <w:rsid w:val="00F35F09"/>
    <w:rsid w:val="00F36480"/>
    <w:rsid w:val="00F414B3"/>
    <w:rsid w:val="00F4225C"/>
    <w:rsid w:val="00F43EC0"/>
    <w:rsid w:val="00F444F4"/>
    <w:rsid w:val="00F450D8"/>
    <w:rsid w:val="00F45448"/>
    <w:rsid w:val="00F45CA3"/>
    <w:rsid w:val="00F461FF"/>
    <w:rsid w:val="00F50A57"/>
    <w:rsid w:val="00F5186F"/>
    <w:rsid w:val="00F56333"/>
    <w:rsid w:val="00F56B5E"/>
    <w:rsid w:val="00F56D9E"/>
    <w:rsid w:val="00F6045F"/>
    <w:rsid w:val="00F60708"/>
    <w:rsid w:val="00F609A9"/>
    <w:rsid w:val="00F60C11"/>
    <w:rsid w:val="00F60E89"/>
    <w:rsid w:val="00F61672"/>
    <w:rsid w:val="00F61BE0"/>
    <w:rsid w:val="00F65893"/>
    <w:rsid w:val="00F66260"/>
    <w:rsid w:val="00F67CD5"/>
    <w:rsid w:val="00F72ED6"/>
    <w:rsid w:val="00F74564"/>
    <w:rsid w:val="00F74AF1"/>
    <w:rsid w:val="00F76187"/>
    <w:rsid w:val="00F76516"/>
    <w:rsid w:val="00F7715F"/>
    <w:rsid w:val="00F772F4"/>
    <w:rsid w:val="00F77399"/>
    <w:rsid w:val="00F779BB"/>
    <w:rsid w:val="00F77D8C"/>
    <w:rsid w:val="00F8090A"/>
    <w:rsid w:val="00F81AF4"/>
    <w:rsid w:val="00F81C77"/>
    <w:rsid w:val="00F82A27"/>
    <w:rsid w:val="00F83B7E"/>
    <w:rsid w:val="00F8502B"/>
    <w:rsid w:val="00F865E9"/>
    <w:rsid w:val="00F87899"/>
    <w:rsid w:val="00F907CF"/>
    <w:rsid w:val="00F914BE"/>
    <w:rsid w:val="00F92147"/>
    <w:rsid w:val="00F9598B"/>
    <w:rsid w:val="00F95DDB"/>
    <w:rsid w:val="00F960FD"/>
    <w:rsid w:val="00F96E40"/>
    <w:rsid w:val="00F97CC5"/>
    <w:rsid w:val="00FA213A"/>
    <w:rsid w:val="00FA3545"/>
    <w:rsid w:val="00FA4194"/>
    <w:rsid w:val="00FA43AE"/>
    <w:rsid w:val="00FA45DA"/>
    <w:rsid w:val="00FA4A5A"/>
    <w:rsid w:val="00FA5166"/>
    <w:rsid w:val="00FA72BB"/>
    <w:rsid w:val="00FB132E"/>
    <w:rsid w:val="00FB1DA1"/>
    <w:rsid w:val="00FB249E"/>
    <w:rsid w:val="00FB393A"/>
    <w:rsid w:val="00FB4FBC"/>
    <w:rsid w:val="00FB5E1E"/>
    <w:rsid w:val="00FB62F5"/>
    <w:rsid w:val="00FB7A79"/>
    <w:rsid w:val="00FC1A51"/>
    <w:rsid w:val="00FC2317"/>
    <w:rsid w:val="00FC289D"/>
    <w:rsid w:val="00FC28B5"/>
    <w:rsid w:val="00FC2DF4"/>
    <w:rsid w:val="00FC36CF"/>
    <w:rsid w:val="00FC37BB"/>
    <w:rsid w:val="00FC4CA3"/>
    <w:rsid w:val="00FC6231"/>
    <w:rsid w:val="00FD00E5"/>
    <w:rsid w:val="00FD0A34"/>
    <w:rsid w:val="00FD0AF2"/>
    <w:rsid w:val="00FD1946"/>
    <w:rsid w:val="00FD343B"/>
    <w:rsid w:val="00FD6326"/>
    <w:rsid w:val="00FD66E4"/>
    <w:rsid w:val="00FD6C2A"/>
    <w:rsid w:val="00FD6D3B"/>
    <w:rsid w:val="00FE0CD5"/>
    <w:rsid w:val="00FE0D2F"/>
    <w:rsid w:val="00FE2982"/>
    <w:rsid w:val="00FE3454"/>
    <w:rsid w:val="00FE4CE4"/>
    <w:rsid w:val="00FE50FC"/>
    <w:rsid w:val="00FE630A"/>
    <w:rsid w:val="00FE6696"/>
    <w:rsid w:val="00FE7BAB"/>
    <w:rsid w:val="00FF24B0"/>
    <w:rsid w:val="00FF26CC"/>
    <w:rsid w:val="00FF2A73"/>
    <w:rsid w:val="00FF2D6E"/>
    <w:rsid w:val="00FF39A0"/>
    <w:rsid w:val="00FF40B7"/>
    <w:rsid w:val="00FF4118"/>
    <w:rsid w:val="00FF4A8A"/>
    <w:rsid w:val="00FF6AA3"/>
    <w:rsid w:val="00FF7BAE"/>
    <w:rsid w:val="010E6C43"/>
    <w:rsid w:val="0112363F"/>
    <w:rsid w:val="011937D7"/>
    <w:rsid w:val="011E1FE4"/>
    <w:rsid w:val="01236216"/>
    <w:rsid w:val="013158F0"/>
    <w:rsid w:val="01550DE3"/>
    <w:rsid w:val="015B535E"/>
    <w:rsid w:val="016A347B"/>
    <w:rsid w:val="017936BE"/>
    <w:rsid w:val="01A16631"/>
    <w:rsid w:val="01BD736D"/>
    <w:rsid w:val="01DB6727"/>
    <w:rsid w:val="01EB45BC"/>
    <w:rsid w:val="01EB7C12"/>
    <w:rsid w:val="01EF5C40"/>
    <w:rsid w:val="0203680B"/>
    <w:rsid w:val="020D0966"/>
    <w:rsid w:val="023201D6"/>
    <w:rsid w:val="02354ACF"/>
    <w:rsid w:val="0289112A"/>
    <w:rsid w:val="02C00D19"/>
    <w:rsid w:val="02CF64F1"/>
    <w:rsid w:val="02E3404B"/>
    <w:rsid w:val="02EF722F"/>
    <w:rsid w:val="03100052"/>
    <w:rsid w:val="03265180"/>
    <w:rsid w:val="03310D13"/>
    <w:rsid w:val="034D6BB0"/>
    <w:rsid w:val="035F6558"/>
    <w:rsid w:val="038A570F"/>
    <w:rsid w:val="03A42B44"/>
    <w:rsid w:val="03D60954"/>
    <w:rsid w:val="03DB2E91"/>
    <w:rsid w:val="03EE24E5"/>
    <w:rsid w:val="03F80240"/>
    <w:rsid w:val="04074FB1"/>
    <w:rsid w:val="04131A94"/>
    <w:rsid w:val="043F0BEF"/>
    <w:rsid w:val="044F2D16"/>
    <w:rsid w:val="047221B6"/>
    <w:rsid w:val="04761B50"/>
    <w:rsid w:val="04AB0032"/>
    <w:rsid w:val="04C53E52"/>
    <w:rsid w:val="04C64E6C"/>
    <w:rsid w:val="04CB5DCD"/>
    <w:rsid w:val="04D00630"/>
    <w:rsid w:val="04E86441"/>
    <w:rsid w:val="04F86A74"/>
    <w:rsid w:val="05074670"/>
    <w:rsid w:val="05157BA2"/>
    <w:rsid w:val="052070C2"/>
    <w:rsid w:val="052838D4"/>
    <w:rsid w:val="052D58C8"/>
    <w:rsid w:val="053022E6"/>
    <w:rsid w:val="05373E90"/>
    <w:rsid w:val="053A13B6"/>
    <w:rsid w:val="05584EC0"/>
    <w:rsid w:val="056B74D2"/>
    <w:rsid w:val="057F4928"/>
    <w:rsid w:val="05924D4E"/>
    <w:rsid w:val="05A36730"/>
    <w:rsid w:val="05B37F10"/>
    <w:rsid w:val="05C60112"/>
    <w:rsid w:val="05D12697"/>
    <w:rsid w:val="05F76362"/>
    <w:rsid w:val="06052E39"/>
    <w:rsid w:val="06162B35"/>
    <w:rsid w:val="0618068D"/>
    <w:rsid w:val="0633208D"/>
    <w:rsid w:val="063D4CBA"/>
    <w:rsid w:val="06420522"/>
    <w:rsid w:val="064909A8"/>
    <w:rsid w:val="06655C57"/>
    <w:rsid w:val="066B13F4"/>
    <w:rsid w:val="06AE5BB8"/>
    <w:rsid w:val="06B5464B"/>
    <w:rsid w:val="06BD229F"/>
    <w:rsid w:val="06D3561E"/>
    <w:rsid w:val="06D51397"/>
    <w:rsid w:val="06DF73FD"/>
    <w:rsid w:val="06FE3D2F"/>
    <w:rsid w:val="0710758D"/>
    <w:rsid w:val="071F5017"/>
    <w:rsid w:val="0721332C"/>
    <w:rsid w:val="072F3D43"/>
    <w:rsid w:val="073562D9"/>
    <w:rsid w:val="073E7E6D"/>
    <w:rsid w:val="07571DAC"/>
    <w:rsid w:val="07575C0C"/>
    <w:rsid w:val="075D2134"/>
    <w:rsid w:val="0767616B"/>
    <w:rsid w:val="076D0538"/>
    <w:rsid w:val="078850F7"/>
    <w:rsid w:val="07927938"/>
    <w:rsid w:val="07A80BAC"/>
    <w:rsid w:val="07AE5EFC"/>
    <w:rsid w:val="07DB2526"/>
    <w:rsid w:val="07DF3D76"/>
    <w:rsid w:val="07E27EE6"/>
    <w:rsid w:val="07E96B98"/>
    <w:rsid w:val="08055FC8"/>
    <w:rsid w:val="080F2686"/>
    <w:rsid w:val="081A2399"/>
    <w:rsid w:val="081D6FC0"/>
    <w:rsid w:val="08432FFE"/>
    <w:rsid w:val="084C7874"/>
    <w:rsid w:val="085F0792"/>
    <w:rsid w:val="087D5A9C"/>
    <w:rsid w:val="089402A1"/>
    <w:rsid w:val="08964B56"/>
    <w:rsid w:val="089E2486"/>
    <w:rsid w:val="08AF63E6"/>
    <w:rsid w:val="08B1198F"/>
    <w:rsid w:val="08D119D4"/>
    <w:rsid w:val="08DA1979"/>
    <w:rsid w:val="08EB05C3"/>
    <w:rsid w:val="08F32C0B"/>
    <w:rsid w:val="090443DB"/>
    <w:rsid w:val="091C6B64"/>
    <w:rsid w:val="091C7B14"/>
    <w:rsid w:val="09383E5F"/>
    <w:rsid w:val="09552FEF"/>
    <w:rsid w:val="09576FA6"/>
    <w:rsid w:val="095C513F"/>
    <w:rsid w:val="097369F0"/>
    <w:rsid w:val="097A71CB"/>
    <w:rsid w:val="097A7FD3"/>
    <w:rsid w:val="09B171D3"/>
    <w:rsid w:val="09BE2F69"/>
    <w:rsid w:val="09CB4CD3"/>
    <w:rsid w:val="09CF44E7"/>
    <w:rsid w:val="09D50F7A"/>
    <w:rsid w:val="09E55D95"/>
    <w:rsid w:val="09FF4BC5"/>
    <w:rsid w:val="0A162A88"/>
    <w:rsid w:val="0A316FD7"/>
    <w:rsid w:val="0A4244B6"/>
    <w:rsid w:val="0A430DBE"/>
    <w:rsid w:val="0A684EDE"/>
    <w:rsid w:val="0A6A44EC"/>
    <w:rsid w:val="0A996768"/>
    <w:rsid w:val="0A9E7CF1"/>
    <w:rsid w:val="0ABD6ED7"/>
    <w:rsid w:val="0ADD2F10"/>
    <w:rsid w:val="0AE147AE"/>
    <w:rsid w:val="0AE4604C"/>
    <w:rsid w:val="0AF34668"/>
    <w:rsid w:val="0B00275A"/>
    <w:rsid w:val="0B0317F9"/>
    <w:rsid w:val="0B1B4456"/>
    <w:rsid w:val="0B266DBA"/>
    <w:rsid w:val="0B2705C9"/>
    <w:rsid w:val="0B36617C"/>
    <w:rsid w:val="0B373AC0"/>
    <w:rsid w:val="0B3A0868"/>
    <w:rsid w:val="0B3D575C"/>
    <w:rsid w:val="0B424DC7"/>
    <w:rsid w:val="0B64079B"/>
    <w:rsid w:val="0B765A76"/>
    <w:rsid w:val="0B8C1816"/>
    <w:rsid w:val="0BB93035"/>
    <w:rsid w:val="0BD47E6F"/>
    <w:rsid w:val="0BDC4BEA"/>
    <w:rsid w:val="0BE01BDD"/>
    <w:rsid w:val="0C1464BD"/>
    <w:rsid w:val="0C1E558E"/>
    <w:rsid w:val="0C346B5F"/>
    <w:rsid w:val="0C3D3FF4"/>
    <w:rsid w:val="0C452B1A"/>
    <w:rsid w:val="0C4F4A2F"/>
    <w:rsid w:val="0C8C054F"/>
    <w:rsid w:val="0C97180A"/>
    <w:rsid w:val="0CDA0E71"/>
    <w:rsid w:val="0CF84031"/>
    <w:rsid w:val="0CFB142B"/>
    <w:rsid w:val="0D023289"/>
    <w:rsid w:val="0D137151"/>
    <w:rsid w:val="0D1B387B"/>
    <w:rsid w:val="0D4211C8"/>
    <w:rsid w:val="0D502D2C"/>
    <w:rsid w:val="0D8001A1"/>
    <w:rsid w:val="0D8A12CC"/>
    <w:rsid w:val="0D8A2C79"/>
    <w:rsid w:val="0D8D11E7"/>
    <w:rsid w:val="0D9249D1"/>
    <w:rsid w:val="0D985869"/>
    <w:rsid w:val="0DA1285F"/>
    <w:rsid w:val="0DBB7AFD"/>
    <w:rsid w:val="0DE50052"/>
    <w:rsid w:val="0DF822BA"/>
    <w:rsid w:val="0E023AB6"/>
    <w:rsid w:val="0E3877D4"/>
    <w:rsid w:val="0E556D85"/>
    <w:rsid w:val="0E794CFD"/>
    <w:rsid w:val="0E7E51A7"/>
    <w:rsid w:val="0E967DEA"/>
    <w:rsid w:val="0EA94428"/>
    <w:rsid w:val="0EAD6F1D"/>
    <w:rsid w:val="0EB6653A"/>
    <w:rsid w:val="0ECA5559"/>
    <w:rsid w:val="0ED86C2A"/>
    <w:rsid w:val="0EDC703A"/>
    <w:rsid w:val="0EE32CD7"/>
    <w:rsid w:val="0EEE31A0"/>
    <w:rsid w:val="0EF67B8F"/>
    <w:rsid w:val="0EFE79A1"/>
    <w:rsid w:val="0F0D5F33"/>
    <w:rsid w:val="0F113015"/>
    <w:rsid w:val="0F1666D0"/>
    <w:rsid w:val="0F184EBF"/>
    <w:rsid w:val="0F1B7B63"/>
    <w:rsid w:val="0F213506"/>
    <w:rsid w:val="0F2F7662"/>
    <w:rsid w:val="0F30271A"/>
    <w:rsid w:val="0F3B6855"/>
    <w:rsid w:val="0F3C74F6"/>
    <w:rsid w:val="0F3F75AE"/>
    <w:rsid w:val="0F484BB3"/>
    <w:rsid w:val="0F6A3605"/>
    <w:rsid w:val="0F7554C5"/>
    <w:rsid w:val="0F7665F5"/>
    <w:rsid w:val="0F792EFA"/>
    <w:rsid w:val="0F82599B"/>
    <w:rsid w:val="0F927EF5"/>
    <w:rsid w:val="0F940A78"/>
    <w:rsid w:val="0FAD4DBB"/>
    <w:rsid w:val="0FB70128"/>
    <w:rsid w:val="0FC91CB4"/>
    <w:rsid w:val="0FCC70AF"/>
    <w:rsid w:val="0FD416EA"/>
    <w:rsid w:val="0FDC439A"/>
    <w:rsid w:val="0FF22FB9"/>
    <w:rsid w:val="0FF52AA9"/>
    <w:rsid w:val="10082B1E"/>
    <w:rsid w:val="101678A4"/>
    <w:rsid w:val="101822F4"/>
    <w:rsid w:val="101C1B9B"/>
    <w:rsid w:val="102872BF"/>
    <w:rsid w:val="10401F77"/>
    <w:rsid w:val="10484987"/>
    <w:rsid w:val="108034B9"/>
    <w:rsid w:val="10967DE9"/>
    <w:rsid w:val="10A0748A"/>
    <w:rsid w:val="10E35600"/>
    <w:rsid w:val="10EC2078"/>
    <w:rsid w:val="10FA552C"/>
    <w:rsid w:val="1103430E"/>
    <w:rsid w:val="11062D60"/>
    <w:rsid w:val="11201A80"/>
    <w:rsid w:val="112F78F5"/>
    <w:rsid w:val="114353A6"/>
    <w:rsid w:val="114A472F"/>
    <w:rsid w:val="114E06C3"/>
    <w:rsid w:val="11611C5A"/>
    <w:rsid w:val="116D75F2"/>
    <w:rsid w:val="11702945"/>
    <w:rsid w:val="11A31BF6"/>
    <w:rsid w:val="11AC0F46"/>
    <w:rsid w:val="11B8663B"/>
    <w:rsid w:val="11C12C43"/>
    <w:rsid w:val="11C72BD9"/>
    <w:rsid w:val="11CD3B0E"/>
    <w:rsid w:val="11D70A9A"/>
    <w:rsid w:val="11DD72D5"/>
    <w:rsid w:val="11E20E0C"/>
    <w:rsid w:val="11E517BE"/>
    <w:rsid w:val="12017F2B"/>
    <w:rsid w:val="12092610"/>
    <w:rsid w:val="120D1767"/>
    <w:rsid w:val="122030D5"/>
    <w:rsid w:val="124621B8"/>
    <w:rsid w:val="12476A5B"/>
    <w:rsid w:val="125C0BBE"/>
    <w:rsid w:val="12614426"/>
    <w:rsid w:val="12641C51"/>
    <w:rsid w:val="12661A3D"/>
    <w:rsid w:val="126B4C24"/>
    <w:rsid w:val="12705F50"/>
    <w:rsid w:val="128B3075"/>
    <w:rsid w:val="129739A4"/>
    <w:rsid w:val="12AA7B7B"/>
    <w:rsid w:val="12BC165D"/>
    <w:rsid w:val="12C119AD"/>
    <w:rsid w:val="12D93FBD"/>
    <w:rsid w:val="12ED1816"/>
    <w:rsid w:val="12ED27DE"/>
    <w:rsid w:val="130557FA"/>
    <w:rsid w:val="1338532D"/>
    <w:rsid w:val="134C4C5C"/>
    <w:rsid w:val="13653E95"/>
    <w:rsid w:val="1383403E"/>
    <w:rsid w:val="13AC72E2"/>
    <w:rsid w:val="13B37E2C"/>
    <w:rsid w:val="13C42463"/>
    <w:rsid w:val="13CB27B4"/>
    <w:rsid w:val="13D4139D"/>
    <w:rsid w:val="13F148A3"/>
    <w:rsid w:val="13F47F99"/>
    <w:rsid w:val="13FE6F33"/>
    <w:rsid w:val="14027543"/>
    <w:rsid w:val="144875EA"/>
    <w:rsid w:val="145D29CB"/>
    <w:rsid w:val="14627C80"/>
    <w:rsid w:val="147E34B5"/>
    <w:rsid w:val="14972381"/>
    <w:rsid w:val="1497412F"/>
    <w:rsid w:val="14A10B0A"/>
    <w:rsid w:val="14A63AEF"/>
    <w:rsid w:val="14AD5701"/>
    <w:rsid w:val="14C71605"/>
    <w:rsid w:val="14E24E33"/>
    <w:rsid w:val="14F71BA0"/>
    <w:rsid w:val="14F80DAF"/>
    <w:rsid w:val="1505092F"/>
    <w:rsid w:val="15136F24"/>
    <w:rsid w:val="155C0D17"/>
    <w:rsid w:val="155D0ED5"/>
    <w:rsid w:val="15890ECE"/>
    <w:rsid w:val="158A3984"/>
    <w:rsid w:val="1593533C"/>
    <w:rsid w:val="15AE2FF0"/>
    <w:rsid w:val="15B825AF"/>
    <w:rsid w:val="15DC27B6"/>
    <w:rsid w:val="160C5ADD"/>
    <w:rsid w:val="161C5B29"/>
    <w:rsid w:val="16310B22"/>
    <w:rsid w:val="163C55C2"/>
    <w:rsid w:val="16583490"/>
    <w:rsid w:val="165E3157"/>
    <w:rsid w:val="16677749"/>
    <w:rsid w:val="1671055A"/>
    <w:rsid w:val="168C1346"/>
    <w:rsid w:val="169638C4"/>
    <w:rsid w:val="169B393B"/>
    <w:rsid w:val="16EA45E5"/>
    <w:rsid w:val="16F850CD"/>
    <w:rsid w:val="170715A7"/>
    <w:rsid w:val="170760AA"/>
    <w:rsid w:val="170B670F"/>
    <w:rsid w:val="171656BD"/>
    <w:rsid w:val="17325312"/>
    <w:rsid w:val="17326590"/>
    <w:rsid w:val="1733471B"/>
    <w:rsid w:val="174F2A9F"/>
    <w:rsid w:val="17505BAF"/>
    <w:rsid w:val="175207E1"/>
    <w:rsid w:val="17550AFC"/>
    <w:rsid w:val="17667C71"/>
    <w:rsid w:val="1770715F"/>
    <w:rsid w:val="17C02842"/>
    <w:rsid w:val="17D567AE"/>
    <w:rsid w:val="17DB78DA"/>
    <w:rsid w:val="18073BF6"/>
    <w:rsid w:val="180E00F1"/>
    <w:rsid w:val="18175BA3"/>
    <w:rsid w:val="182A0E16"/>
    <w:rsid w:val="18345C98"/>
    <w:rsid w:val="18385D2A"/>
    <w:rsid w:val="183B6B74"/>
    <w:rsid w:val="18422604"/>
    <w:rsid w:val="18461624"/>
    <w:rsid w:val="184C5231"/>
    <w:rsid w:val="184E3D90"/>
    <w:rsid w:val="18601DBF"/>
    <w:rsid w:val="187A35CD"/>
    <w:rsid w:val="18842C1C"/>
    <w:rsid w:val="18950986"/>
    <w:rsid w:val="18AA2B26"/>
    <w:rsid w:val="18D55226"/>
    <w:rsid w:val="18DC65B5"/>
    <w:rsid w:val="18E662B5"/>
    <w:rsid w:val="18EE5B0E"/>
    <w:rsid w:val="18FF177F"/>
    <w:rsid w:val="19045B0B"/>
    <w:rsid w:val="190539E8"/>
    <w:rsid w:val="191D0975"/>
    <w:rsid w:val="19321C05"/>
    <w:rsid w:val="19340C8C"/>
    <w:rsid w:val="19411EA9"/>
    <w:rsid w:val="19577654"/>
    <w:rsid w:val="19612E6F"/>
    <w:rsid w:val="19743835"/>
    <w:rsid w:val="199E386A"/>
    <w:rsid w:val="19A02E49"/>
    <w:rsid w:val="19A741B6"/>
    <w:rsid w:val="19A85A59"/>
    <w:rsid w:val="19AA0461"/>
    <w:rsid w:val="19AC242B"/>
    <w:rsid w:val="19B41F38"/>
    <w:rsid w:val="19BC4A04"/>
    <w:rsid w:val="19BE3B45"/>
    <w:rsid w:val="19C92FDD"/>
    <w:rsid w:val="19D04163"/>
    <w:rsid w:val="19DA170E"/>
    <w:rsid w:val="19FC4A21"/>
    <w:rsid w:val="1A1461BE"/>
    <w:rsid w:val="1A165AF6"/>
    <w:rsid w:val="1A252111"/>
    <w:rsid w:val="1A4C7A4F"/>
    <w:rsid w:val="1A69031C"/>
    <w:rsid w:val="1A805E18"/>
    <w:rsid w:val="1A83328C"/>
    <w:rsid w:val="1A841F86"/>
    <w:rsid w:val="1A90643A"/>
    <w:rsid w:val="1A93058D"/>
    <w:rsid w:val="1A983253"/>
    <w:rsid w:val="1A9D7745"/>
    <w:rsid w:val="1AAC0209"/>
    <w:rsid w:val="1ABD41C4"/>
    <w:rsid w:val="1AC90DBB"/>
    <w:rsid w:val="1ACC431B"/>
    <w:rsid w:val="1AE806AE"/>
    <w:rsid w:val="1AEF6D83"/>
    <w:rsid w:val="1AF00724"/>
    <w:rsid w:val="1AFD11C6"/>
    <w:rsid w:val="1B1F7E17"/>
    <w:rsid w:val="1B2F1FAB"/>
    <w:rsid w:val="1B4C6CF6"/>
    <w:rsid w:val="1B6140A3"/>
    <w:rsid w:val="1B7755CC"/>
    <w:rsid w:val="1B776A68"/>
    <w:rsid w:val="1B811695"/>
    <w:rsid w:val="1B8A19B0"/>
    <w:rsid w:val="1BA01A42"/>
    <w:rsid w:val="1BA05DA1"/>
    <w:rsid w:val="1BAB62C4"/>
    <w:rsid w:val="1BB5493B"/>
    <w:rsid w:val="1BDB2B53"/>
    <w:rsid w:val="1BFF1B8A"/>
    <w:rsid w:val="1C0D333D"/>
    <w:rsid w:val="1C150917"/>
    <w:rsid w:val="1C1C2090"/>
    <w:rsid w:val="1C533314"/>
    <w:rsid w:val="1C5B79EF"/>
    <w:rsid w:val="1C60064E"/>
    <w:rsid w:val="1C6D2469"/>
    <w:rsid w:val="1C7F5B54"/>
    <w:rsid w:val="1C88783A"/>
    <w:rsid w:val="1C8E735A"/>
    <w:rsid w:val="1CBA50B3"/>
    <w:rsid w:val="1CFA50B8"/>
    <w:rsid w:val="1CFC0128"/>
    <w:rsid w:val="1D3E22F3"/>
    <w:rsid w:val="1D4462F8"/>
    <w:rsid w:val="1D4A79F3"/>
    <w:rsid w:val="1D5C7CC4"/>
    <w:rsid w:val="1D5E0687"/>
    <w:rsid w:val="1D5E601D"/>
    <w:rsid w:val="1D661986"/>
    <w:rsid w:val="1D79232A"/>
    <w:rsid w:val="1D7A3D05"/>
    <w:rsid w:val="1D7E37E1"/>
    <w:rsid w:val="1D8035E4"/>
    <w:rsid w:val="1D8F1314"/>
    <w:rsid w:val="1DE270A3"/>
    <w:rsid w:val="1DE657E0"/>
    <w:rsid w:val="1DE85BF9"/>
    <w:rsid w:val="1E1C7453"/>
    <w:rsid w:val="1E1F575D"/>
    <w:rsid w:val="1E3E4DFA"/>
    <w:rsid w:val="1E482238"/>
    <w:rsid w:val="1E5315D0"/>
    <w:rsid w:val="1E574FEF"/>
    <w:rsid w:val="1E5D0198"/>
    <w:rsid w:val="1E6C5F91"/>
    <w:rsid w:val="1E7F03C3"/>
    <w:rsid w:val="1E8132CB"/>
    <w:rsid w:val="1E8A0861"/>
    <w:rsid w:val="1E972EAB"/>
    <w:rsid w:val="1EAB1B45"/>
    <w:rsid w:val="1EB8717C"/>
    <w:rsid w:val="1EBE2E91"/>
    <w:rsid w:val="1EE347A1"/>
    <w:rsid w:val="1EF90112"/>
    <w:rsid w:val="1EFF4DAB"/>
    <w:rsid w:val="1F023604"/>
    <w:rsid w:val="1F1E6718"/>
    <w:rsid w:val="1F26368F"/>
    <w:rsid w:val="1F2C1918"/>
    <w:rsid w:val="1F3339B3"/>
    <w:rsid w:val="1F401B32"/>
    <w:rsid w:val="1F487DF4"/>
    <w:rsid w:val="1F645556"/>
    <w:rsid w:val="1F6E694A"/>
    <w:rsid w:val="1F817EB6"/>
    <w:rsid w:val="1FB20BA0"/>
    <w:rsid w:val="1FB8780A"/>
    <w:rsid w:val="1FBA4278"/>
    <w:rsid w:val="1FC14846"/>
    <w:rsid w:val="1FD45C2F"/>
    <w:rsid w:val="1FDE361C"/>
    <w:rsid w:val="1FFB2068"/>
    <w:rsid w:val="2001051F"/>
    <w:rsid w:val="202A0FFF"/>
    <w:rsid w:val="20514977"/>
    <w:rsid w:val="205C66A4"/>
    <w:rsid w:val="208A2D9A"/>
    <w:rsid w:val="208F6602"/>
    <w:rsid w:val="209D2ACD"/>
    <w:rsid w:val="20A03D98"/>
    <w:rsid w:val="20A53730"/>
    <w:rsid w:val="20B15584"/>
    <w:rsid w:val="20C718F8"/>
    <w:rsid w:val="20D63403"/>
    <w:rsid w:val="20D95BBA"/>
    <w:rsid w:val="20DA04EA"/>
    <w:rsid w:val="20DD35D9"/>
    <w:rsid w:val="210655D2"/>
    <w:rsid w:val="2110329F"/>
    <w:rsid w:val="2112446B"/>
    <w:rsid w:val="211263F3"/>
    <w:rsid w:val="211865F8"/>
    <w:rsid w:val="215315A3"/>
    <w:rsid w:val="21633526"/>
    <w:rsid w:val="21667DBF"/>
    <w:rsid w:val="21845475"/>
    <w:rsid w:val="21FA27FC"/>
    <w:rsid w:val="220A4192"/>
    <w:rsid w:val="221617FA"/>
    <w:rsid w:val="2223484D"/>
    <w:rsid w:val="223A081C"/>
    <w:rsid w:val="22525628"/>
    <w:rsid w:val="229B12D2"/>
    <w:rsid w:val="22AF4D3A"/>
    <w:rsid w:val="22D13998"/>
    <w:rsid w:val="22DA283C"/>
    <w:rsid w:val="22FB36A7"/>
    <w:rsid w:val="230054CC"/>
    <w:rsid w:val="230E1A60"/>
    <w:rsid w:val="230F07B2"/>
    <w:rsid w:val="231C1E27"/>
    <w:rsid w:val="23264FFC"/>
    <w:rsid w:val="233245EB"/>
    <w:rsid w:val="23443A89"/>
    <w:rsid w:val="235D015D"/>
    <w:rsid w:val="23607839"/>
    <w:rsid w:val="237431DD"/>
    <w:rsid w:val="2376000D"/>
    <w:rsid w:val="238364F0"/>
    <w:rsid w:val="239E1790"/>
    <w:rsid w:val="23A778FA"/>
    <w:rsid w:val="23A959FE"/>
    <w:rsid w:val="23C126AC"/>
    <w:rsid w:val="23CB681B"/>
    <w:rsid w:val="23E37BEC"/>
    <w:rsid w:val="24004903"/>
    <w:rsid w:val="24036EFC"/>
    <w:rsid w:val="24217955"/>
    <w:rsid w:val="242A35B7"/>
    <w:rsid w:val="2438308A"/>
    <w:rsid w:val="24482D50"/>
    <w:rsid w:val="247C0DC2"/>
    <w:rsid w:val="248E761B"/>
    <w:rsid w:val="249E051C"/>
    <w:rsid w:val="249F2767"/>
    <w:rsid w:val="24A71B82"/>
    <w:rsid w:val="24C1228E"/>
    <w:rsid w:val="24C20D54"/>
    <w:rsid w:val="24EE4037"/>
    <w:rsid w:val="25012FEF"/>
    <w:rsid w:val="25491638"/>
    <w:rsid w:val="257F27A2"/>
    <w:rsid w:val="25A66A89"/>
    <w:rsid w:val="25A70838"/>
    <w:rsid w:val="25AC5561"/>
    <w:rsid w:val="25B0117A"/>
    <w:rsid w:val="25BB6FAC"/>
    <w:rsid w:val="25C94509"/>
    <w:rsid w:val="25E71D9C"/>
    <w:rsid w:val="25EB4F1A"/>
    <w:rsid w:val="26137AED"/>
    <w:rsid w:val="26375BE2"/>
    <w:rsid w:val="26391088"/>
    <w:rsid w:val="264771E2"/>
    <w:rsid w:val="26510B04"/>
    <w:rsid w:val="265313D6"/>
    <w:rsid w:val="26536735"/>
    <w:rsid w:val="266519CE"/>
    <w:rsid w:val="268A7C11"/>
    <w:rsid w:val="26920CEC"/>
    <w:rsid w:val="26990B1F"/>
    <w:rsid w:val="26A3248C"/>
    <w:rsid w:val="26A35677"/>
    <w:rsid w:val="26B1387B"/>
    <w:rsid w:val="26BE4157"/>
    <w:rsid w:val="26CA0394"/>
    <w:rsid w:val="26D260B7"/>
    <w:rsid w:val="26D7485F"/>
    <w:rsid w:val="26E26C4E"/>
    <w:rsid w:val="26EF34B7"/>
    <w:rsid w:val="27003DB6"/>
    <w:rsid w:val="270A6E8A"/>
    <w:rsid w:val="270B59FD"/>
    <w:rsid w:val="273E043A"/>
    <w:rsid w:val="27462CA3"/>
    <w:rsid w:val="274E07FC"/>
    <w:rsid w:val="27693709"/>
    <w:rsid w:val="276F41FD"/>
    <w:rsid w:val="27A76063"/>
    <w:rsid w:val="27C32964"/>
    <w:rsid w:val="27DC520D"/>
    <w:rsid w:val="27E51677"/>
    <w:rsid w:val="27FA0805"/>
    <w:rsid w:val="2826007F"/>
    <w:rsid w:val="282D0BDB"/>
    <w:rsid w:val="28386DEB"/>
    <w:rsid w:val="283F41D5"/>
    <w:rsid w:val="283F66DF"/>
    <w:rsid w:val="286376F4"/>
    <w:rsid w:val="286758DC"/>
    <w:rsid w:val="286A7756"/>
    <w:rsid w:val="28793BB4"/>
    <w:rsid w:val="288D72C1"/>
    <w:rsid w:val="28967154"/>
    <w:rsid w:val="289F5C3A"/>
    <w:rsid w:val="28DE56DA"/>
    <w:rsid w:val="28F1412B"/>
    <w:rsid w:val="28FD3D8A"/>
    <w:rsid w:val="290A1D9A"/>
    <w:rsid w:val="290C07F0"/>
    <w:rsid w:val="29440437"/>
    <w:rsid w:val="295D6047"/>
    <w:rsid w:val="29676621"/>
    <w:rsid w:val="297B5B80"/>
    <w:rsid w:val="29820AB2"/>
    <w:rsid w:val="298365D8"/>
    <w:rsid w:val="29954928"/>
    <w:rsid w:val="299D5402"/>
    <w:rsid w:val="29B822DE"/>
    <w:rsid w:val="29C56BF1"/>
    <w:rsid w:val="29D8188F"/>
    <w:rsid w:val="29DA08EE"/>
    <w:rsid w:val="29E77F7E"/>
    <w:rsid w:val="2A006FF2"/>
    <w:rsid w:val="2A1127A5"/>
    <w:rsid w:val="2A224043"/>
    <w:rsid w:val="2A390EC5"/>
    <w:rsid w:val="2A4207D7"/>
    <w:rsid w:val="2A4E2E99"/>
    <w:rsid w:val="2A6E0C28"/>
    <w:rsid w:val="2A6E69A9"/>
    <w:rsid w:val="2A822165"/>
    <w:rsid w:val="2AA44A58"/>
    <w:rsid w:val="2AC82E3D"/>
    <w:rsid w:val="2B0977BA"/>
    <w:rsid w:val="2B0F281A"/>
    <w:rsid w:val="2B4A5600"/>
    <w:rsid w:val="2B7D03AC"/>
    <w:rsid w:val="2B96021B"/>
    <w:rsid w:val="2B977943"/>
    <w:rsid w:val="2B99505F"/>
    <w:rsid w:val="2B996587"/>
    <w:rsid w:val="2B9D4F9E"/>
    <w:rsid w:val="2BB37649"/>
    <w:rsid w:val="2BD93E16"/>
    <w:rsid w:val="2BDA4BD6"/>
    <w:rsid w:val="2BE573F1"/>
    <w:rsid w:val="2BF95B17"/>
    <w:rsid w:val="2BFE2063"/>
    <w:rsid w:val="2C0020D5"/>
    <w:rsid w:val="2C0A3CD6"/>
    <w:rsid w:val="2C635239"/>
    <w:rsid w:val="2C775458"/>
    <w:rsid w:val="2C81149E"/>
    <w:rsid w:val="2C8B33B1"/>
    <w:rsid w:val="2C8D74B4"/>
    <w:rsid w:val="2C8E3C12"/>
    <w:rsid w:val="2C907188"/>
    <w:rsid w:val="2C931354"/>
    <w:rsid w:val="2C960613"/>
    <w:rsid w:val="2C972AC7"/>
    <w:rsid w:val="2C9C00DD"/>
    <w:rsid w:val="2C9D0E95"/>
    <w:rsid w:val="2CA20A31"/>
    <w:rsid w:val="2CA43435"/>
    <w:rsid w:val="2CAB3F5A"/>
    <w:rsid w:val="2CAC3151"/>
    <w:rsid w:val="2CAC68C5"/>
    <w:rsid w:val="2CBB1608"/>
    <w:rsid w:val="2CC75328"/>
    <w:rsid w:val="2CD83DA4"/>
    <w:rsid w:val="2CE80D6A"/>
    <w:rsid w:val="2CEC66FF"/>
    <w:rsid w:val="2D0E20C8"/>
    <w:rsid w:val="2D151C3D"/>
    <w:rsid w:val="2D29684A"/>
    <w:rsid w:val="2D5631DB"/>
    <w:rsid w:val="2D611067"/>
    <w:rsid w:val="2D6F1B28"/>
    <w:rsid w:val="2D764C9B"/>
    <w:rsid w:val="2D7A16DF"/>
    <w:rsid w:val="2D7F638E"/>
    <w:rsid w:val="2D8A4A05"/>
    <w:rsid w:val="2DA00AFF"/>
    <w:rsid w:val="2DA82688"/>
    <w:rsid w:val="2DAE399D"/>
    <w:rsid w:val="2DBE68EC"/>
    <w:rsid w:val="2DF07CB3"/>
    <w:rsid w:val="2E15356A"/>
    <w:rsid w:val="2E1672B4"/>
    <w:rsid w:val="2E2109E0"/>
    <w:rsid w:val="2E2B0B29"/>
    <w:rsid w:val="2E305BBA"/>
    <w:rsid w:val="2E346C81"/>
    <w:rsid w:val="2E3B56D4"/>
    <w:rsid w:val="2E56075F"/>
    <w:rsid w:val="2E7362CB"/>
    <w:rsid w:val="2E794C42"/>
    <w:rsid w:val="2E7C01C6"/>
    <w:rsid w:val="2E8B491A"/>
    <w:rsid w:val="2EA77830"/>
    <w:rsid w:val="2EBE3815"/>
    <w:rsid w:val="2EED10C4"/>
    <w:rsid w:val="2EF04710"/>
    <w:rsid w:val="2EF101E2"/>
    <w:rsid w:val="2F0B154A"/>
    <w:rsid w:val="2F406DA4"/>
    <w:rsid w:val="2F4746A1"/>
    <w:rsid w:val="2F600C08"/>
    <w:rsid w:val="2F707ABB"/>
    <w:rsid w:val="2F8B7F95"/>
    <w:rsid w:val="2F963509"/>
    <w:rsid w:val="2F9875CB"/>
    <w:rsid w:val="2FA3175F"/>
    <w:rsid w:val="2FAD0853"/>
    <w:rsid w:val="2FD227E0"/>
    <w:rsid w:val="2FE95603"/>
    <w:rsid w:val="2FFA0E06"/>
    <w:rsid w:val="300C351C"/>
    <w:rsid w:val="30260A69"/>
    <w:rsid w:val="302F00F8"/>
    <w:rsid w:val="304C24F9"/>
    <w:rsid w:val="30731750"/>
    <w:rsid w:val="307B1E51"/>
    <w:rsid w:val="30864FB3"/>
    <w:rsid w:val="30AE2FAC"/>
    <w:rsid w:val="30B06559"/>
    <w:rsid w:val="30CE282F"/>
    <w:rsid w:val="30EE0208"/>
    <w:rsid w:val="30EE07A4"/>
    <w:rsid w:val="30F1251B"/>
    <w:rsid w:val="311B378E"/>
    <w:rsid w:val="31496359"/>
    <w:rsid w:val="314A2E16"/>
    <w:rsid w:val="314C5AA9"/>
    <w:rsid w:val="31576AD2"/>
    <w:rsid w:val="31585F09"/>
    <w:rsid w:val="316B18F9"/>
    <w:rsid w:val="317F32EF"/>
    <w:rsid w:val="318E5F0C"/>
    <w:rsid w:val="31AA329C"/>
    <w:rsid w:val="31BF5D8A"/>
    <w:rsid w:val="31C679AA"/>
    <w:rsid w:val="31CE1060"/>
    <w:rsid w:val="31D532CE"/>
    <w:rsid w:val="31D66EE3"/>
    <w:rsid w:val="31F06323"/>
    <w:rsid w:val="320069AB"/>
    <w:rsid w:val="321B7CF6"/>
    <w:rsid w:val="3232528E"/>
    <w:rsid w:val="324E38E7"/>
    <w:rsid w:val="32593DEA"/>
    <w:rsid w:val="325C76F0"/>
    <w:rsid w:val="32645C38"/>
    <w:rsid w:val="32786EF6"/>
    <w:rsid w:val="3278795C"/>
    <w:rsid w:val="3292066C"/>
    <w:rsid w:val="32B34D3A"/>
    <w:rsid w:val="32BF7425"/>
    <w:rsid w:val="32C164D8"/>
    <w:rsid w:val="32E25B03"/>
    <w:rsid w:val="32E8427B"/>
    <w:rsid w:val="32F860CE"/>
    <w:rsid w:val="32FD0450"/>
    <w:rsid w:val="32FE4BFC"/>
    <w:rsid w:val="33011DC7"/>
    <w:rsid w:val="33463770"/>
    <w:rsid w:val="334A49CE"/>
    <w:rsid w:val="335778FF"/>
    <w:rsid w:val="335A310A"/>
    <w:rsid w:val="336F0DDC"/>
    <w:rsid w:val="33C6263F"/>
    <w:rsid w:val="33FA282F"/>
    <w:rsid w:val="34086058"/>
    <w:rsid w:val="34254561"/>
    <w:rsid w:val="344F1ED9"/>
    <w:rsid w:val="345230E3"/>
    <w:rsid w:val="34524761"/>
    <w:rsid w:val="345445D7"/>
    <w:rsid w:val="34774B3F"/>
    <w:rsid w:val="34827C54"/>
    <w:rsid w:val="348C6D6F"/>
    <w:rsid w:val="34B059AD"/>
    <w:rsid w:val="34B16F93"/>
    <w:rsid w:val="34D714FA"/>
    <w:rsid w:val="34E268A9"/>
    <w:rsid w:val="34E27F55"/>
    <w:rsid w:val="34FF4A63"/>
    <w:rsid w:val="350031D3"/>
    <w:rsid w:val="35024DB0"/>
    <w:rsid w:val="354F36F2"/>
    <w:rsid w:val="3553285E"/>
    <w:rsid w:val="35715B00"/>
    <w:rsid w:val="35745C84"/>
    <w:rsid w:val="35836658"/>
    <w:rsid w:val="35A34CB6"/>
    <w:rsid w:val="35A61FCC"/>
    <w:rsid w:val="35AC5BF8"/>
    <w:rsid w:val="35B530BD"/>
    <w:rsid w:val="35B53FBD"/>
    <w:rsid w:val="35D11DB2"/>
    <w:rsid w:val="35E02D14"/>
    <w:rsid w:val="35F072D7"/>
    <w:rsid w:val="35F5085E"/>
    <w:rsid w:val="35FB2318"/>
    <w:rsid w:val="360B7CCC"/>
    <w:rsid w:val="360E1D3B"/>
    <w:rsid w:val="36117920"/>
    <w:rsid w:val="36157648"/>
    <w:rsid w:val="36193561"/>
    <w:rsid w:val="361D6379"/>
    <w:rsid w:val="366826CD"/>
    <w:rsid w:val="36866514"/>
    <w:rsid w:val="3687595A"/>
    <w:rsid w:val="36910587"/>
    <w:rsid w:val="369B2ADB"/>
    <w:rsid w:val="369D6F2B"/>
    <w:rsid w:val="36D06F37"/>
    <w:rsid w:val="36D07E23"/>
    <w:rsid w:val="36D6243D"/>
    <w:rsid w:val="36FB26D8"/>
    <w:rsid w:val="371D62BE"/>
    <w:rsid w:val="37224B36"/>
    <w:rsid w:val="373A6E70"/>
    <w:rsid w:val="37420CE6"/>
    <w:rsid w:val="375A12C0"/>
    <w:rsid w:val="376653D9"/>
    <w:rsid w:val="37736005"/>
    <w:rsid w:val="377C71B6"/>
    <w:rsid w:val="37860BFA"/>
    <w:rsid w:val="379105D4"/>
    <w:rsid w:val="379D63C4"/>
    <w:rsid w:val="37A03683"/>
    <w:rsid w:val="37A45D49"/>
    <w:rsid w:val="37AB5B16"/>
    <w:rsid w:val="37AE1EB8"/>
    <w:rsid w:val="37C32395"/>
    <w:rsid w:val="37C3691B"/>
    <w:rsid w:val="37DC59B4"/>
    <w:rsid w:val="380726AF"/>
    <w:rsid w:val="380803DD"/>
    <w:rsid w:val="381334DD"/>
    <w:rsid w:val="381C3D8E"/>
    <w:rsid w:val="3825443A"/>
    <w:rsid w:val="382D42DF"/>
    <w:rsid w:val="382D57A1"/>
    <w:rsid w:val="38353194"/>
    <w:rsid w:val="38397128"/>
    <w:rsid w:val="38631140"/>
    <w:rsid w:val="38647824"/>
    <w:rsid w:val="388D17D9"/>
    <w:rsid w:val="388F0AF6"/>
    <w:rsid w:val="38A55EB5"/>
    <w:rsid w:val="38B16CBE"/>
    <w:rsid w:val="38C04F90"/>
    <w:rsid w:val="38D17360"/>
    <w:rsid w:val="38DC3BBD"/>
    <w:rsid w:val="38F848ED"/>
    <w:rsid w:val="39044CAB"/>
    <w:rsid w:val="390908A8"/>
    <w:rsid w:val="39351ABD"/>
    <w:rsid w:val="3936598C"/>
    <w:rsid w:val="39397864"/>
    <w:rsid w:val="397E60B8"/>
    <w:rsid w:val="39977436"/>
    <w:rsid w:val="39A5234C"/>
    <w:rsid w:val="39C12178"/>
    <w:rsid w:val="39D2513E"/>
    <w:rsid w:val="3A043FBC"/>
    <w:rsid w:val="3A12378C"/>
    <w:rsid w:val="3A240320"/>
    <w:rsid w:val="3A341738"/>
    <w:rsid w:val="3A6D0EEC"/>
    <w:rsid w:val="3A842CC0"/>
    <w:rsid w:val="3A8B243C"/>
    <w:rsid w:val="3A8B781B"/>
    <w:rsid w:val="3AA55A81"/>
    <w:rsid w:val="3AA83B9E"/>
    <w:rsid w:val="3AA9434F"/>
    <w:rsid w:val="3AB23503"/>
    <w:rsid w:val="3AD379F0"/>
    <w:rsid w:val="3AD76784"/>
    <w:rsid w:val="3AEB4F1C"/>
    <w:rsid w:val="3B1E7497"/>
    <w:rsid w:val="3B2A6911"/>
    <w:rsid w:val="3B343BD6"/>
    <w:rsid w:val="3B46549A"/>
    <w:rsid w:val="3B4C7C85"/>
    <w:rsid w:val="3B557A2C"/>
    <w:rsid w:val="3B8E32E7"/>
    <w:rsid w:val="3B977986"/>
    <w:rsid w:val="3BA61C17"/>
    <w:rsid w:val="3BA67076"/>
    <w:rsid w:val="3BB92CB6"/>
    <w:rsid w:val="3BC35686"/>
    <w:rsid w:val="3BC96E17"/>
    <w:rsid w:val="3BCC23C7"/>
    <w:rsid w:val="3BD51CB4"/>
    <w:rsid w:val="3BDF3DFC"/>
    <w:rsid w:val="3BE21564"/>
    <w:rsid w:val="3BFC41C2"/>
    <w:rsid w:val="3C0C53B1"/>
    <w:rsid w:val="3C4A1903"/>
    <w:rsid w:val="3C602F68"/>
    <w:rsid w:val="3C6560A3"/>
    <w:rsid w:val="3C670777"/>
    <w:rsid w:val="3C6B3628"/>
    <w:rsid w:val="3C93514F"/>
    <w:rsid w:val="3C996ABF"/>
    <w:rsid w:val="3C9C1629"/>
    <w:rsid w:val="3CA42084"/>
    <w:rsid w:val="3CAC611A"/>
    <w:rsid w:val="3CCE07EF"/>
    <w:rsid w:val="3CCF02EC"/>
    <w:rsid w:val="3CE91FF6"/>
    <w:rsid w:val="3CFE2191"/>
    <w:rsid w:val="3CFE5C95"/>
    <w:rsid w:val="3D0B6E4A"/>
    <w:rsid w:val="3D120DFA"/>
    <w:rsid w:val="3D30438A"/>
    <w:rsid w:val="3D611C46"/>
    <w:rsid w:val="3D622AC8"/>
    <w:rsid w:val="3D6B09C3"/>
    <w:rsid w:val="3D7430F2"/>
    <w:rsid w:val="3D9A6107"/>
    <w:rsid w:val="3D9B1CEB"/>
    <w:rsid w:val="3D9F2A12"/>
    <w:rsid w:val="3DAD378B"/>
    <w:rsid w:val="3DB95069"/>
    <w:rsid w:val="3DC206DC"/>
    <w:rsid w:val="3DC96989"/>
    <w:rsid w:val="3DD0360A"/>
    <w:rsid w:val="3DEE43DE"/>
    <w:rsid w:val="3E43103C"/>
    <w:rsid w:val="3E686983"/>
    <w:rsid w:val="3E7A0E1D"/>
    <w:rsid w:val="3E856F7E"/>
    <w:rsid w:val="3EAE3246"/>
    <w:rsid w:val="3EBB346D"/>
    <w:rsid w:val="3EC20865"/>
    <w:rsid w:val="3EC7548D"/>
    <w:rsid w:val="3EE626C8"/>
    <w:rsid w:val="3EEC033C"/>
    <w:rsid w:val="3EFA7D76"/>
    <w:rsid w:val="3F022566"/>
    <w:rsid w:val="3F2917B8"/>
    <w:rsid w:val="3F47212A"/>
    <w:rsid w:val="3F4B392D"/>
    <w:rsid w:val="3F6820A1"/>
    <w:rsid w:val="3F8931B5"/>
    <w:rsid w:val="3F9D6219"/>
    <w:rsid w:val="3FE96429"/>
    <w:rsid w:val="3FEB51AC"/>
    <w:rsid w:val="3FEC15A5"/>
    <w:rsid w:val="3FF41070"/>
    <w:rsid w:val="3FF44198"/>
    <w:rsid w:val="3FFF7917"/>
    <w:rsid w:val="400718BA"/>
    <w:rsid w:val="40347989"/>
    <w:rsid w:val="40404565"/>
    <w:rsid w:val="4042142A"/>
    <w:rsid w:val="404F6A17"/>
    <w:rsid w:val="407357A1"/>
    <w:rsid w:val="40A5718E"/>
    <w:rsid w:val="40A8243D"/>
    <w:rsid w:val="40AB6274"/>
    <w:rsid w:val="40C25664"/>
    <w:rsid w:val="40F17163"/>
    <w:rsid w:val="40FC085C"/>
    <w:rsid w:val="410F357E"/>
    <w:rsid w:val="41173D7E"/>
    <w:rsid w:val="41390C59"/>
    <w:rsid w:val="41517290"/>
    <w:rsid w:val="41617795"/>
    <w:rsid w:val="419B3B4A"/>
    <w:rsid w:val="41AC1FAB"/>
    <w:rsid w:val="41AD023F"/>
    <w:rsid w:val="41B3449C"/>
    <w:rsid w:val="41B62399"/>
    <w:rsid w:val="41D61B0D"/>
    <w:rsid w:val="41D63722"/>
    <w:rsid w:val="41D703BC"/>
    <w:rsid w:val="41E4279A"/>
    <w:rsid w:val="41EE64BE"/>
    <w:rsid w:val="41FC4A51"/>
    <w:rsid w:val="421232C8"/>
    <w:rsid w:val="42191A02"/>
    <w:rsid w:val="42330D06"/>
    <w:rsid w:val="42576B28"/>
    <w:rsid w:val="425B1F0F"/>
    <w:rsid w:val="42664FBD"/>
    <w:rsid w:val="42707BEA"/>
    <w:rsid w:val="4274748A"/>
    <w:rsid w:val="428752AA"/>
    <w:rsid w:val="42B45E9A"/>
    <w:rsid w:val="42C910A8"/>
    <w:rsid w:val="42CF2B62"/>
    <w:rsid w:val="42D75573"/>
    <w:rsid w:val="42DA32B5"/>
    <w:rsid w:val="42F01A7D"/>
    <w:rsid w:val="430210EA"/>
    <w:rsid w:val="43212EF5"/>
    <w:rsid w:val="433A5519"/>
    <w:rsid w:val="433E1A96"/>
    <w:rsid w:val="434B43BD"/>
    <w:rsid w:val="43741C39"/>
    <w:rsid w:val="437C72D0"/>
    <w:rsid w:val="43A13601"/>
    <w:rsid w:val="43B43B06"/>
    <w:rsid w:val="43B6162D"/>
    <w:rsid w:val="43B706C6"/>
    <w:rsid w:val="43C04259"/>
    <w:rsid w:val="43E84027"/>
    <w:rsid w:val="43EA09FA"/>
    <w:rsid w:val="441C734C"/>
    <w:rsid w:val="444A6219"/>
    <w:rsid w:val="44566FF3"/>
    <w:rsid w:val="447F5EC2"/>
    <w:rsid w:val="44A40300"/>
    <w:rsid w:val="44AD76AA"/>
    <w:rsid w:val="44B70F82"/>
    <w:rsid w:val="44CD4D6A"/>
    <w:rsid w:val="45112D35"/>
    <w:rsid w:val="45196317"/>
    <w:rsid w:val="4529072A"/>
    <w:rsid w:val="45311AE8"/>
    <w:rsid w:val="453264E1"/>
    <w:rsid w:val="4536346A"/>
    <w:rsid w:val="4554734F"/>
    <w:rsid w:val="4563661D"/>
    <w:rsid w:val="458530E9"/>
    <w:rsid w:val="45894D2B"/>
    <w:rsid w:val="4589735D"/>
    <w:rsid w:val="459E681C"/>
    <w:rsid w:val="45B070A0"/>
    <w:rsid w:val="45C31ED4"/>
    <w:rsid w:val="45EB1EB5"/>
    <w:rsid w:val="45F0214F"/>
    <w:rsid w:val="45F14B9E"/>
    <w:rsid w:val="45FA1ED7"/>
    <w:rsid w:val="460D53EE"/>
    <w:rsid w:val="46465642"/>
    <w:rsid w:val="46592743"/>
    <w:rsid w:val="46704C76"/>
    <w:rsid w:val="4677165D"/>
    <w:rsid w:val="46803B4E"/>
    <w:rsid w:val="46841EB6"/>
    <w:rsid w:val="46C202E8"/>
    <w:rsid w:val="46CA389F"/>
    <w:rsid w:val="46D423C5"/>
    <w:rsid w:val="46EE5581"/>
    <w:rsid w:val="46FF2C6C"/>
    <w:rsid w:val="470422FD"/>
    <w:rsid w:val="470B7EE1"/>
    <w:rsid w:val="47144E48"/>
    <w:rsid w:val="471825FE"/>
    <w:rsid w:val="471F4992"/>
    <w:rsid w:val="473A07C7"/>
    <w:rsid w:val="47424E1F"/>
    <w:rsid w:val="47430A83"/>
    <w:rsid w:val="47451645"/>
    <w:rsid w:val="47503678"/>
    <w:rsid w:val="47507FEA"/>
    <w:rsid w:val="476D2268"/>
    <w:rsid w:val="47867568"/>
    <w:rsid w:val="47880B6B"/>
    <w:rsid w:val="47A75E8E"/>
    <w:rsid w:val="47B075BE"/>
    <w:rsid w:val="47B265AF"/>
    <w:rsid w:val="47B75973"/>
    <w:rsid w:val="47BA3DD9"/>
    <w:rsid w:val="47C0769A"/>
    <w:rsid w:val="47C760CC"/>
    <w:rsid w:val="47EC5B7F"/>
    <w:rsid w:val="480B5C6B"/>
    <w:rsid w:val="481B3C45"/>
    <w:rsid w:val="483154E0"/>
    <w:rsid w:val="48413D65"/>
    <w:rsid w:val="4846500A"/>
    <w:rsid w:val="48482A6F"/>
    <w:rsid w:val="48501D84"/>
    <w:rsid w:val="48723E9B"/>
    <w:rsid w:val="48777B65"/>
    <w:rsid w:val="488E621A"/>
    <w:rsid w:val="48932BB6"/>
    <w:rsid w:val="48A203D1"/>
    <w:rsid w:val="48CA3F2C"/>
    <w:rsid w:val="48D168BD"/>
    <w:rsid w:val="48D34A2F"/>
    <w:rsid w:val="48EB7FCA"/>
    <w:rsid w:val="48F76B95"/>
    <w:rsid w:val="49001429"/>
    <w:rsid w:val="492E6927"/>
    <w:rsid w:val="494D1368"/>
    <w:rsid w:val="49534635"/>
    <w:rsid w:val="496E6505"/>
    <w:rsid w:val="49781D4F"/>
    <w:rsid w:val="49891591"/>
    <w:rsid w:val="498D4A21"/>
    <w:rsid w:val="49A511D4"/>
    <w:rsid w:val="49AD5280"/>
    <w:rsid w:val="49EE14BB"/>
    <w:rsid w:val="49F11610"/>
    <w:rsid w:val="49FB620F"/>
    <w:rsid w:val="4A5230F5"/>
    <w:rsid w:val="4A557B85"/>
    <w:rsid w:val="4A5E745F"/>
    <w:rsid w:val="4A7E6C1C"/>
    <w:rsid w:val="4A8C1AC2"/>
    <w:rsid w:val="4A8E12A0"/>
    <w:rsid w:val="4AA63EBB"/>
    <w:rsid w:val="4AAD305D"/>
    <w:rsid w:val="4AAE2C0E"/>
    <w:rsid w:val="4AAF0E80"/>
    <w:rsid w:val="4ABC4527"/>
    <w:rsid w:val="4AD04041"/>
    <w:rsid w:val="4ADD1B95"/>
    <w:rsid w:val="4AE271AB"/>
    <w:rsid w:val="4AF55130"/>
    <w:rsid w:val="4AF93E35"/>
    <w:rsid w:val="4AFB0342"/>
    <w:rsid w:val="4B0613F2"/>
    <w:rsid w:val="4B096751"/>
    <w:rsid w:val="4B1273AC"/>
    <w:rsid w:val="4B180726"/>
    <w:rsid w:val="4B2371D2"/>
    <w:rsid w:val="4B3C4B05"/>
    <w:rsid w:val="4B4C2876"/>
    <w:rsid w:val="4B6253B9"/>
    <w:rsid w:val="4B83598F"/>
    <w:rsid w:val="4B960018"/>
    <w:rsid w:val="4B960BFC"/>
    <w:rsid w:val="4BA3693A"/>
    <w:rsid w:val="4BC92FD4"/>
    <w:rsid w:val="4BCD7E5B"/>
    <w:rsid w:val="4C0163F0"/>
    <w:rsid w:val="4C03562B"/>
    <w:rsid w:val="4C070814"/>
    <w:rsid w:val="4C2B7556"/>
    <w:rsid w:val="4C4D7906"/>
    <w:rsid w:val="4C6C31D0"/>
    <w:rsid w:val="4C73639E"/>
    <w:rsid w:val="4C77137C"/>
    <w:rsid w:val="4C83242D"/>
    <w:rsid w:val="4C8B0365"/>
    <w:rsid w:val="4C90126D"/>
    <w:rsid w:val="4C912091"/>
    <w:rsid w:val="4C940979"/>
    <w:rsid w:val="4C9E2016"/>
    <w:rsid w:val="4CA97DD5"/>
    <w:rsid w:val="4CAE1A3B"/>
    <w:rsid w:val="4CC10780"/>
    <w:rsid w:val="4CD30603"/>
    <w:rsid w:val="4CF11927"/>
    <w:rsid w:val="4D0C6B88"/>
    <w:rsid w:val="4D2B4E39"/>
    <w:rsid w:val="4D4721DD"/>
    <w:rsid w:val="4D4B37D0"/>
    <w:rsid w:val="4D5169BA"/>
    <w:rsid w:val="4D7560B4"/>
    <w:rsid w:val="4D7F09B1"/>
    <w:rsid w:val="4DAD5669"/>
    <w:rsid w:val="4DC14130"/>
    <w:rsid w:val="4DD52FF7"/>
    <w:rsid w:val="4DD84ECC"/>
    <w:rsid w:val="4DDA47CA"/>
    <w:rsid w:val="4DE46461"/>
    <w:rsid w:val="4DF67580"/>
    <w:rsid w:val="4DFE42FC"/>
    <w:rsid w:val="4E006DA4"/>
    <w:rsid w:val="4E0B7129"/>
    <w:rsid w:val="4E0C2C35"/>
    <w:rsid w:val="4E0D3EA6"/>
    <w:rsid w:val="4E2D2E33"/>
    <w:rsid w:val="4E3C5478"/>
    <w:rsid w:val="4E426DF2"/>
    <w:rsid w:val="4E5928F7"/>
    <w:rsid w:val="4E5B2E59"/>
    <w:rsid w:val="4E60721C"/>
    <w:rsid w:val="4E812777"/>
    <w:rsid w:val="4E93535E"/>
    <w:rsid w:val="4EA2737D"/>
    <w:rsid w:val="4EA713E8"/>
    <w:rsid w:val="4EA97CD4"/>
    <w:rsid w:val="4EFA3CD1"/>
    <w:rsid w:val="4F3124AF"/>
    <w:rsid w:val="4F687206"/>
    <w:rsid w:val="4F710244"/>
    <w:rsid w:val="4F89269A"/>
    <w:rsid w:val="4F95440F"/>
    <w:rsid w:val="4F9C7917"/>
    <w:rsid w:val="4FA15035"/>
    <w:rsid w:val="4FAF6FEC"/>
    <w:rsid w:val="4FB872B2"/>
    <w:rsid w:val="4FD23C92"/>
    <w:rsid w:val="4FF2431E"/>
    <w:rsid w:val="501201FE"/>
    <w:rsid w:val="501550A3"/>
    <w:rsid w:val="501A3974"/>
    <w:rsid w:val="501E4AF7"/>
    <w:rsid w:val="502D0EC8"/>
    <w:rsid w:val="50360DDF"/>
    <w:rsid w:val="50751A73"/>
    <w:rsid w:val="50C80218"/>
    <w:rsid w:val="50CB2475"/>
    <w:rsid w:val="50E55710"/>
    <w:rsid w:val="50E62923"/>
    <w:rsid w:val="50F4276C"/>
    <w:rsid w:val="50FD1CE5"/>
    <w:rsid w:val="5114337B"/>
    <w:rsid w:val="511B39FD"/>
    <w:rsid w:val="51397D22"/>
    <w:rsid w:val="5151508A"/>
    <w:rsid w:val="51531A7A"/>
    <w:rsid w:val="517D7C2E"/>
    <w:rsid w:val="518B6FF5"/>
    <w:rsid w:val="51AE73D5"/>
    <w:rsid w:val="51B573C7"/>
    <w:rsid w:val="51CB0467"/>
    <w:rsid w:val="51E31929"/>
    <w:rsid w:val="52032571"/>
    <w:rsid w:val="520A1843"/>
    <w:rsid w:val="52150AE5"/>
    <w:rsid w:val="524D7832"/>
    <w:rsid w:val="52567130"/>
    <w:rsid w:val="526E4730"/>
    <w:rsid w:val="5278234D"/>
    <w:rsid w:val="528C52D4"/>
    <w:rsid w:val="52A1525C"/>
    <w:rsid w:val="52BC4786"/>
    <w:rsid w:val="52DB7818"/>
    <w:rsid w:val="52F3258C"/>
    <w:rsid w:val="5317166F"/>
    <w:rsid w:val="531C1F20"/>
    <w:rsid w:val="531D5224"/>
    <w:rsid w:val="531D5A56"/>
    <w:rsid w:val="532B3906"/>
    <w:rsid w:val="533E4D5A"/>
    <w:rsid w:val="53433B57"/>
    <w:rsid w:val="535B4063"/>
    <w:rsid w:val="5362532D"/>
    <w:rsid w:val="536A1E5A"/>
    <w:rsid w:val="536F35A6"/>
    <w:rsid w:val="5371089E"/>
    <w:rsid w:val="53795458"/>
    <w:rsid w:val="539F3E8B"/>
    <w:rsid w:val="53AC65A8"/>
    <w:rsid w:val="53AE1B52"/>
    <w:rsid w:val="53C37E77"/>
    <w:rsid w:val="53D457EE"/>
    <w:rsid w:val="53D77077"/>
    <w:rsid w:val="53DE32C0"/>
    <w:rsid w:val="53E775E0"/>
    <w:rsid w:val="53F80700"/>
    <w:rsid w:val="53FD0BB2"/>
    <w:rsid w:val="53FD6E04"/>
    <w:rsid w:val="541505F1"/>
    <w:rsid w:val="543506B8"/>
    <w:rsid w:val="54363EAB"/>
    <w:rsid w:val="543C1C63"/>
    <w:rsid w:val="545822E2"/>
    <w:rsid w:val="54690C98"/>
    <w:rsid w:val="546E1AB7"/>
    <w:rsid w:val="547A3C22"/>
    <w:rsid w:val="54A263C6"/>
    <w:rsid w:val="54A7328D"/>
    <w:rsid w:val="54DD64E0"/>
    <w:rsid w:val="54DF34CE"/>
    <w:rsid w:val="54FA643B"/>
    <w:rsid w:val="55045D33"/>
    <w:rsid w:val="551121D8"/>
    <w:rsid w:val="55144405"/>
    <w:rsid w:val="551D428E"/>
    <w:rsid w:val="5531632D"/>
    <w:rsid w:val="55457E67"/>
    <w:rsid w:val="554A7E27"/>
    <w:rsid w:val="55526B27"/>
    <w:rsid w:val="55575074"/>
    <w:rsid w:val="556D67DD"/>
    <w:rsid w:val="559B17C5"/>
    <w:rsid w:val="559C633F"/>
    <w:rsid w:val="55B92CB5"/>
    <w:rsid w:val="55B958A7"/>
    <w:rsid w:val="55BC5C00"/>
    <w:rsid w:val="55C44DE6"/>
    <w:rsid w:val="55C6311D"/>
    <w:rsid w:val="55EE6A6A"/>
    <w:rsid w:val="55F1544B"/>
    <w:rsid w:val="56382375"/>
    <w:rsid w:val="56426CE9"/>
    <w:rsid w:val="564651B0"/>
    <w:rsid w:val="56633896"/>
    <w:rsid w:val="566E3BDE"/>
    <w:rsid w:val="5697353F"/>
    <w:rsid w:val="56A24F6D"/>
    <w:rsid w:val="56B41C04"/>
    <w:rsid w:val="56C255AE"/>
    <w:rsid w:val="56DF29B8"/>
    <w:rsid w:val="573A3649"/>
    <w:rsid w:val="5741418D"/>
    <w:rsid w:val="57591C2C"/>
    <w:rsid w:val="575D1A65"/>
    <w:rsid w:val="57792C45"/>
    <w:rsid w:val="5798756F"/>
    <w:rsid w:val="579F7ABE"/>
    <w:rsid w:val="57A37CC2"/>
    <w:rsid w:val="57AA4223"/>
    <w:rsid w:val="57B43C7D"/>
    <w:rsid w:val="57BD5228"/>
    <w:rsid w:val="57C71C02"/>
    <w:rsid w:val="57D45CF1"/>
    <w:rsid w:val="57E63A48"/>
    <w:rsid w:val="58021001"/>
    <w:rsid w:val="580F2DB9"/>
    <w:rsid w:val="58335952"/>
    <w:rsid w:val="585A2A77"/>
    <w:rsid w:val="585B7D62"/>
    <w:rsid w:val="586F55C6"/>
    <w:rsid w:val="587804D3"/>
    <w:rsid w:val="58890FAB"/>
    <w:rsid w:val="589F0489"/>
    <w:rsid w:val="58AA4A05"/>
    <w:rsid w:val="58B312FE"/>
    <w:rsid w:val="58B57CAD"/>
    <w:rsid w:val="58C5369E"/>
    <w:rsid w:val="58D20294"/>
    <w:rsid w:val="58E047BA"/>
    <w:rsid w:val="58EA2A52"/>
    <w:rsid w:val="58EB16F5"/>
    <w:rsid w:val="58EB454D"/>
    <w:rsid w:val="59042A44"/>
    <w:rsid w:val="590D0F8F"/>
    <w:rsid w:val="5919574D"/>
    <w:rsid w:val="592E60FC"/>
    <w:rsid w:val="59696569"/>
    <w:rsid w:val="59A62C9C"/>
    <w:rsid w:val="59CA78FF"/>
    <w:rsid w:val="59FF5AEB"/>
    <w:rsid w:val="5A2313F8"/>
    <w:rsid w:val="5A3B68D8"/>
    <w:rsid w:val="5A42491F"/>
    <w:rsid w:val="5A623E64"/>
    <w:rsid w:val="5A724412"/>
    <w:rsid w:val="5A744019"/>
    <w:rsid w:val="5A9B424F"/>
    <w:rsid w:val="5AC47D17"/>
    <w:rsid w:val="5AE64A95"/>
    <w:rsid w:val="5AE8410B"/>
    <w:rsid w:val="5AF67D5E"/>
    <w:rsid w:val="5B21787C"/>
    <w:rsid w:val="5B385C87"/>
    <w:rsid w:val="5B3F7D02"/>
    <w:rsid w:val="5B482822"/>
    <w:rsid w:val="5B6441F1"/>
    <w:rsid w:val="5B7200D7"/>
    <w:rsid w:val="5B7420A1"/>
    <w:rsid w:val="5B78274F"/>
    <w:rsid w:val="5B795DD6"/>
    <w:rsid w:val="5B7C0F56"/>
    <w:rsid w:val="5B855C7C"/>
    <w:rsid w:val="5BA66F9B"/>
    <w:rsid w:val="5BD13092"/>
    <w:rsid w:val="5BE57AA5"/>
    <w:rsid w:val="5BFE1125"/>
    <w:rsid w:val="5C142F3C"/>
    <w:rsid w:val="5C191149"/>
    <w:rsid w:val="5C384E7D"/>
    <w:rsid w:val="5C567452"/>
    <w:rsid w:val="5C61710D"/>
    <w:rsid w:val="5C670772"/>
    <w:rsid w:val="5CA12D09"/>
    <w:rsid w:val="5CA70254"/>
    <w:rsid w:val="5CB401B7"/>
    <w:rsid w:val="5CBC7723"/>
    <w:rsid w:val="5CD602AA"/>
    <w:rsid w:val="5D1551BE"/>
    <w:rsid w:val="5D222359"/>
    <w:rsid w:val="5D290C69"/>
    <w:rsid w:val="5D2B2022"/>
    <w:rsid w:val="5D2D0472"/>
    <w:rsid w:val="5D475B2E"/>
    <w:rsid w:val="5D880229"/>
    <w:rsid w:val="5D8F563D"/>
    <w:rsid w:val="5DAA6271"/>
    <w:rsid w:val="5DB60677"/>
    <w:rsid w:val="5DBA0909"/>
    <w:rsid w:val="5DBB2728"/>
    <w:rsid w:val="5DE97AE8"/>
    <w:rsid w:val="5E0B5683"/>
    <w:rsid w:val="5E394EDC"/>
    <w:rsid w:val="5E5F6C96"/>
    <w:rsid w:val="5E6265D9"/>
    <w:rsid w:val="5E6C7060"/>
    <w:rsid w:val="5E6F4D0E"/>
    <w:rsid w:val="5E86549B"/>
    <w:rsid w:val="5E8B6B86"/>
    <w:rsid w:val="5E900467"/>
    <w:rsid w:val="5E9B3B66"/>
    <w:rsid w:val="5EA677CC"/>
    <w:rsid w:val="5EC46BD9"/>
    <w:rsid w:val="5EF62DCD"/>
    <w:rsid w:val="5F182293"/>
    <w:rsid w:val="5F230066"/>
    <w:rsid w:val="5F287D04"/>
    <w:rsid w:val="5F2A4A2E"/>
    <w:rsid w:val="5F2C67EF"/>
    <w:rsid w:val="5F451392"/>
    <w:rsid w:val="5F666149"/>
    <w:rsid w:val="5F6C7F59"/>
    <w:rsid w:val="5F7D37C3"/>
    <w:rsid w:val="5F832A73"/>
    <w:rsid w:val="5FAF255F"/>
    <w:rsid w:val="5FB82384"/>
    <w:rsid w:val="5FC02A17"/>
    <w:rsid w:val="5FC901D9"/>
    <w:rsid w:val="5FD87AA6"/>
    <w:rsid w:val="5FDC14B0"/>
    <w:rsid w:val="5FE46517"/>
    <w:rsid w:val="5FE62499"/>
    <w:rsid w:val="5FEA0B84"/>
    <w:rsid w:val="600256D9"/>
    <w:rsid w:val="60067040"/>
    <w:rsid w:val="6023547F"/>
    <w:rsid w:val="603B171B"/>
    <w:rsid w:val="603E008C"/>
    <w:rsid w:val="604751DF"/>
    <w:rsid w:val="606D7E68"/>
    <w:rsid w:val="60730B79"/>
    <w:rsid w:val="60762A44"/>
    <w:rsid w:val="60903B8D"/>
    <w:rsid w:val="6094486B"/>
    <w:rsid w:val="60DF4232"/>
    <w:rsid w:val="60E05A44"/>
    <w:rsid w:val="60F33A68"/>
    <w:rsid w:val="61026087"/>
    <w:rsid w:val="61134B9B"/>
    <w:rsid w:val="611A7E38"/>
    <w:rsid w:val="611D498A"/>
    <w:rsid w:val="612C0D28"/>
    <w:rsid w:val="612D669A"/>
    <w:rsid w:val="61596B36"/>
    <w:rsid w:val="61611A87"/>
    <w:rsid w:val="6164123F"/>
    <w:rsid w:val="617C0DC9"/>
    <w:rsid w:val="618736EF"/>
    <w:rsid w:val="618B24B6"/>
    <w:rsid w:val="61961A2E"/>
    <w:rsid w:val="619E0AFB"/>
    <w:rsid w:val="61AD6BA8"/>
    <w:rsid w:val="61BE181F"/>
    <w:rsid w:val="61CD6067"/>
    <w:rsid w:val="62491FE5"/>
    <w:rsid w:val="62612C54"/>
    <w:rsid w:val="6271590A"/>
    <w:rsid w:val="62C44B21"/>
    <w:rsid w:val="62D919CE"/>
    <w:rsid w:val="62E02FC9"/>
    <w:rsid w:val="62E826FF"/>
    <w:rsid w:val="630C0C40"/>
    <w:rsid w:val="630D43FD"/>
    <w:rsid w:val="632C0729"/>
    <w:rsid w:val="633256F0"/>
    <w:rsid w:val="63436DD5"/>
    <w:rsid w:val="635A2987"/>
    <w:rsid w:val="63652E30"/>
    <w:rsid w:val="636724EC"/>
    <w:rsid w:val="6377272F"/>
    <w:rsid w:val="63791A33"/>
    <w:rsid w:val="639C051F"/>
    <w:rsid w:val="639F7A6A"/>
    <w:rsid w:val="63AB5A8E"/>
    <w:rsid w:val="63AD2E6B"/>
    <w:rsid w:val="63B05C41"/>
    <w:rsid w:val="63F43A32"/>
    <w:rsid w:val="63F659DC"/>
    <w:rsid w:val="63FD4DFF"/>
    <w:rsid w:val="63FE2EAA"/>
    <w:rsid w:val="640146EE"/>
    <w:rsid w:val="64030BE2"/>
    <w:rsid w:val="64047D3A"/>
    <w:rsid w:val="64347B0E"/>
    <w:rsid w:val="6451669A"/>
    <w:rsid w:val="64591356"/>
    <w:rsid w:val="646B44B9"/>
    <w:rsid w:val="64793A31"/>
    <w:rsid w:val="64832097"/>
    <w:rsid w:val="648B24EC"/>
    <w:rsid w:val="64A53500"/>
    <w:rsid w:val="64D96188"/>
    <w:rsid w:val="64E83AFE"/>
    <w:rsid w:val="64EA2BE9"/>
    <w:rsid w:val="6506438E"/>
    <w:rsid w:val="65171BFD"/>
    <w:rsid w:val="651B358E"/>
    <w:rsid w:val="653607B2"/>
    <w:rsid w:val="6548618A"/>
    <w:rsid w:val="654C70B1"/>
    <w:rsid w:val="656E792D"/>
    <w:rsid w:val="658513E4"/>
    <w:rsid w:val="65AA14C9"/>
    <w:rsid w:val="65C84576"/>
    <w:rsid w:val="65F27444"/>
    <w:rsid w:val="660027D6"/>
    <w:rsid w:val="6605420B"/>
    <w:rsid w:val="66082D77"/>
    <w:rsid w:val="66091638"/>
    <w:rsid w:val="661B6EB6"/>
    <w:rsid w:val="661C56E5"/>
    <w:rsid w:val="662468A4"/>
    <w:rsid w:val="663F07B1"/>
    <w:rsid w:val="66482160"/>
    <w:rsid w:val="664D0D42"/>
    <w:rsid w:val="66545717"/>
    <w:rsid w:val="66585612"/>
    <w:rsid w:val="669E6224"/>
    <w:rsid w:val="66A22F2F"/>
    <w:rsid w:val="66B02FFC"/>
    <w:rsid w:val="66D34BBC"/>
    <w:rsid w:val="66D66E6E"/>
    <w:rsid w:val="66EB717F"/>
    <w:rsid w:val="67057CD6"/>
    <w:rsid w:val="67180CC9"/>
    <w:rsid w:val="67215034"/>
    <w:rsid w:val="673C44D9"/>
    <w:rsid w:val="67660B73"/>
    <w:rsid w:val="676A3BD2"/>
    <w:rsid w:val="678E6299"/>
    <w:rsid w:val="67CB20D7"/>
    <w:rsid w:val="680D4B7A"/>
    <w:rsid w:val="683106C4"/>
    <w:rsid w:val="6834366B"/>
    <w:rsid w:val="683C3591"/>
    <w:rsid w:val="685E4F90"/>
    <w:rsid w:val="68677780"/>
    <w:rsid w:val="686C3C81"/>
    <w:rsid w:val="6894168D"/>
    <w:rsid w:val="68A571FC"/>
    <w:rsid w:val="68B30A4E"/>
    <w:rsid w:val="68E32DDD"/>
    <w:rsid w:val="68F84CE8"/>
    <w:rsid w:val="68FB4800"/>
    <w:rsid w:val="69064C87"/>
    <w:rsid w:val="6909589B"/>
    <w:rsid w:val="69097082"/>
    <w:rsid w:val="690D5EEA"/>
    <w:rsid w:val="692F3959"/>
    <w:rsid w:val="69321B18"/>
    <w:rsid w:val="693B6C1F"/>
    <w:rsid w:val="693D530D"/>
    <w:rsid w:val="69401815"/>
    <w:rsid w:val="69456E2B"/>
    <w:rsid w:val="694D5CE0"/>
    <w:rsid w:val="696574CD"/>
    <w:rsid w:val="69747F55"/>
    <w:rsid w:val="697E3C33"/>
    <w:rsid w:val="6981782C"/>
    <w:rsid w:val="69967687"/>
    <w:rsid w:val="69B6665A"/>
    <w:rsid w:val="69BF1297"/>
    <w:rsid w:val="69F50800"/>
    <w:rsid w:val="69FF0C25"/>
    <w:rsid w:val="6A0727BE"/>
    <w:rsid w:val="6A170919"/>
    <w:rsid w:val="6A191705"/>
    <w:rsid w:val="6A226039"/>
    <w:rsid w:val="6A3B37CB"/>
    <w:rsid w:val="6A444B2E"/>
    <w:rsid w:val="6A457150"/>
    <w:rsid w:val="6A47013F"/>
    <w:rsid w:val="6A4D6CD6"/>
    <w:rsid w:val="6A554E4C"/>
    <w:rsid w:val="6A826355"/>
    <w:rsid w:val="6A8774FD"/>
    <w:rsid w:val="6AC42525"/>
    <w:rsid w:val="6AC767D8"/>
    <w:rsid w:val="6AE1694B"/>
    <w:rsid w:val="6AF90984"/>
    <w:rsid w:val="6AFC176B"/>
    <w:rsid w:val="6B3410B7"/>
    <w:rsid w:val="6B347157"/>
    <w:rsid w:val="6B373D02"/>
    <w:rsid w:val="6B3B44D5"/>
    <w:rsid w:val="6B513865"/>
    <w:rsid w:val="6B574014"/>
    <w:rsid w:val="6B7E4876"/>
    <w:rsid w:val="6B881251"/>
    <w:rsid w:val="6B8C1E2F"/>
    <w:rsid w:val="6BA51E03"/>
    <w:rsid w:val="6BE90F8E"/>
    <w:rsid w:val="6C2E1CB9"/>
    <w:rsid w:val="6C2E436D"/>
    <w:rsid w:val="6C395EB0"/>
    <w:rsid w:val="6C417D7E"/>
    <w:rsid w:val="6C427652"/>
    <w:rsid w:val="6C4F4041"/>
    <w:rsid w:val="6C7C7F53"/>
    <w:rsid w:val="6C800EAA"/>
    <w:rsid w:val="6C8534D4"/>
    <w:rsid w:val="6C867F8B"/>
    <w:rsid w:val="6CBD0599"/>
    <w:rsid w:val="6CE04F11"/>
    <w:rsid w:val="6CE4102A"/>
    <w:rsid w:val="6D125FCD"/>
    <w:rsid w:val="6D234AC1"/>
    <w:rsid w:val="6D2F0592"/>
    <w:rsid w:val="6D45498E"/>
    <w:rsid w:val="6D5B0C2D"/>
    <w:rsid w:val="6D5D40D0"/>
    <w:rsid w:val="6D6266C3"/>
    <w:rsid w:val="6D943EDD"/>
    <w:rsid w:val="6D95518D"/>
    <w:rsid w:val="6D9A377B"/>
    <w:rsid w:val="6DA77FEA"/>
    <w:rsid w:val="6DD93130"/>
    <w:rsid w:val="6E045169"/>
    <w:rsid w:val="6E135FAE"/>
    <w:rsid w:val="6E294BDB"/>
    <w:rsid w:val="6E310D05"/>
    <w:rsid w:val="6E3951D1"/>
    <w:rsid w:val="6E3F6062"/>
    <w:rsid w:val="6E5F098F"/>
    <w:rsid w:val="6E7A58F8"/>
    <w:rsid w:val="6E8D72AA"/>
    <w:rsid w:val="6E9D4431"/>
    <w:rsid w:val="6EA24065"/>
    <w:rsid w:val="6EAB07D5"/>
    <w:rsid w:val="6EBF6F77"/>
    <w:rsid w:val="6EC407F2"/>
    <w:rsid w:val="6EE37550"/>
    <w:rsid w:val="6EF2481B"/>
    <w:rsid w:val="6F0A722C"/>
    <w:rsid w:val="6F207EA6"/>
    <w:rsid w:val="6F412879"/>
    <w:rsid w:val="6F5311A2"/>
    <w:rsid w:val="6F60051B"/>
    <w:rsid w:val="6F7945FE"/>
    <w:rsid w:val="6FA7691A"/>
    <w:rsid w:val="6FB30182"/>
    <w:rsid w:val="6FB9753F"/>
    <w:rsid w:val="6FC90B59"/>
    <w:rsid w:val="6FD07D18"/>
    <w:rsid w:val="6FD1767B"/>
    <w:rsid w:val="6FDB2CC8"/>
    <w:rsid w:val="6FE3114C"/>
    <w:rsid w:val="6FED7581"/>
    <w:rsid w:val="6FF11ABB"/>
    <w:rsid w:val="70117065"/>
    <w:rsid w:val="70132305"/>
    <w:rsid w:val="70274AB7"/>
    <w:rsid w:val="703B69BE"/>
    <w:rsid w:val="705C6106"/>
    <w:rsid w:val="706B047E"/>
    <w:rsid w:val="706E568F"/>
    <w:rsid w:val="70820965"/>
    <w:rsid w:val="70830D7C"/>
    <w:rsid w:val="709F169E"/>
    <w:rsid w:val="709F6B8F"/>
    <w:rsid w:val="70AD0DB3"/>
    <w:rsid w:val="70B90006"/>
    <w:rsid w:val="70D2041D"/>
    <w:rsid w:val="70FA499F"/>
    <w:rsid w:val="70FE1F2F"/>
    <w:rsid w:val="71085298"/>
    <w:rsid w:val="713C0BCC"/>
    <w:rsid w:val="713E63D0"/>
    <w:rsid w:val="7176139F"/>
    <w:rsid w:val="71A94F40"/>
    <w:rsid w:val="71B33EB1"/>
    <w:rsid w:val="71B70F06"/>
    <w:rsid w:val="71CA4371"/>
    <w:rsid w:val="71DA3F89"/>
    <w:rsid w:val="71E66FEC"/>
    <w:rsid w:val="71ED3F64"/>
    <w:rsid w:val="72112918"/>
    <w:rsid w:val="721E0095"/>
    <w:rsid w:val="721F1191"/>
    <w:rsid w:val="72225F5B"/>
    <w:rsid w:val="722C57FD"/>
    <w:rsid w:val="7238752D"/>
    <w:rsid w:val="723C2DEC"/>
    <w:rsid w:val="724B6F12"/>
    <w:rsid w:val="72514479"/>
    <w:rsid w:val="72593224"/>
    <w:rsid w:val="7264624E"/>
    <w:rsid w:val="72646574"/>
    <w:rsid w:val="729A1F96"/>
    <w:rsid w:val="729F57DE"/>
    <w:rsid w:val="72B8241C"/>
    <w:rsid w:val="72BB3614"/>
    <w:rsid w:val="72D94035"/>
    <w:rsid w:val="72DB43CF"/>
    <w:rsid w:val="72E2393D"/>
    <w:rsid w:val="72E6342D"/>
    <w:rsid w:val="72EC1828"/>
    <w:rsid w:val="72ED5F61"/>
    <w:rsid w:val="730544A7"/>
    <w:rsid w:val="73154D53"/>
    <w:rsid w:val="731C6E4F"/>
    <w:rsid w:val="732E045C"/>
    <w:rsid w:val="73330050"/>
    <w:rsid w:val="733F2B3D"/>
    <w:rsid w:val="735318F2"/>
    <w:rsid w:val="735C724B"/>
    <w:rsid w:val="736C6BE2"/>
    <w:rsid w:val="737137EB"/>
    <w:rsid w:val="73722F12"/>
    <w:rsid w:val="737422F8"/>
    <w:rsid w:val="7374779E"/>
    <w:rsid w:val="73832E69"/>
    <w:rsid w:val="738F426F"/>
    <w:rsid w:val="739B459A"/>
    <w:rsid w:val="73A27B7F"/>
    <w:rsid w:val="73A34687"/>
    <w:rsid w:val="73BC0DDA"/>
    <w:rsid w:val="73BF35DF"/>
    <w:rsid w:val="73D067BF"/>
    <w:rsid w:val="73EB05CF"/>
    <w:rsid w:val="744A4DC1"/>
    <w:rsid w:val="747E68CA"/>
    <w:rsid w:val="74EA5957"/>
    <w:rsid w:val="74EB6AD9"/>
    <w:rsid w:val="74EE0377"/>
    <w:rsid w:val="74F80B5F"/>
    <w:rsid w:val="74F8794A"/>
    <w:rsid w:val="750D182D"/>
    <w:rsid w:val="750E4A06"/>
    <w:rsid w:val="7522503C"/>
    <w:rsid w:val="752E4A79"/>
    <w:rsid w:val="753B5760"/>
    <w:rsid w:val="753C5586"/>
    <w:rsid w:val="753E34BA"/>
    <w:rsid w:val="75424457"/>
    <w:rsid w:val="75516AA5"/>
    <w:rsid w:val="75546CD0"/>
    <w:rsid w:val="75675C3C"/>
    <w:rsid w:val="756F3734"/>
    <w:rsid w:val="75742F72"/>
    <w:rsid w:val="757D5F71"/>
    <w:rsid w:val="75855E2A"/>
    <w:rsid w:val="759F2263"/>
    <w:rsid w:val="75A209D7"/>
    <w:rsid w:val="75D94B83"/>
    <w:rsid w:val="75DF0C59"/>
    <w:rsid w:val="7610256F"/>
    <w:rsid w:val="761C0239"/>
    <w:rsid w:val="762D3121"/>
    <w:rsid w:val="764C7A4B"/>
    <w:rsid w:val="765D3A06"/>
    <w:rsid w:val="766D176F"/>
    <w:rsid w:val="767174B1"/>
    <w:rsid w:val="76755608"/>
    <w:rsid w:val="767766A3"/>
    <w:rsid w:val="76A04D78"/>
    <w:rsid w:val="76C572A2"/>
    <w:rsid w:val="76C8682A"/>
    <w:rsid w:val="76EE465E"/>
    <w:rsid w:val="77147E3D"/>
    <w:rsid w:val="772D622C"/>
    <w:rsid w:val="773F1351"/>
    <w:rsid w:val="775070C7"/>
    <w:rsid w:val="775A6197"/>
    <w:rsid w:val="779438DC"/>
    <w:rsid w:val="779C02A6"/>
    <w:rsid w:val="77A57835"/>
    <w:rsid w:val="77C96E79"/>
    <w:rsid w:val="77D824E4"/>
    <w:rsid w:val="77D93BEA"/>
    <w:rsid w:val="77EE6B9F"/>
    <w:rsid w:val="77FF4310"/>
    <w:rsid w:val="78232A2D"/>
    <w:rsid w:val="78386100"/>
    <w:rsid w:val="78567913"/>
    <w:rsid w:val="785A322B"/>
    <w:rsid w:val="78856159"/>
    <w:rsid w:val="788E02A5"/>
    <w:rsid w:val="78B56790"/>
    <w:rsid w:val="78B73395"/>
    <w:rsid w:val="78B93B78"/>
    <w:rsid w:val="78C16D2A"/>
    <w:rsid w:val="78D15FE5"/>
    <w:rsid w:val="78E00970"/>
    <w:rsid w:val="78E33F6B"/>
    <w:rsid w:val="78F12682"/>
    <w:rsid w:val="790D2590"/>
    <w:rsid w:val="79142376"/>
    <w:rsid w:val="79156AE5"/>
    <w:rsid w:val="79295565"/>
    <w:rsid w:val="79315BD1"/>
    <w:rsid w:val="795C3487"/>
    <w:rsid w:val="795F712D"/>
    <w:rsid w:val="796A384B"/>
    <w:rsid w:val="797D616D"/>
    <w:rsid w:val="79850DC6"/>
    <w:rsid w:val="79886C7C"/>
    <w:rsid w:val="79A10204"/>
    <w:rsid w:val="79A71551"/>
    <w:rsid w:val="79CB1244"/>
    <w:rsid w:val="79F02192"/>
    <w:rsid w:val="79FD2E0A"/>
    <w:rsid w:val="7A451544"/>
    <w:rsid w:val="7A7C6425"/>
    <w:rsid w:val="7AB37B4E"/>
    <w:rsid w:val="7B013C06"/>
    <w:rsid w:val="7B0501C8"/>
    <w:rsid w:val="7B170250"/>
    <w:rsid w:val="7B1F7502"/>
    <w:rsid w:val="7B232D97"/>
    <w:rsid w:val="7B2E32F4"/>
    <w:rsid w:val="7B340AAD"/>
    <w:rsid w:val="7B47147A"/>
    <w:rsid w:val="7B4D01D8"/>
    <w:rsid w:val="7B61515F"/>
    <w:rsid w:val="7B6B33BA"/>
    <w:rsid w:val="7B714171"/>
    <w:rsid w:val="7B736AAF"/>
    <w:rsid w:val="7B7A6702"/>
    <w:rsid w:val="7B811C50"/>
    <w:rsid w:val="7B8B34E9"/>
    <w:rsid w:val="7BAF6AFF"/>
    <w:rsid w:val="7BB06386"/>
    <w:rsid w:val="7BB10350"/>
    <w:rsid w:val="7BB265A2"/>
    <w:rsid w:val="7BC66370"/>
    <w:rsid w:val="7BC71D91"/>
    <w:rsid w:val="7BD46CB8"/>
    <w:rsid w:val="7BDA1655"/>
    <w:rsid w:val="7C3743CF"/>
    <w:rsid w:val="7C3F2265"/>
    <w:rsid w:val="7C551C8F"/>
    <w:rsid w:val="7C583248"/>
    <w:rsid w:val="7C594B4E"/>
    <w:rsid w:val="7C5B0D1F"/>
    <w:rsid w:val="7C5C02BC"/>
    <w:rsid w:val="7C623ACF"/>
    <w:rsid w:val="7C780A86"/>
    <w:rsid w:val="7C7C2A50"/>
    <w:rsid w:val="7C8B2414"/>
    <w:rsid w:val="7CAE5522"/>
    <w:rsid w:val="7CAF7989"/>
    <w:rsid w:val="7CBC56D1"/>
    <w:rsid w:val="7CED1117"/>
    <w:rsid w:val="7CEE5BA9"/>
    <w:rsid w:val="7CFF4568"/>
    <w:rsid w:val="7D0746CC"/>
    <w:rsid w:val="7D3D36DE"/>
    <w:rsid w:val="7D4F1BCF"/>
    <w:rsid w:val="7D5439AC"/>
    <w:rsid w:val="7D6F3438"/>
    <w:rsid w:val="7D713B97"/>
    <w:rsid w:val="7D735992"/>
    <w:rsid w:val="7D8F45BF"/>
    <w:rsid w:val="7D960715"/>
    <w:rsid w:val="7D9D0B8C"/>
    <w:rsid w:val="7DA0242A"/>
    <w:rsid w:val="7DA936AC"/>
    <w:rsid w:val="7DAC7216"/>
    <w:rsid w:val="7DCC76C3"/>
    <w:rsid w:val="7DEB07DD"/>
    <w:rsid w:val="7DFF35F5"/>
    <w:rsid w:val="7E287769"/>
    <w:rsid w:val="7E29217F"/>
    <w:rsid w:val="7E4D4360"/>
    <w:rsid w:val="7E9D2302"/>
    <w:rsid w:val="7E9D7E72"/>
    <w:rsid w:val="7EA47346"/>
    <w:rsid w:val="7EB22415"/>
    <w:rsid w:val="7EB370F0"/>
    <w:rsid w:val="7EB71545"/>
    <w:rsid w:val="7EC21404"/>
    <w:rsid w:val="7ECD38F2"/>
    <w:rsid w:val="7ED60D88"/>
    <w:rsid w:val="7EEE43CC"/>
    <w:rsid w:val="7EF22DB3"/>
    <w:rsid w:val="7EF46ED2"/>
    <w:rsid w:val="7EFC1C85"/>
    <w:rsid w:val="7F070A80"/>
    <w:rsid w:val="7F1B03F9"/>
    <w:rsid w:val="7F242655"/>
    <w:rsid w:val="7F397C8B"/>
    <w:rsid w:val="7F485EDA"/>
    <w:rsid w:val="7F4F5EB6"/>
    <w:rsid w:val="7F582037"/>
    <w:rsid w:val="7F78365F"/>
    <w:rsid w:val="7F967E1D"/>
    <w:rsid w:val="7FA03AD8"/>
    <w:rsid w:val="7FA402F8"/>
    <w:rsid w:val="7FC1179B"/>
    <w:rsid w:val="F9DD4E3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semiHidden="0"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uiPriority="99" w:name="List 3" w:locked="1"/>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uiPriority="99" w:name="List Continue 2" w:locked="1"/>
    <w:lsdException w:uiPriority="99" w:name="List Continue 3" w:locked="1"/>
    <w:lsdException w:uiPriority="99" w:name="List Continue 4" w:locked="1"/>
    <w:lsdException w:uiPriority="99" w:name="List Continue 5" w:locked="1"/>
    <w:lsdException w:qFormat="1" w:uiPriority="0" w:semiHidden="0"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qFormat="1" w:uiPriority="99" w:name="HTML Typewriter" w:locked="1"/>
    <w:lsdException w:qFormat="1"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5"/>
    <w:autoRedefine/>
    <w:qFormat/>
    <w:uiPriority w:val="99"/>
    <w:pPr>
      <w:keepNext/>
      <w:keepLines/>
      <w:spacing w:before="340" w:after="330" w:line="576" w:lineRule="auto"/>
      <w:jc w:val="center"/>
      <w:outlineLvl w:val="0"/>
    </w:pPr>
    <w:rPr>
      <w:b/>
      <w:bCs/>
      <w:kern w:val="44"/>
      <w:sz w:val="44"/>
      <w:szCs w:val="44"/>
    </w:rPr>
  </w:style>
  <w:style w:type="paragraph" w:styleId="4">
    <w:name w:val="heading 2"/>
    <w:basedOn w:val="1"/>
    <w:next w:val="1"/>
    <w:link w:val="82"/>
    <w:autoRedefine/>
    <w:qFormat/>
    <w:uiPriority w:val="99"/>
    <w:pPr>
      <w:keepNext/>
      <w:keepLines/>
      <w:tabs>
        <w:tab w:val="left" w:pos="420"/>
        <w:tab w:val="left" w:pos="840"/>
      </w:tabs>
      <w:spacing w:before="260" w:after="260" w:line="413" w:lineRule="auto"/>
      <w:ind w:left="840" w:hanging="420"/>
      <w:jc w:val="center"/>
      <w:outlineLvl w:val="1"/>
    </w:pPr>
    <w:rPr>
      <w:rFonts w:ascii="Arial" w:hAnsi="Arial" w:eastAsia="黑体" w:cs="Arial"/>
      <w:b/>
      <w:bCs/>
      <w:kern w:val="0"/>
      <w:sz w:val="32"/>
      <w:szCs w:val="32"/>
    </w:rPr>
  </w:style>
  <w:style w:type="paragraph" w:styleId="5">
    <w:name w:val="heading 3"/>
    <w:basedOn w:val="1"/>
    <w:next w:val="1"/>
    <w:link w:val="83"/>
    <w:autoRedefine/>
    <w:qFormat/>
    <w:uiPriority w:val="99"/>
    <w:pPr>
      <w:keepNext/>
      <w:keepLines/>
      <w:spacing w:before="260" w:after="260" w:line="413" w:lineRule="auto"/>
      <w:outlineLvl w:val="2"/>
    </w:pPr>
    <w:rPr>
      <w:b/>
      <w:bCs/>
      <w:kern w:val="0"/>
      <w:sz w:val="32"/>
      <w:szCs w:val="32"/>
    </w:rPr>
  </w:style>
  <w:style w:type="paragraph" w:styleId="6">
    <w:name w:val="heading 4"/>
    <w:basedOn w:val="1"/>
    <w:next w:val="1"/>
    <w:link w:val="84"/>
    <w:autoRedefine/>
    <w:qFormat/>
    <w:uiPriority w:val="99"/>
    <w:pPr>
      <w:keepNext/>
      <w:keepLines/>
      <w:spacing w:before="280" w:after="290" w:line="372" w:lineRule="auto"/>
      <w:outlineLvl w:val="3"/>
    </w:pPr>
    <w:rPr>
      <w:rFonts w:ascii="Arial" w:hAnsi="Arial" w:eastAsia="黑体" w:cs="Arial"/>
      <w:b/>
      <w:bCs/>
      <w:sz w:val="28"/>
      <w:szCs w:val="28"/>
    </w:rPr>
  </w:style>
  <w:style w:type="paragraph" w:styleId="7">
    <w:name w:val="heading 5"/>
    <w:basedOn w:val="1"/>
    <w:next w:val="1"/>
    <w:link w:val="85"/>
    <w:autoRedefine/>
    <w:qFormat/>
    <w:uiPriority w:val="99"/>
    <w:pPr>
      <w:keepNext/>
      <w:keepLines/>
      <w:spacing w:before="280" w:after="290" w:line="376" w:lineRule="auto"/>
      <w:ind w:left="1008" w:hanging="1008"/>
      <w:outlineLvl w:val="4"/>
    </w:pPr>
    <w:rPr>
      <w:b/>
      <w:bCs/>
      <w:sz w:val="28"/>
      <w:szCs w:val="28"/>
    </w:rPr>
  </w:style>
  <w:style w:type="paragraph" w:styleId="8">
    <w:name w:val="heading 6"/>
    <w:basedOn w:val="1"/>
    <w:next w:val="1"/>
    <w:link w:val="86"/>
    <w:autoRedefine/>
    <w:qFormat/>
    <w:uiPriority w:val="99"/>
    <w:pPr>
      <w:keepNext/>
      <w:keepLines/>
      <w:spacing w:before="240" w:after="64" w:line="320" w:lineRule="auto"/>
      <w:ind w:left="1152" w:hanging="1152"/>
      <w:outlineLvl w:val="5"/>
    </w:pPr>
    <w:rPr>
      <w:rFonts w:ascii="Cambria" w:hAnsi="Cambria" w:cs="Cambria"/>
      <w:b/>
      <w:bCs/>
      <w:sz w:val="24"/>
      <w:szCs w:val="24"/>
    </w:rPr>
  </w:style>
  <w:style w:type="paragraph" w:styleId="9">
    <w:name w:val="heading 7"/>
    <w:basedOn w:val="1"/>
    <w:next w:val="1"/>
    <w:link w:val="87"/>
    <w:autoRedefine/>
    <w:qFormat/>
    <w:uiPriority w:val="99"/>
    <w:pPr>
      <w:keepNext/>
      <w:keepLines/>
      <w:spacing w:before="240" w:after="64" w:line="320" w:lineRule="auto"/>
      <w:ind w:left="1296" w:hanging="1296"/>
      <w:outlineLvl w:val="6"/>
    </w:pPr>
    <w:rPr>
      <w:b/>
      <w:bCs/>
      <w:sz w:val="24"/>
      <w:szCs w:val="24"/>
    </w:rPr>
  </w:style>
  <w:style w:type="paragraph" w:styleId="10">
    <w:name w:val="heading 8"/>
    <w:basedOn w:val="1"/>
    <w:next w:val="1"/>
    <w:link w:val="88"/>
    <w:autoRedefine/>
    <w:qFormat/>
    <w:uiPriority w:val="99"/>
    <w:pPr>
      <w:keepNext/>
      <w:keepLines/>
      <w:spacing w:before="240" w:after="64" w:line="320" w:lineRule="auto"/>
      <w:ind w:left="1440" w:hanging="1440"/>
      <w:outlineLvl w:val="7"/>
    </w:pPr>
    <w:rPr>
      <w:rFonts w:ascii="Cambria" w:hAnsi="Cambria" w:cs="Cambria"/>
      <w:sz w:val="24"/>
      <w:szCs w:val="24"/>
    </w:rPr>
  </w:style>
  <w:style w:type="paragraph" w:styleId="11">
    <w:name w:val="heading 9"/>
    <w:basedOn w:val="1"/>
    <w:next w:val="1"/>
    <w:link w:val="89"/>
    <w:autoRedefine/>
    <w:qFormat/>
    <w:uiPriority w:val="99"/>
    <w:pPr>
      <w:keepNext/>
      <w:keepLines/>
      <w:spacing w:before="240" w:after="64" w:line="320" w:lineRule="auto"/>
      <w:ind w:left="1584" w:hanging="1584"/>
      <w:outlineLvl w:val="8"/>
    </w:pPr>
    <w:rPr>
      <w:rFonts w:ascii="Cambria" w:hAnsi="Cambria" w:cs="Cambria"/>
    </w:rPr>
  </w:style>
  <w:style w:type="character" w:default="1" w:styleId="50">
    <w:name w:val="Default Paragraph Font"/>
    <w:autoRedefine/>
    <w:semiHidden/>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90"/>
    <w:autoRedefine/>
    <w:qFormat/>
    <w:uiPriority w:val="99"/>
    <w:pPr>
      <w:adjustRightInd w:val="0"/>
      <w:jc w:val="left"/>
      <w:textAlignment w:val="baseline"/>
    </w:pPr>
    <w:rPr>
      <w:rFonts w:ascii="楷体_GB2312" w:eastAsia="楷体_GB2312" w:cs="楷体_GB2312"/>
      <w:kern w:val="0"/>
      <w:sz w:val="28"/>
      <w:szCs w:val="28"/>
    </w:rPr>
  </w:style>
  <w:style w:type="paragraph" w:styleId="12">
    <w:name w:val="toc 7"/>
    <w:basedOn w:val="1"/>
    <w:next w:val="1"/>
    <w:autoRedefine/>
    <w:qFormat/>
    <w:uiPriority w:val="99"/>
    <w:pPr>
      <w:ind w:left="1260"/>
      <w:jc w:val="left"/>
    </w:pPr>
    <w:rPr>
      <w:rFonts w:ascii="Calibri" w:hAnsi="Calibri" w:cs="Calibri"/>
      <w:sz w:val="18"/>
      <w:szCs w:val="18"/>
    </w:rPr>
  </w:style>
  <w:style w:type="paragraph" w:styleId="13">
    <w:name w:val="List Number"/>
    <w:basedOn w:val="1"/>
    <w:autoRedefine/>
    <w:qFormat/>
    <w:uiPriority w:val="99"/>
    <w:pPr>
      <w:tabs>
        <w:tab w:val="left" w:pos="360"/>
      </w:tabs>
      <w:ind w:left="360" w:hanging="360"/>
    </w:pPr>
  </w:style>
  <w:style w:type="paragraph" w:styleId="14">
    <w:name w:val="Normal Indent"/>
    <w:basedOn w:val="1"/>
    <w:next w:val="15"/>
    <w:autoRedefine/>
    <w:qFormat/>
    <w:uiPriority w:val="99"/>
    <w:pPr>
      <w:ind w:firstLine="420"/>
    </w:pPr>
  </w:style>
  <w:style w:type="paragraph" w:styleId="15">
    <w:name w:val="Body Text 2"/>
    <w:basedOn w:val="1"/>
    <w:next w:val="2"/>
    <w:link w:val="103"/>
    <w:autoRedefine/>
    <w:qFormat/>
    <w:uiPriority w:val="99"/>
    <w:pPr>
      <w:spacing w:after="120" w:line="480" w:lineRule="auto"/>
    </w:pPr>
    <w:rPr>
      <w:kern w:val="0"/>
      <w:sz w:val="20"/>
      <w:szCs w:val="20"/>
    </w:rPr>
  </w:style>
  <w:style w:type="paragraph" w:styleId="16">
    <w:name w:val="List Bullet"/>
    <w:basedOn w:val="1"/>
    <w:autoRedefine/>
    <w:qFormat/>
    <w:uiPriority w:val="99"/>
    <w:pPr>
      <w:tabs>
        <w:tab w:val="left" w:pos="360"/>
      </w:tabs>
      <w:ind w:left="360" w:hanging="360"/>
    </w:pPr>
  </w:style>
  <w:style w:type="paragraph" w:styleId="17">
    <w:name w:val="Document Map"/>
    <w:basedOn w:val="1"/>
    <w:link w:val="94"/>
    <w:autoRedefine/>
    <w:semiHidden/>
    <w:qFormat/>
    <w:uiPriority w:val="99"/>
    <w:rPr>
      <w:rFonts w:ascii="??" w:eastAsia="Times New Roman" w:cs="??"/>
      <w:sz w:val="18"/>
      <w:szCs w:val="18"/>
    </w:rPr>
  </w:style>
  <w:style w:type="paragraph" w:styleId="18">
    <w:name w:val="annotation text"/>
    <w:basedOn w:val="1"/>
    <w:link w:val="95"/>
    <w:autoRedefine/>
    <w:semiHidden/>
    <w:qFormat/>
    <w:uiPriority w:val="99"/>
    <w:pPr>
      <w:jc w:val="left"/>
    </w:pPr>
    <w:rPr>
      <w:sz w:val="24"/>
      <w:szCs w:val="24"/>
    </w:rPr>
  </w:style>
  <w:style w:type="paragraph" w:styleId="19">
    <w:name w:val="Body Text 3"/>
    <w:basedOn w:val="1"/>
    <w:link w:val="96"/>
    <w:autoRedefine/>
    <w:qFormat/>
    <w:uiPriority w:val="99"/>
    <w:pPr>
      <w:spacing w:after="120"/>
    </w:pPr>
    <w:rPr>
      <w:kern w:val="0"/>
      <w:sz w:val="16"/>
      <w:szCs w:val="16"/>
    </w:rPr>
  </w:style>
  <w:style w:type="paragraph" w:styleId="20">
    <w:name w:val="Body Text Indent"/>
    <w:basedOn w:val="1"/>
    <w:next w:val="1"/>
    <w:link w:val="92"/>
    <w:autoRedefine/>
    <w:qFormat/>
    <w:uiPriority w:val="99"/>
    <w:pPr>
      <w:adjustRightInd w:val="0"/>
      <w:ind w:left="960"/>
      <w:jc w:val="left"/>
      <w:textAlignment w:val="baseline"/>
    </w:pPr>
    <w:rPr>
      <w:kern w:val="0"/>
      <w:sz w:val="20"/>
      <w:szCs w:val="20"/>
    </w:rPr>
  </w:style>
  <w:style w:type="paragraph" w:styleId="21">
    <w:name w:val="List 2"/>
    <w:basedOn w:val="1"/>
    <w:autoRedefine/>
    <w:qFormat/>
    <w:uiPriority w:val="99"/>
    <w:pPr>
      <w:ind w:left="100" w:leftChars="200" w:hanging="200" w:hangingChars="200"/>
    </w:pPr>
  </w:style>
  <w:style w:type="paragraph" w:styleId="22">
    <w:name w:val="List Continue"/>
    <w:basedOn w:val="1"/>
    <w:autoRedefine/>
    <w:qFormat/>
    <w:uiPriority w:val="99"/>
    <w:pPr>
      <w:spacing w:after="120"/>
      <w:ind w:left="420" w:leftChars="200"/>
    </w:pPr>
  </w:style>
  <w:style w:type="paragraph" w:styleId="23">
    <w:name w:val="toc 5"/>
    <w:basedOn w:val="1"/>
    <w:next w:val="1"/>
    <w:autoRedefine/>
    <w:semiHidden/>
    <w:qFormat/>
    <w:uiPriority w:val="99"/>
    <w:pPr>
      <w:ind w:left="840"/>
      <w:jc w:val="left"/>
    </w:pPr>
    <w:rPr>
      <w:rFonts w:ascii="Calibri" w:hAnsi="Calibri" w:cs="Calibri"/>
      <w:sz w:val="18"/>
      <w:szCs w:val="18"/>
    </w:rPr>
  </w:style>
  <w:style w:type="paragraph" w:styleId="24">
    <w:name w:val="toc 3"/>
    <w:basedOn w:val="1"/>
    <w:next w:val="1"/>
    <w:autoRedefine/>
    <w:semiHidden/>
    <w:qFormat/>
    <w:uiPriority w:val="99"/>
    <w:pPr>
      <w:ind w:left="420"/>
      <w:jc w:val="left"/>
    </w:pPr>
    <w:rPr>
      <w:rFonts w:ascii="Calibri" w:hAnsi="Calibri" w:cs="Calibri"/>
      <w:i/>
      <w:iCs/>
      <w:sz w:val="20"/>
      <w:szCs w:val="20"/>
    </w:rPr>
  </w:style>
  <w:style w:type="paragraph" w:styleId="25">
    <w:name w:val="Plain Text"/>
    <w:basedOn w:val="1"/>
    <w:link w:val="97"/>
    <w:autoRedefine/>
    <w:qFormat/>
    <w:uiPriority w:val="99"/>
    <w:rPr>
      <w:rFonts w:ascii="??" w:hAnsi="Courier New" w:eastAsia="Times New Roman" w:cs="??"/>
    </w:rPr>
  </w:style>
  <w:style w:type="paragraph" w:styleId="26">
    <w:name w:val="toc 8"/>
    <w:basedOn w:val="1"/>
    <w:next w:val="1"/>
    <w:autoRedefine/>
    <w:semiHidden/>
    <w:qFormat/>
    <w:uiPriority w:val="99"/>
    <w:pPr>
      <w:ind w:left="1470"/>
      <w:jc w:val="left"/>
    </w:pPr>
    <w:rPr>
      <w:rFonts w:ascii="Calibri" w:hAnsi="Calibri" w:cs="Calibri"/>
      <w:sz w:val="18"/>
      <w:szCs w:val="18"/>
    </w:rPr>
  </w:style>
  <w:style w:type="paragraph" w:styleId="27">
    <w:name w:val="Date"/>
    <w:basedOn w:val="1"/>
    <w:next w:val="1"/>
    <w:link w:val="98"/>
    <w:autoRedefine/>
    <w:qFormat/>
    <w:uiPriority w:val="99"/>
    <w:pPr>
      <w:adjustRightInd w:val="0"/>
      <w:spacing w:line="360" w:lineRule="atLeast"/>
      <w:textAlignment w:val="baseline"/>
    </w:pPr>
    <w:rPr>
      <w:kern w:val="0"/>
      <w:sz w:val="20"/>
      <w:szCs w:val="20"/>
    </w:rPr>
  </w:style>
  <w:style w:type="paragraph" w:styleId="28">
    <w:name w:val="Body Text Indent 2"/>
    <w:basedOn w:val="1"/>
    <w:link w:val="99"/>
    <w:autoRedefine/>
    <w:qFormat/>
    <w:uiPriority w:val="99"/>
    <w:pPr>
      <w:tabs>
        <w:tab w:val="left" w:pos="-1134"/>
      </w:tabs>
      <w:spacing w:line="360" w:lineRule="auto"/>
      <w:ind w:left="2127" w:hanging="1701"/>
    </w:pPr>
    <w:rPr>
      <w:kern w:val="0"/>
      <w:sz w:val="20"/>
      <w:szCs w:val="20"/>
    </w:rPr>
  </w:style>
  <w:style w:type="paragraph" w:styleId="29">
    <w:name w:val="Balloon Text"/>
    <w:basedOn w:val="1"/>
    <w:link w:val="100"/>
    <w:autoRedefine/>
    <w:semiHidden/>
    <w:qFormat/>
    <w:uiPriority w:val="99"/>
    <w:rPr>
      <w:sz w:val="18"/>
      <w:szCs w:val="18"/>
    </w:rPr>
  </w:style>
  <w:style w:type="paragraph" w:styleId="30">
    <w:name w:val="footer"/>
    <w:basedOn w:val="1"/>
    <w:link w:val="101"/>
    <w:autoRedefine/>
    <w:qFormat/>
    <w:uiPriority w:val="99"/>
    <w:pPr>
      <w:tabs>
        <w:tab w:val="center" w:pos="4153"/>
        <w:tab w:val="right" w:pos="8306"/>
      </w:tabs>
      <w:snapToGrid w:val="0"/>
      <w:jc w:val="left"/>
    </w:pPr>
    <w:rPr>
      <w:sz w:val="18"/>
      <w:szCs w:val="18"/>
    </w:rPr>
  </w:style>
  <w:style w:type="paragraph" w:styleId="31">
    <w:name w:val="envelope return"/>
    <w:basedOn w:val="1"/>
    <w:autoRedefine/>
    <w:qFormat/>
    <w:locked/>
    <w:uiPriority w:val="0"/>
    <w:pPr>
      <w:snapToGrid w:val="0"/>
    </w:pPr>
    <w:rPr>
      <w:rFonts w:ascii="Arial" w:hAnsi="Arial"/>
    </w:rPr>
  </w:style>
  <w:style w:type="paragraph" w:styleId="32">
    <w:name w:val="header"/>
    <w:basedOn w:val="1"/>
    <w:link w:val="102"/>
    <w:autoRedefine/>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pPr>
      <w:spacing w:line="440" w:lineRule="exact"/>
      <w:jc w:val="left"/>
    </w:pPr>
    <w:rPr>
      <w:rFonts w:ascii="Calibri" w:hAnsi="Calibri" w:cs="Calibri"/>
      <w:b/>
      <w:bCs/>
      <w:caps/>
      <w:sz w:val="24"/>
      <w:szCs w:val="24"/>
    </w:rPr>
  </w:style>
  <w:style w:type="paragraph" w:styleId="34">
    <w:name w:val="toc 4"/>
    <w:basedOn w:val="1"/>
    <w:next w:val="1"/>
    <w:autoRedefine/>
    <w:semiHidden/>
    <w:qFormat/>
    <w:uiPriority w:val="99"/>
    <w:pPr>
      <w:ind w:left="630"/>
      <w:jc w:val="left"/>
    </w:pPr>
    <w:rPr>
      <w:rFonts w:ascii="Calibri" w:hAnsi="Calibri" w:cs="Calibri"/>
      <w:sz w:val="18"/>
      <w:szCs w:val="18"/>
    </w:rPr>
  </w:style>
  <w:style w:type="paragraph" w:styleId="35">
    <w:name w:val="List"/>
    <w:basedOn w:val="1"/>
    <w:autoRedefine/>
    <w:qFormat/>
    <w:uiPriority w:val="99"/>
    <w:pPr>
      <w:ind w:left="200" w:hanging="200" w:hangingChars="200"/>
    </w:pPr>
  </w:style>
  <w:style w:type="paragraph" w:styleId="36">
    <w:name w:val="toc 6"/>
    <w:basedOn w:val="1"/>
    <w:next w:val="1"/>
    <w:autoRedefine/>
    <w:semiHidden/>
    <w:qFormat/>
    <w:uiPriority w:val="99"/>
    <w:pPr>
      <w:ind w:left="1050"/>
      <w:jc w:val="left"/>
    </w:pPr>
    <w:rPr>
      <w:rFonts w:ascii="Calibri" w:hAnsi="Calibri" w:cs="Calibri"/>
      <w:sz w:val="18"/>
      <w:szCs w:val="18"/>
    </w:rPr>
  </w:style>
  <w:style w:type="paragraph" w:styleId="37">
    <w:name w:val="List 5"/>
    <w:basedOn w:val="1"/>
    <w:autoRedefine/>
    <w:qFormat/>
    <w:uiPriority w:val="99"/>
    <w:pPr>
      <w:ind w:left="2100" w:hanging="420"/>
    </w:pPr>
    <w:rPr>
      <w:rFonts w:eastAsia="楷体_GB2312"/>
      <w:sz w:val="32"/>
      <w:szCs w:val="32"/>
    </w:rPr>
  </w:style>
  <w:style w:type="paragraph" w:styleId="38">
    <w:name w:val="toc 2"/>
    <w:basedOn w:val="1"/>
    <w:next w:val="1"/>
    <w:autoRedefine/>
    <w:qFormat/>
    <w:uiPriority w:val="39"/>
    <w:pPr>
      <w:spacing w:line="440" w:lineRule="exact"/>
      <w:ind w:left="420"/>
      <w:jc w:val="left"/>
    </w:pPr>
    <w:rPr>
      <w:rFonts w:ascii="Calibri" w:hAnsi="Calibri" w:cs="Calibri"/>
      <w:smallCaps/>
      <w:sz w:val="20"/>
      <w:szCs w:val="20"/>
    </w:rPr>
  </w:style>
  <w:style w:type="paragraph" w:styleId="39">
    <w:name w:val="toc 9"/>
    <w:basedOn w:val="1"/>
    <w:next w:val="1"/>
    <w:autoRedefine/>
    <w:semiHidden/>
    <w:qFormat/>
    <w:uiPriority w:val="99"/>
    <w:pPr>
      <w:ind w:left="1680"/>
      <w:jc w:val="left"/>
    </w:pPr>
    <w:rPr>
      <w:rFonts w:ascii="Calibri" w:hAnsi="Calibri" w:cs="Calibri"/>
      <w:sz w:val="18"/>
      <w:szCs w:val="18"/>
    </w:rPr>
  </w:style>
  <w:style w:type="paragraph" w:styleId="40">
    <w:name w:val="List 4"/>
    <w:basedOn w:val="1"/>
    <w:autoRedefine/>
    <w:qFormat/>
    <w:uiPriority w:val="99"/>
    <w:pPr>
      <w:ind w:left="1680" w:hanging="420"/>
    </w:pPr>
    <w:rPr>
      <w:rFonts w:eastAsia="楷体_GB2312"/>
      <w:sz w:val="32"/>
      <w:szCs w:val="32"/>
    </w:rPr>
  </w:style>
  <w:style w:type="paragraph" w:styleId="41">
    <w:name w:val="Message Header"/>
    <w:basedOn w:val="1"/>
    <w:autoRedefine/>
    <w:unhideWhenUsed/>
    <w:qFormat/>
    <w:locked/>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2">
    <w:name w:val="HTML Preformatted"/>
    <w:basedOn w:val="1"/>
    <w:link w:val="104"/>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43">
    <w:name w:val="Normal (Web)"/>
    <w:basedOn w:val="1"/>
    <w:autoRedefine/>
    <w:qFormat/>
    <w:uiPriority w:val="99"/>
    <w:pPr>
      <w:widowControl/>
      <w:spacing w:before="100" w:beforeAutospacing="1" w:after="100" w:afterAutospacing="1"/>
      <w:jc w:val="left"/>
    </w:pPr>
    <w:rPr>
      <w:rFonts w:ascii="??" w:hAnsi="??" w:cs="??"/>
      <w:kern w:val="0"/>
      <w:sz w:val="24"/>
      <w:szCs w:val="24"/>
    </w:rPr>
  </w:style>
  <w:style w:type="paragraph" w:styleId="44">
    <w:name w:val="Title"/>
    <w:basedOn w:val="1"/>
    <w:link w:val="105"/>
    <w:autoRedefine/>
    <w:qFormat/>
    <w:uiPriority w:val="99"/>
    <w:pPr>
      <w:spacing w:before="240" w:after="60"/>
      <w:jc w:val="center"/>
      <w:outlineLvl w:val="0"/>
    </w:pPr>
    <w:rPr>
      <w:rFonts w:ascii="Arial" w:hAnsi="Arial" w:cs="Arial"/>
      <w:b/>
      <w:bCs/>
      <w:sz w:val="32"/>
      <w:szCs w:val="32"/>
    </w:rPr>
  </w:style>
  <w:style w:type="paragraph" w:styleId="45">
    <w:name w:val="annotation subject"/>
    <w:basedOn w:val="18"/>
    <w:next w:val="18"/>
    <w:link w:val="106"/>
    <w:autoRedefine/>
    <w:semiHidden/>
    <w:qFormat/>
    <w:uiPriority w:val="99"/>
    <w:rPr>
      <w:b/>
      <w:bCs/>
      <w:sz w:val="20"/>
      <w:szCs w:val="20"/>
    </w:rPr>
  </w:style>
  <w:style w:type="paragraph" w:styleId="46">
    <w:name w:val="Body Text First Indent"/>
    <w:basedOn w:val="2"/>
    <w:next w:val="47"/>
    <w:link w:val="91"/>
    <w:autoRedefine/>
    <w:qFormat/>
    <w:uiPriority w:val="99"/>
    <w:pPr>
      <w:adjustRightInd/>
      <w:spacing w:after="120"/>
      <w:ind w:firstLine="420"/>
      <w:jc w:val="both"/>
      <w:textAlignment w:val="auto"/>
    </w:pPr>
    <w:rPr>
      <w:kern w:val="2"/>
      <w:sz w:val="32"/>
      <w:szCs w:val="32"/>
    </w:rPr>
  </w:style>
  <w:style w:type="paragraph" w:styleId="47">
    <w:name w:val="Body Text First Indent 2"/>
    <w:basedOn w:val="20"/>
    <w:next w:val="1"/>
    <w:link w:val="93"/>
    <w:autoRedefine/>
    <w:qFormat/>
    <w:uiPriority w:val="99"/>
    <w:pPr>
      <w:spacing w:after="120"/>
      <w:ind w:left="420" w:leftChars="200" w:firstLine="420" w:firstLineChars="200"/>
    </w:pPr>
    <w:rPr>
      <w:kern w:val="2"/>
      <w:sz w:val="21"/>
      <w:szCs w:val="21"/>
    </w:rPr>
  </w:style>
  <w:style w:type="table" w:styleId="49">
    <w:name w:val="Table Grid"/>
    <w:basedOn w:val="4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autoRedefine/>
    <w:qFormat/>
    <w:uiPriority w:val="99"/>
    <w:rPr>
      <w:rFonts w:cs="Times New Roman"/>
      <w:b/>
      <w:bCs/>
    </w:rPr>
  </w:style>
  <w:style w:type="character" w:styleId="52">
    <w:name w:val="page number"/>
    <w:basedOn w:val="50"/>
    <w:autoRedefine/>
    <w:qFormat/>
    <w:uiPriority w:val="99"/>
    <w:rPr>
      <w:rFonts w:cs="Times New Roman"/>
    </w:rPr>
  </w:style>
  <w:style w:type="character" w:styleId="53">
    <w:name w:val="FollowedHyperlink"/>
    <w:autoRedefine/>
    <w:qFormat/>
    <w:uiPriority w:val="99"/>
    <w:rPr>
      <w:rFonts w:cs="Times New Roman"/>
      <w:color w:val="000000"/>
      <w:u w:val="none"/>
    </w:rPr>
  </w:style>
  <w:style w:type="character" w:styleId="54">
    <w:name w:val="Emphasis"/>
    <w:autoRedefine/>
    <w:qFormat/>
    <w:uiPriority w:val="99"/>
    <w:rPr>
      <w:rFonts w:cs="Times New Roman"/>
      <w:i/>
      <w:iCs/>
    </w:rPr>
  </w:style>
  <w:style w:type="character" w:styleId="55">
    <w:name w:val="HTML Definition"/>
    <w:basedOn w:val="50"/>
    <w:autoRedefine/>
    <w:semiHidden/>
    <w:unhideWhenUsed/>
    <w:qFormat/>
    <w:locked/>
    <w:uiPriority w:val="99"/>
  </w:style>
  <w:style w:type="character" w:styleId="56">
    <w:name w:val="HTML Typewriter"/>
    <w:basedOn w:val="50"/>
    <w:autoRedefine/>
    <w:semiHidden/>
    <w:unhideWhenUsed/>
    <w:qFormat/>
    <w:locked/>
    <w:uiPriority w:val="99"/>
    <w:rPr>
      <w:rFonts w:hint="default" w:ascii="monospace" w:hAnsi="monospace" w:eastAsia="monospace" w:cs="monospace"/>
      <w:sz w:val="20"/>
    </w:rPr>
  </w:style>
  <w:style w:type="character" w:styleId="57">
    <w:name w:val="HTML Acronym"/>
    <w:basedOn w:val="50"/>
    <w:autoRedefine/>
    <w:semiHidden/>
    <w:unhideWhenUsed/>
    <w:qFormat/>
    <w:locked/>
    <w:uiPriority w:val="99"/>
  </w:style>
  <w:style w:type="character" w:styleId="58">
    <w:name w:val="HTML Variable"/>
    <w:basedOn w:val="50"/>
    <w:autoRedefine/>
    <w:semiHidden/>
    <w:unhideWhenUsed/>
    <w:qFormat/>
    <w:locked/>
    <w:uiPriority w:val="99"/>
  </w:style>
  <w:style w:type="character" w:styleId="59">
    <w:name w:val="Hyperlink"/>
    <w:autoRedefine/>
    <w:qFormat/>
    <w:uiPriority w:val="99"/>
    <w:rPr>
      <w:rFonts w:cs="Times New Roman"/>
      <w:color w:val="000000"/>
      <w:u w:val="none"/>
    </w:rPr>
  </w:style>
  <w:style w:type="character" w:styleId="60">
    <w:name w:val="HTML Code"/>
    <w:basedOn w:val="50"/>
    <w:autoRedefine/>
    <w:semiHidden/>
    <w:unhideWhenUsed/>
    <w:qFormat/>
    <w:locked/>
    <w:uiPriority w:val="99"/>
    <w:rPr>
      <w:rFonts w:ascii="monospace" w:hAnsi="monospace" w:eastAsia="monospace" w:cs="monospace"/>
      <w:sz w:val="20"/>
    </w:rPr>
  </w:style>
  <w:style w:type="character" w:styleId="61">
    <w:name w:val="annotation reference"/>
    <w:autoRedefine/>
    <w:semiHidden/>
    <w:qFormat/>
    <w:uiPriority w:val="99"/>
    <w:rPr>
      <w:rFonts w:cs="Times New Roman"/>
      <w:sz w:val="21"/>
      <w:szCs w:val="21"/>
    </w:rPr>
  </w:style>
  <w:style w:type="character" w:styleId="62">
    <w:name w:val="HTML Cite"/>
    <w:basedOn w:val="50"/>
    <w:autoRedefine/>
    <w:semiHidden/>
    <w:unhideWhenUsed/>
    <w:qFormat/>
    <w:locked/>
    <w:uiPriority w:val="99"/>
  </w:style>
  <w:style w:type="character" w:styleId="63">
    <w:name w:val="HTML Keyboard"/>
    <w:basedOn w:val="50"/>
    <w:autoRedefine/>
    <w:semiHidden/>
    <w:unhideWhenUsed/>
    <w:qFormat/>
    <w:locked/>
    <w:uiPriority w:val="99"/>
    <w:rPr>
      <w:rFonts w:hint="default" w:ascii="monospace" w:hAnsi="monospace" w:eastAsia="monospace" w:cs="monospace"/>
      <w:sz w:val="20"/>
    </w:rPr>
  </w:style>
  <w:style w:type="character" w:styleId="64">
    <w:name w:val="HTML Sample"/>
    <w:basedOn w:val="50"/>
    <w:autoRedefine/>
    <w:semiHidden/>
    <w:unhideWhenUsed/>
    <w:qFormat/>
    <w:locked/>
    <w:uiPriority w:val="99"/>
    <w:rPr>
      <w:rFonts w:hint="default" w:ascii="monospace" w:hAnsi="monospace" w:eastAsia="monospace" w:cs="monospace"/>
    </w:rPr>
  </w:style>
  <w:style w:type="character" w:customStyle="1" w:styleId="65">
    <w:name w:val="标题 1 字符"/>
    <w:link w:val="3"/>
    <w:autoRedefine/>
    <w:qFormat/>
    <w:locked/>
    <w:uiPriority w:val="99"/>
    <w:rPr>
      <w:rFonts w:cs="Times New Roman"/>
      <w:b/>
      <w:bCs/>
      <w:kern w:val="44"/>
      <w:sz w:val="44"/>
      <w:szCs w:val="44"/>
    </w:rPr>
  </w:style>
  <w:style w:type="paragraph" w:customStyle="1" w:styleId="66">
    <w:name w:val="BodyText"/>
    <w:basedOn w:val="1"/>
    <w:next w:val="67"/>
    <w:autoRedefine/>
    <w:qFormat/>
    <w:uiPriority w:val="0"/>
    <w:pPr>
      <w:spacing w:after="120"/>
      <w:textAlignment w:val="baseline"/>
    </w:pPr>
  </w:style>
  <w:style w:type="paragraph" w:customStyle="1" w:styleId="67">
    <w:name w:val="UserStyle_0"/>
    <w:autoRedefine/>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68">
    <w:name w:val="一级条标题"/>
    <w:basedOn w:val="69"/>
    <w:next w:val="70"/>
    <w:link w:val="155"/>
    <w:autoRedefine/>
    <w:qFormat/>
    <w:uiPriority w:val="99"/>
    <w:pPr>
      <w:tabs>
        <w:tab w:val="left" w:pos="360"/>
      </w:tabs>
      <w:spacing w:beforeLines="0" w:afterLines="0"/>
      <w:ind w:left="0"/>
      <w:outlineLvl w:val="2"/>
    </w:pPr>
  </w:style>
  <w:style w:type="paragraph" w:customStyle="1" w:styleId="69">
    <w:name w:val="章标题"/>
    <w:basedOn w:val="1"/>
    <w:next w:val="1"/>
    <w:link w:val="118"/>
    <w:autoRedefine/>
    <w:qFormat/>
    <w:uiPriority w:val="99"/>
    <w:pPr>
      <w:widowControl/>
      <w:spacing w:beforeLines="100" w:afterLines="100"/>
      <w:ind w:left="142"/>
      <w:outlineLvl w:val="1"/>
    </w:pPr>
    <w:rPr>
      <w:rFonts w:ascii="黑体" w:eastAsia="黑体"/>
      <w:kern w:val="0"/>
      <w:szCs w:val="20"/>
    </w:rPr>
  </w:style>
  <w:style w:type="paragraph" w:customStyle="1" w:styleId="70">
    <w:name w:val="段"/>
    <w:basedOn w:val="71"/>
    <w:next w:val="1"/>
    <w:autoRedefine/>
    <w:qFormat/>
    <w:uiPriority w:val="99"/>
    <w:pPr>
      <w:widowControl/>
      <w:autoSpaceDE w:val="0"/>
      <w:autoSpaceDN w:val="0"/>
      <w:ind w:firstLine="420" w:firstLineChars="200"/>
    </w:pPr>
    <w:rPr>
      <w:rFonts w:ascii="??" w:eastAsia="Times New Roman" w:cs="??"/>
      <w:kern w:val="0"/>
    </w:rPr>
  </w:style>
  <w:style w:type="paragraph" w:customStyle="1" w:styleId="71">
    <w:name w:val="正文1"/>
    <w:basedOn w:val="1"/>
    <w:next w:val="72"/>
    <w:autoRedefine/>
    <w:qFormat/>
    <w:uiPriority w:val="0"/>
    <w:pPr>
      <w:spacing w:line="360" w:lineRule="atLeast"/>
      <w:jc w:val="left"/>
    </w:pPr>
    <w:rPr>
      <w:rFonts w:ascii="宋体" w:hAnsi="Calibri"/>
      <w:sz w:val="24"/>
    </w:rPr>
  </w:style>
  <w:style w:type="paragraph" w:customStyle="1" w:styleId="72">
    <w:name w:val="脚注文本1"/>
    <w:basedOn w:val="71"/>
    <w:next w:val="73"/>
    <w:autoRedefine/>
    <w:qFormat/>
    <w:uiPriority w:val="0"/>
    <w:rPr>
      <w:rFonts w:eastAsia="Times New Roman"/>
      <w:sz w:val="18"/>
      <w:szCs w:val="18"/>
    </w:rPr>
  </w:style>
  <w:style w:type="paragraph" w:customStyle="1" w:styleId="73">
    <w:name w:val="索引 51"/>
    <w:basedOn w:val="71"/>
    <w:next w:val="71"/>
    <w:autoRedefine/>
    <w:qFormat/>
    <w:uiPriority w:val="0"/>
    <w:pPr>
      <w:ind w:left="798"/>
    </w:pPr>
    <w:rPr>
      <w:rFonts w:ascii="Calibri"/>
    </w:rPr>
  </w:style>
  <w:style w:type="paragraph" w:customStyle="1" w:styleId="74">
    <w:name w:val="Default"/>
    <w:autoRedefine/>
    <w:qFormat/>
    <w:uiPriority w:val="99"/>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75">
    <w:name w:val="Char Char10 Char Char Char Char"/>
    <w:basedOn w:val="1"/>
    <w:next w:val="76"/>
    <w:autoRedefine/>
    <w:qFormat/>
    <w:uiPriority w:val="0"/>
    <w:rPr>
      <w:rFonts w:ascii="Calibri" w:hAnsi="Calibri"/>
      <w:kern w:val="0"/>
    </w:rPr>
  </w:style>
  <w:style w:type="paragraph" w:customStyle="1" w:styleId="76">
    <w:name w:val="xl87"/>
    <w:basedOn w:val="1"/>
    <w:next w:val="77"/>
    <w:autoRedefine/>
    <w:qFormat/>
    <w:uiPriority w:val="0"/>
    <w:pPr>
      <w:widowControl/>
      <w:pBdr>
        <w:top w:val="single" w:color="auto" w:sz="4" w:space="0"/>
        <w:left w:val="double" w:color="auto" w:sz="6" w:space="0"/>
        <w:bottom w:val="double" w:color="auto" w:sz="6"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7">
    <w:name w:val="xl72"/>
    <w:basedOn w:val="1"/>
    <w:next w:val="27"/>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78">
    <w:name w:val="无间隔1"/>
    <w:next w:val="79"/>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79">
    <w:name w:val="正文（首行缩进） Char"/>
    <w:basedOn w:val="1"/>
    <w:next w:val="80"/>
    <w:autoRedefine/>
    <w:qFormat/>
    <w:uiPriority w:val="0"/>
    <w:pPr>
      <w:spacing w:line="360" w:lineRule="auto"/>
      <w:ind w:firstLine="480"/>
    </w:pPr>
    <w:rPr>
      <w:rFonts w:ascii="Arial"/>
      <w:color w:val="000000"/>
      <w:sz w:val="24"/>
    </w:rPr>
  </w:style>
  <w:style w:type="paragraph" w:customStyle="1" w:styleId="80">
    <w:name w:val="2号黑体加粗"/>
    <w:basedOn w:val="1"/>
    <w:next w:val="81"/>
    <w:autoRedefine/>
    <w:qFormat/>
    <w:uiPriority w:val="0"/>
    <w:pPr>
      <w:jc w:val="center"/>
    </w:pPr>
    <w:rPr>
      <w:rFonts w:ascii="Calibri" w:eastAsia="黑体"/>
      <w:b/>
      <w:sz w:val="44"/>
    </w:rPr>
  </w:style>
  <w:style w:type="paragraph" w:customStyle="1" w:styleId="81">
    <w:name w:val="表格文字"/>
    <w:basedOn w:val="1"/>
    <w:next w:val="1"/>
    <w:autoRedefine/>
    <w:qFormat/>
    <w:uiPriority w:val="0"/>
    <w:pPr>
      <w:adjustRightInd w:val="0"/>
      <w:spacing w:line="420" w:lineRule="atLeast"/>
      <w:jc w:val="left"/>
      <w:textAlignment w:val="baseline"/>
    </w:pPr>
    <w:rPr>
      <w:kern w:val="0"/>
      <w:szCs w:val="20"/>
    </w:rPr>
  </w:style>
  <w:style w:type="character" w:customStyle="1" w:styleId="82">
    <w:name w:val="标题 2 字符"/>
    <w:link w:val="4"/>
    <w:autoRedefine/>
    <w:qFormat/>
    <w:locked/>
    <w:uiPriority w:val="99"/>
    <w:rPr>
      <w:rFonts w:ascii="Arial" w:hAnsi="Arial" w:eastAsia="黑体" w:cs="Arial"/>
      <w:b/>
      <w:bCs/>
      <w:sz w:val="32"/>
      <w:szCs w:val="32"/>
    </w:rPr>
  </w:style>
  <w:style w:type="character" w:customStyle="1" w:styleId="83">
    <w:name w:val="标题 3 字符"/>
    <w:link w:val="5"/>
    <w:autoRedefine/>
    <w:qFormat/>
    <w:locked/>
    <w:uiPriority w:val="99"/>
    <w:rPr>
      <w:rFonts w:cs="Times New Roman"/>
      <w:b/>
      <w:bCs/>
      <w:sz w:val="32"/>
      <w:szCs w:val="32"/>
    </w:rPr>
  </w:style>
  <w:style w:type="character" w:customStyle="1" w:styleId="84">
    <w:name w:val="标题 4 字符"/>
    <w:link w:val="6"/>
    <w:autoRedefine/>
    <w:semiHidden/>
    <w:qFormat/>
    <w:locked/>
    <w:uiPriority w:val="99"/>
    <w:rPr>
      <w:rFonts w:ascii="Arial" w:hAnsi="Arial" w:eastAsia="黑体" w:cs="Arial"/>
      <w:b/>
      <w:bCs/>
      <w:kern w:val="2"/>
      <w:sz w:val="28"/>
      <w:szCs w:val="28"/>
      <w:lang w:val="en-US" w:eastAsia="zh-CN"/>
    </w:rPr>
  </w:style>
  <w:style w:type="character" w:customStyle="1" w:styleId="85">
    <w:name w:val="标题 5 字符"/>
    <w:link w:val="7"/>
    <w:autoRedefine/>
    <w:semiHidden/>
    <w:qFormat/>
    <w:locked/>
    <w:uiPriority w:val="99"/>
    <w:rPr>
      <w:rFonts w:eastAsia="Times New Roman" w:cs="Times New Roman"/>
      <w:b/>
      <w:bCs/>
      <w:kern w:val="2"/>
      <w:sz w:val="28"/>
      <w:szCs w:val="28"/>
      <w:lang w:val="en-US" w:eastAsia="zh-CN"/>
    </w:rPr>
  </w:style>
  <w:style w:type="character" w:customStyle="1" w:styleId="86">
    <w:name w:val="标题 6 字符"/>
    <w:link w:val="8"/>
    <w:autoRedefine/>
    <w:semiHidden/>
    <w:qFormat/>
    <w:locked/>
    <w:uiPriority w:val="99"/>
    <w:rPr>
      <w:rFonts w:ascii="Cambria" w:hAnsi="Cambria" w:cs="Cambria"/>
      <w:b/>
      <w:bCs/>
      <w:kern w:val="2"/>
      <w:sz w:val="24"/>
      <w:szCs w:val="24"/>
      <w:lang w:val="en-US" w:eastAsia="zh-CN"/>
    </w:rPr>
  </w:style>
  <w:style w:type="character" w:customStyle="1" w:styleId="87">
    <w:name w:val="标题 7 字符"/>
    <w:link w:val="9"/>
    <w:autoRedefine/>
    <w:semiHidden/>
    <w:qFormat/>
    <w:locked/>
    <w:uiPriority w:val="99"/>
    <w:rPr>
      <w:rFonts w:eastAsia="Times New Roman" w:cs="Times New Roman"/>
      <w:b/>
      <w:bCs/>
      <w:kern w:val="2"/>
      <w:sz w:val="24"/>
      <w:szCs w:val="24"/>
      <w:lang w:val="en-US" w:eastAsia="zh-CN"/>
    </w:rPr>
  </w:style>
  <w:style w:type="character" w:customStyle="1" w:styleId="88">
    <w:name w:val="标题 8 字符"/>
    <w:link w:val="10"/>
    <w:autoRedefine/>
    <w:semiHidden/>
    <w:qFormat/>
    <w:locked/>
    <w:uiPriority w:val="99"/>
    <w:rPr>
      <w:rFonts w:ascii="Cambria" w:hAnsi="Cambria" w:cs="Cambria"/>
      <w:kern w:val="2"/>
      <w:sz w:val="24"/>
      <w:szCs w:val="24"/>
      <w:lang w:val="en-US" w:eastAsia="zh-CN"/>
    </w:rPr>
  </w:style>
  <w:style w:type="character" w:customStyle="1" w:styleId="89">
    <w:name w:val="标题 9 字符"/>
    <w:link w:val="11"/>
    <w:autoRedefine/>
    <w:semiHidden/>
    <w:qFormat/>
    <w:locked/>
    <w:uiPriority w:val="99"/>
    <w:rPr>
      <w:rFonts w:ascii="Cambria" w:hAnsi="Cambria" w:cs="Cambria"/>
      <w:kern w:val="2"/>
      <w:sz w:val="21"/>
      <w:szCs w:val="21"/>
      <w:lang w:val="en-US" w:eastAsia="zh-CN"/>
    </w:rPr>
  </w:style>
  <w:style w:type="character" w:customStyle="1" w:styleId="90">
    <w:name w:val="正文文本 字符"/>
    <w:link w:val="2"/>
    <w:autoRedefine/>
    <w:qFormat/>
    <w:locked/>
    <w:uiPriority w:val="99"/>
    <w:rPr>
      <w:rFonts w:ascii="楷体_GB2312" w:eastAsia="楷体_GB2312" w:cs="楷体_GB2312"/>
      <w:sz w:val="28"/>
      <w:szCs w:val="28"/>
      <w:lang w:val="en-US" w:eastAsia="zh-CN"/>
    </w:rPr>
  </w:style>
  <w:style w:type="character" w:customStyle="1" w:styleId="91">
    <w:name w:val="正文文本首行缩进 字符"/>
    <w:link w:val="46"/>
    <w:autoRedefine/>
    <w:qFormat/>
    <w:locked/>
    <w:uiPriority w:val="99"/>
    <w:rPr>
      <w:rFonts w:ascii="楷体_GB2312" w:eastAsia="楷体_GB2312" w:cs="楷体_GB2312"/>
      <w:kern w:val="2"/>
      <w:sz w:val="32"/>
      <w:szCs w:val="32"/>
      <w:lang w:val="en-US" w:eastAsia="zh-CN"/>
    </w:rPr>
  </w:style>
  <w:style w:type="character" w:customStyle="1" w:styleId="92">
    <w:name w:val="正文文本缩进 字符"/>
    <w:link w:val="20"/>
    <w:autoRedefine/>
    <w:semiHidden/>
    <w:qFormat/>
    <w:locked/>
    <w:uiPriority w:val="99"/>
    <w:rPr>
      <w:rFonts w:cs="Times New Roman"/>
      <w:sz w:val="20"/>
      <w:szCs w:val="20"/>
    </w:rPr>
  </w:style>
  <w:style w:type="character" w:customStyle="1" w:styleId="93">
    <w:name w:val="正文文本首行缩进 2 字符"/>
    <w:basedOn w:val="92"/>
    <w:link w:val="47"/>
    <w:autoRedefine/>
    <w:semiHidden/>
    <w:qFormat/>
    <w:locked/>
    <w:uiPriority w:val="99"/>
    <w:rPr>
      <w:rFonts w:cs="Times New Roman"/>
      <w:sz w:val="20"/>
      <w:szCs w:val="20"/>
    </w:rPr>
  </w:style>
  <w:style w:type="character" w:customStyle="1" w:styleId="94">
    <w:name w:val="文档结构图 字符"/>
    <w:link w:val="17"/>
    <w:autoRedefine/>
    <w:qFormat/>
    <w:locked/>
    <w:uiPriority w:val="99"/>
    <w:rPr>
      <w:rFonts w:ascii="??" w:eastAsia="Times New Roman" w:cs="??"/>
      <w:kern w:val="2"/>
      <w:sz w:val="18"/>
      <w:szCs w:val="18"/>
    </w:rPr>
  </w:style>
  <w:style w:type="character" w:customStyle="1" w:styleId="95">
    <w:name w:val="批注文字 字符"/>
    <w:link w:val="18"/>
    <w:autoRedefine/>
    <w:qFormat/>
    <w:locked/>
    <w:uiPriority w:val="99"/>
    <w:rPr>
      <w:rFonts w:eastAsia="Times New Roman" w:cs="Times New Roman"/>
      <w:kern w:val="2"/>
      <w:sz w:val="24"/>
      <w:szCs w:val="24"/>
      <w:lang w:val="en-US" w:eastAsia="zh-CN"/>
    </w:rPr>
  </w:style>
  <w:style w:type="character" w:customStyle="1" w:styleId="96">
    <w:name w:val="正文文本 3 字符"/>
    <w:link w:val="19"/>
    <w:autoRedefine/>
    <w:semiHidden/>
    <w:qFormat/>
    <w:locked/>
    <w:uiPriority w:val="99"/>
    <w:rPr>
      <w:rFonts w:cs="Times New Roman"/>
      <w:sz w:val="16"/>
      <w:szCs w:val="16"/>
    </w:rPr>
  </w:style>
  <w:style w:type="character" w:customStyle="1" w:styleId="97">
    <w:name w:val="纯文本 字符"/>
    <w:link w:val="25"/>
    <w:autoRedefine/>
    <w:qFormat/>
    <w:locked/>
    <w:uiPriority w:val="99"/>
    <w:rPr>
      <w:rFonts w:ascii="??" w:hAnsi="Courier New" w:eastAsia="Times New Roman" w:cs="??"/>
      <w:kern w:val="2"/>
      <w:sz w:val="21"/>
      <w:szCs w:val="21"/>
      <w:lang w:val="en-US" w:eastAsia="zh-CN"/>
    </w:rPr>
  </w:style>
  <w:style w:type="character" w:customStyle="1" w:styleId="98">
    <w:name w:val="日期 字符"/>
    <w:link w:val="27"/>
    <w:autoRedefine/>
    <w:semiHidden/>
    <w:qFormat/>
    <w:locked/>
    <w:uiPriority w:val="99"/>
    <w:rPr>
      <w:rFonts w:cs="Times New Roman"/>
      <w:sz w:val="20"/>
      <w:szCs w:val="20"/>
    </w:rPr>
  </w:style>
  <w:style w:type="character" w:customStyle="1" w:styleId="99">
    <w:name w:val="正文文本缩进 2 字符"/>
    <w:link w:val="28"/>
    <w:autoRedefine/>
    <w:semiHidden/>
    <w:qFormat/>
    <w:locked/>
    <w:uiPriority w:val="99"/>
    <w:rPr>
      <w:rFonts w:cs="Times New Roman"/>
      <w:sz w:val="20"/>
      <w:szCs w:val="20"/>
    </w:rPr>
  </w:style>
  <w:style w:type="character" w:customStyle="1" w:styleId="100">
    <w:name w:val="批注框文本 字符"/>
    <w:link w:val="29"/>
    <w:autoRedefine/>
    <w:qFormat/>
    <w:locked/>
    <w:uiPriority w:val="99"/>
    <w:rPr>
      <w:rFonts w:eastAsia="Times New Roman" w:cs="Times New Roman"/>
      <w:kern w:val="2"/>
      <w:sz w:val="18"/>
      <w:szCs w:val="18"/>
      <w:lang w:val="en-US" w:eastAsia="zh-CN"/>
    </w:rPr>
  </w:style>
  <w:style w:type="character" w:customStyle="1" w:styleId="101">
    <w:name w:val="页脚 字符"/>
    <w:link w:val="30"/>
    <w:autoRedefine/>
    <w:qFormat/>
    <w:locked/>
    <w:uiPriority w:val="99"/>
    <w:rPr>
      <w:rFonts w:eastAsia="Times New Roman" w:cs="Times New Roman"/>
      <w:kern w:val="2"/>
      <w:sz w:val="18"/>
      <w:szCs w:val="18"/>
      <w:lang w:val="en-US" w:eastAsia="zh-CN"/>
    </w:rPr>
  </w:style>
  <w:style w:type="character" w:customStyle="1" w:styleId="102">
    <w:name w:val="页眉 字符"/>
    <w:link w:val="32"/>
    <w:autoRedefine/>
    <w:qFormat/>
    <w:locked/>
    <w:uiPriority w:val="99"/>
    <w:rPr>
      <w:rFonts w:eastAsia="Times New Roman" w:cs="Times New Roman"/>
      <w:kern w:val="2"/>
      <w:sz w:val="18"/>
      <w:szCs w:val="18"/>
      <w:lang w:val="en-US" w:eastAsia="zh-CN"/>
    </w:rPr>
  </w:style>
  <w:style w:type="character" w:customStyle="1" w:styleId="103">
    <w:name w:val="正文文本 2 字符"/>
    <w:link w:val="15"/>
    <w:autoRedefine/>
    <w:semiHidden/>
    <w:qFormat/>
    <w:locked/>
    <w:uiPriority w:val="99"/>
    <w:rPr>
      <w:rFonts w:cs="Times New Roman"/>
      <w:sz w:val="20"/>
      <w:szCs w:val="20"/>
    </w:rPr>
  </w:style>
  <w:style w:type="character" w:customStyle="1" w:styleId="104">
    <w:name w:val="HTML 预设格式 字符"/>
    <w:link w:val="42"/>
    <w:autoRedefine/>
    <w:semiHidden/>
    <w:qFormat/>
    <w:locked/>
    <w:uiPriority w:val="99"/>
    <w:rPr>
      <w:rFonts w:ascii="Courier New" w:hAnsi="Courier New" w:cs="Courier New"/>
      <w:sz w:val="20"/>
      <w:szCs w:val="20"/>
    </w:rPr>
  </w:style>
  <w:style w:type="character" w:customStyle="1" w:styleId="105">
    <w:name w:val="标题 字符"/>
    <w:link w:val="44"/>
    <w:autoRedefine/>
    <w:qFormat/>
    <w:locked/>
    <w:uiPriority w:val="99"/>
    <w:rPr>
      <w:rFonts w:ascii="Arial" w:hAnsi="Arial" w:cs="Arial"/>
      <w:b/>
      <w:bCs/>
      <w:kern w:val="2"/>
      <w:sz w:val="32"/>
      <w:szCs w:val="32"/>
      <w:lang w:val="en-US" w:eastAsia="zh-CN"/>
    </w:rPr>
  </w:style>
  <w:style w:type="character" w:customStyle="1" w:styleId="106">
    <w:name w:val="批注主题 字符"/>
    <w:link w:val="45"/>
    <w:autoRedefine/>
    <w:semiHidden/>
    <w:qFormat/>
    <w:locked/>
    <w:uiPriority w:val="99"/>
    <w:rPr>
      <w:rFonts w:eastAsia="Times New Roman" w:cs="Times New Roman"/>
      <w:b/>
      <w:bCs/>
      <w:kern w:val="2"/>
      <w:sz w:val="20"/>
      <w:szCs w:val="20"/>
      <w:lang w:val="en-US" w:eastAsia="zh-CN"/>
    </w:rPr>
  </w:style>
  <w:style w:type="character" w:customStyle="1" w:styleId="107">
    <w:name w:val="hz4"/>
    <w:autoRedefine/>
    <w:qFormat/>
    <w:uiPriority w:val="99"/>
    <w:rPr>
      <w:rFonts w:cs="Times New Roman"/>
    </w:rPr>
  </w:style>
  <w:style w:type="character" w:customStyle="1" w:styleId="108">
    <w:name w:val="font21"/>
    <w:autoRedefine/>
    <w:qFormat/>
    <w:uiPriority w:val="99"/>
    <w:rPr>
      <w:rFonts w:ascii="??" w:hAnsi="??"/>
      <w:color w:val="000000"/>
      <w:sz w:val="24"/>
      <w:u w:val="none"/>
    </w:rPr>
  </w:style>
  <w:style w:type="character" w:customStyle="1" w:styleId="109">
    <w:name w:val="Char Char5"/>
    <w:autoRedefine/>
    <w:qFormat/>
    <w:uiPriority w:val="99"/>
    <w:rPr>
      <w:rFonts w:eastAsia="Times New Roman"/>
      <w:kern w:val="2"/>
      <w:sz w:val="18"/>
      <w:lang w:val="en-US" w:eastAsia="zh-CN"/>
    </w:rPr>
  </w:style>
  <w:style w:type="character" w:customStyle="1" w:styleId="110">
    <w:name w:val="10"/>
    <w:autoRedefine/>
    <w:qFormat/>
    <w:uiPriority w:val="99"/>
    <w:rPr>
      <w:rFonts w:ascii="Times New Roman" w:hAnsi="Times New Roman"/>
    </w:rPr>
  </w:style>
  <w:style w:type="character" w:customStyle="1" w:styleId="111">
    <w:name w:val="style8"/>
    <w:autoRedefine/>
    <w:qFormat/>
    <w:uiPriority w:val="99"/>
    <w:rPr>
      <w:rFonts w:cs="Times New Roman"/>
    </w:rPr>
  </w:style>
  <w:style w:type="character" w:customStyle="1" w:styleId="112">
    <w:name w:val="icon_ds"/>
    <w:autoRedefine/>
    <w:qFormat/>
    <w:uiPriority w:val="99"/>
  </w:style>
  <w:style w:type="character" w:customStyle="1" w:styleId="113">
    <w:name w:val="style941"/>
    <w:autoRedefine/>
    <w:qFormat/>
    <w:uiPriority w:val="99"/>
    <w:rPr>
      <w:color w:val="auto"/>
    </w:rPr>
  </w:style>
  <w:style w:type="character" w:customStyle="1" w:styleId="114">
    <w:name w:val="style51"/>
    <w:autoRedefine/>
    <w:qFormat/>
    <w:uiPriority w:val="99"/>
    <w:rPr>
      <w:sz w:val="18"/>
    </w:rPr>
  </w:style>
  <w:style w:type="character" w:customStyle="1" w:styleId="115">
    <w:name w:val="表格 Char Char"/>
    <w:link w:val="116"/>
    <w:autoRedefine/>
    <w:qFormat/>
    <w:locked/>
    <w:uiPriority w:val="99"/>
    <w:rPr>
      <w:rFonts w:ascii="??" w:hAnsi="??"/>
      <w:lang w:val="en-US" w:eastAsia="zh-CN"/>
    </w:rPr>
  </w:style>
  <w:style w:type="paragraph" w:customStyle="1" w:styleId="116">
    <w:name w:val="表格"/>
    <w:basedOn w:val="1"/>
    <w:link w:val="115"/>
    <w:autoRedefine/>
    <w:qFormat/>
    <w:uiPriority w:val="99"/>
    <w:pPr>
      <w:snapToGrid w:val="0"/>
      <w:ind w:firstLine="42" w:firstLineChars="21"/>
    </w:pPr>
    <w:rPr>
      <w:rFonts w:ascii="??" w:hAnsi="??"/>
      <w:kern w:val="0"/>
      <w:sz w:val="20"/>
      <w:szCs w:val="20"/>
    </w:rPr>
  </w:style>
  <w:style w:type="character" w:customStyle="1" w:styleId="117">
    <w:name w:val="main"/>
    <w:autoRedefine/>
    <w:qFormat/>
    <w:uiPriority w:val="99"/>
    <w:rPr>
      <w:rFonts w:cs="Times New Roman"/>
    </w:rPr>
  </w:style>
  <w:style w:type="character" w:customStyle="1" w:styleId="118">
    <w:name w:val="章标题 Char"/>
    <w:link w:val="69"/>
    <w:autoRedefine/>
    <w:qFormat/>
    <w:locked/>
    <w:uiPriority w:val="99"/>
    <w:rPr>
      <w:rFonts w:ascii="黑体" w:eastAsia="黑体"/>
      <w:sz w:val="21"/>
      <w:lang w:val="en-US" w:eastAsia="zh-CN"/>
    </w:rPr>
  </w:style>
  <w:style w:type="character" w:customStyle="1" w:styleId="119">
    <w:name w:val="140"/>
    <w:autoRedefine/>
    <w:qFormat/>
    <w:uiPriority w:val="99"/>
    <w:rPr>
      <w:rFonts w:eastAsia="Times New Roman"/>
      <w:kern w:val="2"/>
      <w:sz w:val="24"/>
      <w:lang w:val="en-US" w:eastAsia="zh-CN"/>
    </w:rPr>
  </w:style>
  <w:style w:type="character" w:customStyle="1" w:styleId="120">
    <w:name w:val="style"/>
    <w:autoRedefine/>
    <w:qFormat/>
    <w:uiPriority w:val="99"/>
    <w:rPr>
      <w:rFonts w:cs="Times New Roman"/>
    </w:rPr>
  </w:style>
  <w:style w:type="character" w:customStyle="1" w:styleId="121">
    <w:name w:val="htm10"/>
    <w:autoRedefine/>
    <w:qFormat/>
    <w:uiPriority w:val="99"/>
    <w:rPr>
      <w:rFonts w:cs="Times New Roman"/>
    </w:rPr>
  </w:style>
  <w:style w:type="character" w:customStyle="1" w:styleId="122">
    <w:name w:val="xiadan"/>
    <w:autoRedefine/>
    <w:qFormat/>
    <w:uiPriority w:val="99"/>
    <w:rPr>
      <w:shd w:val="clear" w:color="auto" w:fill="auto"/>
    </w:rPr>
  </w:style>
  <w:style w:type="character" w:customStyle="1" w:styleId="123">
    <w:name w:val="H4 Char"/>
    <w:autoRedefine/>
    <w:qFormat/>
    <w:uiPriority w:val="99"/>
    <w:rPr>
      <w:rFonts w:ascii="Arial" w:hAnsi="Arial" w:eastAsia="黑体"/>
      <w:b/>
      <w:kern w:val="2"/>
      <w:sz w:val="28"/>
      <w:lang w:val="en-US" w:eastAsia="zh-CN"/>
    </w:rPr>
  </w:style>
  <w:style w:type="character" w:customStyle="1" w:styleId="124">
    <w:name w:val="at_4"/>
    <w:autoRedefine/>
    <w:qFormat/>
    <w:uiPriority w:val="99"/>
    <w:rPr>
      <w:rFonts w:eastAsia="Times New Roman"/>
      <w:kern w:val="2"/>
      <w:sz w:val="24"/>
      <w:lang w:val="en-US" w:eastAsia="zh-CN"/>
    </w:rPr>
  </w:style>
  <w:style w:type="character" w:customStyle="1" w:styleId="125">
    <w:name w:val="xiangxicanshu_txt21"/>
    <w:autoRedefine/>
    <w:qFormat/>
    <w:uiPriority w:val="99"/>
    <w:rPr>
      <w:rFonts w:ascii="Arial" w:hAnsi="Arial"/>
      <w:color w:val="auto"/>
      <w:sz w:val="18"/>
    </w:rPr>
  </w:style>
  <w:style w:type="character" w:customStyle="1" w:styleId="126">
    <w:name w:val="列出段落 Char"/>
    <w:link w:val="127"/>
    <w:autoRedefine/>
    <w:qFormat/>
    <w:locked/>
    <w:uiPriority w:val="99"/>
    <w:rPr>
      <w:rFonts w:eastAsia="Times New Roman"/>
      <w:kern w:val="2"/>
      <w:sz w:val="24"/>
      <w:lang w:val="en-US" w:eastAsia="zh-CN"/>
    </w:rPr>
  </w:style>
  <w:style w:type="paragraph" w:customStyle="1" w:styleId="127">
    <w:name w:val="List Paragraph1"/>
    <w:basedOn w:val="1"/>
    <w:link w:val="126"/>
    <w:autoRedefine/>
    <w:qFormat/>
    <w:uiPriority w:val="99"/>
    <w:pPr>
      <w:ind w:firstLine="420" w:firstLineChars="200"/>
    </w:pPr>
    <w:rPr>
      <w:rFonts w:eastAsia="Times New Roman"/>
      <w:sz w:val="24"/>
      <w:szCs w:val="20"/>
    </w:rPr>
  </w:style>
  <w:style w:type="character" w:customStyle="1" w:styleId="128">
    <w:name w:val="font01"/>
    <w:autoRedefine/>
    <w:qFormat/>
    <w:uiPriority w:val="99"/>
    <w:rPr>
      <w:rFonts w:ascii="??" w:hAnsi="??"/>
      <w:color w:val="000000"/>
      <w:sz w:val="24"/>
      <w:u w:val="none"/>
    </w:rPr>
  </w:style>
  <w:style w:type="character" w:customStyle="1" w:styleId="129">
    <w:name w:val="style2"/>
    <w:autoRedefine/>
    <w:qFormat/>
    <w:uiPriority w:val="99"/>
    <w:rPr>
      <w:rFonts w:cs="Times New Roman"/>
    </w:rPr>
  </w:style>
  <w:style w:type="character" w:customStyle="1" w:styleId="130">
    <w:name w:val="blue1"/>
    <w:autoRedefine/>
    <w:qFormat/>
    <w:uiPriority w:val="99"/>
    <w:rPr>
      <w:rFonts w:cs="Times New Roman"/>
    </w:rPr>
  </w:style>
  <w:style w:type="character" w:customStyle="1" w:styleId="131">
    <w:name w:val="style11"/>
    <w:autoRedefine/>
    <w:qFormat/>
    <w:uiPriority w:val="99"/>
    <w:rPr>
      <w:sz w:val="18"/>
    </w:rPr>
  </w:style>
  <w:style w:type="character" w:customStyle="1" w:styleId="132">
    <w:name w:val="zong12"/>
    <w:autoRedefine/>
    <w:qFormat/>
    <w:uiPriority w:val="99"/>
    <w:rPr>
      <w:rFonts w:eastAsia="Times New Roman"/>
      <w:kern w:val="2"/>
      <w:sz w:val="24"/>
      <w:lang w:val="en-US" w:eastAsia="zh-CN"/>
    </w:rPr>
  </w:style>
  <w:style w:type="character" w:customStyle="1" w:styleId="133">
    <w:name w:val="hui3"/>
    <w:autoRedefine/>
    <w:qFormat/>
    <w:uiPriority w:val="99"/>
    <w:rPr>
      <w:color w:val="333333"/>
    </w:rPr>
  </w:style>
  <w:style w:type="character" w:customStyle="1" w:styleId="134">
    <w:name w:val="param-name"/>
    <w:autoRedefine/>
    <w:qFormat/>
    <w:uiPriority w:val="99"/>
    <w:rPr>
      <w:rFonts w:cs="Times New Roman"/>
    </w:rPr>
  </w:style>
  <w:style w:type="character" w:customStyle="1" w:styleId="135">
    <w:name w:val="正文缩进 Char Char"/>
    <w:link w:val="136"/>
    <w:autoRedefine/>
    <w:qFormat/>
    <w:locked/>
    <w:uiPriority w:val="99"/>
    <w:rPr>
      <w:rFonts w:ascii="Arial" w:hAnsi="Arial"/>
      <w:snapToGrid w:val="0"/>
      <w:kern w:val="2"/>
      <w:sz w:val="21"/>
    </w:rPr>
  </w:style>
  <w:style w:type="paragraph" w:customStyle="1" w:styleId="136">
    <w:name w:val="正文缩进1"/>
    <w:basedOn w:val="1"/>
    <w:link w:val="135"/>
    <w:autoRedefine/>
    <w:qFormat/>
    <w:uiPriority w:val="99"/>
    <w:pPr>
      <w:ind w:firstLine="420"/>
    </w:pPr>
    <w:rPr>
      <w:rFonts w:ascii="Arial" w:hAnsi="Arial"/>
      <w:snapToGrid w:val="0"/>
      <w:szCs w:val="20"/>
    </w:rPr>
  </w:style>
  <w:style w:type="character" w:customStyle="1" w:styleId="137">
    <w:name w:val="超链接1"/>
    <w:autoRedefine/>
    <w:qFormat/>
    <w:uiPriority w:val="99"/>
    <w:rPr>
      <w:color w:val="auto"/>
      <w:u w:val="none"/>
    </w:rPr>
  </w:style>
  <w:style w:type="character" w:customStyle="1" w:styleId="138">
    <w:name w:val="text_title"/>
    <w:autoRedefine/>
    <w:qFormat/>
    <w:uiPriority w:val="99"/>
    <w:rPr>
      <w:rFonts w:cs="Times New Roman"/>
    </w:rPr>
  </w:style>
  <w:style w:type="character" w:customStyle="1" w:styleId="139">
    <w:name w:val="普通文字 Char Char Char Char"/>
    <w:autoRedefine/>
    <w:qFormat/>
    <w:uiPriority w:val="99"/>
    <w:rPr>
      <w:rFonts w:ascii="??" w:hAnsi="Courier New" w:eastAsia="Times New Roman"/>
      <w:kern w:val="2"/>
      <w:sz w:val="21"/>
      <w:lang w:val="en-US" w:eastAsia="zh-CN"/>
    </w:rPr>
  </w:style>
  <w:style w:type="character" w:customStyle="1" w:styleId="140">
    <w:name w:val="gray6"/>
    <w:autoRedefine/>
    <w:qFormat/>
    <w:uiPriority w:val="99"/>
    <w:rPr>
      <w:rFonts w:cs="Times New Roman"/>
    </w:rPr>
  </w:style>
  <w:style w:type="character" w:customStyle="1" w:styleId="141">
    <w:name w:val="bei1"/>
    <w:autoRedefine/>
    <w:qFormat/>
    <w:uiPriority w:val="99"/>
    <w:rPr>
      <w:rFonts w:cs="Times New Roman"/>
    </w:rPr>
  </w:style>
  <w:style w:type="character" w:customStyle="1" w:styleId="142">
    <w:name w:val="fr"/>
    <w:autoRedefine/>
    <w:qFormat/>
    <w:uiPriority w:val="99"/>
    <w:rPr>
      <w:rFonts w:cs="Times New Roman"/>
    </w:rPr>
  </w:style>
  <w:style w:type="character" w:customStyle="1" w:styleId="143">
    <w:name w:val="wz1"/>
    <w:autoRedefine/>
    <w:qFormat/>
    <w:uiPriority w:val="99"/>
    <w:rPr>
      <w:rFonts w:ascii="??" w:hAnsi="??"/>
      <w:color w:val="000000"/>
      <w:sz w:val="18"/>
      <w:u w:val="none"/>
    </w:rPr>
  </w:style>
  <w:style w:type="character" w:customStyle="1" w:styleId="144">
    <w:name w:val="icon_gys"/>
    <w:autoRedefine/>
    <w:qFormat/>
    <w:uiPriority w:val="99"/>
    <w:rPr>
      <w:sz w:val="21"/>
    </w:rPr>
  </w:style>
  <w:style w:type="character" w:customStyle="1" w:styleId="145">
    <w:name w:val="style161"/>
    <w:autoRedefine/>
    <w:qFormat/>
    <w:uiPriority w:val="99"/>
    <w:rPr>
      <w:rFonts w:ascii="??" w:hAnsi="??"/>
      <w:color w:val="000000"/>
      <w:sz w:val="21"/>
    </w:rPr>
  </w:style>
  <w:style w:type="character" w:customStyle="1" w:styleId="146">
    <w:name w:val="apple-converted-space"/>
    <w:autoRedefine/>
    <w:qFormat/>
    <w:uiPriority w:val="99"/>
    <w:rPr>
      <w:rFonts w:cs="Times New Roman"/>
    </w:rPr>
  </w:style>
  <w:style w:type="character" w:customStyle="1" w:styleId="147">
    <w:name w:val="font11"/>
    <w:basedOn w:val="50"/>
    <w:autoRedefine/>
    <w:qFormat/>
    <w:uiPriority w:val="99"/>
    <w:rPr>
      <w:rFonts w:ascii="??" w:hAnsi="??"/>
      <w:color w:val="000000"/>
      <w:sz w:val="22"/>
      <w:u w:val="none"/>
    </w:rPr>
  </w:style>
  <w:style w:type="character" w:customStyle="1" w:styleId="148">
    <w:name w:val="style9"/>
    <w:autoRedefine/>
    <w:qFormat/>
    <w:uiPriority w:val="99"/>
    <w:rPr>
      <w:rFonts w:cs="Times New Roman"/>
    </w:rPr>
  </w:style>
  <w:style w:type="character" w:customStyle="1" w:styleId="149">
    <w:name w:val="er1"/>
    <w:autoRedefine/>
    <w:qFormat/>
    <w:uiPriority w:val="99"/>
    <w:rPr>
      <w:rFonts w:cs="Times New Roman"/>
    </w:rPr>
  </w:style>
  <w:style w:type="character" w:customStyle="1" w:styleId="150">
    <w:name w:val="普通文字 Char Char1"/>
    <w:autoRedefine/>
    <w:qFormat/>
    <w:uiPriority w:val="99"/>
    <w:rPr>
      <w:rFonts w:ascii="??" w:hAnsi="Courier New" w:eastAsia="Times New Roman"/>
      <w:kern w:val="2"/>
      <w:sz w:val="21"/>
      <w:lang w:val="en-US" w:eastAsia="zh-CN"/>
    </w:rPr>
  </w:style>
  <w:style w:type="character" w:customStyle="1" w:styleId="151">
    <w:name w:val="15"/>
    <w:autoRedefine/>
    <w:qFormat/>
    <w:uiPriority w:val="99"/>
    <w:rPr>
      <w:rFonts w:ascii="Times New Roman" w:hAnsi="Times New Roman"/>
      <w:sz w:val="20"/>
    </w:rPr>
  </w:style>
  <w:style w:type="character" w:customStyle="1" w:styleId="152">
    <w:name w:val="normal1"/>
    <w:autoRedefine/>
    <w:qFormat/>
    <w:uiPriority w:val="99"/>
    <w:rPr>
      <w:rFonts w:ascii="??" w:hAnsi="??"/>
      <w:sz w:val="20"/>
      <w:u w:val="none"/>
    </w:rPr>
  </w:style>
  <w:style w:type="character" w:customStyle="1" w:styleId="153">
    <w:name w:val="style6"/>
    <w:autoRedefine/>
    <w:qFormat/>
    <w:uiPriority w:val="99"/>
    <w:rPr>
      <w:rFonts w:cs="Times New Roman"/>
    </w:rPr>
  </w:style>
  <w:style w:type="character" w:customStyle="1" w:styleId="154">
    <w:name w:val="icon_ds1"/>
    <w:autoRedefine/>
    <w:qFormat/>
    <w:uiPriority w:val="99"/>
    <w:rPr>
      <w:sz w:val="21"/>
    </w:rPr>
  </w:style>
  <w:style w:type="character" w:customStyle="1" w:styleId="155">
    <w:name w:val="一级条标题 Char"/>
    <w:link w:val="68"/>
    <w:autoRedefine/>
    <w:qFormat/>
    <w:locked/>
    <w:uiPriority w:val="99"/>
    <w:rPr>
      <w:rFonts w:ascii="黑体" w:eastAsia="黑体" w:cs="黑体"/>
      <w:sz w:val="21"/>
      <w:szCs w:val="21"/>
      <w:lang w:val="en-US" w:eastAsia="zh-CN"/>
    </w:rPr>
  </w:style>
  <w:style w:type="character" w:customStyle="1" w:styleId="156">
    <w:name w:val="16"/>
    <w:autoRedefine/>
    <w:qFormat/>
    <w:uiPriority w:val="99"/>
    <w:rPr>
      <w:rFonts w:ascii="Times New Roman" w:hAnsi="Times New Roman"/>
      <w:color w:val="0000FF"/>
      <w:u w:val="single"/>
    </w:rPr>
  </w:style>
  <w:style w:type="character" w:customStyle="1" w:styleId="157">
    <w:name w:val="style201"/>
    <w:autoRedefine/>
    <w:qFormat/>
    <w:uiPriority w:val="99"/>
    <w:rPr>
      <w:rFonts w:ascii="Arial" w:hAnsi="Arial"/>
      <w:b/>
      <w:sz w:val="21"/>
    </w:rPr>
  </w:style>
  <w:style w:type="paragraph" w:customStyle="1" w:styleId="158">
    <w:name w:val="默认段落字体 Para Char Char Char Char"/>
    <w:basedOn w:val="1"/>
    <w:autoRedefine/>
    <w:qFormat/>
    <w:uiPriority w:val="99"/>
    <w:pPr>
      <w:snapToGrid w:val="0"/>
      <w:spacing w:line="360" w:lineRule="auto"/>
      <w:ind w:firstLine="200" w:firstLineChars="200"/>
    </w:pPr>
    <w:rPr>
      <w:rFonts w:eastAsia="仿宋_GB2312"/>
      <w:sz w:val="24"/>
      <w:szCs w:val="24"/>
    </w:rPr>
  </w:style>
  <w:style w:type="paragraph" w:customStyle="1" w:styleId="159">
    <w:name w:val="No Spacing1"/>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160">
    <w:name w:val="正文首行缩进2字"/>
    <w:basedOn w:val="1"/>
    <w:autoRedefine/>
    <w:qFormat/>
    <w:uiPriority w:val="99"/>
    <w:pPr>
      <w:spacing w:before="100" w:beforeAutospacing="1" w:after="100" w:afterAutospacing="1"/>
      <w:ind w:firstLine="560" w:firstLineChars="200"/>
    </w:pPr>
    <w:rPr>
      <w:rFonts w:eastAsia="楷体_GB2312"/>
      <w:kern w:val="0"/>
      <w:sz w:val="28"/>
      <w:szCs w:val="28"/>
    </w:rPr>
  </w:style>
  <w:style w:type="paragraph" w:customStyle="1" w:styleId="161">
    <w:name w:val="style4"/>
    <w:basedOn w:val="1"/>
    <w:autoRedefine/>
    <w:qFormat/>
    <w:uiPriority w:val="99"/>
    <w:pPr>
      <w:widowControl/>
      <w:spacing w:before="100" w:beforeAutospacing="1" w:after="100" w:afterAutospacing="1"/>
      <w:jc w:val="left"/>
    </w:pPr>
    <w:rPr>
      <w:rFonts w:ascii="??" w:hAnsi="??" w:cs="??"/>
      <w:kern w:val="0"/>
      <w:sz w:val="18"/>
      <w:szCs w:val="18"/>
    </w:rPr>
  </w:style>
  <w:style w:type="paragraph" w:customStyle="1" w:styleId="162">
    <w:name w:val="Char Char Char Char Char Char Char Char Char Char"/>
    <w:basedOn w:val="1"/>
    <w:autoRedefine/>
    <w:qFormat/>
    <w:uiPriority w:val="99"/>
  </w:style>
  <w:style w:type="paragraph" w:customStyle="1" w:styleId="163">
    <w:name w:val="Char Char1 Char Char Char Char Char Char"/>
    <w:basedOn w:val="1"/>
    <w:autoRedefine/>
    <w:qFormat/>
    <w:uiPriority w:val="99"/>
    <w:pPr>
      <w:widowControl/>
      <w:adjustRightInd w:val="0"/>
      <w:snapToGrid w:val="0"/>
      <w:spacing w:beforeLines="25" w:afterLines="25" w:line="240" w:lineRule="exact"/>
      <w:ind w:firstLine="560" w:firstLineChars="192"/>
      <w:jc w:val="left"/>
    </w:pPr>
    <w:rPr>
      <w:rFonts w:ascii="??" w:hAnsi="??" w:cs="??"/>
      <w:kern w:val="0"/>
      <w:sz w:val="28"/>
      <w:szCs w:val="28"/>
      <w:lang w:eastAsia="en-US"/>
    </w:rPr>
  </w:style>
  <w:style w:type="paragraph" w:customStyle="1" w:styleId="164">
    <w:name w:val="编号行"/>
    <w:basedOn w:val="1"/>
    <w:autoRedefine/>
    <w:qFormat/>
    <w:uiPriority w:val="99"/>
    <w:pPr>
      <w:adjustRightInd w:val="0"/>
      <w:spacing w:line="360" w:lineRule="atLeast"/>
      <w:textAlignment w:val="baseline"/>
    </w:pPr>
    <w:rPr>
      <w:rFonts w:ascii="_x000B__x000C_" w:hAnsi="_x000B__x000C_" w:cs="_x000B__x000C_"/>
      <w:b/>
      <w:bCs/>
      <w:color w:val="000000"/>
      <w:kern w:val="0"/>
      <w:sz w:val="24"/>
      <w:szCs w:val="24"/>
    </w:rPr>
  </w:style>
  <w:style w:type="paragraph" w:customStyle="1" w:styleId="165">
    <w:name w:val="图"/>
    <w:basedOn w:val="1"/>
    <w:autoRedefine/>
    <w:qFormat/>
    <w:uiPriority w:val="99"/>
    <w:pPr>
      <w:keepNext/>
      <w:adjustRightInd w:val="0"/>
      <w:spacing w:before="60" w:after="60" w:line="300" w:lineRule="auto"/>
      <w:jc w:val="center"/>
      <w:textAlignment w:val="center"/>
    </w:pPr>
    <w:rPr>
      <w:spacing w:val="20"/>
      <w:kern w:val="0"/>
      <w:sz w:val="24"/>
      <w:szCs w:val="24"/>
    </w:rPr>
  </w:style>
  <w:style w:type="paragraph" w:customStyle="1" w:styleId="166">
    <w:name w:val="表 靠左"/>
    <w:basedOn w:val="1"/>
    <w:autoRedefine/>
    <w:qFormat/>
    <w:uiPriority w:val="99"/>
    <w:pPr>
      <w:tabs>
        <w:tab w:val="left" w:pos="2160"/>
      </w:tabs>
      <w:spacing w:line="360" w:lineRule="auto"/>
      <w:jc w:val="left"/>
    </w:pPr>
    <w:rPr>
      <w:rFonts w:hAnsi="??" w:eastAsia="Times New Roman"/>
    </w:rPr>
  </w:style>
  <w:style w:type="paragraph" w:customStyle="1" w:styleId="167">
    <w:name w:val="Char Char1 Char Char Char Char Char Char1"/>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68">
    <w:name w:val="样式2"/>
    <w:basedOn w:val="1"/>
    <w:link w:val="221"/>
    <w:autoRedefine/>
    <w:qFormat/>
    <w:uiPriority w:val="99"/>
    <w:pPr>
      <w:tabs>
        <w:tab w:val="left" w:pos="420"/>
      </w:tabs>
      <w:ind w:left="420" w:hanging="420"/>
    </w:pPr>
    <w:rPr>
      <w:szCs w:val="20"/>
    </w:rPr>
  </w:style>
  <w:style w:type="paragraph" w:customStyle="1" w:styleId="169">
    <w:name w:val="Char Char Char"/>
    <w:basedOn w:val="1"/>
    <w:autoRedefine/>
    <w:qFormat/>
    <w:uiPriority w:val="99"/>
    <w:rPr>
      <w:rFonts w:ascii="Tahoma" w:hAnsi="Tahoma" w:cs="Tahoma"/>
      <w:sz w:val="24"/>
      <w:szCs w:val="24"/>
    </w:rPr>
  </w:style>
  <w:style w:type="paragraph" w:customStyle="1" w:styleId="170">
    <w:name w:val="五级条标题"/>
    <w:basedOn w:val="171"/>
    <w:next w:val="1"/>
    <w:autoRedefine/>
    <w:qFormat/>
    <w:uiPriority w:val="99"/>
    <w:pPr>
      <w:tabs>
        <w:tab w:val="left" w:pos="360"/>
      </w:tabs>
      <w:outlineLvl w:val="6"/>
    </w:pPr>
  </w:style>
  <w:style w:type="paragraph" w:customStyle="1" w:styleId="171">
    <w:name w:val="四级条标题"/>
    <w:basedOn w:val="172"/>
    <w:next w:val="1"/>
    <w:autoRedefine/>
    <w:qFormat/>
    <w:uiPriority w:val="99"/>
    <w:pPr>
      <w:tabs>
        <w:tab w:val="left" w:pos="360"/>
      </w:tabs>
      <w:outlineLvl w:val="5"/>
    </w:pPr>
  </w:style>
  <w:style w:type="paragraph" w:customStyle="1" w:styleId="172">
    <w:name w:val="三级条标题"/>
    <w:basedOn w:val="173"/>
    <w:next w:val="1"/>
    <w:qFormat/>
    <w:uiPriority w:val="99"/>
    <w:pPr>
      <w:tabs>
        <w:tab w:val="left" w:pos="360"/>
      </w:tabs>
      <w:outlineLvl w:val="4"/>
    </w:pPr>
  </w:style>
  <w:style w:type="paragraph" w:customStyle="1" w:styleId="173">
    <w:name w:val="二级条标题"/>
    <w:basedOn w:val="68"/>
    <w:next w:val="1"/>
    <w:autoRedefine/>
    <w:qFormat/>
    <w:uiPriority w:val="99"/>
    <w:pPr>
      <w:ind w:left="360" w:hanging="360"/>
      <w:outlineLvl w:val="3"/>
    </w:pPr>
  </w:style>
  <w:style w:type="paragraph" w:customStyle="1" w:styleId="174">
    <w:name w:val="正文符号1"/>
    <w:basedOn w:val="160"/>
    <w:autoRedefine/>
    <w:qFormat/>
    <w:uiPriority w:val="99"/>
    <w:pPr>
      <w:tabs>
        <w:tab w:val="left" w:pos="987"/>
        <w:tab w:val="left" w:pos="1080"/>
      </w:tabs>
      <w:ind w:left="987" w:hanging="420" w:firstLineChars="0"/>
    </w:pPr>
  </w:style>
  <w:style w:type="paragraph" w:customStyle="1" w:styleId="175">
    <w:name w:val="Char Char Char Char Char Char Char Char Char Char1"/>
    <w:basedOn w:val="1"/>
    <w:autoRedefine/>
    <w:qFormat/>
    <w:uiPriority w:val="99"/>
  </w:style>
  <w:style w:type="paragraph" w:customStyle="1" w:styleId="176">
    <w:name w:val="Char"/>
    <w:basedOn w:val="1"/>
    <w:qFormat/>
    <w:uiPriority w:val="99"/>
    <w:pPr>
      <w:widowControl/>
      <w:spacing w:line="400" w:lineRule="exact"/>
      <w:jc w:val="center"/>
    </w:pPr>
    <w:rPr>
      <w:rFonts w:ascii="Verdana" w:hAnsi="Verdana" w:cs="Verdana"/>
      <w:kern w:val="0"/>
      <w:lang w:eastAsia="en-US"/>
    </w:rPr>
  </w:style>
  <w:style w:type="paragraph" w:customStyle="1" w:styleId="177">
    <w:name w:val="_Style 2"/>
    <w:basedOn w:val="1"/>
    <w:autoRedefine/>
    <w:qFormat/>
    <w:uiPriority w:val="99"/>
    <w:pPr>
      <w:ind w:firstLine="420" w:firstLineChars="200"/>
    </w:pPr>
    <w:rPr>
      <w:rFonts w:ascii="Calibri" w:hAnsi="Calibri" w:cs="Calibri"/>
    </w:rPr>
  </w:style>
  <w:style w:type="paragraph" w:customStyle="1" w:styleId="178">
    <w:name w:val="p"/>
    <w:basedOn w:val="1"/>
    <w:qFormat/>
    <w:uiPriority w:val="99"/>
    <w:pPr>
      <w:widowControl/>
      <w:spacing w:line="432" w:lineRule="auto"/>
      <w:jc w:val="left"/>
    </w:pPr>
    <w:rPr>
      <w:rFonts w:ascii="??" w:hAnsi="??" w:cs="??"/>
      <w:kern w:val="0"/>
      <w:sz w:val="24"/>
      <w:szCs w:val="24"/>
    </w:rPr>
  </w:style>
  <w:style w:type="paragraph" w:customStyle="1" w:styleId="179">
    <w:name w:val="标题 2（绿盟科技）"/>
    <w:basedOn w:val="4"/>
    <w:next w:val="1"/>
    <w:autoRedefine/>
    <w:qFormat/>
    <w:uiPriority w:val="99"/>
    <w:pPr>
      <w:spacing w:line="360" w:lineRule="auto"/>
      <w:ind w:left="1154" w:hanging="794"/>
      <w:jc w:val="left"/>
    </w:pPr>
    <w:rPr>
      <w:color w:val="000000"/>
    </w:rPr>
  </w:style>
  <w:style w:type="paragraph" w:customStyle="1" w:styleId="180">
    <w:name w:val="样式 小四 行距: 1.5 倍行距 首行缩进:  2 字符"/>
    <w:basedOn w:val="1"/>
    <w:qFormat/>
    <w:uiPriority w:val="99"/>
    <w:pPr>
      <w:spacing w:line="360" w:lineRule="auto"/>
      <w:ind w:firstLine="480" w:firstLineChars="200"/>
    </w:pPr>
    <w:rPr>
      <w:sz w:val="24"/>
      <w:szCs w:val="24"/>
    </w:rPr>
  </w:style>
  <w:style w:type="paragraph" w:customStyle="1" w:styleId="181">
    <w:name w:val="_Style 4"/>
    <w:basedOn w:val="1"/>
    <w:autoRedefine/>
    <w:qFormat/>
    <w:uiPriority w:val="99"/>
    <w:pPr>
      <w:adjustRightInd w:val="0"/>
      <w:snapToGrid w:val="0"/>
      <w:spacing w:line="360" w:lineRule="auto"/>
      <w:ind w:firstLine="420" w:firstLineChars="200"/>
    </w:pPr>
    <w:rPr>
      <w:rFonts w:ascii="Calibri" w:hAnsi="Calibri" w:cs="Calibri"/>
      <w:sz w:val="24"/>
      <w:szCs w:val="24"/>
    </w:rPr>
  </w:style>
  <w:style w:type="paragraph" w:customStyle="1" w:styleId="182">
    <w:name w:val="Char Char Char Char Char"/>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83">
    <w:name w:val="List Paragraph11"/>
    <w:basedOn w:val="1"/>
    <w:qFormat/>
    <w:uiPriority w:val="99"/>
    <w:pPr>
      <w:ind w:firstLine="420" w:firstLineChars="200"/>
    </w:pPr>
  </w:style>
  <w:style w:type="paragraph" w:customStyle="1" w:styleId="184">
    <w:name w:val="w"/>
    <w:basedOn w:val="1"/>
    <w:qFormat/>
    <w:uiPriority w:val="99"/>
    <w:pPr>
      <w:widowControl/>
      <w:spacing w:before="100" w:beforeAutospacing="1" w:after="100" w:afterAutospacing="1" w:line="375" w:lineRule="atLeast"/>
      <w:jc w:val="left"/>
    </w:pPr>
    <w:rPr>
      <w:rFonts w:ascii="??" w:hAnsi="??" w:cs="??"/>
      <w:color w:val="000000"/>
      <w:kern w:val="0"/>
      <w:sz w:val="24"/>
      <w:szCs w:val="24"/>
    </w:rPr>
  </w:style>
  <w:style w:type="paragraph" w:customStyle="1" w:styleId="185">
    <w:name w:val="前言、引言标题"/>
    <w:next w:val="1"/>
    <w:qFormat/>
    <w:uiPriority w:val="99"/>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186">
    <w:name w:val="文档正文"/>
    <w:basedOn w:val="1"/>
    <w:qFormat/>
    <w:uiPriority w:val="99"/>
    <w:pPr>
      <w:adjustRightInd w:val="0"/>
      <w:spacing w:line="480" w:lineRule="atLeast"/>
      <w:ind w:firstLine="567"/>
      <w:textAlignment w:val="baseline"/>
    </w:pPr>
    <w:rPr>
      <w:rFonts w:ascii="仿宋_GB2312" w:eastAsia="仿宋_GB2312" w:cs="仿宋_GB2312"/>
      <w:kern w:val="0"/>
      <w:sz w:val="28"/>
      <w:szCs w:val="28"/>
    </w:rPr>
  </w:style>
  <w:style w:type="paragraph" w:customStyle="1" w:styleId="187">
    <w:name w:val="Char Char Char Char Char Char Char Char Char Char Char Char"/>
    <w:basedOn w:val="1"/>
    <w:qFormat/>
    <w:uiPriority w:val="99"/>
    <w:pPr>
      <w:spacing w:line="300" w:lineRule="auto"/>
    </w:pPr>
    <w:rPr>
      <w:rFonts w:ascii="??" w:hAnsi="??" w:cs="??"/>
      <w:b/>
      <w:bCs/>
      <w:color w:val="000000"/>
      <w:spacing w:val="8"/>
      <w:kern w:val="0"/>
      <w:sz w:val="24"/>
      <w:szCs w:val="24"/>
    </w:rPr>
  </w:style>
  <w:style w:type="paragraph" w:customStyle="1" w:styleId="188">
    <w:name w:val="_Style 3"/>
    <w:basedOn w:val="1"/>
    <w:autoRedefine/>
    <w:qFormat/>
    <w:uiPriority w:val="99"/>
    <w:pPr>
      <w:adjustRightInd w:val="0"/>
      <w:snapToGrid w:val="0"/>
      <w:spacing w:line="360" w:lineRule="auto"/>
      <w:ind w:firstLine="420" w:firstLineChars="200"/>
    </w:pPr>
    <w:rPr>
      <w:rFonts w:ascii="Calibri" w:hAnsi="Calibri" w:cs="Calibri"/>
      <w:sz w:val="24"/>
      <w:szCs w:val="24"/>
    </w:rPr>
  </w:style>
  <w:style w:type="paragraph" w:customStyle="1" w:styleId="189">
    <w:name w:val="Char1"/>
    <w:basedOn w:val="1"/>
    <w:autoRedefine/>
    <w:qFormat/>
    <w:uiPriority w:val="99"/>
    <w:rPr>
      <w:rFonts w:ascii="Tahoma" w:hAnsi="Tahoma" w:cs="Tahoma"/>
      <w:sz w:val="24"/>
      <w:szCs w:val="24"/>
    </w:rPr>
  </w:style>
  <w:style w:type="paragraph" w:customStyle="1" w:styleId="190">
    <w:name w:val="列表内容"/>
    <w:basedOn w:val="1"/>
    <w:next w:val="1"/>
    <w:autoRedefine/>
    <w:qFormat/>
    <w:uiPriority w:val="99"/>
    <w:pPr>
      <w:widowControl/>
      <w:tabs>
        <w:tab w:val="left" w:pos="840"/>
        <w:tab w:val="left" w:pos="1425"/>
      </w:tabs>
      <w:ind w:left="1425" w:hanging="720"/>
      <w:jc w:val="left"/>
    </w:pPr>
    <w:rPr>
      <w:kern w:val="0"/>
      <w:sz w:val="18"/>
      <w:szCs w:val="18"/>
    </w:rPr>
  </w:style>
  <w:style w:type="paragraph" w:customStyle="1" w:styleId="191">
    <w:name w:val="Item List"/>
    <w:qFormat/>
    <w:uiPriority w:val="99"/>
    <w:pPr>
      <w:tabs>
        <w:tab w:val="left" w:pos="709"/>
      </w:tabs>
      <w:adjustRightInd w:val="0"/>
      <w:snapToGrid w:val="0"/>
      <w:spacing w:before="80" w:after="80" w:line="240" w:lineRule="atLeast"/>
      <w:ind w:left="709" w:hanging="425"/>
    </w:pPr>
    <w:rPr>
      <w:rFonts w:ascii="Times New Roman" w:hAnsi="Times New Roman" w:eastAsia="宋体" w:cs="Times New Roman"/>
      <w:kern w:val="2"/>
      <w:sz w:val="21"/>
      <w:szCs w:val="21"/>
      <w:lang w:val="en-US" w:eastAsia="zh-CN" w:bidi="ar-SA"/>
    </w:rPr>
  </w:style>
  <w:style w:type="paragraph" w:customStyle="1" w:styleId="192">
    <w:name w:val="Char Char Char Char Char Char Char Char2 Char Char Char Char"/>
    <w:basedOn w:val="1"/>
    <w:qFormat/>
    <w:uiPriority w:val="99"/>
    <w:pPr>
      <w:tabs>
        <w:tab w:val="left" w:pos="360"/>
      </w:tabs>
      <w:ind w:left="360" w:hanging="360" w:hangingChars="200"/>
    </w:pPr>
    <w:rPr>
      <w:sz w:val="24"/>
      <w:szCs w:val="24"/>
    </w:rPr>
  </w:style>
  <w:style w:type="paragraph" w:customStyle="1" w:styleId="193">
    <w:name w:val="样式3"/>
    <w:basedOn w:val="4"/>
    <w:link w:val="222"/>
    <w:qFormat/>
    <w:uiPriority w:val="99"/>
    <w:rPr>
      <w:rFonts w:ascii="黑体" w:cs="Times New Roman"/>
      <w:b w:val="0"/>
      <w:bCs w:val="0"/>
      <w:kern w:val="2"/>
      <w:szCs w:val="20"/>
    </w:rPr>
  </w:style>
  <w:style w:type="paragraph" w:customStyle="1" w:styleId="194">
    <w:name w:val="样式 列表编号 + 红色"/>
    <w:basedOn w:val="13"/>
    <w:qFormat/>
    <w:uiPriority w:val="99"/>
    <w:pPr>
      <w:ind w:hanging="200" w:hangingChars="200"/>
    </w:pPr>
    <w:rPr>
      <w:sz w:val="24"/>
      <w:szCs w:val="24"/>
    </w:rPr>
  </w:style>
  <w:style w:type="paragraph" w:customStyle="1" w:styleId="195">
    <w:name w:val="lvzy"/>
    <w:basedOn w:val="1"/>
    <w:autoRedefine/>
    <w:qFormat/>
    <w:uiPriority w:val="99"/>
    <w:pPr>
      <w:widowControl/>
      <w:spacing w:before="100" w:beforeAutospacing="1" w:after="100" w:afterAutospacing="1" w:line="300" w:lineRule="atLeast"/>
      <w:jc w:val="left"/>
    </w:pPr>
    <w:rPr>
      <w:rFonts w:ascii="??" w:hAnsi="??" w:cs="??"/>
      <w:b/>
      <w:bCs/>
      <w:color w:val="649363"/>
      <w:kern w:val="0"/>
      <w:sz w:val="18"/>
      <w:szCs w:val="18"/>
    </w:rPr>
  </w:style>
  <w:style w:type="paragraph" w:customStyle="1" w:styleId="196">
    <w:name w:val="Char Char1 Char Char Char Char Char Char Char Char"/>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97">
    <w:name w:val="列出段落1"/>
    <w:basedOn w:val="1"/>
    <w:autoRedefine/>
    <w:qFormat/>
    <w:uiPriority w:val="99"/>
    <w:pPr>
      <w:spacing w:line="360" w:lineRule="auto"/>
      <w:ind w:firstLine="420" w:firstLineChars="200"/>
    </w:pPr>
    <w:rPr>
      <w:rFonts w:ascii="Calibri" w:hAnsi="Calibri" w:cs="Calibri"/>
      <w:kern w:val="0"/>
      <w:sz w:val="20"/>
      <w:szCs w:val="20"/>
    </w:rPr>
  </w:style>
  <w:style w:type="paragraph" w:customStyle="1" w:styleId="198">
    <w:name w:val="图表中 居中加粗"/>
    <w:basedOn w:val="1"/>
    <w:autoRedefine/>
    <w:qFormat/>
    <w:uiPriority w:val="99"/>
    <w:pPr>
      <w:spacing w:line="360" w:lineRule="auto"/>
      <w:jc w:val="center"/>
    </w:pPr>
    <w:rPr>
      <w:b/>
      <w:bCs/>
      <w:sz w:val="18"/>
      <w:szCs w:val="18"/>
    </w:rPr>
  </w:style>
  <w:style w:type="paragraph" w:customStyle="1" w:styleId="199">
    <w:name w:val="列出段落2"/>
    <w:basedOn w:val="1"/>
    <w:autoRedefine/>
    <w:qFormat/>
    <w:uiPriority w:val="99"/>
    <w:pPr>
      <w:ind w:firstLine="420" w:firstLineChars="200"/>
    </w:pPr>
    <w:rPr>
      <w:rFonts w:ascii="Calibri" w:hAnsi="Calibri" w:cs="Calibri"/>
    </w:rPr>
  </w:style>
  <w:style w:type="paragraph" w:customStyle="1" w:styleId="200">
    <w:name w:val="bt1"/>
    <w:basedOn w:val="25"/>
    <w:autoRedefine/>
    <w:qFormat/>
    <w:uiPriority w:val="99"/>
  </w:style>
  <w:style w:type="paragraph" w:customStyle="1" w:styleId="201">
    <w:name w:val="技术方案正文样式"/>
    <w:basedOn w:val="1"/>
    <w:autoRedefine/>
    <w:qFormat/>
    <w:uiPriority w:val="99"/>
    <w:pPr>
      <w:autoSpaceDE w:val="0"/>
      <w:autoSpaceDN w:val="0"/>
      <w:adjustRightInd w:val="0"/>
      <w:spacing w:line="400" w:lineRule="exact"/>
      <w:ind w:firstLine="480" w:firstLineChars="200"/>
    </w:pPr>
    <w:rPr>
      <w:rFonts w:ascii="??" w:hAnsi="??" w:cs="??"/>
      <w:sz w:val="24"/>
      <w:szCs w:val="24"/>
    </w:rPr>
  </w:style>
  <w:style w:type="paragraph" w:customStyle="1" w:styleId="202">
    <w:name w:val="默认段落字体 Para Char"/>
    <w:basedOn w:val="1"/>
    <w:qFormat/>
    <w:uiPriority w:val="99"/>
    <w:pPr>
      <w:widowControl/>
      <w:jc w:val="left"/>
    </w:pPr>
    <w:rPr>
      <w:rFonts w:ascii="??" w:hAnsi="??" w:cs="??"/>
      <w:kern w:val="0"/>
      <w:sz w:val="24"/>
      <w:szCs w:val="24"/>
    </w:rPr>
  </w:style>
  <w:style w:type="paragraph" w:customStyle="1" w:styleId="203">
    <w:name w:val="Char Char Char1 Char Char Char Char Char Char1 Char"/>
    <w:basedOn w:val="1"/>
    <w:autoRedefine/>
    <w:qFormat/>
    <w:uiPriority w:val="99"/>
    <w:pPr>
      <w:ind w:right="420"/>
      <w:jc w:val="right"/>
    </w:pPr>
    <w:rPr>
      <w:rFonts w:ascii="??" w:hAnsi="??" w:cs="??"/>
      <w:kern w:val="0"/>
    </w:rPr>
  </w:style>
  <w:style w:type="paragraph" w:customStyle="1" w:styleId="204">
    <w:name w:val="p0"/>
    <w:basedOn w:val="1"/>
    <w:autoRedefine/>
    <w:qFormat/>
    <w:uiPriority w:val="99"/>
    <w:pPr>
      <w:widowControl/>
    </w:pPr>
    <w:rPr>
      <w:kern w:val="0"/>
    </w:rPr>
  </w:style>
  <w:style w:type="paragraph" w:customStyle="1" w:styleId="205">
    <w:name w:val="Char 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206">
    <w:name w:val="Char1 Char Char Char Char Char Char"/>
    <w:basedOn w:val="1"/>
    <w:qFormat/>
    <w:uiPriority w:val="99"/>
    <w:rPr>
      <w:rFonts w:ascii="Tahoma" w:hAnsi="Tahoma" w:cs="Tahoma"/>
      <w:sz w:val="24"/>
      <w:szCs w:val="24"/>
    </w:rPr>
  </w:style>
  <w:style w:type="paragraph" w:customStyle="1" w:styleId="207">
    <w:name w:val="自定义正文"/>
    <w:basedOn w:val="1"/>
    <w:qFormat/>
    <w:uiPriority w:val="99"/>
    <w:pPr>
      <w:spacing w:line="360" w:lineRule="auto"/>
      <w:ind w:firstLine="200" w:firstLineChars="200"/>
      <w:jc w:val="left"/>
    </w:pPr>
    <w:rPr>
      <w:rFonts w:ascii="Calibri" w:hAnsi="Calibri" w:cs="Calibri"/>
      <w:sz w:val="24"/>
      <w:szCs w:val="24"/>
    </w:rPr>
  </w:style>
  <w:style w:type="paragraph" w:customStyle="1" w:styleId="208">
    <w:name w:val="Char Char Char Char Char Char Char Char Char Char Char Char1"/>
    <w:basedOn w:val="1"/>
    <w:qFormat/>
    <w:uiPriority w:val="99"/>
    <w:pPr>
      <w:spacing w:line="300" w:lineRule="auto"/>
    </w:pPr>
    <w:rPr>
      <w:rFonts w:ascii="??" w:hAnsi="??" w:cs="??"/>
      <w:b/>
      <w:bCs/>
      <w:color w:val="000000"/>
      <w:spacing w:val="8"/>
      <w:kern w:val="0"/>
      <w:sz w:val="24"/>
      <w:szCs w:val="24"/>
    </w:rPr>
  </w:style>
  <w:style w:type="paragraph" w:customStyle="1" w:styleId="209">
    <w:name w:val="正文表标题"/>
    <w:next w:val="1"/>
    <w:qFormat/>
    <w:uiPriority w:val="99"/>
    <w:pPr>
      <w:jc w:val="center"/>
    </w:pPr>
    <w:rPr>
      <w:rFonts w:ascii="黑体" w:hAnsi="Times New Roman" w:eastAsia="黑体" w:cs="黑体"/>
      <w:sz w:val="21"/>
      <w:szCs w:val="21"/>
      <w:lang w:val="en-US" w:eastAsia="zh-CN" w:bidi="ar-SA"/>
    </w:rPr>
  </w:style>
  <w:style w:type="paragraph" w:customStyle="1" w:styleId="210">
    <w:name w:val="样式1"/>
    <w:basedOn w:val="1"/>
    <w:link w:val="234"/>
    <w:qFormat/>
    <w:uiPriority w:val="99"/>
    <w:pPr>
      <w:spacing w:line="360" w:lineRule="auto"/>
      <w:ind w:firstLine="471" w:firstLineChars="200"/>
    </w:pPr>
    <w:rPr>
      <w:rFonts w:ascii="??" w:eastAsia="Times New Roman"/>
      <w:sz w:val="24"/>
      <w:szCs w:val="20"/>
    </w:rPr>
  </w:style>
  <w:style w:type="paragraph" w:customStyle="1" w:styleId="211">
    <w:name w:val="tableheading"/>
    <w:basedOn w:val="1"/>
    <w:autoRedefine/>
    <w:qFormat/>
    <w:uiPriority w:val="99"/>
    <w:pPr>
      <w:widowControl/>
      <w:spacing w:before="100" w:beforeAutospacing="1" w:after="100" w:afterAutospacing="1"/>
      <w:jc w:val="left"/>
    </w:pPr>
    <w:rPr>
      <w:rFonts w:ascii="??" w:hAnsi="??" w:cs="??"/>
      <w:kern w:val="0"/>
      <w:sz w:val="24"/>
      <w:szCs w:val="24"/>
    </w:rPr>
  </w:style>
  <w:style w:type="paragraph" w:customStyle="1" w:styleId="212">
    <w:name w:val="Char Char"/>
    <w:basedOn w:val="1"/>
    <w:qFormat/>
    <w:uiPriority w:val="99"/>
    <w:rPr>
      <w:rFonts w:ascii="Tahoma" w:hAnsi="Tahoma" w:cs="Tahoma"/>
      <w:sz w:val="24"/>
      <w:szCs w:val="24"/>
    </w:rPr>
  </w:style>
  <w:style w:type="paragraph" w:customStyle="1" w:styleId="213">
    <w:name w:val="reader-word-layer reader-word-s1-7"/>
    <w:basedOn w:val="1"/>
    <w:autoRedefine/>
    <w:qFormat/>
    <w:uiPriority w:val="99"/>
    <w:pPr>
      <w:widowControl/>
      <w:spacing w:before="100" w:beforeAutospacing="1" w:after="100" w:afterAutospacing="1"/>
      <w:jc w:val="left"/>
    </w:pPr>
    <w:rPr>
      <w:rFonts w:ascii="??" w:hAnsi="??" w:cs="??"/>
      <w:kern w:val="0"/>
      <w:sz w:val="24"/>
      <w:szCs w:val="24"/>
    </w:rPr>
  </w:style>
  <w:style w:type="paragraph" w:customStyle="1" w:styleId="214">
    <w:name w:val="p15"/>
    <w:basedOn w:val="1"/>
    <w:qFormat/>
    <w:uiPriority w:val="99"/>
    <w:pPr>
      <w:widowControl/>
      <w:ind w:firstLine="420"/>
    </w:pPr>
    <w:rPr>
      <w:rFonts w:ascii="Calibri" w:hAnsi="Calibri" w:cs="Calibri"/>
    </w:rPr>
  </w:style>
  <w:style w:type="paragraph" w:customStyle="1" w:styleId="215">
    <w:name w:val="样式"/>
    <w:basedOn w:val="1"/>
    <w:qFormat/>
    <w:uiPriority w:val="99"/>
    <w:pPr>
      <w:autoSpaceDE w:val="0"/>
      <w:autoSpaceDN w:val="0"/>
      <w:adjustRightInd w:val="0"/>
      <w:jc w:val="left"/>
    </w:pPr>
    <w:rPr>
      <w:rFonts w:ascii="??" w:hAnsi="??" w:cs="??"/>
      <w:kern w:val="0"/>
      <w:sz w:val="24"/>
      <w:szCs w:val="24"/>
    </w:rPr>
  </w:style>
  <w:style w:type="paragraph" w:customStyle="1" w:styleId="216">
    <w:name w:val="正文_3_0"/>
    <w:basedOn w:val="1"/>
    <w:qFormat/>
    <w:uiPriority w:val="99"/>
  </w:style>
  <w:style w:type="paragraph" w:customStyle="1" w:styleId="217">
    <w:name w:val="正文_13_0"/>
    <w:basedOn w:val="1"/>
    <w:autoRedefine/>
    <w:qFormat/>
    <w:uiPriority w:val="99"/>
  </w:style>
  <w:style w:type="paragraph" w:customStyle="1" w:styleId="218">
    <w:name w:val="正文_5_0"/>
    <w:basedOn w:val="1"/>
    <w:qFormat/>
    <w:uiPriority w:val="99"/>
  </w:style>
  <w:style w:type="paragraph" w:customStyle="1" w:styleId="219">
    <w:name w:val="正文_6_0"/>
    <w:basedOn w:val="1"/>
    <w:autoRedefine/>
    <w:qFormat/>
    <w:uiPriority w:val="99"/>
  </w:style>
  <w:style w:type="character" w:customStyle="1" w:styleId="220">
    <w:name w:val="样式1 Char"/>
    <w:qFormat/>
    <w:locked/>
    <w:uiPriority w:val="99"/>
    <w:rPr>
      <w:rFonts w:ascii="??" w:eastAsia="Times New Roman"/>
      <w:kern w:val="2"/>
      <w:sz w:val="24"/>
    </w:rPr>
  </w:style>
  <w:style w:type="character" w:customStyle="1" w:styleId="221">
    <w:name w:val="样式2 Char"/>
    <w:link w:val="168"/>
    <w:qFormat/>
    <w:locked/>
    <w:uiPriority w:val="99"/>
    <w:rPr>
      <w:kern w:val="2"/>
      <w:sz w:val="21"/>
    </w:rPr>
  </w:style>
  <w:style w:type="character" w:customStyle="1" w:styleId="222">
    <w:name w:val="样式3 Char"/>
    <w:link w:val="193"/>
    <w:autoRedefine/>
    <w:qFormat/>
    <w:locked/>
    <w:uiPriority w:val="99"/>
    <w:rPr>
      <w:rFonts w:ascii="黑体" w:hAnsi="Arial" w:eastAsia="黑体"/>
      <w:kern w:val="2"/>
      <w:sz w:val="32"/>
    </w:rPr>
  </w:style>
  <w:style w:type="paragraph" w:customStyle="1" w:styleId="223">
    <w:name w:val="无间隔2"/>
    <w:basedOn w:val="1"/>
    <w:qFormat/>
    <w:uiPriority w:val="99"/>
    <w:pPr>
      <w:spacing w:line="400" w:lineRule="exact"/>
    </w:pPr>
    <w:rPr>
      <w:sz w:val="24"/>
      <w:szCs w:val="24"/>
    </w:rPr>
  </w:style>
  <w:style w:type="paragraph" w:customStyle="1" w:styleId="224">
    <w:name w:val="TOC 标题1"/>
    <w:basedOn w:val="3"/>
    <w:next w:val="1"/>
    <w:autoRedefine/>
    <w:qFormat/>
    <w:uiPriority w:val="99"/>
    <w:pPr>
      <w:spacing w:before="240" w:line="259" w:lineRule="auto"/>
      <w:jc w:val="left"/>
      <w:outlineLvl w:val="9"/>
    </w:pPr>
    <w:rPr>
      <w:rFonts w:ascii="Cambria" w:hAnsi="Cambria" w:cs="Cambria"/>
      <w:color w:val="365F91"/>
      <w:kern w:val="0"/>
      <w:sz w:val="32"/>
      <w:szCs w:val="32"/>
    </w:rPr>
  </w:style>
  <w:style w:type="character" w:customStyle="1" w:styleId="225">
    <w:name w:val="on"/>
    <w:qFormat/>
    <w:uiPriority w:val="99"/>
    <w:rPr>
      <w:rFonts w:cs="Times New Roman"/>
      <w:b/>
      <w:bCs/>
      <w:color w:val="auto"/>
    </w:rPr>
  </w:style>
  <w:style w:type="character" w:customStyle="1" w:styleId="226">
    <w:name w:val="on1"/>
    <w:qFormat/>
    <w:uiPriority w:val="99"/>
    <w:rPr>
      <w:rFonts w:cs="Times New Roman"/>
      <w:b/>
      <w:bCs/>
      <w:color w:val="auto"/>
    </w:rPr>
  </w:style>
  <w:style w:type="character" w:customStyle="1" w:styleId="227">
    <w:name w:val="on2"/>
    <w:qFormat/>
    <w:uiPriority w:val="99"/>
    <w:rPr>
      <w:rFonts w:cs="Times New Roman"/>
      <w:color w:val="auto"/>
    </w:rPr>
  </w:style>
  <w:style w:type="character" w:customStyle="1" w:styleId="228">
    <w:name w:val="on3"/>
    <w:qFormat/>
    <w:uiPriority w:val="99"/>
    <w:rPr>
      <w:rFonts w:cs="Times New Roman"/>
      <w:b/>
      <w:bCs/>
      <w:color w:val="auto"/>
    </w:rPr>
  </w:style>
  <w:style w:type="character" w:customStyle="1" w:styleId="229">
    <w:name w:val="current"/>
    <w:autoRedefine/>
    <w:qFormat/>
    <w:uiPriority w:val="99"/>
    <w:rPr>
      <w:rFonts w:cs="Times New Roman"/>
      <w:color w:val="333333"/>
    </w:rPr>
  </w:style>
  <w:style w:type="character" w:customStyle="1" w:styleId="230">
    <w:name w:val="NormalCharacter"/>
    <w:link w:val="231"/>
    <w:autoRedefine/>
    <w:semiHidden/>
    <w:qFormat/>
    <w:uiPriority w:val="0"/>
    <w:rPr>
      <w:kern w:val="2"/>
      <w:sz w:val="24"/>
      <w:szCs w:val="24"/>
      <w:lang w:val="en-US" w:eastAsia="zh-CN" w:bidi="ar-SA"/>
    </w:rPr>
  </w:style>
  <w:style w:type="paragraph" w:customStyle="1" w:styleId="231">
    <w:name w:val="UserStyle_12"/>
    <w:basedOn w:val="1"/>
    <w:link w:val="230"/>
    <w:autoRedefine/>
    <w:qFormat/>
    <w:uiPriority w:val="0"/>
    <w:pPr>
      <w:tabs>
        <w:tab w:val="left" w:pos="840"/>
      </w:tabs>
      <w:ind w:left="840" w:hanging="420"/>
      <w:textAlignment w:val="baseline"/>
    </w:pPr>
    <w:rPr>
      <w:sz w:val="24"/>
      <w:szCs w:val="24"/>
    </w:rPr>
  </w:style>
  <w:style w:type="character" w:customStyle="1" w:styleId="232">
    <w:name w:val="PageNumber"/>
    <w:basedOn w:val="230"/>
    <w:qFormat/>
    <w:uiPriority w:val="0"/>
    <w:rPr>
      <w:kern w:val="2"/>
      <w:sz w:val="24"/>
      <w:szCs w:val="24"/>
      <w:lang w:val="en-US" w:eastAsia="zh-CN" w:bidi="ar-SA"/>
    </w:rPr>
  </w:style>
  <w:style w:type="paragraph" w:styleId="233">
    <w:name w:val="List Paragraph"/>
    <w:basedOn w:val="1"/>
    <w:autoRedefine/>
    <w:qFormat/>
    <w:uiPriority w:val="34"/>
    <w:pPr>
      <w:ind w:firstLine="420" w:firstLineChars="200"/>
    </w:pPr>
  </w:style>
  <w:style w:type="character" w:customStyle="1" w:styleId="234">
    <w:name w:val="样式1 字符"/>
    <w:link w:val="210"/>
    <w:autoRedefine/>
    <w:qFormat/>
    <w:uiPriority w:val="0"/>
    <w:rPr>
      <w:rFonts w:ascii="Calibri" w:hAnsi="Calibri"/>
      <w:kern w:val="2"/>
      <w:sz w:val="21"/>
      <w:szCs w:val="24"/>
    </w:rPr>
  </w:style>
  <w:style w:type="paragraph" w:customStyle="1" w:styleId="235">
    <w:name w:val="Table Paragraph"/>
    <w:basedOn w:val="1"/>
    <w:qFormat/>
    <w:uiPriority w:val="1"/>
    <w:rPr>
      <w:rFonts w:ascii="宋体" w:hAnsi="宋体" w:cs="宋体"/>
      <w:lang w:val="zh-CN" w:bidi="zh-CN"/>
    </w:rPr>
  </w:style>
  <w:style w:type="paragraph" w:styleId="236">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237">
    <w:name w:val="font31"/>
    <w:basedOn w:val="50"/>
    <w:autoRedefine/>
    <w:qFormat/>
    <w:uiPriority w:val="0"/>
    <w:rPr>
      <w:rFonts w:hint="eastAsia" w:ascii="宋体" w:hAnsi="宋体" w:eastAsia="宋体" w:cs="宋体"/>
      <w:color w:val="000000"/>
      <w:sz w:val="24"/>
      <w:szCs w:val="24"/>
      <w:u w:val="none"/>
    </w:rPr>
  </w:style>
  <w:style w:type="character" w:customStyle="1" w:styleId="238">
    <w:name w:val="font71"/>
    <w:basedOn w:val="50"/>
    <w:qFormat/>
    <w:uiPriority w:val="0"/>
    <w:rPr>
      <w:rFonts w:hint="eastAsia" w:ascii="宋体" w:hAnsi="宋体" w:eastAsia="宋体" w:cs="宋体"/>
      <w:color w:val="000000"/>
      <w:sz w:val="22"/>
      <w:szCs w:val="22"/>
      <w:u w:val="none"/>
    </w:rPr>
  </w:style>
  <w:style w:type="character" w:customStyle="1" w:styleId="239">
    <w:name w:val="hover"/>
    <w:basedOn w:val="50"/>
    <w:autoRedefine/>
    <w:qFormat/>
    <w:uiPriority w:val="0"/>
    <w:rPr>
      <w:color w:val="2590EB"/>
    </w:rPr>
  </w:style>
  <w:style w:type="character" w:customStyle="1" w:styleId="240">
    <w:name w:val="hover1"/>
    <w:basedOn w:val="50"/>
    <w:qFormat/>
    <w:uiPriority w:val="0"/>
    <w:rPr>
      <w:color w:val="2590EB"/>
    </w:rPr>
  </w:style>
  <w:style w:type="character" w:customStyle="1" w:styleId="241">
    <w:name w:val="hover2"/>
    <w:basedOn w:val="50"/>
    <w:autoRedefine/>
    <w:qFormat/>
    <w:uiPriority w:val="0"/>
  </w:style>
  <w:style w:type="character" w:customStyle="1" w:styleId="242">
    <w:name w:val="hover3"/>
    <w:basedOn w:val="50"/>
    <w:autoRedefine/>
    <w:qFormat/>
    <w:uiPriority w:val="0"/>
    <w:rPr>
      <w:color w:val="2590EB"/>
      <w:shd w:val="clear" w:color="auto" w:fill="E9F4FD"/>
    </w:rPr>
  </w:style>
  <w:style w:type="character" w:customStyle="1" w:styleId="243">
    <w:name w:val="hover4"/>
    <w:basedOn w:val="50"/>
    <w:autoRedefine/>
    <w:qFormat/>
    <w:uiPriority w:val="0"/>
    <w:rPr>
      <w:color w:val="2590EB"/>
      <w:shd w:val="clear" w:color="auto" w:fill="E9F4FD"/>
    </w:rPr>
  </w:style>
  <w:style w:type="paragraph" w:customStyle="1" w:styleId="244">
    <w:name w:val="Heading2"/>
    <w:basedOn w:val="1"/>
    <w:next w:val="1"/>
    <w:qFormat/>
    <w:uiPriority w:val="0"/>
    <w:pPr>
      <w:keepNext/>
      <w:keepLines/>
      <w:spacing w:before="260" w:after="260" w:line="416" w:lineRule="auto"/>
    </w:pPr>
    <w:rPr>
      <w:rFonts w:ascii="Arial" w:hAnsi="Arial" w:eastAsia="黑体"/>
      <w:b/>
      <w:bCs/>
      <w:sz w:val="3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45841</Words>
  <Characters>50737</Characters>
  <Lines>353</Lines>
  <Paragraphs>99</Paragraphs>
  <TotalTime>69</TotalTime>
  <ScaleCrop>false</ScaleCrop>
  <LinksUpToDate>false</LinksUpToDate>
  <CharactersWithSpaces>53451</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2020-08-07T15:23:00Z</dcterms:created>
  <dc:creator>USER</dc:creator>
  <cp:lastModifiedBy>赵玉</cp:lastModifiedBy>
  <cp:lastPrinted>2019-09-26T09:01:00Z</cp:lastPrinted>
  <dcterms:modified xsi:type="dcterms:W3CDTF">2024-07-26T04:17:10Z</dcterms:modified>
  <dc:title>总 目 录</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B987F3CF1A6B4883ABCA8A98D101D6AD_13</vt:lpwstr>
  </property>
</Properties>
</file>