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CF41F">
      <w:pPr>
        <w:jc w:val="center"/>
        <w:rPr>
          <w:rFonts w:hint="eastAsia" w:ascii="宋体" w:hAnsi="宋体" w:eastAsia="宋体" w:cs="宋体"/>
          <w:b/>
          <w:color w:val="000000" w:themeColor="text1"/>
          <w:sz w:val="44"/>
          <w:szCs w:val="44"/>
          <w:highlight w:val="none"/>
          <w:lang w:eastAsia="zh-CN"/>
          <w14:textFill>
            <w14:solidFill>
              <w14:schemeClr w14:val="tx1"/>
            </w14:solidFill>
          </w14:textFill>
        </w:rPr>
      </w:pPr>
      <w:bookmarkStart w:id="0" w:name="_Toc152042286"/>
      <w:bookmarkStart w:id="1" w:name="_Toc152045511"/>
      <w:bookmarkStart w:id="2" w:name="_Toc27850"/>
      <w:bookmarkStart w:id="3" w:name="_Toc144974478"/>
      <w:bookmarkStart w:id="4" w:name="_Toc179632527"/>
      <w:bookmarkStart w:id="5" w:name="_Toc247096243"/>
      <w:bookmarkStart w:id="6" w:name="_Toc144974479"/>
      <w:bookmarkStart w:id="7" w:name="_Toc28817"/>
      <w:bookmarkStart w:id="8" w:name="_Toc246996157"/>
      <w:bookmarkStart w:id="9" w:name="_Toc152042287"/>
      <w:bookmarkStart w:id="10" w:name="_Toc246996900"/>
      <w:bookmarkStart w:id="11" w:name="_Toc247085671"/>
      <w:r>
        <w:rPr>
          <w:rFonts w:hint="eastAsia" w:ascii="宋体" w:hAnsi="宋体" w:eastAsia="宋体" w:cs="宋体"/>
          <w:b/>
          <w:color w:val="000000" w:themeColor="text1"/>
          <w:sz w:val="44"/>
          <w:szCs w:val="44"/>
          <w:highlight w:val="none"/>
          <w:lang w:eastAsia="zh-CN"/>
          <w14:textFill>
            <w14:solidFill>
              <w14:schemeClr w14:val="tx1"/>
            </w14:solidFill>
          </w14:textFill>
        </w:rPr>
        <w:drawing>
          <wp:inline distT="0" distB="0" distL="114300" distR="114300">
            <wp:extent cx="5928995" cy="8382635"/>
            <wp:effectExtent l="0" t="0" r="14605" b="18415"/>
            <wp:docPr id="2" name="图片 2" descr="提取自文件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提取自文件封皮"/>
                    <pic:cNvPicPr>
                      <a:picLocks noChangeAspect="1"/>
                    </pic:cNvPicPr>
                  </pic:nvPicPr>
                  <pic:blipFill>
                    <a:blip r:embed="rId7"/>
                    <a:stretch>
                      <a:fillRect/>
                    </a:stretch>
                  </pic:blipFill>
                  <pic:spPr>
                    <a:xfrm>
                      <a:off x="0" y="0"/>
                      <a:ext cx="5928995" cy="8382635"/>
                    </a:xfrm>
                    <a:prstGeom prst="rect">
                      <a:avLst/>
                    </a:prstGeom>
                  </pic:spPr>
                </pic:pic>
              </a:graphicData>
            </a:graphic>
          </wp:inline>
        </w:drawing>
      </w:r>
    </w:p>
    <w:bookmarkEnd w:id="0"/>
    <w:bookmarkEnd w:id="1"/>
    <w:bookmarkEnd w:id="2"/>
    <w:bookmarkEnd w:id="3"/>
    <w:bookmarkEnd w:id="4"/>
    <w:bookmarkEnd w:id="5"/>
    <w:bookmarkEnd w:id="6"/>
    <w:bookmarkEnd w:id="7"/>
    <w:bookmarkEnd w:id="8"/>
    <w:bookmarkEnd w:id="9"/>
    <w:bookmarkEnd w:id="10"/>
    <w:bookmarkEnd w:id="11"/>
    <w:p w14:paraId="4E42304B">
      <w:pPr>
        <w:rPr>
          <w:rFonts w:hint="eastAsia" w:ascii="宋体" w:hAnsi="宋体" w:eastAsia="宋体" w:cs="宋体"/>
          <w:color w:val="000000" w:themeColor="text1"/>
          <w:szCs w:val="24"/>
          <w:highlight w:val="none"/>
          <w14:textFill>
            <w14:solidFill>
              <w14:schemeClr w14:val="tx1"/>
            </w14:solidFill>
          </w14:textFill>
        </w:rPr>
      </w:pPr>
      <w:bookmarkStart w:id="12" w:name="_Toc135648883"/>
      <w:bookmarkStart w:id="13" w:name="_Toc152042303"/>
      <w:bookmarkStart w:id="14" w:name="_Toc179632544"/>
      <w:bookmarkStart w:id="15" w:name="_Toc246996916"/>
      <w:bookmarkStart w:id="16" w:name="_Toc13712"/>
      <w:bookmarkStart w:id="17" w:name="_Toc152045527"/>
      <w:bookmarkStart w:id="18" w:name="_Toc246996173"/>
      <w:bookmarkStart w:id="19" w:name="_Toc24048"/>
      <w:bookmarkStart w:id="20" w:name="_Toc144974495"/>
      <w:bookmarkStart w:id="21" w:name="_Toc18031"/>
      <w:bookmarkStart w:id="22" w:name="_Toc247085687"/>
    </w:p>
    <w:p w14:paraId="4F02CDB1">
      <w:pPr>
        <w:rPr>
          <w:rFonts w:hint="eastAsia" w:ascii="宋体" w:hAnsi="宋体" w:eastAsia="宋体" w:cs="宋体"/>
          <w:color w:val="000000" w:themeColor="text1"/>
          <w:szCs w:val="24"/>
          <w:highlight w:val="none"/>
          <w14:textFill>
            <w14:solidFill>
              <w14:schemeClr w14:val="tx1"/>
            </w14:solidFill>
          </w14:textFill>
        </w:rPr>
      </w:pPr>
    </w:p>
    <w:p w14:paraId="2F4361C9">
      <w:pPr>
        <w:jc w:val="center"/>
        <w:rPr>
          <w:rFonts w:hint="eastAsia" w:ascii="宋体" w:hAnsi="宋体" w:eastAsia="宋体" w:cs="宋体"/>
          <w:b/>
          <w:bCs/>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8"/>
          <w:szCs w:val="36"/>
          <w:highlight w:val="none"/>
          <w14:textFill>
            <w14:solidFill>
              <w14:schemeClr w14:val="tx1"/>
            </w14:solidFill>
          </w14:textFill>
        </w:rPr>
        <w:t>目   录</w:t>
      </w:r>
    </w:p>
    <w:p w14:paraId="0995D5AC">
      <w:pPr>
        <w:pStyle w:val="16"/>
        <w:tabs>
          <w:tab w:val="right" w:leader="dot" w:pos="9354"/>
        </w:tabs>
        <w:spacing w:line="360" w:lineRule="auto"/>
        <w:rPr>
          <w:b w:val="0"/>
          <w:bCs w:val="0"/>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TOC \o "1-1" \h \u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color w:val="000000" w:themeColor="text1"/>
          <w:highlight w:val="none"/>
          <w14:textFill>
            <w14:solidFill>
              <w14:schemeClr w14:val="tx1"/>
            </w14:solidFill>
          </w14:textFill>
        </w:rPr>
        <w:instrText xml:space="preserve"> HYPERLINK \l _Toc17535 </w:instrText>
      </w:r>
      <w:r>
        <w:rPr>
          <w:rFonts w:hint="eastAsia" w:ascii="宋体" w:hAnsi="宋体" w:eastAsia="宋体" w:cs="宋体"/>
          <w:b w:val="0"/>
          <w:bCs w:val="0"/>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szCs w:val="40"/>
          <w:highlight w:val="none"/>
          <w14:textFill>
            <w14:solidFill>
              <w14:schemeClr w14:val="tx1"/>
            </w14:solidFill>
          </w14:textFill>
        </w:rPr>
        <w:t xml:space="preserve">第一章 </w:t>
      </w:r>
      <w:r>
        <w:rPr>
          <w:rFonts w:hint="eastAsia" w:ascii="宋体" w:hAnsi="宋体" w:cs="宋体"/>
          <w:b w:val="0"/>
          <w:bCs w:val="0"/>
          <w:color w:val="000000" w:themeColor="text1"/>
          <w:szCs w:val="40"/>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Cs w:val="40"/>
          <w:highlight w:val="none"/>
          <w14:textFill>
            <w14:solidFill>
              <w14:schemeClr w14:val="tx1"/>
            </w14:solidFill>
          </w14:textFill>
        </w:rPr>
        <w:t>招标公告</w:t>
      </w:r>
      <w:r>
        <w:rPr>
          <w:b w:val="0"/>
          <w:bCs w:val="0"/>
          <w:color w:val="000000" w:themeColor="text1"/>
          <w:highlight w:val="none"/>
          <w14:textFill>
            <w14:solidFill>
              <w14:schemeClr w14:val="tx1"/>
            </w14:solidFill>
          </w14:textFill>
        </w:rPr>
        <w:tab/>
      </w:r>
      <w:r>
        <w:rPr>
          <w:b w:val="0"/>
          <w:bCs w:val="0"/>
          <w:color w:val="000000" w:themeColor="text1"/>
          <w:highlight w:val="none"/>
          <w14:textFill>
            <w14:solidFill>
              <w14:schemeClr w14:val="tx1"/>
            </w14:solidFill>
          </w14:textFill>
        </w:rPr>
        <w:fldChar w:fldCharType="begin"/>
      </w:r>
      <w:r>
        <w:rPr>
          <w:b w:val="0"/>
          <w:bCs w:val="0"/>
          <w:color w:val="000000" w:themeColor="text1"/>
          <w:highlight w:val="none"/>
          <w14:textFill>
            <w14:solidFill>
              <w14:schemeClr w14:val="tx1"/>
            </w14:solidFill>
          </w14:textFill>
        </w:rPr>
        <w:instrText xml:space="preserve"> PAGEREF _Toc17535 \h </w:instrText>
      </w:r>
      <w:r>
        <w:rPr>
          <w:b w:val="0"/>
          <w:bCs w:val="0"/>
          <w:color w:val="000000" w:themeColor="text1"/>
          <w:highlight w:val="none"/>
          <w14:textFill>
            <w14:solidFill>
              <w14:schemeClr w14:val="tx1"/>
            </w14:solidFill>
          </w14:textFill>
        </w:rPr>
        <w:fldChar w:fldCharType="separate"/>
      </w:r>
      <w:r>
        <w:rPr>
          <w:b w:val="0"/>
          <w:bCs w:val="0"/>
          <w:color w:val="000000" w:themeColor="text1"/>
          <w:highlight w:val="none"/>
          <w14:textFill>
            <w14:solidFill>
              <w14:schemeClr w14:val="tx1"/>
            </w14:solidFill>
          </w14:textFill>
        </w:rPr>
        <w:t>3</w:t>
      </w:r>
      <w:r>
        <w:rPr>
          <w:b w:val="0"/>
          <w:bCs w:val="0"/>
          <w:color w:val="000000" w:themeColor="text1"/>
          <w:highlight w:val="none"/>
          <w14:textFill>
            <w14:solidFill>
              <w14:schemeClr w14:val="tx1"/>
            </w14:solidFill>
          </w14:textFill>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14:paraId="10252E60">
      <w:pPr>
        <w:pStyle w:val="16"/>
        <w:tabs>
          <w:tab w:val="right" w:leader="dot" w:pos="9354"/>
        </w:tabs>
        <w:spacing w:line="360" w:lineRule="auto"/>
        <w:rPr>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color w:val="000000" w:themeColor="text1"/>
          <w:highlight w:val="none"/>
          <w14:textFill>
            <w14:solidFill>
              <w14:schemeClr w14:val="tx1"/>
            </w14:solidFill>
          </w14:textFill>
        </w:rPr>
        <w:instrText xml:space="preserve"> HYPERLINK \l _Toc8285 </w:instrText>
      </w:r>
      <w:r>
        <w:rPr>
          <w:rFonts w:hint="eastAsia" w:ascii="宋体" w:hAnsi="宋体" w:eastAsia="宋体" w:cs="宋体"/>
          <w:b w:val="0"/>
          <w:bCs w:val="0"/>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kern w:val="44"/>
          <w:szCs w:val="40"/>
          <w:highlight w:val="none"/>
          <w14:textFill>
            <w14:solidFill>
              <w14:schemeClr w14:val="tx1"/>
            </w14:solidFill>
          </w14:textFill>
        </w:rPr>
        <w:t xml:space="preserve">第二章 </w:t>
      </w:r>
      <w:r>
        <w:rPr>
          <w:rFonts w:hint="eastAsia" w:ascii="宋体" w:hAnsi="宋体" w:cs="宋体"/>
          <w:b w:val="0"/>
          <w:bCs w:val="0"/>
          <w:color w:val="000000" w:themeColor="text1"/>
          <w:kern w:val="44"/>
          <w:szCs w:val="40"/>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Cs w:val="40"/>
          <w:highlight w:val="none"/>
          <w14:textFill>
            <w14:solidFill>
              <w14:schemeClr w14:val="tx1"/>
            </w14:solidFill>
          </w14:textFill>
        </w:rPr>
        <w:t>投标人须知</w:t>
      </w:r>
      <w:r>
        <w:rPr>
          <w:b w:val="0"/>
          <w:bCs w:val="0"/>
          <w:color w:val="000000" w:themeColor="text1"/>
          <w:highlight w:val="none"/>
          <w14:textFill>
            <w14:solidFill>
              <w14:schemeClr w14:val="tx1"/>
            </w14:solidFill>
          </w14:textFill>
        </w:rPr>
        <w:tab/>
      </w:r>
      <w:r>
        <w:rPr>
          <w:b w:val="0"/>
          <w:bCs w:val="0"/>
          <w:color w:val="000000" w:themeColor="text1"/>
          <w:highlight w:val="none"/>
          <w14:textFill>
            <w14:solidFill>
              <w14:schemeClr w14:val="tx1"/>
            </w14:solidFill>
          </w14:textFill>
        </w:rPr>
        <w:fldChar w:fldCharType="begin"/>
      </w:r>
      <w:r>
        <w:rPr>
          <w:b w:val="0"/>
          <w:bCs w:val="0"/>
          <w:color w:val="000000" w:themeColor="text1"/>
          <w:highlight w:val="none"/>
          <w14:textFill>
            <w14:solidFill>
              <w14:schemeClr w14:val="tx1"/>
            </w14:solidFill>
          </w14:textFill>
        </w:rPr>
        <w:instrText xml:space="preserve"> PAGEREF _Toc8285 \h </w:instrText>
      </w:r>
      <w:r>
        <w:rPr>
          <w:b w:val="0"/>
          <w:bCs w:val="0"/>
          <w:color w:val="000000" w:themeColor="text1"/>
          <w:highlight w:val="none"/>
          <w14:textFill>
            <w14:solidFill>
              <w14:schemeClr w14:val="tx1"/>
            </w14:solidFill>
          </w14:textFill>
        </w:rPr>
        <w:fldChar w:fldCharType="separate"/>
      </w:r>
      <w:r>
        <w:rPr>
          <w:b w:val="0"/>
          <w:bCs w:val="0"/>
          <w:color w:val="000000" w:themeColor="text1"/>
          <w:highlight w:val="none"/>
          <w14:textFill>
            <w14:solidFill>
              <w14:schemeClr w14:val="tx1"/>
            </w14:solidFill>
          </w14:textFill>
        </w:rPr>
        <w:t>8</w:t>
      </w:r>
      <w:r>
        <w:rPr>
          <w:b w:val="0"/>
          <w:bCs w:val="0"/>
          <w:color w:val="000000" w:themeColor="text1"/>
          <w:highlight w:val="none"/>
          <w14:textFill>
            <w14:solidFill>
              <w14:schemeClr w14:val="tx1"/>
            </w14:solidFill>
          </w14:textFill>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14:paraId="74423977">
      <w:pPr>
        <w:pStyle w:val="16"/>
        <w:tabs>
          <w:tab w:val="right" w:leader="dot" w:pos="9354"/>
        </w:tabs>
        <w:spacing w:line="360" w:lineRule="auto"/>
        <w:rPr>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color w:val="000000" w:themeColor="text1"/>
          <w:highlight w:val="none"/>
          <w14:textFill>
            <w14:solidFill>
              <w14:schemeClr w14:val="tx1"/>
            </w14:solidFill>
          </w14:textFill>
        </w:rPr>
        <w:instrText xml:space="preserve"> HYPERLINK \l _Toc4149 </w:instrText>
      </w:r>
      <w:r>
        <w:rPr>
          <w:rFonts w:hint="eastAsia" w:ascii="宋体" w:hAnsi="宋体" w:eastAsia="宋体" w:cs="宋体"/>
          <w:b w:val="0"/>
          <w:bCs w:val="0"/>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szCs w:val="40"/>
          <w:highlight w:val="none"/>
          <w14:textFill>
            <w14:solidFill>
              <w14:schemeClr w14:val="tx1"/>
            </w14:solidFill>
          </w14:textFill>
        </w:rPr>
        <w:t xml:space="preserve">第三章 </w:t>
      </w:r>
      <w:r>
        <w:rPr>
          <w:rFonts w:hint="eastAsia" w:ascii="宋体" w:hAnsi="宋体" w:cs="宋体"/>
          <w:b w:val="0"/>
          <w:bCs w:val="0"/>
          <w:color w:val="000000" w:themeColor="text1"/>
          <w:szCs w:val="40"/>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Cs w:val="40"/>
          <w:highlight w:val="none"/>
          <w14:textFill>
            <w14:solidFill>
              <w14:schemeClr w14:val="tx1"/>
            </w14:solidFill>
          </w14:textFill>
        </w:rPr>
        <w:t>评标办法（综合评分法）</w:t>
      </w:r>
      <w:r>
        <w:rPr>
          <w:b w:val="0"/>
          <w:bCs w:val="0"/>
          <w:color w:val="000000" w:themeColor="text1"/>
          <w:highlight w:val="none"/>
          <w14:textFill>
            <w14:solidFill>
              <w14:schemeClr w14:val="tx1"/>
            </w14:solidFill>
          </w14:textFill>
        </w:rPr>
        <w:tab/>
      </w:r>
      <w:r>
        <w:rPr>
          <w:b w:val="0"/>
          <w:bCs w:val="0"/>
          <w:color w:val="000000" w:themeColor="text1"/>
          <w:highlight w:val="none"/>
          <w14:textFill>
            <w14:solidFill>
              <w14:schemeClr w14:val="tx1"/>
            </w14:solidFill>
          </w14:textFill>
        </w:rPr>
        <w:fldChar w:fldCharType="begin"/>
      </w:r>
      <w:r>
        <w:rPr>
          <w:b w:val="0"/>
          <w:bCs w:val="0"/>
          <w:color w:val="000000" w:themeColor="text1"/>
          <w:highlight w:val="none"/>
          <w14:textFill>
            <w14:solidFill>
              <w14:schemeClr w14:val="tx1"/>
            </w14:solidFill>
          </w14:textFill>
        </w:rPr>
        <w:instrText xml:space="preserve"> PAGEREF _Toc4149 \h </w:instrText>
      </w:r>
      <w:r>
        <w:rPr>
          <w:b w:val="0"/>
          <w:bCs w:val="0"/>
          <w:color w:val="000000" w:themeColor="text1"/>
          <w:highlight w:val="none"/>
          <w14:textFill>
            <w14:solidFill>
              <w14:schemeClr w14:val="tx1"/>
            </w14:solidFill>
          </w14:textFill>
        </w:rPr>
        <w:fldChar w:fldCharType="separate"/>
      </w:r>
      <w:r>
        <w:rPr>
          <w:b w:val="0"/>
          <w:bCs w:val="0"/>
          <w:color w:val="000000" w:themeColor="text1"/>
          <w:highlight w:val="none"/>
          <w14:textFill>
            <w14:solidFill>
              <w14:schemeClr w14:val="tx1"/>
            </w14:solidFill>
          </w14:textFill>
        </w:rPr>
        <w:t>32</w:t>
      </w:r>
      <w:r>
        <w:rPr>
          <w:b w:val="0"/>
          <w:bCs w:val="0"/>
          <w:color w:val="000000" w:themeColor="text1"/>
          <w:highlight w:val="none"/>
          <w14:textFill>
            <w14:solidFill>
              <w14:schemeClr w14:val="tx1"/>
            </w14:solidFill>
          </w14:textFill>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14:paraId="6368569D">
      <w:pPr>
        <w:pStyle w:val="16"/>
        <w:tabs>
          <w:tab w:val="right" w:leader="dot" w:pos="9354"/>
        </w:tabs>
        <w:spacing w:line="360" w:lineRule="auto"/>
        <w:rPr>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color w:val="000000" w:themeColor="text1"/>
          <w:highlight w:val="none"/>
          <w14:textFill>
            <w14:solidFill>
              <w14:schemeClr w14:val="tx1"/>
            </w14:solidFill>
          </w14:textFill>
        </w:rPr>
        <w:instrText xml:space="preserve"> HYPERLINK \l _Toc28998 </w:instrText>
      </w:r>
      <w:r>
        <w:rPr>
          <w:rFonts w:hint="eastAsia" w:ascii="宋体" w:hAnsi="宋体" w:eastAsia="宋体" w:cs="宋体"/>
          <w:b w:val="0"/>
          <w:bCs w:val="0"/>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szCs w:val="40"/>
          <w:highlight w:val="none"/>
          <w14:textFill>
            <w14:solidFill>
              <w14:schemeClr w14:val="tx1"/>
            </w14:solidFill>
          </w14:textFill>
        </w:rPr>
        <w:t>第四章  采购内容及要求</w:t>
      </w:r>
      <w:r>
        <w:rPr>
          <w:b w:val="0"/>
          <w:bCs w:val="0"/>
          <w:color w:val="000000" w:themeColor="text1"/>
          <w:highlight w:val="none"/>
          <w14:textFill>
            <w14:solidFill>
              <w14:schemeClr w14:val="tx1"/>
            </w14:solidFill>
          </w14:textFill>
        </w:rPr>
        <w:tab/>
      </w:r>
      <w:r>
        <w:rPr>
          <w:b w:val="0"/>
          <w:bCs w:val="0"/>
          <w:color w:val="000000" w:themeColor="text1"/>
          <w:highlight w:val="none"/>
          <w14:textFill>
            <w14:solidFill>
              <w14:schemeClr w14:val="tx1"/>
            </w14:solidFill>
          </w14:textFill>
        </w:rPr>
        <w:fldChar w:fldCharType="begin"/>
      </w:r>
      <w:r>
        <w:rPr>
          <w:b w:val="0"/>
          <w:bCs w:val="0"/>
          <w:color w:val="000000" w:themeColor="text1"/>
          <w:highlight w:val="none"/>
          <w14:textFill>
            <w14:solidFill>
              <w14:schemeClr w14:val="tx1"/>
            </w14:solidFill>
          </w14:textFill>
        </w:rPr>
        <w:instrText xml:space="preserve"> PAGEREF _Toc28998 \h </w:instrText>
      </w:r>
      <w:r>
        <w:rPr>
          <w:b w:val="0"/>
          <w:bCs w:val="0"/>
          <w:color w:val="000000" w:themeColor="text1"/>
          <w:highlight w:val="none"/>
          <w14:textFill>
            <w14:solidFill>
              <w14:schemeClr w14:val="tx1"/>
            </w14:solidFill>
          </w14:textFill>
        </w:rPr>
        <w:fldChar w:fldCharType="separate"/>
      </w:r>
      <w:r>
        <w:rPr>
          <w:b w:val="0"/>
          <w:bCs w:val="0"/>
          <w:color w:val="000000" w:themeColor="text1"/>
          <w:highlight w:val="none"/>
          <w14:textFill>
            <w14:solidFill>
              <w14:schemeClr w14:val="tx1"/>
            </w14:solidFill>
          </w14:textFill>
        </w:rPr>
        <w:t>40</w:t>
      </w:r>
      <w:r>
        <w:rPr>
          <w:b w:val="0"/>
          <w:bCs w:val="0"/>
          <w:color w:val="000000" w:themeColor="text1"/>
          <w:highlight w:val="none"/>
          <w14:textFill>
            <w14:solidFill>
              <w14:schemeClr w14:val="tx1"/>
            </w14:solidFill>
          </w14:textFill>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14:paraId="693F6D6F">
      <w:pPr>
        <w:pStyle w:val="16"/>
        <w:tabs>
          <w:tab w:val="right" w:leader="dot" w:pos="9354"/>
        </w:tabs>
        <w:spacing w:line="360" w:lineRule="auto"/>
        <w:rPr>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color w:val="000000" w:themeColor="text1"/>
          <w:highlight w:val="none"/>
          <w14:textFill>
            <w14:solidFill>
              <w14:schemeClr w14:val="tx1"/>
            </w14:solidFill>
          </w14:textFill>
        </w:rPr>
        <w:instrText xml:space="preserve"> HYPERLINK \l _Toc19317 </w:instrText>
      </w:r>
      <w:r>
        <w:rPr>
          <w:rFonts w:hint="eastAsia" w:ascii="宋体" w:hAnsi="宋体" w:eastAsia="宋体" w:cs="宋体"/>
          <w:b w:val="0"/>
          <w:bCs w:val="0"/>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szCs w:val="40"/>
          <w:highlight w:val="none"/>
          <w:lang w:val="en-US" w:eastAsia="zh-CN"/>
          <w14:textFill>
            <w14:solidFill>
              <w14:schemeClr w14:val="tx1"/>
            </w14:solidFill>
          </w14:textFill>
        </w:rPr>
        <w:t xml:space="preserve">第五章  </w:t>
      </w:r>
      <w:r>
        <w:rPr>
          <w:rFonts w:hint="eastAsia" w:ascii="宋体" w:hAnsi="宋体" w:eastAsia="宋体" w:cs="宋体"/>
          <w:b w:val="0"/>
          <w:bCs w:val="0"/>
          <w:color w:val="000000" w:themeColor="text1"/>
          <w:szCs w:val="40"/>
          <w:highlight w:val="none"/>
          <w14:textFill>
            <w14:solidFill>
              <w14:schemeClr w14:val="tx1"/>
            </w14:solidFill>
          </w14:textFill>
        </w:rPr>
        <w:t>合同条款</w:t>
      </w:r>
      <w:r>
        <w:rPr>
          <w:b w:val="0"/>
          <w:bCs w:val="0"/>
          <w:color w:val="000000" w:themeColor="text1"/>
          <w:highlight w:val="none"/>
          <w14:textFill>
            <w14:solidFill>
              <w14:schemeClr w14:val="tx1"/>
            </w14:solidFill>
          </w14:textFill>
        </w:rPr>
        <w:tab/>
      </w:r>
      <w:r>
        <w:rPr>
          <w:b w:val="0"/>
          <w:bCs w:val="0"/>
          <w:color w:val="000000" w:themeColor="text1"/>
          <w:highlight w:val="none"/>
          <w14:textFill>
            <w14:solidFill>
              <w14:schemeClr w14:val="tx1"/>
            </w14:solidFill>
          </w14:textFill>
        </w:rPr>
        <w:fldChar w:fldCharType="begin"/>
      </w:r>
      <w:r>
        <w:rPr>
          <w:b w:val="0"/>
          <w:bCs w:val="0"/>
          <w:color w:val="000000" w:themeColor="text1"/>
          <w:highlight w:val="none"/>
          <w14:textFill>
            <w14:solidFill>
              <w14:schemeClr w14:val="tx1"/>
            </w14:solidFill>
          </w14:textFill>
        </w:rPr>
        <w:instrText xml:space="preserve"> PAGEREF _Toc19317 \h </w:instrText>
      </w:r>
      <w:r>
        <w:rPr>
          <w:b w:val="0"/>
          <w:bCs w:val="0"/>
          <w:color w:val="000000" w:themeColor="text1"/>
          <w:highlight w:val="none"/>
          <w14:textFill>
            <w14:solidFill>
              <w14:schemeClr w14:val="tx1"/>
            </w14:solidFill>
          </w14:textFill>
        </w:rPr>
        <w:fldChar w:fldCharType="separate"/>
      </w:r>
      <w:r>
        <w:rPr>
          <w:b w:val="0"/>
          <w:bCs w:val="0"/>
          <w:color w:val="000000" w:themeColor="text1"/>
          <w:highlight w:val="none"/>
          <w14:textFill>
            <w14:solidFill>
              <w14:schemeClr w14:val="tx1"/>
            </w14:solidFill>
          </w14:textFill>
        </w:rPr>
        <w:t>45</w:t>
      </w:r>
      <w:r>
        <w:rPr>
          <w:b w:val="0"/>
          <w:bCs w:val="0"/>
          <w:color w:val="000000" w:themeColor="text1"/>
          <w:highlight w:val="none"/>
          <w14:textFill>
            <w14:solidFill>
              <w14:schemeClr w14:val="tx1"/>
            </w14:solidFill>
          </w14:textFill>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14:paraId="118ED936">
      <w:pPr>
        <w:pStyle w:val="16"/>
        <w:tabs>
          <w:tab w:val="right" w:leader="dot" w:pos="9354"/>
        </w:tabs>
        <w:spacing w:line="360" w:lineRule="auto"/>
        <w:rPr>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color w:val="000000" w:themeColor="text1"/>
          <w:highlight w:val="none"/>
          <w14:textFill>
            <w14:solidFill>
              <w14:schemeClr w14:val="tx1"/>
            </w14:solidFill>
          </w14:textFill>
        </w:rPr>
        <w:instrText xml:space="preserve"> HYPERLINK \l _Toc22322 </w:instrText>
      </w:r>
      <w:r>
        <w:rPr>
          <w:rFonts w:hint="eastAsia" w:ascii="宋体" w:hAnsi="宋体" w:eastAsia="宋体" w:cs="宋体"/>
          <w:b w:val="0"/>
          <w:bCs w:val="0"/>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szCs w:val="40"/>
          <w:highlight w:val="none"/>
          <w14:textFill>
            <w14:solidFill>
              <w14:schemeClr w14:val="tx1"/>
            </w14:solidFill>
          </w14:textFill>
        </w:rPr>
        <w:t>第六章  投标文件格式</w:t>
      </w:r>
      <w:r>
        <w:rPr>
          <w:b w:val="0"/>
          <w:bCs w:val="0"/>
          <w:color w:val="000000" w:themeColor="text1"/>
          <w:highlight w:val="none"/>
          <w14:textFill>
            <w14:solidFill>
              <w14:schemeClr w14:val="tx1"/>
            </w14:solidFill>
          </w14:textFill>
        </w:rPr>
        <w:tab/>
      </w:r>
      <w:r>
        <w:rPr>
          <w:b w:val="0"/>
          <w:bCs w:val="0"/>
          <w:color w:val="000000" w:themeColor="text1"/>
          <w:highlight w:val="none"/>
          <w14:textFill>
            <w14:solidFill>
              <w14:schemeClr w14:val="tx1"/>
            </w14:solidFill>
          </w14:textFill>
        </w:rPr>
        <w:fldChar w:fldCharType="begin"/>
      </w:r>
      <w:r>
        <w:rPr>
          <w:b w:val="0"/>
          <w:bCs w:val="0"/>
          <w:color w:val="000000" w:themeColor="text1"/>
          <w:highlight w:val="none"/>
          <w14:textFill>
            <w14:solidFill>
              <w14:schemeClr w14:val="tx1"/>
            </w14:solidFill>
          </w14:textFill>
        </w:rPr>
        <w:instrText xml:space="preserve"> PAGEREF _Toc22322 \h </w:instrText>
      </w:r>
      <w:r>
        <w:rPr>
          <w:b w:val="0"/>
          <w:bCs w:val="0"/>
          <w:color w:val="000000" w:themeColor="text1"/>
          <w:highlight w:val="none"/>
          <w14:textFill>
            <w14:solidFill>
              <w14:schemeClr w14:val="tx1"/>
            </w14:solidFill>
          </w14:textFill>
        </w:rPr>
        <w:fldChar w:fldCharType="separate"/>
      </w:r>
      <w:r>
        <w:rPr>
          <w:b w:val="0"/>
          <w:bCs w:val="0"/>
          <w:color w:val="000000" w:themeColor="text1"/>
          <w:highlight w:val="none"/>
          <w14:textFill>
            <w14:solidFill>
              <w14:schemeClr w14:val="tx1"/>
            </w14:solidFill>
          </w14:textFill>
        </w:rPr>
        <w:t>64</w:t>
      </w:r>
      <w:r>
        <w:rPr>
          <w:b w:val="0"/>
          <w:bCs w:val="0"/>
          <w:color w:val="000000" w:themeColor="text1"/>
          <w:highlight w:val="none"/>
          <w14:textFill>
            <w14:solidFill>
              <w14:schemeClr w14:val="tx1"/>
            </w14:solidFill>
          </w14:textFill>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14:paraId="626AB317">
      <w:pPr>
        <w:pStyle w:val="16"/>
        <w:tabs>
          <w:tab w:val="right" w:leader="dot" w:pos="9354"/>
        </w:tabs>
        <w:rPr>
          <w:color w:val="000000" w:themeColor="text1"/>
          <w:highlight w:val="none"/>
          <w14:textFill>
            <w14:solidFill>
              <w14:schemeClr w14:val="tx1"/>
            </w14:solidFill>
          </w14:textFill>
        </w:rPr>
      </w:pPr>
    </w:p>
    <w:p w14:paraId="05A0AC62">
      <w:pPr>
        <w:ind w:right="-512" w:rightChars="-244"/>
        <w:jc w:val="center"/>
        <w:rPr>
          <w:rFonts w:hint="eastAsia" w:ascii="宋体" w:hAnsi="宋体" w:eastAsia="宋体" w:cs="宋体"/>
          <w:bCs/>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end"/>
      </w:r>
    </w:p>
    <w:p w14:paraId="6EFBF8EF">
      <w:pPr>
        <w:tabs>
          <w:tab w:val="left" w:pos="3985"/>
        </w:tabs>
        <w:ind w:right="-512" w:rightChars="-244"/>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ab/>
      </w:r>
    </w:p>
    <w:p w14:paraId="28ABD6F8">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5CEE3C1A">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72630E33">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36BDBD81">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20B0ABE0">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59708E09">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111ADADC">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6F71FC55">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26E54D03">
      <w:pPr>
        <w:ind w:right="-512" w:rightChars="-244"/>
        <w:jc w:val="center"/>
        <w:rPr>
          <w:rFonts w:hint="eastAsia" w:ascii="宋体" w:hAnsi="宋体" w:eastAsia="宋体" w:cs="宋体"/>
          <w:b/>
          <w:bCs/>
          <w:color w:val="000000" w:themeColor="text1"/>
          <w:sz w:val="32"/>
          <w:szCs w:val="32"/>
          <w:highlight w:val="none"/>
          <w14:textFill>
            <w14:solidFill>
              <w14:schemeClr w14:val="tx1"/>
            </w14:solidFill>
          </w14:textFill>
        </w:rPr>
      </w:pPr>
    </w:p>
    <w:p w14:paraId="29F94E7C">
      <w:pPr>
        <w:rPr>
          <w:rStyle w:val="26"/>
          <w:rFonts w:hint="eastAsia" w:ascii="宋体" w:hAnsi="宋体" w:eastAsia="宋体" w:cs="宋体"/>
          <w:color w:val="000000" w:themeColor="text1"/>
          <w:sz w:val="40"/>
          <w:szCs w:val="40"/>
          <w:highlight w:val="none"/>
          <w14:textFill>
            <w14:solidFill>
              <w14:schemeClr w14:val="tx1"/>
            </w14:solidFill>
          </w14:textFill>
        </w:rPr>
      </w:pPr>
      <w:r>
        <w:rPr>
          <w:rStyle w:val="26"/>
          <w:rFonts w:hint="eastAsia" w:ascii="宋体" w:hAnsi="宋体" w:eastAsia="宋体" w:cs="宋体"/>
          <w:color w:val="000000" w:themeColor="text1"/>
          <w:sz w:val="40"/>
          <w:szCs w:val="40"/>
          <w:highlight w:val="none"/>
          <w14:textFill>
            <w14:solidFill>
              <w14:schemeClr w14:val="tx1"/>
            </w14:solidFill>
          </w14:textFill>
        </w:rPr>
        <w:br w:type="page"/>
      </w:r>
      <w:bookmarkStart w:id="23" w:name="_Toc135922534"/>
    </w:p>
    <w:p w14:paraId="0553BC27">
      <w:pPr>
        <w:adjustRightInd w:val="0"/>
        <w:spacing w:before="240" w:after="60" w:line="420" w:lineRule="atLeast"/>
        <w:jc w:val="center"/>
        <w:outlineLvl w:val="0"/>
        <w:rPr>
          <w:rFonts w:hint="eastAsia" w:ascii="宋体" w:hAnsi="宋体" w:eastAsia="宋体" w:cs="宋体"/>
          <w:color w:val="000000" w:themeColor="text1"/>
          <w:highlight w:val="none"/>
          <w14:textFill>
            <w14:solidFill>
              <w14:schemeClr w14:val="tx1"/>
            </w14:solidFill>
          </w14:textFill>
        </w:rPr>
      </w:pPr>
      <w:bookmarkStart w:id="24" w:name="_Toc17535"/>
      <w:r>
        <w:rPr>
          <w:rStyle w:val="26"/>
          <w:rFonts w:hint="eastAsia" w:ascii="宋体" w:hAnsi="宋体" w:cs="宋体"/>
          <w:color w:val="000000" w:themeColor="text1"/>
          <w:sz w:val="40"/>
          <w:szCs w:val="40"/>
          <w:highlight w:val="none"/>
          <w:lang w:val="en-US" w:eastAsia="zh-CN"/>
          <w14:textFill>
            <w14:solidFill>
              <w14:schemeClr w14:val="tx1"/>
            </w14:solidFill>
          </w14:textFill>
        </w:rPr>
        <w:t xml:space="preserve"> </w:t>
      </w:r>
      <w:r>
        <w:rPr>
          <w:rStyle w:val="26"/>
          <w:rFonts w:hint="eastAsia" w:ascii="宋体" w:hAnsi="宋体" w:eastAsia="宋体" w:cs="宋体"/>
          <w:color w:val="000000" w:themeColor="text1"/>
          <w:sz w:val="40"/>
          <w:szCs w:val="40"/>
          <w:highlight w:val="none"/>
          <w14:textFill>
            <w14:solidFill>
              <w14:schemeClr w14:val="tx1"/>
            </w14:solidFill>
          </w14:textFill>
        </w:rPr>
        <w:t>第一章 招标公告</w:t>
      </w:r>
      <w:bookmarkEnd w:id="12"/>
      <w:bookmarkEnd w:id="23"/>
      <w:bookmarkEnd w:id="24"/>
    </w:p>
    <w:p w14:paraId="331FD019">
      <w:pPr>
        <w:spacing w:line="360" w:lineRule="auto"/>
        <w:jc w:val="center"/>
        <w:rPr>
          <w:rFonts w:hint="eastAsia" w:ascii="宋体" w:hAnsi="宋体" w:eastAsia="宋体" w:cs="宋体"/>
          <w:color w:val="000000" w:themeColor="text1"/>
          <w:szCs w:val="24"/>
          <w:highlight w:val="none"/>
          <w14:textFill>
            <w14:solidFill>
              <w14:schemeClr w14:val="tx1"/>
            </w14:solidFill>
          </w14:textFill>
        </w:rPr>
      </w:pPr>
    </w:p>
    <w:p w14:paraId="0694A74E">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【平公资采202</w:t>
      </w:r>
      <w:r>
        <w:rPr>
          <w:rFonts w:hint="eastAsia" w:ascii="宋体" w:hAnsi="宋体" w:cs="宋体"/>
          <w:color w:val="000000" w:themeColor="text1"/>
          <w:szCs w:val="22"/>
          <w:highlight w:val="none"/>
          <w:lang w:val="en-US" w:eastAsia="zh-CN"/>
          <w14:textFill>
            <w14:solidFill>
              <w14:schemeClr w14:val="tx1"/>
            </w14:solidFill>
          </w14:textFill>
        </w:rPr>
        <w:t>535</w:t>
      </w:r>
      <w:r>
        <w:rPr>
          <w:rFonts w:hint="eastAsia" w:ascii="宋体" w:hAnsi="宋体" w:eastAsia="宋体" w:cs="宋体"/>
          <w:color w:val="000000" w:themeColor="text1"/>
          <w:szCs w:val="22"/>
          <w:highlight w:val="none"/>
          <w14:textFill>
            <w14:solidFill>
              <w14:schemeClr w14:val="tx1"/>
            </w14:solidFill>
          </w14:textFill>
        </w:rPr>
        <w:t>号】</w:t>
      </w:r>
      <w:r>
        <w:rPr>
          <w:rFonts w:hint="eastAsia" w:ascii="宋体" w:hAnsi="宋体" w:eastAsia="宋体" w:cs="宋体"/>
          <w:color w:val="000000" w:themeColor="text1"/>
          <w:szCs w:val="22"/>
          <w:highlight w:val="none"/>
          <w:lang w:eastAsia="zh-CN"/>
          <w14:textFill>
            <w14:solidFill>
              <w14:schemeClr w14:val="tx1"/>
            </w14:solidFill>
          </w14:textFill>
        </w:rPr>
        <w:t>平顶山市第一人民医院优越路院区物业管理服务项目</w:t>
      </w:r>
      <w:r>
        <w:rPr>
          <w:rFonts w:hint="eastAsia" w:ascii="宋体" w:hAnsi="宋体" w:eastAsia="宋体" w:cs="宋体"/>
          <w:color w:val="000000" w:themeColor="text1"/>
          <w:szCs w:val="22"/>
          <w:highlight w:val="none"/>
          <w14:textFill>
            <w14:solidFill>
              <w14:schemeClr w14:val="tx1"/>
            </w14:solidFill>
          </w14:textFill>
        </w:rPr>
        <w:t>-</w:t>
      </w:r>
    </w:p>
    <w:p w14:paraId="72A1DB5E">
      <w:pPr>
        <w:spacing w:line="360" w:lineRule="auto"/>
        <w:jc w:val="center"/>
        <w:rPr>
          <w:rFonts w:hint="eastAsia"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公开招标公告</w:t>
      </w:r>
    </w:p>
    <w:p w14:paraId="11151B64">
      <w:pPr>
        <w:spacing w:line="360" w:lineRule="auto"/>
        <w:ind w:firstLine="211" w:firstLineChars="100"/>
        <w:rPr>
          <w:rFonts w:ascii="宋体" w:hAnsi="宋体" w:eastAsia="宋体" w:cs="宋体"/>
          <w:b/>
          <w:szCs w:val="21"/>
          <w:highlight w:val="none"/>
        </w:rPr>
      </w:pPr>
      <w:r>
        <w:rPr>
          <w:rFonts w:hint="eastAsia" w:ascii="宋体" w:hAnsi="宋体" w:eastAsia="宋体" w:cs="宋体"/>
          <w:b/>
          <w:szCs w:val="21"/>
          <w:highlight w:val="none"/>
        </w:rPr>
        <w:t>项目概况</w:t>
      </w:r>
    </w:p>
    <w:p w14:paraId="6464A273">
      <w:pPr>
        <w:spacing w:line="360" w:lineRule="auto"/>
        <w:ind w:firstLine="420" w:firstLineChars="200"/>
        <w:rPr>
          <w:rFonts w:hint="eastAsia"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b w:val="0"/>
          <w:bCs w:val="0"/>
          <w:szCs w:val="22"/>
          <w:highlight w:val="none"/>
        </w:rPr>
        <w:t>平顶山市第一人民医院优越路院区物业管理服务项目招标项目的潜在投标人应在《全国公共资源交易平台（河南省·平顶山市）》（</w:t>
      </w:r>
      <w:r>
        <w:rPr>
          <w:rFonts w:hint="eastAsia" w:ascii="宋体" w:hAnsi="宋体" w:eastAsia="宋体" w:cs="宋体"/>
          <w:b w:val="0"/>
          <w:bCs w:val="0"/>
          <w:szCs w:val="22"/>
          <w:highlight w:val="none"/>
        </w:rPr>
        <w:fldChar w:fldCharType="begin"/>
      </w:r>
      <w:r>
        <w:rPr>
          <w:rFonts w:hint="eastAsia" w:ascii="宋体" w:hAnsi="宋体" w:eastAsia="宋体" w:cs="宋体"/>
          <w:b w:val="0"/>
          <w:bCs w:val="0"/>
          <w:szCs w:val="22"/>
          <w:highlight w:val="none"/>
        </w:rPr>
        <w:instrText xml:space="preserve"> HYPERLINK "http://www.pdsggzy.com/）获取招标文件，并于2023年" </w:instrText>
      </w:r>
      <w:r>
        <w:rPr>
          <w:rFonts w:hint="eastAsia" w:ascii="宋体" w:hAnsi="宋体" w:eastAsia="宋体" w:cs="宋体"/>
          <w:b w:val="0"/>
          <w:bCs w:val="0"/>
          <w:szCs w:val="22"/>
          <w:highlight w:val="none"/>
        </w:rPr>
        <w:fldChar w:fldCharType="separate"/>
      </w:r>
      <w:r>
        <w:rPr>
          <w:rFonts w:hint="eastAsia" w:ascii="宋体" w:hAnsi="宋体" w:eastAsia="宋体" w:cs="宋体"/>
          <w:b w:val="0"/>
          <w:bCs w:val="0"/>
          <w:szCs w:val="22"/>
          <w:highlight w:val="none"/>
        </w:rPr>
        <w:t>http://ggzy.pds.gov.cn/）获取招标文件，并于202</w:t>
      </w:r>
      <w:r>
        <w:rPr>
          <w:rFonts w:hint="eastAsia" w:ascii="宋体" w:hAnsi="宋体" w:cs="宋体"/>
          <w:b w:val="0"/>
          <w:bCs w:val="0"/>
          <w:szCs w:val="22"/>
          <w:highlight w:val="none"/>
          <w:lang w:val="en-US" w:eastAsia="zh-CN"/>
        </w:rPr>
        <w:t>5</w:t>
      </w:r>
      <w:r>
        <w:rPr>
          <w:rFonts w:hint="eastAsia" w:ascii="宋体" w:hAnsi="宋体" w:eastAsia="宋体" w:cs="宋体"/>
          <w:b w:val="0"/>
          <w:bCs w:val="0"/>
          <w:szCs w:val="22"/>
          <w:highlight w:val="none"/>
        </w:rPr>
        <w:t>年</w:t>
      </w:r>
      <w:r>
        <w:rPr>
          <w:rFonts w:hint="eastAsia" w:ascii="宋体" w:hAnsi="宋体" w:eastAsia="宋体" w:cs="宋体"/>
          <w:b w:val="0"/>
          <w:bCs w:val="0"/>
          <w:szCs w:val="22"/>
          <w:highlight w:val="none"/>
        </w:rPr>
        <w:fldChar w:fldCharType="end"/>
      </w:r>
      <w:r>
        <w:rPr>
          <w:rFonts w:hint="eastAsia" w:ascii="宋体" w:hAnsi="宋体" w:cs="宋体"/>
          <w:b w:val="0"/>
          <w:bCs w:val="0"/>
          <w:szCs w:val="22"/>
          <w:highlight w:val="none"/>
          <w:lang w:val="en-US" w:eastAsia="zh-CN"/>
        </w:rPr>
        <w:t>01</w:t>
      </w:r>
      <w:r>
        <w:rPr>
          <w:rFonts w:hint="eastAsia" w:ascii="宋体" w:hAnsi="宋体" w:eastAsia="宋体" w:cs="宋体"/>
          <w:b w:val="0"/>
          <w:bCs w:val="0"/>
          <w:szCs w:val="22"/>
          <w:highlight w:val="none"/>
        </w:rPr>
        <w:t>月</w:t>
      </w:r>
      <w:r>
        <w:rPr>
          <w:rFonts w:hint="eastAsia" w:ascii="宋体" w:hAnsi="宋体" w:cs="宋体"/>
          <w:b w:val="0"/>
          <w:bCs w:val="0"/>
          <w:szCs w:val="22"/>
          <w:highlight w:val="none"/>
          <w:lang w:val="en-US" w:eastAsia="zh-CN"/>
        </w:rPr>
        <w:t>15</w:t>
      </w:r>
      <w:r>
        <w:rPr>
          <w:rFonts w:hint="eastAsia" w:ascii="宋体" w:hAnsi="宋体" w:eastAsia="宋体" w:cs="宋体"/>
          <w:b w:val="0"/>
          <w:bCs w:val="0"/>
          <w:szCs w:val="22"/>
          <w:highlight w:val="none"/>
        </w:rPr>
        <w:t>日</w:t>
      </w:r>
      <w:r>
        <w:rPr>
          <w:rFonts w:hint="eastAsia" w:ascii="宋体" w:hAnsi="宋体" w:cs="宋体"/>
          <w:b w:val="0"/>
          <w:bCs w:val="0"/>
          <w:szCs w:val="22"/>
          <w:highlight w:val="none"/>
          <w:lang w:val="en-US" w:eastAsia="zh-CN"/>
        </w:rPr>
        <w:t>08</w:t>
      </w:r>
      <w:r>
        <w:rPr>
          <w:rFonts w:hint="eastAsia" w:ascii="宋体" w:hAnsi="宋体" w:eastAsia="宋体" w:cs="宋体"/>
          <w:b w:val="0"/>
          <w:bCs w:val="0"/>
          <w:szCs w:val="22"/>
          <w:highlight w:val="none"/>
        </w:rPr>
        <w:t>时</w:t>
      </w:r>
      <w:r>
        <w:rPr>
          <w:rFonts w:hint="eastAsia" w:ascii="宋体" w:hAnsi="宋体" w:cs="宋体"/>
          <w:b w:val="0"/>
          <w:bCs w:val="0"/>
          <w:szCs w:val="22"/>
          <w:highlight w:val="none"/>
          <w:lang w:val="en-US" w:eastAsia="zh-CN"/>
        </w:rPr>
        <w:t>40</w:t>
      </w:r>
      <w:r>
        <w:rPr>
          <w:rFonts w:hint="eastAsia" w:ascii="宋体" w:hAnsi="宋体" w:eastAsia="宋体" w:cs="宋体"/>
          <w:b w:val="0"/>
          <w:bCs w:val="0"/>
          <w:szCs w:val="22"/>
          <w:highlight w:val="none"/>
        </w:rPr>
        <w:t>分（北京时间）前递交投标文件。</w:t>
      </w:r>
    </w:p>
    <w:p w14:paraId="5CBF6CC8">
      <w:pPr>
        <w:widowControl/>
        <w:spacing w:line="360" w:lineRule="auto"/>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一、项目基本情况</w:t>
      </w:r>
    </w:p>
    <w:p w14:paraId="57D2E82A">
      <w:pPr>
        <w:spacing w:line="360" w:lineRule="auto"/>
        <w:ind w:firstLine="422" w:firstLineChars="200"/>
        <w:rPr>
          <w:rFonts w:hint="eastAsia" w:ascii="宋体" w:hAnsi="宋体" w:eastAsia="宋体" w:cs="宋体"/>
          <w:b w:val="0"/>
          <w:bCs/>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1、项目编号：</w:t>
      </w:r>
      <w:r>
        <w:rPr>
          <w:rFonts w:hint="eastAsia" w:ascii="宋体" w:hAnsi="宋体" w:eastAsia="宋体" w:cs="宋体"/>
          <w:b w:val="0"/>
          <w:bCs/>
          <w:color w:val="000000" w:themeColor="text1"/>
          <w:highlight w:val="none"/>
          <w14:textFill>
            <w14:solidFill>
              <w14:schemeClr w14:val="tx1"/>
            </w14:solidFill>
          </w14:textFill>
        </w:rPr>
        <w:t>平采招标-2024-170</w:t>
      </w:r>
    </w:p>
    <w:p w14:paraId="7530BF59">
      <w:pPr>
        <w:spacing w:line="360" w:lineRule="auto"/>
        <w:ind w:firstLine="422"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2、项目名称：</w:t>
      </w:r>
      <w:r>
        <w:rPr>
          <w:rFonts w:hint="eastAsia" w:ascii="宋体" w:hAnsi="宋体" w:eastAsia="宋体" w:cs="宋体"/>
          <w:color w:val="000000" w:themeColor="text1"/>
          <w:highlight w:val="none"/>
          <w:lang w:eastAsia="zh-CN"/>
          <w14:textFill>
            <w14:solidFill>
              <w14:schemeClr w14:val="tx1"/>
            </w14:solidFill>
          </w14:textFill>
        </w:rPr>
        <w:t>平顶山市第一人民医院优越路院区物业管理服务项目</w:t>
      </w:r>
    </w:p>
    <w:p w14:paraId="174CCAC0">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3、采购方式：</w:t>
      </w:r>
      <w:r>
        <w:rPr>
          <w:rFonts w:hint="eastAsia" w:ascii="宋体" w:hAnsi="宋体" w:eastAsia="宋体" w:cs="宋体"/>
          <w:color w:val="000000" w:themeColor="text1"/>
          <w:highlight w:val="none"/>
          <w14:textFill>
            <w14:solidFill>
              <w14:schemeClr w14:val="tx1"/>
            </w14:solidFill>
          </w14:textFill>
        </w:rPr>
        <w:t>公开招标</w:t>
      </w:r>
    </w:p>
    <w:p w14:paraId="55DC9E7C">
      <w:pPr>
        <w:spacing w:line="360" w:lineRule="auto"/>
        <w:ind w:firstLine="422" w:firstLineChars="200"/>
        <w:rPr>
          <w:rFonts w:hint="eastAsia" w:ascii="宋体" w:hAnsi="宋体" w:eastAsia="宋体" w:cs="宋体"/>
          <w:b w:val="0"/>
          <w:bCs/>
          <w:lang w:val="en-US" w:eastAsia="zh-CN"/>
        </w:rPr>
      </w:pPr>
      <w:r>
        <w:rPr>
          <w:rFonts w:hint="eastAsia" w:ascii="宋体" w:hAnsi="宋体" w:eastAsia="宋体" w:cs="宋体"/>
          <w:b/>
        </w:rPr>
        <w:t>4、预算金额：</w:t>
      </w:r>
      <w:r>
        <w:rPr>
          <w:rFonts w:hint="eastAsia" w:ascii="宋体" w:hAnsi="宋体" w:cs="宋体"/>
          <w:b w:val="0"/>
          <w:bCs/>
          <w:lang w:val="en-US" w:eastAsia="zh-CN"/>
        </w:rPr>
        <w:t>11997600.00元</w:t>
      </w:r>
      <w:r>
        <w:rPr>
          <w:rFonts w:hint="eastAsia" w:ascii="宋体" w:hAnsi="宋体" w:eastAsia="宋体" w:cs="宋体"/>
          <w:b w:val="0"/>
          <w:bCs/>
          <w:lang w:val="en-US" w:eastAsia="zh-CN"/>
        </w:rPr>
        <w:t>，</w:t>
      </w:r>
      <w:r>
        <w:rPr>
          <w:rFonts w:hint="eastAsia" w:ascii="宋体" w:hAnsi="宋体" w:eastAsia="宋体" w:cs="宋体"/>
          <w:b w:val="0"/>
          <w:bCs/>
        </w:rPr>
        <w:t>最高限价：</w:t>
      </w:r>
      <w:r>
        <w:rPr>
          <w:rFonts w:hint="eastAsia" w:ascii="宋体" w:hAnsi="宋体" w:cs="宋体"/>
          <w:b w:val="0"/>
          <w:bCs/>
          <w:lang w:val="en-US" w:eastAsia="zh-CN"/>
        </w:rPr>
        <w:t>11997600元</w:t>
      </w:r>
      <w:r>
        <w:rPr>
          <w:rFonts w:hint="eastAsia" w:ascii="宋体" w:hAnsi="宋体" w:eastAsia="宋体" w:cs="宋体"/>
          <w:b w:val="0"/>
          <w:bCs/>
          <w:lang w:val="en-US" w:eastAsia="zh-CN"/>
        </w:rPr>
        <w:t>。</w:t>
      </w:r>
    </w:p>
    <w:tbl>
      <w:tblPr>
        <w:tblStyle w:val="20"/>
        <w:tblW w:w="9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395"/>
        <w:gridCol w:w="3240"/>
        <w:gridCol w:w="1770"/>
        <w:gridCol w:w="2190"/>
      </w:tblGrid>
      <w:tr w14:paraId="7D3A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7B2D926B">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序号</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618467A7">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包号</w:t>
            </w:r>
          </w:p>
        </w:tc>
        <w:tc>
          <w:tcPr>
            <w:tcW w:w="3240" w:type="dxa"/>
            <w:tcBorders>
              <w:top w:val="single" w:color="auto" w:sz="4" w:space="0"/>
              <w:left w:val="single" w:color="auto" w:sz="4" w:space="0"/>
              <w:bottom w:val="single" w:color="auto" w:sz="4" w:space="0"/>
              <w:right w:val="single" w:color="auto" w:sz="4" w:space="0"/>
            </w:tcBorders>
            <w:noWrap w:val="0"/>
            <w:vAlign w:val="center"/>
          </w:tcPr>
          <w:p w14:paraId="451CD552">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包名称</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20C85D1C">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包预算（元）</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68B615A5">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包最高限价（元）</w:t>
            </w:r>
          </w:p>
        </w:tc>
      </w:tr>
      <w:tr w14:paraId="2D70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noWrap w:val="0"/>
            <w:vAlign w:val="center"/>
          </w:tcPr>
          <w:p w14:paraId="0F669E2C">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1</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588BCA09">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平公资采202</w:t>
            </w:r>
            <w:r>
              <w:rPr>
                <w:rFonts w:hint="eastAsia" w:ascii="宋体" w:hAnsi="宋体" w:cs="宋体"/>
                <w:szCs w:val="21"/>
                <w:highlight w:val="none"/>
                <w:lang w:val="en-US" w:eastAsia="zh-CN"/>
              </w:rPr>
              <w:t>535</w:t>
            </w:r>
            <w:r>
              <w:rPr>
                <w:rFonts w:hint="eastAsia" w:ascii="宋体" w:hAnsi="宋体" w:eastAsia="宋体" w:cs="宋体"/>
                <w:szCs w:val="21"/>
                <w:highlight w:val="none"/>
              </w:rPr>
              <w:t>号-1</w:t>
            </w:r>
          </w:p>
        </w:tc>
        <w:tc>
          <w:tcPr>
            <w:tcW w:w="3240" w:type="dxa"/>
            <w:tcBorders>
              <w:top w:val="single" w:color="auto" w:sz="4" w:space="0"/>
              <w:left w:val="single" w:color="auto" w:sz="4" w:space="0"/>
              <w:bottom w:val="single" w:color="auto" w:sz="4" w:space="0"/>
              <w:right w:val="single" w:color="auto" w:sz="4" w:space="0"/>
            </w:tcBorders>
            <w:noWrap w:val="0"/>
            <w:vAlign w:val="center"/>
          </w:tcPr>
          <w:p w14:paraId="543FAD57">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第一标段</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7EA90886">
            <w:pPr>
              <w:spacing w:line="360" w:lineRule="auto"/>
              <w:jc w:val="center"/>
              <w:rPr>
                <w:rFonts w:ascii="宋体" w:hAnsi="宋体" w:eastAsia="宋体" w:cs="宋体"/>
                <w:szCs w:val="21"/>
                <w:highlight w:val="none"/>
              </w:rPr>
            </w:pPr>
            <w:r>
              <w:rPr>
                <w:rFonts w:hint="eastAsia" w:ascii="宋体" w:hAnsi="宋体" w:cs="宋体"/>
                <w:b w:val="0"/>
                <w:bCs/>
                <w:lang w:val="en-US" w:eastAsia="zh-CN"/>
              </w:rPr>
              <w:t>11997600</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4001DFAC">
            <w:pPr>
              <w:spacing w:line="360" w:lineRule="auto"/>
              <w:jc w:val="center"/>
              <w:rPr>
                <w:rFonts w:ascii="宋体" w:hAnsi="宋体" w:eastAsia="宋体" w:cs="宋体"/>
                <w:szCs w:val="21"/>
                <w:highlight w:val="none"/>
              </w:rPr>
            </w:pPr>
            <w:r>
              <w:rPr>
                <w:rFonts w:hint="eastAsia" w:ascii="宋体" w:hAnsi="宋体" w:cs="宋体"/>
                <w:b w:val="0"/>
                <w:bCs/>
                <w:lang w:val="en-US" w:eastAsia="zh-CN"/>
              </w:rPr>
              <w:t>11997600</w:t>
            </w:r>
          </w:p>
        </w:tc>
      </w:tr>
    </w:tbl>
    <w:p w14:paraId="2097A478">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5、采购需求：（包括但不限于标的的名称、数量、简要技术需求或服务要求等）</w:t>
      </w:r>
    </w:p>
    <w:p w14:paraId="6B30A88A">
      <w:pPr>
        <w:spacing w:line="360" w:lineRule="auto"/>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1）采购内容：优越路院区所有正常工作区域的室内外卫生保洁及控烟服务，院内交通路面下水道抽排，暗沟的疏通，化粪池清理，生活垃圾的外运处置，宣传橱窗等的保洁以及突发事件的应急保洁，院区绿化养护，办公室、会议室、重大节日、大型活动期间楼前广场花卉购买及摆放。具体采购内容</w:t>
      </w:r>
      <w:r>
        <w:rPr>
          <w:rFonts w:hint="eastAsia" w:ascii="宋体" w:hAnsi="宋体" w:eastAsia="宋体" w:cs="宋体"/>
          <w:bCs/>
          <w:color w:val="000000" w:themeColor="text1"/>
          <w:highlight w:val="none"/>
          <w:lang w:val="en-US" w:eastAsia="zh-CN"/>
          <w14:textFill>
            <w14:solidFill>
              <w14:schemeClr w14:val="tx1"/>
            </w14:solidFill>
          </w14:textFill>
        </w:rPr>
        <w:t>及要求</w:t>
      </w:r>
      <w:r>
        <w:rPr>
          <w:rFonts w:hint="eastAsia" w:ascii="宋体" w:hAnsi="宋体" w:eastAsia="宋体" w:cs="宋体"/>
          <w:bCs/>
          <w:color w:val="000000" w:themeColor="text1"/>
          <w:highlight w:val="none"/>
          <w14:textFill>
            <w14:solidFill>
              <w14:schemeClr w14:val="tx1"/>
            </w14:solidFill>
          </w14:textFill>
        </w:rPr>
        <w:t>详见招标文件。</w:t>
      </w:r>
    </w:p>
    <w:p w14:paraId="1E14AC2D">
      <w:pPr>
        <w:spacing w:line="360" w:lineRule="auto"/>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（2）服务期限：3 年（合同一年一签订，达到采购人要求后续签）。</w:t>
      </w:r>
    </w:p>
    <w:p w14:paraId="5FDE7C2D">
      <w:pPr>
        <w:spacing w:line="360" w:lineRule="auto"/>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（3）服务地点：平顶山市第一人民医院优越路院区。</w:t>
      </w:r>
    </w:p>
    <w:p w14:paraId="7A29686A">
      <w:pPr>
        <w:spacing w:line="360" w:lineRule="auto"/>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（4）质量：符合国家现行法律法规、相关行业标准规范，满足采购人要求。</w:t>
      </w:r>
    </w:p>
    <w:p w14:paraId="4AD32663">
      <w:pPr>
        <w:spacing w:line="360" w:lineRule="auto"/>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（5）标段划分：本项目划分</w:t>
      </w:r>
      <w:r>
        <w:rPr>
          <w:rFonts w:hint="eastAsia" w:ascii="宋体" w:hAnsi="宋体" w:eastAsia="宋体" w:cs="宋体"/>
          <w:bCs/>
          <w:color w:val="000000" w:themeColor="text1"/>
          <w:highlight w:val="none"/>
          <w:lang w:val="en-US" w:eastAsia="zh-CN"/>
          <w14:textFill>
            <w14:solidFill>
              <w14:schemeClr w14:val="tx1"/>
            </w14:solidFill>
          </w14:textFill>
        </w:rPr>
        <w:t>为一个</w:t>
      </w:r>
      <w:r>
        <w:rPr>
          <w:rFonts w:hint="eastAsia" w:ascii="宋体" w:hAnsi="宋体" w:eastAsia="宋体" w:cs="宋体"/>
          <w:bCs/>
          <w:color w:val="000000" w:themeColor="text1"/>
          <w:highlight w:val="none"/>
          <w14:textFill>
            <w14:solidFill>
              <w14:schemeClr w14:val="tx1"/>
            </w14:solidFill>
          </w14:textFill>
        </w:rPr>
        <w:t>标段。</w:t>
      </w:r>
    </w:p>
    <w:p w14:paraId="341A6BF5">
      <w:pPr>
        <w:spacing w:line="360" w:lineRule="auto"/>
        <w:ind w:firstLine="422"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6、合同履行期限：</w:t>
      </w:r>
      <w:r>
        <w:rPr>
          <w:rFonts w:hint="eastAsia" w:ascii="宋体" w:hAnsi="宋体" w:eastAsia="宋体" w:cs="宋体"/>
          <w:bCs/>
          <w:color w:val="000000" w:themeColor="text1"/>
          <w:highlight w:val="none"/>
          <w14:textFill>
            <w14:solidFill>
              <w14:schemeClr w14:val="tx1"/>
            </w14:solidFill>
          </w14:textFill>
        </w:rPr>
        <w:t>同服务期限。</w:t>
      </w:r>
    </w:p>
    <w:p w14:paraId="6527010C">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7、本项目是否接受联合体投标：</w:t>
      </w:r>
      <w:r>
        <w:rPr>
          <w:rFonts w:hint="eastAsia" w:ascii="宋体" w:hAnsi="宋体" w:eastAsia="宋体" w:cs="宋体"/>
          <w:bCs/>
          <w:color w:val="000000" w:themeColor="text1"/>
          <w:highlight w:val="none"/>
          <w14:textFill>
            <w14:solidFill>
              <w14:schemeClr w14:val="tx1"/>
            </w14:solidFill>
          </w14:textFill>
        </w:rPr>
        <w:t>否</w:t>
      </w:r>
    </w:p>
    <w:p w14:paraId="2BAE226E">
      <w:pPr>
        <w:spacing w:line="360" w:lineRule="auto"/>
        <w:ind w:firstLine="422"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8、是否接受进口产品：</w:t>
      </w:r>
      <w:r>
        <w:rPr>
          <w:rFonts w:hint="eastAsia" w:ascii="宋体" w:hAnsi="宋体" w:eastAsia="宋体" w:cs="宋体"/>
          <w:bCs/>
          <w:color w:val="000000" w:themeColor="text1"/>
          <w:highlight w:val="none"/>
          <w14:textFill>
            <w14:solidFill>
              <w14:schemeClr w14:val="tx1"/>
            </w14:solidFill>
          </w14:textFill>
        </w:rPr>
        <w:t>否</w:t>
      </w:r>
    </w:p>
    <w:p w14:paraId="0098AEF7">
      <w:pPr>
        <w:spacing w:line="360" w:lineRule="auto"/>
        <w:ind w:firstLine="422" w:firstLineChars="200"/>
        <w:rPr>
          <w:rFonts w:hint="eastAsia" w:ascii="宋体" w:hAnsi="宋体" w:eastAsia="宋体" w:cs="宋体"/>
          <w:bCs/>
          <w:color w:val="000000" w:themeColor="text1"/>
          <w:szCs w:val="22"/>
          <w:highlight w:val="none"/>
          <w:lang w:val="en-US" w:eastAsia="zh-CN"/>
          <w14:textFill>
            <w14:solidFill>
              <w14:schemeClr w14:val="tx1"/>
            </w14:solidFill>
          </w14:textFill>
        </w:rPr>
      </w:pPr>
      <w:r>
        <w:rPr>
          <w:rFonts w:hint="eastAsia" w:ascii="宋体" w:hAnsi="宋体" w:eastAsia="宋体" w:cs="宋体"/>
          <w:b/>
          <w:color w:val="000000" w:themeColor="text1"/>
          <w:szCs w:val="22"/>
          <w:highlight w:val="none"/>
          <w14:textFill>
            <w14:solidFill>
              <w14:schemeClr w14:val="tx1"/>
            </w14:solidFill>
          </w14:textFill>
        </w:rPr>
        <w:t>9、是否专门面向中小企业：</w:t>
      </w:r>
      <w:r>
        <w:rPr>
          <w:rFonts w:hint="eastAsia" w:ascii="宋体" w:hAnsi="宋体" w:eastAsia="宋体" w:cs="宋体"/>
          <w:b w:val="0"/>
          <w:bCs/>
          <w:color w:val="000000" w:themeColor="text1"/>
          <w:szCs w:val="22"/>
          <w:highlight w:val="none"/>
          <w:lang w:val="en-US" w:eastAsia="zh-CN"/>
          <w14:textFill>
            <w14:solidFill>
              <w14:schemeClr w14:val="tx1"/>
            </w14:solidFill>
          </w14:textFill>
        </w:rPr>
        <w:t>否</w:t>
      </w:r>
    </w:p>
    <w:p w14:paraId="5E2F4259">
      <w:pPr>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二、申请人资格要求：</w:t>
      </w:r>
    </w:p>
    <w:p w14:paraId="45E3F35F">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1、满足《中华人民共和国政府采购法》第二十二条规定；</w:t>
      </w:r>
    </w:p>
    <w:p w14:paraId="5605D5BC">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2、落实政府采购政策满足的资格要求：</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14:paraId="5258AD2F">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3、本项目的特定资格要求：</w:t>
      </w:r>
    </w:p>
    <w:p w14:paraId="3F60E450">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（1）具有独立承担民事责任的能力，提供有效的营业执照（或电子营业执照）；</w:t>
      </w:r>
    </w:p>
    <w:p w14:paraId="54953920">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（2）具有良好的商业信誉和健全的财务会计制度（提供加盖单位公章的承诺书，格式自拟）；</w:t>
      </w:r>
    </w:p>
    <w:p w14:paraId="01782E13">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（3）具有履行合同所必需的设备和专业技术能力（提供加盖单位公章的承诺书，格式自拟)；</w:t>
      </w:r>
    </w:p>
    <w:p w14:paraId="39A01B41">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（4）有依法缴纳税收和社会保障资金的良好记录 (提供加盖单位公章的承诺书，格式自拟)；</w:t>
      </w:r>
    </w:p>
    <w:p w14:paraId="099789C8">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（5）参加政府采购活动前三年内，在经营活动中没有重大违法记录（提供加盖单位公章的承诺书，格式自拟) ；</w:t>
      </w:r>
    </w:p>
    <w:p w14:paraId="7A6D5680">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（6）被 列 入 “ 中 国 执 行 信 息 公 开 网 ” 网 站（http://zxgk.court.gov.cn/shixin/）的“失信被执行人”、“信用中国”网站（http://www.creditchina.gov.cn）的“重大税收违法失信主体”、“中国政府采购网”网站(http://www.ccgp.gov.cn)的“政府采购严重违法失信行为记录名单”及其他不符合《中华人民共和国政府采购法》第二十二条规定条件的投标人，采购人、采购代理机构拒绝其参与本项目投标。采购人、采购代理机构将通过以上网站查询投标人信用记录，信用信息查询的截止时点为投标截止，并将查询网页、内容进行截图，以作证据存档；</w:t>
      </w:r>
    </w:p>
    <w:p w14:paraId="5C88095B">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单位负责人为同一人或者存在控股、管理关系的不同单位，不得同时参加本项目的投标。除单一来源采购项目外，为采购项目提供整体设计、规范编制或者项目管理、监理、检测等服务的供应商，不得再参加该采购项目的其他采购活动。（提供加盖单位公章的承诺书，格式自拟）。</w:t>
      </w:r>
    </w:p>
    <w:p w14:paraId="5416A200">
      <w:pPr>
        <w:spacing w:line="360" w:lineRule="auto"/>
        <w:ind w:firstLine="424" w:firstLineChars="202"/>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说明：（1）如供应商为新成立企业，可提供注册后的相关证明材料。（2）采购人有权在签订合同前要求中标供应商提供相关证明材料以核实中标供应商承诺事项的真实性。</w:t>
      </w:r>
    </w:p>
    <w:p w14:paraId="4ACB3145">
      <w:pPr>
        <w:spacing w:line="360" w:lineRule="auto"/>
        <w:rPr>
          <w:rFonts w:hint="eastAsia" w:ascii="宋体" w:hAnsi="宋体" w:eastAsia="宋体" w:cs="宋体"/>
          <w:b/>
          <w:color w:val="000000" w:themeColor="text1"/>
          <w:highlight w:val="none"/>
          <w14:textFill>
            <w14:solidFill>
              <w14:schemeClr w14:val="tx1"/>
            </w14:solidFill>
          </w14:textFill>
        </w:rPr>
      </w:pPr>
      <w:bookmarkStart w:id="25" w:name="_Toc358534657"/>
      <w:bookmarkStart w:id="26" w:name="_Toc358563805"/>
      <w:bookmarkStart w:id="27" w:name="_Toc358534849"/>
      <w:bookmarkStart w:id="28" w:name="_Toc358534729"/>
      <w:bookmarkStart w:id="29" w:name="_Toc358202146"/>
      <w:r>
        <w:rPr>
          <w:rFonts w:hint="eastAsia" w:ascii="宋体" w:hAnsi="宋体" w:eastAsia="宋体" w:cs="宋体"/>
          <w:b/>
          <w:color w:val="000000" w:themeColor="text1"/>
          <w:highlight w:val="none"/>
          <w14:textFill>
            <w14:solidFill>
              <w14:schemeClr w14:val="tx1"/>
            </w14:solidFill>
          </w14:textFill>
        </w:rPr>
        <w:t>三、获取招标文件</w:t>
      </w:r>
    </w:p>
    <w:p w14:paraId="09ED43C0">
      <w:pPr>
        <w:adjustRightInd w:val="0"/>
        <w:snapToGrid w:val="0"/>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1、时间：2024年</w:t>
      </w:r>
      <w:r>
        <w:rPr>
          <w:rFonts w:hint="eastAsia" w:ascii="宋体" w:hAnsi="宋体" w:cs="宋体"/>
          <w:color w:val="000000" w:themeColor="text1"/>
          <w:highlight w:val="none"/>
          <w:lang w:val="en-US" w:eastAsia="zh-CN"/>
          <w14:textFill>
            <w14:solidFill>
              <w14:schemeClr w14:val="tx1"/>
            </w14:solidFill>
          </w14:textFill>
        </w:rPr>
        <w:t>12</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lang w:val="en-US" w:eastAsia="zh-CN"/>
          <w14:textFill>
            <w14:solidFill>
              <w14:schemeClr w14:val="tx1"/>
            </w14:solidFill>
          </w14:textFill>
        </w:rPr>
        <w:t>23</w:t>
      </w:r>
      <w:r>
        <w:rPr>
          <w:rFonts w:hint="eastAsia" w:ascii="宋体" w:hAnsi="宋体" w:eastAsia="宋体" w:cs="宋体"/>
          <w:color w:val="000000" w:themeColor="text1"/>
          <w:highlight w:val="none"/>
          <w14:textFill>
            <w14:solidFill>
              <w14:schemeClr w14:val="tx1"/>
            </w14:solidFill>
          </w14:textFill>
        </w:rPr>
        <w:t>日至202</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cs="宋体"/>
          <w:color w:val="000000" w:themeColor="text1"/>
          <w:highlight w:val="none"/>
          <w:lang w:val="en-US" w:eastAsia="zh-CN"/>
          <w14:textFill>
            <w14:solidFill>
              <w14:schemeClr w14:val="tx1"/>
            </w14:solidFill>
          </w14:textFill>
        </w:rPr>
        <w:t>01</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lang w:val="en-US" w:eastAsia="zh-CN"/>
          <w14:textFill>
            <w14:solidFill>
              <w14:schemeClr w14:val="tx1"/>
            </w14:solidFill>
          </w14:textFill>
        </w:rPr>
        <w:t>14</w:t>
      </w:r>
      <w:r>
        <w:rPr>
          <w:rFonts w:hint="eastAsia" w:ascii="宋体" w:hAnsi="宋体" w:eastAsia="宋体" w:cs="宋体"/>
          <w:color w:val="000000" w:themeColor="text1"/>
          <w:highlight w:val="none"/>
          <w14:textFill>
            <w14:solidFill>
              <w14:schemeClr w14:val="tx1"/>
            </w14:solidFill>
          </w14:textFill>
        </w:rPr>
        <w:t>日，每天上午00:00至12:00，下午12:00至23:59（北京时间，法定节假日除外。）</w:t>
      </w:r>
    </w:p>
    <w:p w14:paraId="79E8A05A">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2、地点：《全国公共资源交易平台（河南省·平顶山市）》（http://ggzy.pds.gov.cn/）</w:t>
      </w:r>
    </w:p>
    <w:p w14:paraId="511930E4">
      <w:pPr>
        <w:widowControl/>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3、方式：潜在投标人需凭CA数字证书通过全国公共资源交易平台（河南省·平顶山市）（http://ggzy.pds.gov.cn/）“交易主体登录”入口进入交易系统下载招标文件。具体操作请查看以下链接：</w:t>
      </w:r>
    </w:p>
    <w:p w14:paraId="13637291">
      <w:pPr>
        <w:widowControl/>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链接地址：http://ggzy.pds.gov.cn/fwzn/11020.jhtml</w:t>
      </w:r>
    </w:p>
    <w:p w14:paraId="085FD802">
      <w:pPr>
        <w:widowControl/>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办理CA证书：http://ggzy.pds.gov.cn/tzgg/10814.jhtml</w:t>
      </w:r>
    </w:p>
    <w:p w14:paraId="5548CF1A">
      <w:pPr>
        <w:widowControl/>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4、售价：0元。</w:t>
      </w:r>
    </w:p>
    <w:p w14:paraId="3410C3C6">
      <w:pPr>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四、投标截止时间及地点</w:t>
      </w:r>
    </w:p>
    <w:bookmarkEnd w:id="25"/>
    <w:bookmarkEnd w:id="26"/>
    <w:bookmarkEnd w:id="27"/>
    <w:bookmarkEnd w:id="28"/>
    <w:bookmarkEnd w:id="29"/>
    <w:p w14:paraId="35F3C4C7">
      <w:pPr>
        <w:widowControl/>
        <w:spacing w:line="360" w:lineRule="auto"/>
        <w:ind w:firstLine="424" w:firstLineChars="202"/>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1、时间：202</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cs="宋体"/>
          <w:color w:val="000000" w:themeColor="text1"/>
          <w:highlight w:val="none"/>
          <w:lang w:val="en-US" w:eastAsia="zh-CN"/>
          <w14:textFill>
            <w14:solidFill>
              <w14:schemeClr w14:val="tx1"/>
            </w14:solidFill>
          </w14:textFill>
        </w:rPr>
        <w:t>01</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日</w:t>
      </w:r>
      <w:r>
        <w:rPr>
          <w:rFonts w:hint="eastAsia" w:ascii="宋体" w:hAnsi="宋体" w:cs="宋体"/>
          <w:color w:val="000000" w:themeColor="text1"/>
          <w:highlight w:val="none"/>
          <w:lang w:val="en-US" w:eastAsia="zh-CN"/>
          <w14:textFill>
            <w14:solidFill>
              <w14:schemeClr w14:val="tx1"/>
            </w14:solidFill>
          </w14:textFill>
        </w:rPr>
        <w:t>08</w:t>
      </w:r>
      <w:r>
        <w:rPr>
          <w:rFonts w:hint="eastAsia" w:ascii="宋体" w:hAnsi="宋体" w:eastAsia="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lang w:val="en-US" w:eastAsia="zh-CN"/>
          <w14:textFill>
            <w14:solidFill>
              <w14:schemeClr w14:val="tx1"/>
            </w14:solidFill>
          </w14:textFill>
        </w:rPr>
        <w:t>40</w:t>
      </w:r>
      <w:r>
        <w:rPr>
          <w:rFonts w:hint="eastAsia" w:ascii="宋体" w:hAnsi="宋体" w:eastAsia="宋体" w:cs="宋体"/>
          <w:color w:val="000000" w:themeColor="text1"/>
          <w:highlight w:val="none"/>
          <w14:textFill>
            <w14:solidFill>
              <w14:schemeClr w14:val="tx1"/>
            </w14:solidFill>
          </w14:textFill>
        </w:rPr>
        <w:t>分（北京时间）</w:t>
      </w:r>
    </w:p>
    <w:p w14:paraId="11CB901F">
      <w:pPr>
        <w:spacing w:line="360" w:lineRule="auto"/>
        <w:ind w:right="-283" w:rightChars="-135"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2、地点：</w:t>
      </w:r>
      <w:r>
        <w:rPr>
          <w:rFonts w:hint="eastAsia" w:ascii="宋体" w:hAnsi="宋体" w:eastAsia="宋体" w:cs="宋体"/>
          <w:color w:val="000000" w:themeColor="text1"/>
          <w:szCs w:val="22"/>
          <w:highlight w:val="none"/>
          <w14:textFill>
            <w14:solidFill>
              <w14:schemeClr w14:val="tx1"/>
            </w14:solidFill>
          </w14:textFill>
        </w:rPr>
        <w:t>《全国公共资源交易平台（河南省</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Cs w:val="22"/>
          <w:highlight w:val="none"/>
          <w14:textFill>
            <w14:solidFill>
              <w14:schemeClr w14:val="tx1"/>
            </w14:solidFill>
          </w14:textFill>
        </w:rPr>
        <w:t>平顶山市）》</w:t>
      </w:r>
      <w:r>
        <w:rPr>
          <w:rFonts w:hint="eastAsia" w:ascii="宋体" w:hAnsi="宋体" w:eastAsia="宋体" w:cs="宋体"/>
          <w:color w:val="000000" w:themeColor="text1"/>
          <w:highlight w:val="none"/>
          <w14:textFill>
            <w14:solidFill>
              <w14:schemeClr w14:val="tx1"/>
            </w14:solidFill>
          </w14:textFill>
        </w:rPr>
        <w:t>公共资源交易系统</w:t>
      </w:r>
    </w:p>
    <w:p w14:paraId="1634616A">
      <w:pPr>
        <w:spacing w:line="360" w:lineRule="auto"/>
        <w:ind w:right="-283" w:rightChars="-1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五、开标时间及地点</w:t>
      </w:r>
    </w:p>
    <w:p w14:paraId="18773576">
      <w:pPr>
        <w:widowControl/>
        <w:spacing w:line="360" w:lineRule="auto"/>
        <w:ind w:firstLine="424" w:firstLineChars="202"/>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1、时间：202</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cs="宋体"/>
          <w:color w:val="000000" w:themeColor="text1"/>
          <w:highlight w:val="none"/>
          <w:lang w:val="en-US" w:eastAsia="zh-CN"/>
          <w14:textFill>
            <w14:solidFill>
              <w14:schemeClr w14:val="tx1"/>
            </w14:solidFill>
          </w14:textFill>
        </w:rPr>
        <w:t>01</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日</w:t>
      </w:r>
      <w:r>
        <w:rPr>
          <w:rFonts w:hint="eastAsia" w:ascii="宋体" w:hAnsi="宋体" w:cs="宋体"/>
          <w:color w:val="000000" w:themeColor="text1"/>
          <w:highlight w:val="none"/>
          <w:lang w:val="en-US" w:eastAsia="zh-CN"/>
          <w14:textFill>
            <w14:solidFill>
              <w14:schemeClr w14:val="tx1"/>
            </w14:solidFill>
          </w14:textFill>
        </w:rPr>
        <w:t>08</w:t>
      </w:r>
      <w:r>
        <w:rPr>
          <w:rFonts w:hint="eastAsia" w:ascii="宋体" w:hAnsi="宋体" w:eastAsia="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lang w:val="en-US" w:eastAsia="zh-CN"/>
          <w14:textFill>
            <w14:solidFill>
              <w14:schemeClr w14:val="tx1"/>
            </w14:solidFill>
          </w14:textFill>
        </w:rPr>
        <w:t>40</w:t>
      </w:r>
      <w:r>
        <w:rPr>
          <w:rFonts w:hint="eastAsia" w:ascii="宋体" w:hAnsi="宋体" w:eastAsia="宋体" w:cs="宋体"/>
          <w:color w:val="000000" w:themeColor="text1"/>
          <w:highlight w:val="none"/>
          <w14:textFill>
            <w14:solidFill>
              <w14:schemeClr w14:val="tx1"/>
            </w14:solidFill>
          </w14:textFill>
        </w:rPr>
        <w:t>分（北京时间）</w:t>
      </w:r>
    </w:p>
    <w:p w14:paraId="47B0950F">
      <w:pPr>
        <w:spacing w:line="360" w:lineRule="auto"/>
        <w:ind w:right="-283" w:rightChars="-135"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2、地点：《全国公共资源交易平台(河南省·平顶山市)》公共资源交易系统</w:t>
      </w:r>
    </w:p>
    <w:p w14:paraId="3B71868E">
      <w:pPr>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六、发布公告的媒介及招标公告期限</w:t>
      </w:r>
    </w:p>
    <w:p w14:paraId="57E98D68">
      <w:pPr>
        <w:spacing w:line="360" w:lineRule="auto"/>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本次招标公告在《河南省政府采购网》、《平顶山市政府采购网》</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《中国招标投标服务公共平台》、《河南省电子招标投标公共服务平台》、《全国公共资源交易平台（河南省·平顶山市）》上发布，招标公告期限为五个工作日。</w:t>
      </w:r>
    </w:p>
    <w:p w14:paraId="757BBE46">
      <w:pPr>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七、其他补充事宜</w:t>
      </w:r>
    </w:p>
    <w:p w14:paraId="0C92D61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30" w:name="_Toc358534730"/>
      <w:bookmarkStart w:id="31" w:name="_Toc358534658"/>
      <w:bookmarkStart w:id="32" w:name="_Toc358534850"/>
      <w:bookmarkStart w:id="33" w:name="_Toc358202147"/>
      <w:bookmarkStart w:id="34" w:name="_Toc358563806"/>
      <w:r>
        <w:rPr>
          <w:rFonts w:hint="eastAsia" w:ascii="宋体" w:hAnsi="宋体" w:eastAsia="宋体" w:cs="宋体"/>
          <w:color w:val="000000" w:themeColor="text1"/>
          <w:highlight w:val="none"/>
          <w14:textFill>
            <w14:solidFill>
              <w14:schemeClr w14:val="tx1"/>
            </w14:solidFill>
          </w14:textFill>
        </w:rPr>
        <w:t>1、平顶山市公共资源交易中心全面实行在线“不见面”开标，投标人远程在线解密投标文件，不再到开标现场，投标人开标前应仔细阅读招标文件中“不见面”开标注意事项及操作流程。</w:t>
      </w:r>
    </w:p>
    <w:p w14:paraId="692CB76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2、该公告已同步至“平顶山市公共资源交易中心微信公众号”，可通过公众号中的服务栏目进行查阅”。</w:t>
      </w:r>
    </w:p>
    <w:p w14:paraId="4D72A0F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3、本项目执行节约能源、保护环境、扶持不发达地区和少数民族地区、促进中小企业发展等政府采购政策。</w:t>
      </w:r>
    </w:p>
    <w:p w14:paraId="20559F6F">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供应商认为采购文件、采购过程、中标或者成交结果使自己的权益受到损害的，可以在知道或者应知其权益受到损害之日起7个工作日内，按中华人民共和国财政部令第94号《政府采购质疑和投诉办法》的相关规定，以书面形式同时向采购人和采购代理机构提出质疑(加盖单位公章且法定代表人签字)，由其授权代表携带法人授权书及本人身份证件提交(邮寄、传真件不予受理)。逾期未提交或未按照要求提交的质疑函将不予受理。</w:t>
      </w:r>
    </w:p>
    <w:p w14:paraId="2A20245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5、监督部门：平顶山市财政局</w:t>
      </w:r>
    </w:p>
    <w:p w14:paraId="3B4FF8CA">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统一社会信用代码：11410400005452110L</w:t>
      </w:r>
    </w:p>
    <w:p w14:paraId="278256B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联系方式：0375-2627595</w:t>
      </w:r>
    </w:p>
    <w:p w14:paraId="3491ED6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监督部门：平顶山市第一人民医院纪检监察室</w:t>
      </w:r>
    </w:p>
    <w:p w14:paraId="6D59A5F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统一社会信用代码：12410400416845373A</w:t>
      </w:r>
    </w:p>
    <w:p w14:paraId="2A640F4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联系方式：0375−3383077</w:t>
      </w:r>
    </w:p>
    <w:p w14:paraId="6154E9BA">
      <w:pPr>
        <w:spacing w:line="456" w:lineRule="exact"/>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八、凡对本次招标提出询问，请按照以下方式联系</w:t>
      </w:r>
      <w:bookmarkEnd w:id="30"/>
      <w:bookmarkEnd w:id="31"/>
      <w:bookmarkEnd w:id="32"/>
      <w:bookmarkEnd w:id="33"/>
      <w:bookmarkEnd w:id="34"/>
    </w:p>
    <w:p w14:paraId="5CD2BC19">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1.采购人信息</w:t>
      </w:r>
    </w:p>
    <w:p w14:paraId="6DF89C6A">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名称：平顶山市第一人民医院 </w:t>
      </w:r>
    </w:p>
    <w:p w14:paraId="67DF0E60">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地址：平顶山市新城区未来路 </w:t>
      </w:r>
    </w:p>
    <w:p w14:paraId="06A57407">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联系人：尤老师</w:t>
      </w:r>
    </w:p>
    <w:p w14:paraId="69790148">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联系方式：0375-3383081</w:t>
      </w:r>
    </w:p>
    <w:p w14:paraId="785E425C">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2.采购代理机构信息</w:t>
      </w:r>
    </w:p>
    <w:p w14:paraId="3D1E0D28">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名称：新恒丰咨询集团有限公司</w:t>
      </w:r>
    </w:p>
    <w:p w14:paraId="76C35564">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地址：郑州市金水区杨金路139号C7号楼</w:t>
      </w:r>
    </w:p>
    <w:p w14:paraId="6EE00208">
      <w:pPr>
        <w:spacing w:line="456" w:lineRule="exact"/>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eastAsia="宋体" w:cs="宋体"/>
          <w:color w:val="000000" w:themeColor="text1"/>
          <w:highlight w:val="none"/>
          <w:lang w:val="en-US" w:eastAsia="zh-CN"/>
          <w14:textFill>
            <w14:solidFill>
              <w14:schemeClr w14:val="tx1"/>
            </w14:solidFill>
          </w14:textFill>
        </w:rPr>
        <w:t>孙女士</w:t>
      </w:r>
    </w:p>
    <w:p w14:paraId="23449676">
      <w:pPr>
        <w:spacing w:line="456" w:lineRule="exact"/>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联系方式：0375-2337797</w:t>
      </w:r>
    </w:p>
    <w:p w14:paraId="5C1472CF">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3.项目联系方式</w:t>
      </w:r>
    </w:p>
    <w:p w14:paraId="4616548B">
      <w:pPr>
        <w:spacing w:line="456" w:lineRule="exact"/>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eastAsia="宋体" w:cs="宋体"/>
          <w:color w:val="000000" w:themeColor="text1"/>
          <w:highlight w:val="none"/>
          <w:lang w:val="en-US" w:eastAsia="zh-CN"/>
          <w14:textFill>
            <w14:solidFill>
              <w14:schemeClr w14:val="tx1"/>
            </w14:solidFill>
          </w14:textFill>
        </w:rPr>
        <w:t>孙女士</w:t>
      </w:r>
    </w:p>
    <w:p w14:paraId="595AFE79">
      <w:pPr>
        <w:spacing w:line="456"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联系方式：0375-2337797</w:t>
      </w:r>
    </w:p>
    <w:p w14:paraId="6B1DBAB1">
      <w:pPr>
        <w:rPr>
          <w:rFonts w:hint="eastAsia" w:ascii="宋体" w:hAnsi="宋体" w:eastAsia="宋体" w:cs="宋体"/>
          <w:color w:val="000000" w:themeColor="text1"/>
          <w:highlight w:val="none"/>
          <w14:textFill>
            <w14:solidFill>
              <w14:schemeClr w14:val="tx1"/>
            </w14:solidFill>
          </w14:textFill>
        </w:rPr>
      </w:pPr>
    </w:p>
    <w:p w14:paraId="0D34030C">
      <w:pPr>
        <w:rPr>
          <w:rFonts w:hint="eastAsia" w:ascii="宋体" w:hAnsi="宋体" w:eastAsia="宋体" w:cs="宋体"/>
          <w:color w:val="000000" w:themeColor="text1"/>
          <w:highlight w:val="none"/>
          <w14:textFill>
            <w14:solidFill>
              <w14:schemeClr w14:val="tx1"/>
            </w14:solidFill>
          </w14:textFill>
        </w:rPr>
      </w:pPr>
    </w:p>
    <w:p w14:paraId="3AA1D263">
      <w:pPr>
        <w:rPr>
          <w:rFonts w:hint="eastAsia" w:ascii="宋体" w:hAnsi="宋体" w:eastAsia="宋体" w:cs="宋体"/>
          <w:color w:val="000000" w:themeColor="text1"/>
          <w:highlight w:val="none"/>
          <w14:textFill>
            <w14:solidFill>
              <w14:schemeClr w14:val="tx1"/>
            </w14:solidFill>
          </w14:textFill>
        </w:rPr>
      </w:pPr>
    </w:p>
    <w:p w14:paraId="5407FD60">
      <w:pPr>
        <w:rPr>
          <w:rFonts w:hint="eastAsia" w:ascii="宋体" w:hAnsi="宋体" w:eastAsia="宋体" w:cs="宋体"/>
          <w:color w:val="000000" w:themeColor="text1"/>
          <w:highlight w:val="none"/>
          <w14:textFill>
            <w14:solidFill>
              <w14:schemeClr w14:val="tx1"/>
            </w14:solidFill>
          </w14:textFill>
        </w:rPr>
      </w:pPr>
    </w:p>
    <w:p w14:paraId="71392E3C">
      <w:pPr>
        <w:rPr>
          <w:rFonts w:hint="eastAsia" w:ascii="宋体" w:hAnsi="宋体" w:eastAsia="宋体" w:cs="宋体"/>
          <w:color w:val="000000" w:themeColor="text1"/>
          <w:highlight w:val="none"/>
          <w14:textFill>
            <w14:solidFill>
              <w14:schemeClr w14:val="tx1"/>
            </w14:solidFill>
          </w14:textFill>
        </w:rPr>
      </w:pPr>
    </w:p>
    <w:p w14:paraId="0A4CB302">
      <w:pPr>
        <w:rPr>
          <w:rFonts w:hint="eastAsia" w:ascii="宋体" w:hAnsi="宋体" w:eastAsia="宋体" w:cs="宋体"/>
          <w:color w:val="000000" w:themeColor="text1"/>
          <w:highlight w:val="none"/>
          <w14:textFill>
            <w14:solidFill>
              <w14:schemeClr w14:val="tx1"/>
            </w14:solidFill>
          </w14:textFill>
        </w:rPr>
      </w:pPr>
    </w:p>
    <w:p w14:paraId="52F322EC">
      <w:pPr>
        <w:rPr>
          <w:rFonts w:hint="eastAsia" w:ascii="宋体" w:hAnsi="宋体" w:eastAsia="宋体" w:cs="宋体"/>
          <w:color w:val="000000" w:themeColor="text1"/>
          <w:highlight w:val="none"/>
          <w14:textFill>
            <w14:solidFill>
              <w14:schemeClr w14:val="tx1"/>
            </w14:solidFill>
          </w14:textFill>
        </w:rPr>
      </w:pPr>
    </w:p>
    <w:p w14:paraId="142C2F93">
      <w:pPr>
        <w:rPr>
          <w:rFonts w:hint="eastAsia" w:ascii="宋体" w:hAnsi="宋体" w:eastAsia="宋体" w:cs="宋体"/>
          <w:color w:val="000000" w:themeColor="text1"/>
          <w:highlight w:val="none"/>
          <w14:textFill>
            <w14:solidFill>
              <w14:schemeClr w14:val="tx1"/>
            </w14:solidFill>
          </w14:textFill>
        </w:rPr>
      </w:pPr>
    </w:p>
    <w:p w14:paraId="12CEEC71">
      <w:pPr>
        <w:rPr>
          <w:rFonts w:hint="eastAsia" w:ascii="宋体" w:hAnsi="宋体" w:eastAsia="宋体" w:cs="宋体"/>
          <w:color w:val="000000" w:themeColor="text1"/>
          <w:highlight w:val="none"/>
          <w14:textFill>
            <w14:solidFill>
              <w14:schemeClr w14:val="tx1"/>
            </w14:solidFill>
          </w14:textFill>
        </w:rPr>
      </w:pPr>
    </w:p>
    <w:p w14:paraId="253C7B7B">
      <w:pPr>
        <w:rPr>
          <w:rFonts w:hint="eastAsia" w:ascii="宋体" w:hAnsi="宋体" w:eastAsia="宋体" w:cs="宋体"/>
          <w:color w:val="000000" w:themeColor="text1"/>
          <w:highlight w:val="none"/>
          <w14:textFill>
            <w14:solidFill>
              <w14:schemeClr w14:val="tx1"/>
            </w14:solidFill>
          </w14:textFill>
        </w:rPr>
      </w:pPr>
    </w:p>
    <w:p w14:paraId="6385ACAE">
      <w:pPr>
        <w:rPr>
          <w:rFonts w:hint="eastAsia" w:ascii="宋体" w:hAnsi="宋体" w:eastAsia="宋体" w:cs="宋体"/>
          <w:color w:val="000000" w:themeColor="text1"/>
          <w:highlight w:val="none"/>
          <w14:textFill>
            <w14:solidFill>
              <w14:schemeClr w14:val="tx1"/>
            </w14:solidFill>
          </w14:textFill>
        </w:rPr>
      </w:pPr>
    </w:p>
    <w:p w14:paraId="125B93FB">
      <w:pPr>
        <w:rPr>
          <w:rFonts w:hint="eastAsia" w:ascii="宋体" w:hAnsi="宋体" w:eastAsia="宋体" w:cs="宋体"/>
          <w:color w:val="000000" w:themeColor="text1"/>
          <w:highlight w:val="none"/>
          <w14:textFill>
            <w14:solidFill>
              <w14:schemeClr w14:val="tx1"/>
            </w14:solidFill>
          </w14:textFill>
        </w:rPr>
      </w:pPr>
    </w:p>
    <w:p w14:paraId="232DEC8F">
      <w:pPr>
        <w:rPr>
          <w:rFonts w:hint="eastAsia" w:ascii="宋体" w:hAnsi="宋体" w:eastAsia="宋体" w:cs="宋体"/>
          <w:color w:val="000000" w:themeColor="text1"/>
          <w:highlight w:val="none"/>
          <w14:textFill>
            <w14:solidFill>
              <w14:schemeClr w14:val="tx1"/>
            </w14:solidFill>
          </w14:textFill>
        </w:rPr>
      </w:pPr>
    </w:p>
    <w:p w14:paraId="1B3B9489">
      <w:pPr>
        <w:rPr>
          <w:rFonts w:hint="eastAsia" w:ascii="宋体" w:hAnsi="宋体" w:eastAsia="宋体" w:cs="宋体"/>
          <w:color w:val="000000" w:themeColor="text1"/>
          <w:highlight w:val="none"/>
          <w14:textFill>
            <w14:solidFill>
              <w14:schemeClr w14:val="tx1"/>
            </w14:solidFill>
          </w14:textFill>
        </w:rPr>
      </w:pPr>
    </w:p>
    <w:p w14:paraId="7DFD2B70">
      <w:pPr>
        <w:rPr>
          <w:rFonts w:hint="eastAsia" w:ascii="宋体" w:hAnsi="宋体" w:eastAsia="宋体" w:cs="宋体"/>
          <w:color w:val="000000" w:themeColor="text1"/>
          <w:highlight w:val="none"/>
          <w14:textFill>
            <w14:solidFill>
              <w14:schemeClr w14:val="tx1"/>
            </w14:solidFill>
          </w14:textFill>
        </w:rPr>
      </w:pPr>
    </w:p>
    <w:p w14:paraId="1E7BD96D">
      <w:pPr>
        <w:rPr>
          <w:rFonts w:hint="eastAsia" w:ascii="宋体" w:hAnsi="宋体" w:eastAsia="宋体" w:cs="宋体"/>
          <w:color w:val="000000" w:themeColor="text1"/>
          <w:highlight w:val="none"/>
          <w14:textFill>
            <w14:solidFill>
              <w14:schemeClr w14:val="tx1"/>
            </w14:solidFill>
          </w14:textFill>
        </w:rPr>
      </w:pPr>
    </w:p>
    <w:p w14:paraId="54DD365E">
      <w:pPr>
        <w:rPr>
          <w:rFonts w:hint="eastAsia" w:ascii="宋体" w:hAnsi="宋体" w:eastAsia="宋体" w:cs="宋体"/>
          <w:color w:val="000000" w:themeColor="text1"/>
          <w:highlight w:val="none"/>
          <w14:textFill>
            <w14:solidFill>
              <w14:schemeClr w14:val="tx1"/>
            </w14:solidFill>
          </w14:textFill>
        </w:rPr>
      </w:pPr>
    </w:p>
    <w:p w14:paraId="6C3E5DCE">
      <w:pPr>
        <w:rPr>
          <w:rFonts w:hint="eastAsia" w:ascii="宋体" w:hAnsi="宋体" w:eastAsia="宋体" w:cs="宋体"/>
          <w:color w:val="000000" w:themeColor="text1"/>
          <w:highlight w:val="none"/>
          <w14:textFill>
            <w14:solidFill>
              <w14:schemeClr w14:val="tx1"/>
            </w14:solidFill>
          </w14:textFill>
        </w:rPr>
      </w:pPr>
    </w:p>
    <w:p w14:paraId="5FAF4AB3">
      <w:pPr>
        <w:rPr>
          <w:rFonts w:hint="eastAsia" w:ascii="宋体" w:hAnsi="宋体" w:eastAsia="宋体" w:cs="宋体"/>
          <w:color w:val="000000" w:themeColor="text1"/>
          <w:highlight w:val="none"/>
          <w14:textFill>
            <w14:solidFill>
              <w14:schemeClr w14:val="tx1"/>
            </w14:solidFill>
          </w14:textFill>
        </w:rPr>
      </w:pPr>
    </w:p>
    <w:p w14:paraId="74948B29">
      <w:pPr>
        <w:rPr>
          <w:rFonts w:hint="eastAsia" w:ascii="宋体" w:hAnsi="宋体" w:eastAsia="宋体" w:cs="宋体"/>
          <w:color w:val="000000" w:themeColor="text1"/>
          <w:highlight w:val="none"/>
          <w14:textFill>
            <w14:solidFill>
              <w14:schemeClr w14:val="tx1"/>
            </w14:solidFill>
          </w14:textFill>
        </w:rPr>
      </w:pPr>
    </w:p>
    <w:p w14:paraId="62A13A06">
      <w:pPr>
        <w:rPr>
          <w:rFonts w:hint="eastAsia" w:ascii="宋体" w:hAnsi="宋体" w:eastAsia="宋体" w:cs="宋体"/>
          <w:color w:val="000000" w:themeColor="text1"/>
          <w:highlight w:val="none"/>
          <w14:textFill>
            <w14:solidFill>
              <w14:schemeClr w14:val="tx1"/>
            </w14:solidFill>
          </w14:textFill>
        </w:rPr>
      </w:pPr>
    </w:p>
    <w:p w14:paraId="09E13B57">
      <w:pPr>
        <w:rPr>
          <w:rFonts w:hint="eastAsia" w:ascii="宋体" w:hAnsi="宋体" w:eastAsia="宋体" w:cs="宋体"/>
          <w:color w:val="000000" w:themeColor="text1"/>
          <w:highlight w:val="none"/>
          <w14:textFill>
            <w14:solidFill>
              <w14:schemeClr w14:val="tx1"/>
            </w14:solidFill>
          </w14:textFill>
        </w:rPr>
      </w:pPr>
    </w:p>
    <w:p w14:paraId="36B315DE">
      <w:pPr>
        <w:rPr>
          <w:rFonts w:hint="eastAsia" w:ascii="宋体" w:hAnsi="宋体" w:eastAsia="宋体" w:cs="宋体"/>
          <w:color w:val="000000" w:themeColor="text1"/>
          <w:highlight w:val="none"/>
          <w14:textFill>
            <w14:solidFill>
              <w14:schemeClr w14:val="tx1"/>
            </w14:solidFill>
          </w14:textFill>
        </w:rPr>
      </w:pPr>
    </w:p>
    <w:p w14:paraId="40DB3D0A">
      <w:pPr>
        <w:rPr>
          <w:rFonts w:hint="eastAsia" w:ascii="宋体" w:hAnsi="宋体" w:eastAsia="宋体" w:cs="宋体"/>
          <w:color w:val="000000" w:themeColor="text1"/>
          <w:highlight w:val="none"/>
          <w14:textFill>
            <w14:solidFill>
              <w14:schemeClr w14:val="tx1"/>
            </w14:solidFill>
          </w14:textFill>
        </w:rPr>
      </w:pPr>
    </w:p>
    <w:p w14:paraId="4D40EA5D">
      <w:pPr>
        <w:rPr>
          <w:rFonts w:hint="eastAsia" w:ascii="宋体" w:hAnsi="宋体" w:eastAsia="宋体" w:cs="宋体"/>
          <w:color w:val="000000" w:themeColor="text1"/>
          <w:highlight w:val="none"/>
          <w14:textFill>
            <w14:solidFill>
              <w14:schemeClr w14:val="tx1"/>
            </w14:solidFill>
          </w14:textFill>
        </w:rPr>
      </w:pPr>
    </w:p>
    <w:p w14:paraId="78A6FE68">
      <w:pPr>
        <w:rPr>
          <w:rFonts w:hint="eastAsia" w:ascii="宋体" w:hAnsi="宋体" w:eastAsia="宋体" w:cs="宋体"/>
          <w:color w:val="000000" w:themeColor="text1"/>
          <w:highlight w:val="none"/>
          <w14:textFill>
            <w14:solidFill>
              <w14:schemeClr w14:val="tx1"/>
            </w14:solidFill>
          </w14:textFill>
        </w:rPr>
      </w:pPr>
    </w:p>
    <w:p w14:paraId="35C56C61">
      <w:pPr>
        <w:rPr>
          <w:rFonts w:hint="eastAsia" w:ascii="宋体" w:hAnsi="宋体" w:eastAsia="宋体" w:cs="宋体"/>
          <w:color w:val="000000" w:themeColor="text1"/>
          <w:highlight w:val="none"/>
          <w14:textFill>
            <w14:solidFill>
              <w14:schemeClr w14:val="tx1"/>
            </w14:solidFill>
          </w14:textFill>
        </w:rPr>
      </w:pPr>
    </w:p>
    <w:p w14:paraId="61AA513E">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温馨提示：</w:t>
      </w:r>
    </w:p>
    <w:p w14:paraId="1842E227">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本项目为全流程电子化交易项目，请认真阅读采购文件，并注意以下事项。</w:t>
      </w:r>
    </w:p>
    <w:p w14:paraId="31A42B62">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1.投标人应按采购文件规定编制、提交电子投标文件,</w:t>
      </w:r>
    </w:p>
    <w:p w14:paraId="0FC74921">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2.本项目投标人不用再提供纸质投标文件。</w:t>
      </w:r>
    </w:p>
    <w:p w14:paraId="713E556F">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3.电子文件下载、制作、提交期间和开标（电子投标文件的解密）环节，投标人须使用CA数字证书（证书须在有效期内）。</w:t>
      </w:r>
    </w:p>
    <w:p w14:paraId="7E9DA323">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4.电子投标文件的制作</w:t>
      </w:r>
    </w:p>
    <w:p w14:paraId="509D7546">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4.1 投标人登录《全国公共资源交易平台(河南省·平顶山市)》公共资源交易系统下载“平顶山投标文件制作系统”，按采购文件要求制作电子投标文件。</w:t>
      </w:r>
    </w:p>
    <w:p w14:paraId="09BC5FF5">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电子投标文件的制作，参考《全国公共资源交易平台(河南省·平顶山市)》公共资源交易系统——组件下载——交易系统操作手册（投标人、投标人）。</w:t>
      </w:r>
    </w:p>
    <w:p w14:paraId="0F3AE5E1">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4.2 投标人须将采购文件要求的资质、业绩、荣誉及相关人员证明材料等资料原件扫描件（或图片）制作到所提交的电子投标文件中。</w:t>
      </w:r>
    </w:p>
    <w:p w14:paraId="312756B5">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4.3投标人对同一项目多个标段进行投标的，应分别下载所投标段的采购文件，按标段制作电子投标文件，并按采购文件要求在相应位置加盖投标人电子印章和法人电子印章。</w:t>
      </w:r>
    </w:p>
    <w:p w14:paraId="32D550A0">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一个标段对应生成一个文件夹（xxxx项目xx标段）, 其中包含2个文件和1个文件夹。后缀名为“.file”的文件用于电子投标使用，名称为“备份”的文件夹使用电子介质存储，供开标现场备用。</w:t>
      </w:r>
    </w:p>
    <w:p w14:paraId="5BE0CF2C">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5.加密电子投标文件的提交</w:t>
      </w:r>
    </w:p>
    <w:p w14:paraId="5CC7CCF9">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5.1加密电子投标文件应在采购文件规定的投标截止时间（开标时间）之前成功提交至《全国公共资源交易平台(河南省·平顶山市)》公共资源交易系统。</w:t>
      </w:r>
    </w:p>
    <w:p w14:paraId="701F8D6A">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投标人应充分考虑并预留技术处理和上传数据所需时间。</w:t>
      </w:r>
    </w:p>
    <w:p w14:paraId="474ED73B">
      <w:pPr>
        <w:spacing w:line="456"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说明：上述内容如有与《全国公共资源交易平台(河南省·平顶山市)》公共资源交易系统不一致的以最新电子化交易程序为准。</w:t>
      </w:r>
    </w:p>
    <w:p w14:paraId="2ACAC92E">
      <w:pPr>
        <w:rPr>
          <w:rFonts w:hint="eastAsia" w:ascii="宋体" w:hAnsi="宋体" w:eastAsia="宋体" w:cs="宋体"/>
          <w:color w:val="000000" w:themeColor="text1"/>
          <w:szCs w:val="24"/>
          <w:highlight w:val="none"/>
          <w14:textFill>
            <w14:solidFill>
              <w14:schemeClr w14:val="tx1"/>
            </w14:solidFill>
          </w14:textFill>
        </w:rPr>
      </w:pPr>
    </w:p>
    <w:p w14:paraId="2E71DEDC">
      <w:pPr>
        <w:rPr>
          <w:rFonts w:hint="eastAsia" w:ascii="宋体" w:hAnsi="宋体" w:eastAsia="宋体" w:cs="宋体"/>
          <w:color w:val="000000" w:themeColor="text1"/>
          <w:highlight w:val="none"/>
          <w14:textFill>
            <w14:solidFill>
              <w14:schemeClr w14:val="tx1"/>
            </w14:solidFill>
          </w14:textFill>
        </w:rPr>
      </w:pPr>
    </w:p>
    <w:p w14:paraId="320691F2">
      <w:pPr>
        <w:rPr>
          <w:rFonts w:hint="eastAsia" w:ascii="宋体" w:hAnsi="宋体" w:eastAsia="宋体" w:cs="宋体"/>
          <w:color w:val="000000" w:themeColor="text1"/>
          <w:highlight w:val="none"/>
          <w14:textFill>
            <w14:solidFill>
              <w14:schemeClr w14:val="tx1"/>
            </w14:solidFill>
          </w14:textFill>
        </w:rPr>
      </w:pPr>
    </w:p>
    <w:p w14:paraId="16E4CC19">
      <w:pPr>
        <w:rPr>
          <w:rFonts w:hint="eastAsia" w:ascii="宋体" w:hAnsi="宋体" w:eastAsia="宋体" w:cs="宋体"/>
          <w:color w:val="000000" w:themeColor="text1"/>
          <w:highlight w:val="none"/>
          <w14:textFill>
            <w14:solidFill>
              <w14:schemeClr w14:val="tx1"/>
            </w14:solidFill>
          </w14:textFill>
        </w:rPr>
      </w:pPr>
    </w:p>
    <w:p w14:paraId="783C2DCB">
      <w:pPr>
        <w:rPr>
          <w:rFonts w:hint="eastAsia" w:ascii="宋体" w:hAnsi="宋体" w:eastAsia="宋体" w:cs="宋体"/>
          <w:color w:val="000000" w:themeColor="text1"/>
          <w:highlight w:val="none"/>
          <w14:textFill>
            <w14:solidFill>
              <w14:schemeClr w14:val="tx1"/>
            </w14:solidFill>
          </w14:textFill>
        </w:rPr>
      </w:pPr>
    </w:p>
    <w:p w14:paraId="291AC8FB">
      <w:pPr>
        <w:rPr>
          <w:rFonts w:hint="eastAsia" w:ascii="宋体" w:hAnsi="宋体" w:eastAsia="宋体" w:cs="宋体"/>
          <w:color w:val="000000" w:themeColor="text1"/>
          <w:highlight w:val="none"/>
          <w14:textFill>
            <w14:solidFill>
              <w14:schemeClr w14:val="tx1"/>
            </w14:solidFill>
          </w14:textFill>
        </w:rPr>
      </w:pPr>
    </w:p>
    <w:p w14:paraId="7254FA57">
      <w:pPr>
        <w:rPr>
          <w:rFonts w:hint="eastAsia" w:ascii="宋体" w:hAnsi="宋体" w:eastAsia="宋体" w:cs="宋体"/>
          <w:color w:val="000000" w:themeColor="text1"/>
          <w:highlight w:val="none"/>
          <w14:textFill>
            <w14:solidFill>
              <w14:schemeClr w14:val="tx1"/>
            </w14:solidFill>
          </w14:textFill>
        </w:rPr>
      </w:pPr>
    </w:p>
    <w:p w14:paraId="620F0A62">
      <w:pPr>
        <w:rPr>
          <w:rFonts w:hint="eastAsia" w:ascii="宋体" w:hAnsi="宋体" w:eastAsia="宋体" w:cs="宋体"/>
          <w:color w:val="000000" w:themeColor="text1"/>
          <w:highlight w:val="none"/>
          <w14:textFill>
            <w14:solidFill>
              <w14:schemeClr w14:val="tx1"/>
            </w14:solidFill>
          </w14:textFill>
        </w:rPr>
      </w:pPr>
    </w:p>
    <w:p w14:paraId="56863714">
      <w:pPr>
        <w:rPr>
          <w:rFonts w:hint="eastAsia" w:ascii="宋体" w:hAnsi="宋体" w:eastAsia="宋体" w:cs="宋体"/>
          <w:color w:val="000000" w:themeColor="text1"/>
          <w:highlight w:val="none"/>
          <w14:textFill>
            <w14:solidFill>
              <w14:schemeClr w14:val="tx1"/>
            </w14:solidFill>
          </w14:textFill>
        </w:rPr>
      </w:pPr>
    </w:p>
    <w:p w14:paraId="5B0A0D74">
      <w:pPr>
        <w:rPr>
          <w:rFonts w:hint="eastAsia" w:ascii="宋体" w:hAnsi="宋体" w:eastAsia="宋体" w:cs="宋体"/>
          <w:color w:val="000000" w:themeColor="text1"/>
          <w:highlight w:val="none"/>
          <w14:textFill>
            <w14:solidFill>
              <w14:schemeClr w14:val="tx1"/>
            </w14:solidFill>
          </w14:textFill>
        </w:rPr>
      </w:pPr>
    </w:p>
    <w:p w14:paraId="69E93A46">
      <w:pPr>
        <w:adjustRightInd w:val="0"/>
        <w:spacing w:before="240" w:after="60" w:line="420" w:lineRule="atLeast"/>
        <w:jc w:val="center"/>
        <w:outlineLvl w:val="0"/>
        <w:rPr>
          <w:rStyle w:val="26"/>
          <w:rFonts w:hint="eastAsia" w:ascii="宋体" w:hAnsi="宋体" w:eastAsia="宋体" w:cs="宋体"/>
          <w:color w:val="000000" w:themeColor="text1"/>
          <w:sz w:val="40"/>
          <w:szCs w:val="40"/>
          <w:highlight w:val="none"/>
          <w14:textFill>
            <w14:solidFill>
              <w14:schemeClr w14:val="tx1"/>
            </w14:solidFill>
          </w14:textFill>
        </w:rPr>
      </w:pPr>
      <w:bookmarkStart w:id="35" w:name="_Toc135648884"/>
      <w:bookmarkStart w:id="36" w:name="_Toc135922535"/>
      <w:bookmarkStart w:id="37" w:name="_Toc8285"/>
      <w:r>
        <w:rPr>
          <w:rFonts w:hint="eastAsia" w:ascii="宋体" w:hAnsi="宋体" w:eastAsia="宋体" w:cs="宋体"/>
          <w:b/>
          <w:bCs/>
          <w:color w:val="000000" w:themeColor="text1"/>
          <w:kern w:val="44"/>
          <w:sz w:val="40"/>
          <w:szCs w:val="40"/>
          <w:highlight w:val="none"/>
          <w14:textFill>
            <w14:solidFill>
              <w14:schemeClr w14:val="tx1"/>
            </w14:solidFill>
          </w14:textFill>
        </w:rPr>
        <w:t xml:space="preserve">第二章 </w:t>
      </w:r>
      <w:r>
        <w:rPr>
          <w:rStyle w:val="26"/>
          <w:rFonts w:hint="eastAsia" w:ascii="宋体" w:hAnsi="宋体" w:eastAsia="宋体" w:cs="宋体"/>
          <w:color w:val="000000" w:themeColor="text1"/>
          <w:sz w:val="40"/>
          <w:szCs w:val="40"/>
          <w:highlight w:val="none"/>
          <w14:textFill>
            <w14:solidFill>
              <w14:schemeClr w14:val="tx1"/>
            </w14:solidFill>
          </w14:textFill>
        </w:rPr>
        <w:t>投标人须知</w:t>
      </w:r>
      <w:bookmarkEnd w:id="13"/>
      <w:bookmarkEnd w:id="14"/>
      <w:bookmarkEnd w:id="15"/>
      <w:bookmarkEnd w:id="16"/>
      <w:bookmarkEnd w:id="17"/>
      <w:bookmarkEnd w:id="18"/>
      <w:bookmarkEnd w:id="19"/>
      <w:bookmarkEnd w:id="20"/>
      <w:bookmarkEnd w:id="21"/>
      <w:bookmarkEnd w:id="22"/>
      <w:bookmarkEnd w:id="35"/>
      <w:bookmarkEnd w:id="36"/>
      <w:bookmarkEnd w:id="37"/>
    </w:p>
    <w:p w14:paraId="5E594493">
      <w:pPr>
        <w:pStyle w:val="4"/>
        <w:widowControl/>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投标人须知前附表</w:t>
      </w:r>
    </w:p>
    <w:tbl>
      <w:tblPr>
        <w:tblStyle w:val="20"/>
        <w:tblpPr w:leftFromText="180" w:rightFromText="180" w:vertAnchor="text" w:horzAnchor="page" w:tblpX="1380" w:tblpY="856"/>
        <w:tblOverlap w:val="never"/>
        <w:tblW w:w="9401" w:type="dxa"/>
        <w:tblInd w:w="0" w:type="dxa"/>
        <w:tblLayout w:type="fixed"/>
        <w:tblCellMar>
          <w:top w:w="0" w:type="dxa"/>
          <w:left w:w="108" w:type="dxa"/>
          <w:bottom w:w="0" w:type="dxa"/>
          <w:right w:w="108" w:type="dxa"/>
        </w:tblCellMar>
      </w:tblPr>
      <w:tblGrid>
        <w:gridCol w:w="878"/>
        <w:gridCol w:w="2383"/>
        <w:gridCol w:w="6140"/>
      </w:tblGrid>
      <w:tr w14:paraId="7EE1CD6C">
        <w:tblPrEx>
          <w:tblCellMar>
            <w:top w:w="0" w:type="dxa"/>
            <w:left w:w="108" w:type="dxa"/>
            <w:bottom w:w="0" w:type="dxa"/>
            <w:right w:w="108" w:type="dxa"/>
          </w:tblCellMar>
        </w:tblPrEx>
        <w:trPr>
          <w:trHeight w:val="60" w:hRule="atLeast"/>
        </w:trPr>
        <w:tc>
          <w:tcPr>
            <w:tcW w:w="878" w:type="dxa"/>
            <w:tcBorders>
              <w:top w:val="single" w:color="auto" w:sz="4" w:space="0"/>
              <w:left w:val="single" w:color="auto" w:sz="4" w:space="0"/>
              <w:bottom w:val="single" w:color="auto" w:sz="4" w:space="0"/>
              <w:right w:val="single" w:color="auto" w:sz="4" w:space="0"/>
            </w:tcBorders>
            <w:vAlign w:val="center"/>
          </w:tcPr>
          <w:p w14:paraId="2D263220">
            <w:pPr>
              <w:rPr>
                <w:rFonts w:hint="eastAsia" w:ascii="宋体" w:hAnsi="宋体" w:eastAsia="宋体" w:cs="宋体"/>
                <w:b/>
                <w:color w:val="000000" w:themeColor="text1"/>
                <w:highlight w:val="none"/>
                <w14:textFill>
                  <w14:solidFill>
                    <w14:schemeClr w14:val="tx1"/>
                  </w14:solidFill>
                </w14:textFill>
              </w:rPr>
            </w:pPr>
            <w:bookmarkStart w:id="38" w:name="_Toc247085688"/>
            <w:bookmarkStart w:id="39" w:name="_Toc152045528"/>
            <w:bookmarkStart w:id="40" w:name="_Toc24931"/>
            <w:bookmarkStart w:id="41" w:name="_Toc179632545"/>
            <w:bookmarkStart w:id="42" w:name="_Toc246996174"/>
            <w:bookmarkStart w:id="43" w:name="_Toc21628"/>
            <w:bookmarkStart w:id="44" w:name="_Toc11547"/>
            <w:bookmarkStart w:id="45" w:name="_Toc246996917"/>
            <w:bookmarkStart w:id="46" w:name="_Toc57369396"/>
            <w:bookmarkStart w:id="47" w:name="_Toc81321209"/>
            <w:bookmarkStart w:id="48" w:name="_Toc135648885"/>
            <w:bookmarkStart w:id="49" w:name="_Toc144974496"/>
            <w:bookmarkStart w:id="50" w:name="_Toc152042304"/>
            <w:r>
              <w:rPr>
                <w:rFonts w:hint="eastAsia" w:ascii="宋体" w:hAnsi="宋体" w:eastAsia="宋体" w:cs="宋体"/>
                <w:b/>
                <w:color w:val="000000" w:themeColor="text1"/>
                <w:highlight w:val="none"/>
                <w14:textFill>
                  <w14:solidFill>
                    <w14:schemeClr w14:val="tx1"/>
                  </w14:solidFill>
                </w14:textFill>
              </w:rPr>
              <w:t>条款号</w:t>
            </w:r>
          </w:p>
        </w:tc>
        <w:tc>
          <w:tcPr>
            <w:tcW w:w="2383" w:type="dxa"/>
            <w:tcBorders>
              <w:top w:val="single" w:color="auto" w:sz="4" w:space="0"/>
              <w:left w:val="single" w:color="auto" w:sz="4" w:space="0"/>
              <w:bottom w:val="single" w:color="auto" w:sz="4" w:space="0"/>
              <w:right w:val="single" w:color="auto" w:sz="4" w:space="0"/>
            </w:tcBorders>
            <w:vAlign w:val="center"/>
          </w:tcPr>
          <w:p w14:paraId="23A5C77A">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条  款  名  称</w:t>
            </w:r>
          </w:p>
        </w:tc>
        <w:tc>
          <w:tcPr>
            <w:tcW w:w="6140" w:type="dxa"/>
            <w:tcBorders>
              <w:top w:val="single" w:color="auto" w:sz="4" w:space="0"/>
              <w:left w:val="single" w:color="auto" w:sz="4" w:space="0"/>
              <w:bottom w:val="single" w:color="auto" w:sz="4" w:space="0"/>
              <w:right w:val="single" w:color="auto" w:sz="4" w:space="0"/>
            </w:tcBorders>
            <w:vAlign w:val="center"/>
          </w:tcPr>
          <w:p w14:paraId="6B900A88">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编  列  内  容</w:t>
            </w:r>
          </w:p>
        </w:tc>
      </w:tr>
      <w:tr w14:paraId="689D3686">
        <w:tblPrEx>
          <w:tblCellMar>
            <w:top w:w="0" w:type="dxa"/>
            <w:left w:w="108" w:type="dxa"/>
            <w:bottom w:w="0" w:type="dxa"/>
            <w:right w:w="108" w:type="dxa"/>
          </w:tblCellMar>
        </w:tblPrEx>
        <w:trPr>
          <w:trHeight w:val="515" w:hRule="atLeast"/>
        </w:trPr>
        <w:tc>
          <w:tcPr>
            <w:tcW w:w="878" w:type="dxa"/>
            <w:tcBorders>
              <w:top w:val="single" w:color="auto" w:sz="4" w:space="0"/>
              <w:left w:val="single" w:color="auto" w:sz="4" w:space="0"/>
              <w:bottom w:val="single" w:color="auto" w:sz="4" w:space="0"/>
              <w:right w:val="single" w:color="auto" w:sz="4" w:space="0"/>
            </w:tcBorders>
            <w:vAlign w:val="center"/>
          </w:tcPr>
          <w:p w14:paraId="55CD20B7">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383" w:type="dxa"/>
            <w:tcBorders>
              <w:top w:val="single" w:color="auto" w:sz="4" w:space="0"/>
              <w:left w:val="single" w:color="auto" w:sz="4" w:space="0"/>
              <w:bottom w:val="single" w:color="auto" w:sz="4" w:space="0"/>
              <w:right w:val="single" w:color="auto" w:sz="4" w:space="0"/>
            </w:tcBorders>
            <w:vAlign w:val="center"/>
          </w:tcPr>
          <w:p w14:paraId="7841A41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w:t>
            </w:r>
          </w:p>
        </w:tc>
        <w:tc>
          <w:tcPr>
            <w:tcW w:w="6140" w:type="dxa"/>
            <w:tcBorders>
              <w:top w:val="single" w:color="auto" w:sz="4" w:space="0"/>
              <w:left w:val="single" w:color="auto" w:sz="4" w:space="0"/>
              <w:bottom w:val="single" w:color="auto" w:sz="4" w:space="0"/>
              <w:right w:val="single" w:color="auto" w:sz="4" w:space="0"/>
            </w:tcBorders>
            <w:vAlign w:val="center"/>
          </w:tcPr>
          <w:p w14:paraId="002CBDDB">
            <w:pPr>
              <w:spacing w:line="456" w:lineRule="exact"/>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名称：平顶山市第一人民医院 </w:t>
            </w:r>
          </w:p>
          <w:p w14:paraId="710CD6A2">
            <w:pPr>
              <w:spacing w:line="456" w:lineRule="exact"/>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地址：平顶山市新城区未来路 </w:t>
            </w:r>
          </w:p>
          <w:p w14:paraId="5B3B9294">
            <w:pPr>
              <w:spacing w:line="456" w:lineRule="exact"/>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联系人：尤老师</w:t>
            </w:r>
          </w:p>
          <w:p w14:paraId="43A719CF">
            <w:pPr>
              <w:spacing w:line="456" w:lineRule="exact"/>
              <w:ind w:left="0" w:leftChars="0" w:firstLine="0" w:firstLineChars="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联系方式：0375-3383081</w:t>
            </w:r>
          </w:p>
        </w:tc>
      </w:tr>
      <w:tr w14:paraId="6C1B6D7B">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73FA4B27">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383" w:type="dxa"/>
            <w:tcBorders>
              <w:top w:val="single" w:color="auto" w:sz="4" w:space="0"/>
              <w:left w:val="single" w:color="auto" w:sz="4" w:space="0"/>
              <w:bottom w:val="single" w:color="auto" w:sz="4" w:space="0"/>
              <w:right w:val="single" w:color="auto" w:sz="4" w:space="0"/>
            </w:tcBorders>
            <w:vAlign w:val="center"/>
          </w:tcPr>
          <w:p w14:paraId="7F45FD8C">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采购代理机构</w:t>
            </w:r>
          </w:p>
        </w:tc>
        <w:tc>
          <w:tcPr>
            <w:tcW w:w="6140" w:type="dxa"/>
            <w:tcBorders>
              <w:top w:val="single" w:color="auto" w:sz="4" w:space="0"/>
              <w:left w:val="single" w:color="auto" w:sz="4" w:space="0"/>
              <w:bottom w:val="single" w:color="auto" w:sz="4" w:space="0"/>
              <w:right w:val="single" w:color="auto" w:sz="4" w:space="0"/>
            </w:tcBorders>
            <w:vAlign w:val="center"/>
          </w:tcPr>
          <w:p w14:paraId="3F03554E">
            <w:pPr>
              <w:spacing w:line="456" w:lineRule="exact"/>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名称：新恒丰咨询集团有限公司</w:t>
            </w:r>
          </w:p>
          <w:p w14:paraId="16A54FF9">
            <w:pPr>
              <w:spacing w:line="456" w:lineRule="exact"/>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地址：郑州市金水区杨金路139号C7号楼</w:t>
            </w:r>
          </w:p>
          <w:p w14:paraId="64ACB192">
            <w:pPr>
              <w:spacing w:line="456" w:lineRule="exact"/>
              <w:ind w:left="0" w:leftChars="0" w:firstLine="0" w:firstLineChars="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cs="宋体"/>
                <w:color w:val="000000" w:themeColor="text1"/>
                <w:highlight w:val="none"/>
                <w:lang w:val="en-US" w:eastAsia="zh-CN"/>
                <w14:textFill>
                  <w14:solidFill>
                    <w14:schemeClr w14:val="tx1"/>
                  </w14:solidFill>
                </w14:textFill>
              </w:rPr>
              <w:t>孙女士</w:t>
            </w:r>
          </w:p>
          <w:p w14:paraId="47FF3675">
            <w:pPr>
              <w:spacing w:line="456" w:lineRule="exact"/>
              <w:ind w:left="0" w:leftChars="0" w:firstLine="0" w:firstLineChars="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联系方式：0375-2337797</w:t>
            </w:r>
          </w:p>
        </w:tc>
      </w:tr>
      <w:tr w14:paraId="46E7AA32">
        <w:tblPrEx>
          <w:tblCellMar>
            <w:top w:w="0" w:type="dxa"/>
            <w:left w:w="108" w:type="dxa"/>
            <w:bottom w:w="0" w:type="dxa"/>
            <w:right w:w="108" w:type="dxa"/>
          </w:tblCellMar>
        </w:tblPrEx>
        <w:trPr>
          <w:trHeight w:val="571" w:hRule="atLeast"/>
        </w:trPr>
        <w:tc>
          <w:tcPr>
            <w:tcW w:w="878" w:type="dxa"/>
            <w:tcBorders>
              <w:top w:val="single" w:color="auto" w:sz="4" w:space="0"/>
              <w:left w:val="single" w:color="auto" w:sz="4" w:space="0"/>
              <w:bottom w:val="single" w:color="auto" w:sz="4" w:space="0"/>
              <w:right w:val="single" w:color="auto" w:sz="4" w:space="0"/>
            </w:tcBorders>
            <w:vAlign w:val="center"/>
          </w:tcPr>
          <w:p w14:paraId="0B531617">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383" w:type="dxa"/>
            <w:tcBorders>
              <w:top w:val="single" w:color="auto" w:sz="4" w:space="0"/>
              <w:left w:val="single" w:color="auto" w:sz="4" w:space="0"/>
              <w:bottom w:val="single" w:color="auto" w:sz="4" w:space="0"/>
              <w:right w:val="single" w:color="auto" w:sz="4" w:space="0"/>
            </w:tcBorders>
            <w:vAlign w:val="center"/>
          </w:tcPr>
          <w:p w14:paraId="22C11A5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p>
        </w:tc>
        <w:tc>
          <w:tcPr>
            <w:tcW w:w="6140" w:type="dxa"/>
            <w:tcBorders>
              <w:top w:val="single" w:color="auto" w:sz="4" w:space="0"/>
              <w:left w:val="single" w:color="auto" w:sz="4" w:space="0"/>
              <w:bottom w:val="single" w:color="auto" w:sz="4" w:space="0"/>
              <w:right w:val="single" w:color="auto" w:sz="4" w:space="0"/>
            </w:tcBorders>
            <w:vAlign w:val="center"/>
          </w:tcPr>
          <w:p w14:paraId="69C815FA">
            <w:pPr>
              <w:spacing w:line="360" w:lineRule="auto"/>
              <w:ind w:left="0" w:leftChars="0" w:firstLine="0" w:firstLineChars="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平顶山市第一人民医院优越路院区物业管理服务项目</w:t>
            </w:r>
          </w:p>
        </w:tc>
      </w:tr>
      <w:tr w14:paraId="61B2446D">
        <w:tblPrEx>
          <w:tblCellMar>
            <w:top w:w="0" w:type="dxa"/>
            <w:left w:w="108" w:type="dxa"/>
            <w:bottom w:w="0" w:type="dxa"/>
            <w:right w:w="108" w:type="dxa"/>
          </w:tblCellMar>
        </w:tblPrEx>
        <w:trPr>
          <w:trHeight w:val="591" w:hRule="atLeast"/>
        </w:trPr>
        <w:tc>
          <w:tcPr>
            <w:tcW w:w="878" w:type="dxa"/>
            <w:tcBorders>
              <w:top w:val="single" w:color="auto" w:sz="4" w:space="0"/>
              <w:left w:val="single" w:color="auto" w:sz="4" w:space="0"/>
              <w:bottom w:val="single" w:color="auto" w:sz="4" w:space="0"/>
              <w:right w:val="single" w:color="auto" w:sz="4" w:space="0"/>
            </w:tcBorders>
            <w:vAlign w:val="center"/>
          </w:tcPr>
          <w:p w14:paraId="63C30031">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383" w:type="dxa"/>
            <w:tcBorders>
              <w:top w:val="single" w:color="auto" w:sz="4" w:space="0"/>
              <w:left w:val="single" w:color="auto" w:sz="4" w:space="0"/>
              <w:bottom w:val="single" w:color="auto" w:sz="4" w:space="0"/>
              <w:right w:val="single" w:color="auto" w:sz="4" w:space="0"/>
            </w:tcBorders>
            <w:vAlign w:val="center"/>
          </w:tcPr>
          <w:p w14:paraId="132D93DC">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资金来源和落实情况</w:t>
            </w:r>
          </w:p>
        </w:tc>
        <w:tc>
          <w:tcPr>
            <w:tcW w:w="6140" w:type="dxa"/>
            <w:tcBorders>
              <w:top w:val="single" w:color="auto" w:sz="4" w:space="0"/>
              <w:left w:val="single" w:color="auto" w:sz="4" w:space="0"/>
              <w:bottom w:val="single" w:color="auto" w:sz="4" w:space="0"/>
              <w:right w:val="single" w:color="auto" w:sz="4" w:space="0"/>
            </w:tcBorders>
            <w:vAlign w:val="center"/>
          </w:tcPr>
          <w:p w14:paraId="615B5F06">
            <w:pPr>
              <w:spacing w:line="360" w:lineRule="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自筹</w:t>
            </w:r>
            <w:r>
              <w:rPr>
                <w:rFonts w:hint="eastAsia" w:ascii="宋体" w:hAnsi="宋体" w:eastAsia="宋体" w:cs="宋体"/>
                <w:color w:val="000000" w:themeColor="text1"/>
                <w:highlight w:val="none"/>
                <w14:textFill>
                  <w14:solidFill>
                    <w14:schemeClr w14:val="tx1"/>
                  </w14:solidFill>
                </w14:textFill>
              </w:rPr>
              <w:t>资金，现已落实。</w:t>
            </w:r>
          </w:p>
        </w:tc>
      </w:tr>
      <w:tr w14:paraId="4D4418D2">
        <w:tblPrEx>
          <w:tblCellMar>
            <w:top w:w="0" w:type="dxa"/>
            <w:left w:w="108" w:type="dxa"/>
            <w:bottom w:w="0" w:type="dxa"/>
            <w:right w:w="108" w:type="dxa"/>
          </w:tblCellMar>
        </w:tblPrEx>
        <w:trPr>
          <w:trHeight w:val="562" w:hRule="atLeast"/>
        </w:trPr>
        <w:tc>
          <w:tcPr>
            <w:tcW w:w="878" w:type="dxa"/>
            <w:tcBorders>
              <w:top w:val="single" w:color="auto" w:sz="4" w:space="0"/>
              <w:left w:val="single" w:color="auto" w:sz="4" w:space="0"/>
              <w:bottom w:val="single" w:color="auto" w:sz="4" w:space="0"/>
              <w:right w:val="single" w:color="auto" w:sz="4" w:space="0"/>
            </w:tcBorders>
            <w:vAlign w:val="center"/>
          </w:tcPr>
          <w:p w14:paraId="203ADAD6">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383" w:type="dxa"/>
            <w:tcBorders>
              <w:top w:val="single" w:color="auto" w:sz="4" w:space="0"/>
              <w:left w:val="single" w:color="auto" w:sz="4" w:space="0"/>
              <w:bottom w:val="single" w:color="auto" w:sz="4" w:space="0"/>
              <w:right w:val="single" w:color="auto" w:sz="4" w:space="0"/>
            </w:tcBorders>
            <w:vAlign w:val="center"/>
          </w:tcPr>
          <w:p w14:paraId="5221D0C8">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采购项目属性</w:t>
            </w:r>
          </w:p>
        </w:tc>
        <w:tc>
          <w:tcPr>
            <w:tcW w:w="6140" w:type="dxa"/>
            <w:tcBorders>
              <w:top w:val="single" w:color="auto" w:sz="4" w:space="0"/>
              <w:left w:val="single" w:color="auto" w:sz="4" w:space="0"/>
              <w:bottom w:val="single" w:color="auto" w:sz="4" w:space="0"/>
              <w:right w:val="single" w:color="auto" w:sz="4" w:space="0"/>
            </w:tcBorders>
            <w:vAlign w:val="center"/>
          </w:tcPr>
          <w:p w14:paraId="24FC90CE">
            <w:pPr>
              <w:spacing w:line="360" w:lineRule="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w:t>
            </w:r>
          </w:p>
        </w:tc>
      </w:tr>
      <w:tr w14:paraId="70F5E05C">
        <w:tblPrEx>
          <w:tblCellMar>
            <w:top w:w="0" w:type="dxa"/>
            <w:left w:w="108" w:type="dxa"/>
            <w:bottom w:w="0" w:type="dxa"/>
            <w:right w:w="108" w:type="dxa"/>
          </w:tblCellMar>
        </w:tblPrEx>
        <w:trPr>
          <w:trHeight w:val="562" w:hRule="atLeast"/>
        </w:trPr>
        <w:tc>
          <w:tcPr>
            <w:tcW w:w="878" w:type="dxa"/>
            <w:tcBorders>
              <w:top w:val="single" w:color="auto" w:sz="4" w:space="0"/>
              <w:left w:val="single" w:color="auto" w:sz="4" w:space="0"/>
              <w:bottom w:val="single" w:color="auto" w:sz="4" w:space="0"/>
              <w:right w:val="single" w:color="auto" w:sz="4" w:space="0"/>
            </w:tcBorders>
            <w:vAlign w:val="center"/>
          </w:tcPr>
          <w:p w14:paraId="23802A0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w:t>
            </w:r>
          </w:p>
        </w:tc>
        <w:tc>
          <w:tcPr>
            <w:tcW w:w="2383" w:type="dxa"/>
            <w:tcBorders>
              <w:top w:val="single" w:color="auto" w:sz="4" w:space="0"/>
              <w:left w:val="single" w:color="auto" w:sz="4" w:space="0"/>
              <w:bottom w:val="single" w:color="auto" w:sz="4" w:space="0"/>
              <w:right w:val="single" w:color="auto" w:sz="4" w:space="0"/>
            </w:tcBorders>
            <w:vAlign w:val="center"/>
          </w:tcPr>
          <w:p w14:paraId="480AB11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采购标的所属行业</w:t>
            </w:r>
          </w:p>
        </w:tc>
        <w:tc>
          <w:tcPr>
            <w:tcW w:w="6140" w:type="dxa"/>
            <w:tcBorders>
              <w:top w:val="single" w:color="auto" w:sz="4" w:space="0"/>
              <w:left w:val="single" w:color="auto" w:sz="4" w:space="0"/>
              <w:bottom w:val="single" w:color="auto" w:sz="4" w:space="0"/>
              <w:right w:val="single" w:color="auto" w:sz="4" w:space="0"/>
            </w:tcBorders>
            <w:vAlign w:val="center"/>
          </w:tcPr>
          <w:p w14:paraId="62E36AA8">
            <w:pPr>
              <w:spacing w:line="360" w:lineRule="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物业管理</w:t>
            </w:r>
          </w:p>
        </w:tc>
      </w:tr>
      <w:tr w14:paraId="76C9145C">
        <w:tblPrEx>
          <w:tblCellMar>
            <w:top w:w="0" w:type="dxa"/>
            <w:left w:w="108" w:type="dxa"/>
            <w:bottom w:w="0" w:type="dxa"/>
            <w:right w:w="108" w:type="dxa"/>
          </w:tblCellMar>
        </w:tblPrEx>
        <w:trPr>
          <w:trHeight w:val="930" w:hRule="atLeast"/>
        </w:trPr>
        <w:tc>
          <w:tcPr>
            <w:tcW w:w="878" w:type="dxa"/>
            <w:tcBorders>
              <w:top w:val="single" w:color="auto" w:sz="4" w:space="0"/>
              <w:left w:val="single" w:color="auto" w:sz="4" w:space="0"/>
              <w:bottom w:val="single" w:color="auto" w:sz="4" w:space="0"/>
              <w:right w:val="single" w:color="auto" w:sz="4" w:space="0"/>
            </w:tcBorders>
            <w:vAlign w:val="center"/>
          </w:tcPr>
          <w:p w14:paraId="42DCE2F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p>
        </w:tc>
        <w:tc>
          <w:tcPr>
            <w:tcW w:w="2383" w:type="dxa"/>
            <w:tcBorders>
              <w:top w:val="single" w:color="auto" w:sz="4" w:space="0"/>
              <w:left w:val="single" w:color="auto" w:sz="4" w:space="0"/>
              <w:bottom w:val="single" w:color="auto" w:sz="4" w:space="0"/>
              <w:right w:val="single" w:color="auto" w:sz="4" w:space="0"/>
            </w:tcBorders>
            <w:vAlign w:val="center"/>
          </w:tcPr>
          <w:p w14:paraId="29C4DCE8">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采购内容</w:t>
            </w:r>
          </w:p>
        </w:tc>
        <w:tc>
          <w:tcPr>
            <w:tcW w:w="6140" w:type="dxa"/>
            <w:tcBorders>
              <w:top w:val="single" w:color="auto" w:sz="4" w:space="0"/>
              <w:left w:val="single" w:color="auto" w:sz="4" w:space="0"/>
              <w:bottom w:val="single" w:color="auto" w:sz="4" w:space="0"/>
              <w:right w:val="single" w:color="auto" w:sz="4" w:space="0"/>
            </w:tcBorders>
            <w:vAlign w:val="center"/>
          </w:tcPr>
          <w:p w14:paraId="2F933439">
            <w:pPr>
              <w:spacing w:line="360" w:lineRule="auto"/>
              <w:ind w:left="0" w:leftChars="0" w:firstLine="0" w:firstLineChars="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优越路院区所有正常工作区域的室内外卫生保洁及控烟服务，院内交通路面下水道抽排，暗沟的疏通，化粪池清理，生活垃圾的外运处置，宣传橱窗等的保洁以及突发事件的应急保洁，院区绿化养护，办公室、会议室、重大节日、大型活动期间楼前广场花卉购买及摆放。具体采购内容</w:t>
            </w:r>
            <w:r>
              <w:rPr>
                <w:rFonts w:hint="eastAsia" w:ascii="宋体" w:hAnsi="宋体" w:cs="宋体"/>
                <w:bCs/>
                <w:color w:val="000000" w:themeColor="text1"/>
                <w:highlight w:val="none"/>
                <w:lang w:val="en-US" w:eastAsia="zh-CN"/>
                <w14:textFill>
                  <w14:solidFill>
                    <w14:schemeClr w14:val="tx1"/>
                  </w14:solidFill>
                </w14:textFill>
              </w:rPr>
              <w:t>及要求</w:t>
            </w:r>
            <w:r>
              <w:rPr>
                <w:rFonts w:hint="eastAsia" w:ascii="宋体" w:hAnsi="宋体" w:eastAsia="宋体" w:cs="宋体"/>
                <w:bCs/>
                <w:color w:val="000000" w:themeColor="text1"/>
                <w:highlight w:val="none"/>
                <w14:textFill>
                  <w14:solidFill>
                    <w14:schemeClr w14:val="tx1"/>
                  </w14:solidFill>
                </w14:textFill>
              </w:rPr>
              <w:t>详见招标文件</w:t>
            </w:r>
            <w:r>
              <w:rPr>
                <w:rFonts w:hint="eastAsia" w:ascii="宋体" w:hAnsi="宋体" w:eastAsia="宋体" w:cs="宋体"/>
                <w:bCs/>
                <w:color w:val="000000" w:themeColor="text1"/>
                <w:highlight w:val="none"/>
                <w:lang w:val="en-US" w:eastAsia="zh-CN"/>
                <w14:textFill>
                  <w14:solidFill>
                    <w14:schemeClr w14:val="tx1"/>
                  </w14:solidFill>
                </w14:textFill>
              </w:rPr>
              <w:t>第四章</w:t>
            </w:r>
            <w:r>
              <w:rPr>
                <w:rFonts w:hint="eastAsia" w:ascii="宋体" w:hAnsi="宋体" w:eastAsia="宋体" w:cs="宋体"/>
                <w:bCs/>
                <w:color w:val="000000" w:themeColor="text1"/>
                <w:highlight w:val="none"/>
                <w14:textFill>
                  <w14:solidFill>
                    <w14:schemeClr w14:val="tx1"/>
                  </w14:solidFill>
                </w14:textFill>
              </w:rPr>
              <w:t>。</w:t>
            </w:r>
          </w:p>
        </w:tc>
      </w:tr>
      <w:tr w14:paraId="4A242F19">
        <w:tblPrEx>
          <w:tblCellMar>
            <w:top w:w="0" w:type="dxa"/>
            <w:left w:w="108" w:type="dxa"/>
            <w:bottom w:w="0" w:type="dxa"/>
            <w:right w:w="108" w:type="dxa"/>
          </w:tblCellMar>
        </w:tblPrEx>
        <w:trPr>
          <w:trHeight w:val="699" w:hRule="atLeast"/>
        </w:trPr>
        <w:tc>
          <w:tcPr>
            <w:tcW w:w="878" w:type="dxa"/>
            <w:tcBorders>
              <w:top w:val="single" w:color="auto" w:sz="4" w:space="0"/>
              <w:left w:val="single" w:color="auto" w:sz="4" w:space="0"/>
              <w:bottom w:val="single" w:color="auto" w:sz="4" w:space="0"/>
              <w:right w:val="single" w:color="auto" w:sz="4" w:space="0"/>
            </w:tcBorders>
            <w:vAlign w:val="center"/>
          </w:tcPr>
          <w:p w14:paraId="54767D0E">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w:t>
            </w:r>
          </w:p>
        </w:tc>
        <w:tc>
          <w:tcPr>
            <w:tcW w:w="2383" w:type="dxa"/>
            <w:tcBorders>
              <w:top w:val="single" w:color="auto" w:sz="4" w:space="0"/>
              <w:left w:val="single" w:color="auto" w:sz="4" w:space="0"/>
              <w:bottom w:val="single" w:color="auto" w:sz="4" w:space="0"/>
              <w:right w:val="single" w:color="auto" w:sz="4" w:space="0"/>
            </w:tcBorders>
            <w:vAlign w:val="center"/>
          </w:tcPr>
          <w:p w14:paraId="3019673A">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服务期限</w:t>
            </w:r>
          </w:p>
        </w:tc>
        <w:tc>
          <w:tcPr>
            <w:tcW w:w="6140" w:type="dxa"/>
            <w:tcBorders>
              <w:top w:val="single" w:color="auto" w:sz="4" w:space="0"/>
              <w:left w:val="single" w:color="auto" w:sz="4" w:space="0"/>
              <w:bottom w:val="single" w:color="auto" w:sz="4" w:space="0"/>
              <w:right w:val="single" w:color="auto" w:sz="4" w:space="0"/>
            </w:tcBorders>
            <w:vAlign w:val="center"/>
          </w:tcPr>
          <w:p w14:paraId="58E82DE9">
            <w:pPr>
              <w:spacing w:line="360" w:lineRule="auto"/>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3 年（合同一年一签订，达到采购人要求后续签）。</w:t>
            </w:r>
          </w:p>
        </w:tc>
      </w:tr>
      <w:tr w14:paraId="1A31E588">
        <w:tblPrEx>
          <w:tblCellMar>
            <w:top w:w="0" w:type="dxa"/>
            <w:left w:w="108" w:type="dxa"/>
            <w:bottom w:w="0" w:type="dxa"/>
            <w:right w:w="108" w:type="dxa"/>
          </w:tblCellMar>
        </w:tblPrEx>
        <w:trPr>
          <w:trHeight w:val="567" w:hRule="atLeast"/>
        </w:trPr>
        <w:tc>
          <w:tcPr>
            <w:tcW w:w="878" w:type="dxa"/>
            <w:tcBorders>
              <w:top w:val="single" w:color="auto" w:sz="4" w:space="0"/>
              <w:left w:val="single" w:color="auto" w:sz="4" w:space="0"/>
              <w:bottom w:val="single" w:color="auto" w:sz="4" w:space="0"/>
              <w:right w:val="single" w:color="auto" w:sz="4" w:space="0"/>
            </w:tcBorders>
            <w:vAlign w:val="center"/>
          </w:tcPr>
          <w:p w14:paraId="68D34F6B">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w:t>
            </w:r>
          </w:p>
        </w:tc>
        <w:tc>
          <w:tcPr>
            <w:tcW w:w="2383" w:type="dxa"/>
            <w:tcBorders>
              <w:top w:val="single" w:color="auto" w:sz="4" w:space="0"/>
              <w:left w:val="single" w:color="auto" w:sz="4" w:space="0"/>
              <w:bottom w:val="single" w:color="auto" w:sz="4" w:space="0"/>
              <w:right w:val="single" w:color="auto" w:sz="4" w:space="0"/>
            </w:tcBorders>
            <w:vAlign w:val="center"/>
          </w:tcPr>
          <w:p w14:paraId="45E5A1B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服务地点</w:t>
            </w:r>
          </w:p>
        </w:tc>
        <w:tc>
          <w:tcPr>
            <w:tcW w:w="6140" w:type="dxa"/>
            <w:tcBorders>
              <w:top w:val="single" w:color="auto" w:sz="4" w:space="0"/>
              <w:left w:val="single" w:color="auto" w:sz="4" w:space="0"/>
              <w:bottom w:val="single" w:color="auto" w:sz="4" w:space="0"/>
              <w:right w:val="single" w:color="auto" w:sz="4" w:space="0"/>
            </w:tcBorders>
            <w:vAlign w:val="center"/>
          </w:tcPr>
          <w:p w14:paraId="43BC4351">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平顶山市第一人民医院优越路院区</w:t>
            </w:r>
          </w:p>
        </w:tc>
      </w:tr>
      <w:tr w14:paraId="54FEE4B5">
        <w:tblPrEx>
          <w:tblCellMar>
            <w:top w:w="0" w:type="dxa"/>
            <w:left w:w="108" w:type="dxa"/>
            <w:bottom w:w="0" w:type="dxa"/>
            <w:right w:w="108" w:type="dxa"/>
          </w:tblCellMar>
        </w:tblPrEx>
        <w:trPr>
          <w:trHeight w:val="495" w:hRule="atLeast"/>
        </w:trPr>
        <w:tc>
          <w:tcPr>
            <w:tcW w:w="878" w:type="dxa"/>
            <w:tcBorders>
              <w:top w:val="single" w:color="auto" w:sz="4" w:space="0"/>
              <w:left w:val="single" w:color="auto" w:sz="4" w:space="0"/>
              <w:bottom w:val="single" w:color="auto" w:sz="4" w:space="0"/>
              <w:right w:val="single" w:color="auto" w:sz="4" w:space="0"/>
            </w:tcBorders>
            <w:vAlign w:val="center"/>
          </w:tcPr>
          <w:p w14:paraId="726E7BF7">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10</w:t>
            </w:r>
          </w:p>
        </w:tc>
        <w:tc>
          <w:tcPr>
            <w:tcW w:w="2383" w:type="dxa"/>
            <w:tcBorders>
              <w:top w:val="single" w:color="auto" w:sz="4" w:space="0"/>
              <w:left w:val="single" w:color="auto" w:sz="4" w:space="0"/>
              <w:bottom w:val="single" w:color="auto" w:sz="4" w:space="0"/>
              <w:right w:val="single" w:color="auto" w:sz="4" w:space="0"/>
            </w:tcBorders>
            <w:vAlign w:val="center"/>
          </w:tcPr>
          <w:p w14:paraId="223A240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w:t>
            </w:r>
          </w:p>
        </w:tc>
        <w:tc>
          <w:tcPr>
            <w:tcW w:w="6140" w:type="dxa"/>
            <w:tcBorders>
              <w:top w:val="single" w:color="auto" w:sz="4" w:space="0"/>
              <w:left w:val="single" w:color="auto" w:sz="4" w:space="0"/>
              <w:bottom w:val="single" w:color="auto" w:sz="4" w:space="0"/>
              <w:right w:val="single" w:color="auto" w:sz="4" w:space="0"/>
            </w:tcBorders>
            <w:vAlign w:val="center"/>
          </w:tcPr>
          <w:p w14:paraId="7A572219">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符合国家现行法律法规、相关行业标准规范，满足采购人要求。</w:t>
            </w:r>
          </w:p>
        </w:tc>
      </w:tr>
      <w:tr w14:paraId="4DBC6609">
        <w:tblPrEx>
          <w:tblCellMar>
            <w:top w:w="0" w:type="dxa"/>
            <w:left w:w="108" w:type="dxa"/>
            <w:bottom w:w="0" w:type="dxa"/>
            <w:right w:w="108" w:type="dxa"/>
          </w:tblCellMar>
        </w:tblPrEx>
        <w:trPr>
          <w:trHeight w:val="416" w:hRule="atLeast"/>
        </w:trPr>
        <w:tc>
          <w:tcPr>
            <w:tcW w:w="878" w:type="dxa"/>
            <w:tcBorders>
              <w:top w:val="single" w:color="auto" w:sz="4" w:space="0"/>
              <w:left w:val="single" w:color="auto" w:sz="4" w:space="0"/>
              <w:bottom w:val="single" w:color="auto" w:sz="4" w:space="0"/>
              <w:right w:val="single" w:color="auto" w:sz="4" w:space="0"/>
            </w:tcBorders>
            <w:vAlign w:val="center"/>
          </w:tcPr>
          <w:p w14:paraId="5A29B4A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383" w:type="dxa"/>
            <w:tcBorders>
              <w:top w:val="single" w:color="auto" w:sz="4" w:space="0"/>
              <w:left w:val="single" w:color="auto" w:sz="4" w:space="0"/>
              <w:bottom w:val="single" w:color="auto" w:sz="4" w:space="0"/>
              <w:right w:val="single" w:color="auto" w:sz="4" w:space="0"/>
            </w:tcBorders>
            <w:vAlign w:val="center"/>
          </w:tcPr>
          <w:p w14:paraId="4C7D119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投标人资格要求</w:t>
            </w:r>
          </w:p>
        </w:tc>
        <w:tc>
          <w:tcPr>
            <w:tcW w:w="6140" w:type="dxa"/>
            <w:tcBorders>
              <w:top w:val="single" w:color="auto" w:sz="4" w:space="0"/>
              <w:left w:val="single" w:color="auto" w:sz="4" w:space="0"/>
              <w:bottom w:val="single" w:color="auto" w:sz="4" w:space="0"/>
              <w:right w:val="single" w:color="auto" w:sz="4" w:space="0"/>
            </w:tcBorders>
            <w:vAlign w:val="center"/>
          </w:tcPr>
          <w:p w14:paraId="16B97C4E">
            <w:pPr>
              <w:spacing w:line="360" w:lineRule="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同招标公告申请人资格要求。</w:t>
            </w:r>
          </w:p>
        </w:tc>
      </w:tr>
      <w:tr w14:paraId="5B54BDDE">
        <w:tblPrEx>
          <w:tblCellMar>
            <w:top w:w="0" w:type="dxa"/>
            <w:left w:w="108" w:type="dxa"/>
            <w:bottom w:w="0" w:type="dxa"/>
            <w:right w:w="108" w:type="dxa"/>
          </w:tblCellMar>
        </w:tblPrEx>
        <w:trPr>
          <w:trHeight w:val="416" w:hRule="atLeast"/>
        </w:trPr>
        <w:tc>
          <w:tcPr>
            <w:tcW w:w="878" w:type="dxa"/>
            <w:tcBorders>
              <w:top w:val="single" w:color="auto" w:sz="4" w:space="0"/>
              <w:left w:val="single" w:color="auto" w:sz="4" w:space="0"/>
              <w:bottom w:val="single" w:color="auto" w:sz="4" w:space="0"/>
              <w:right w:val="single" w:color="auto" w:sz="4" w:space="0"/>
            </w:tcBorders>
            <w:vAlign w:val="center"/>
          </w:tcPr>
          <w:p w14:paraId="20A5EE1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383" w:type="dxa"/>
            <w:tcBorders>
              <w:top w:val="single" w:color="auto" w:sz="4" w:space="0"/>
              <w:left w:val="single" w:color="auto" w:sz="4" w:space="0"/>
              <w:bottom w:val="single" w:color="auto" w:sz="4" w:space="0"/>
              <w:right w:val="single" w:color="auto" w:sz="4" w:space="0"/>
            </w:tcBorders>
            <w:vAlign w:val="center"/>
          </w:tcPr>
          <w:p w14:paraId="096C5C79">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资格审查方式</w:t>
            </w:r>
          </w:p>
        </w:tc>
        <w:tc>
          <w:tcPr>
            <w:tcW w:w="6140" w:type="dxa"/>
            <w:tcBorders>
              <w:top w:val="single" w:color="auto" w:sz="4" w:space="0"/>
              <w:left w:val="single" w:color="auto" w:sz="4" w:space="0"/>
              <w:bottom w:val="single" w:color="auto" w:sz="4" w:space="0"/>
              <w:right w:val="single" w:color="auto" w:sz="4" w:space="0"/>
            </w:tcBorders>
            <w:vAlign w:val="center"/>
          </w:tcPr>
          <w:p w14:paraId="15EA5087">
            <w:pPr>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公开招标采购项目开标结束后，采购人</w:t>
            </w:r>
            <w:r>
              <w:rPr>
                <w:rFonts w:hint="eastAsia" w:ascii="宋体" w:hAnsi="宋体" w:eastAsia="宋体" w:cs="宋体"/>
                <w:color w:val="000000" w:themeColor="text1"/>
                <w:highlight w:val="none"/>
                <w:lang w:val="en-US" w:eastAsia="zh-CN"/>
                <w14:textFill>
                  <w14:solidFill>
                    <w14:schemeClr w14:val="tx1"/>
                  </w14:solidFill>
                </w14:textFill>
              </w:rPr>
              <w:t>和</w:t>
            </w:r>
            <w:r>
              <w:rPr>
                <w:rFonts w:hint="eastAsia" w:ascii="宋体" w:hAnsi="宋体" w:eastAsia="宋体" w:cs="宋体"/>
                <w:color w:val="000000" w:themeColor="text1"/>
                <w:highlight w:val="none"/>
                <w14:textFill>
                  <w14:solidFill>
                    <w14:schemeClr w14:val="tx1"/>
                  </w14:solidFill>
                </w14:textFill>
              </w:rPr>
              <w:t>采购代理机构依法对投标人的资格进行审查。</w:t>
            </w:r>
          </w:p>
        </w:tc>
      </w:tr>
      <w:tr w14:paraId="55CF7725">
        <w:tblPrEx>
          <w:tblCellMar>
            <w:top w:w="0" w:type="dxa"/>
            <w:left w:w="108" w:type="dxa"/>
            <w:bottom w:w="0" w:type="dxa"/>
            <w:right w:w="108" w:type="dxa"/>
          </w:tblCellMar>
        </w:tblPrEx>
        <w:trPr>
          <w:trHeight w:val="416" w:hRule="atLeast"/>
        </w:trPr>
        <w:tc>
          <w:tcPr>
            <w:tcW w:w="878" w:type="dxa"/>
            <w:tcBorders>
              <w:top w:val="single" w:color="auto" w:sz="4" w:space="0"/>
              <w:left w:val="single" w:color="auto" w:sz="4" w:space="0"/>
              <w:bottom w:val="single" w:color="auto" w:sz="4" w:space="0"/>
              <w:right w:val="single" w:color="auto" w:sz="4" w:space="0"/>
            </w:tcBorders>
            <w:vAlign w:val="center"/>
          </w:tcPr>
          <w:p w14:paraId="3F1A63E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383" w:type="dxa"/>
            <w:tcBorders>
              <w:top w:val="single" w:color="auto" w:sz="4" w:space="0"/>
              <w:left w:val="single" w:color="auto" w:sz="4" w:space="0"/>
              <w:bottom w:val="single" w:color="auto" w:sz="4" w:space="0"/>
              <w:right w:val="single" w:color="auto" w:sz="4" w:space="0"/>
            </w:tcBorders>
            <w:vAlign w:val="center"/>
          </w:tcPr>
          <w:p w14:paraId="60BFACA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是否接受联合体投标</w:t>
            </w:r>
          </w:p>
        </w:tc>
        <w:tc>
          <w:tcPr>
            <w:tcW w:w="6140" w:type="dxa"/>
            <w:tcBorders>
              <w:top w:val="single" w:color="auto" w:sz="4" w:space="0"/>
              <w:left w:val="single" w:color="auto" w:sz="4" w:space="0"/>
              <w:bottom w:val="single" w:color="auto" w:sz="4" w:space="0"/>
              <w:right w:val="single" w:color="auto" w:sz="4" w:space="0"/>
            </w:tcBorders>
            <w:vAlign w:val="center"/>
          </w:tcPr>
          <w:p w14:paraId="1468E4A3">
            <w:pPr>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不接受</w:t>
            </w:r>
          </w:p>
        </w:tc>
      </w:tr>
      <w:tr w14:paraId="2FF96BFB">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41565FFA">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383" w:type="dxa"/>
            <w:tcBorders>
              <w:top w:val="single" w:color="auto" w:sz="4" w:space="0"/>
              <w:left w:val="single" w:color="auto" w:sz="4" w:space="0"/>
              <w:bottom w:val="single" w:color="auto" w:sz="4" w:space="0"/>
              <w:right w:val="single" w:color="auto" w:sz="4" w:space="0"/>
            </w:tcBorders>
            <w:vAlign w:val="center"/>
          </w:tcPr>
          <w:p w14:paraId="2507F9D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投标预备会</w:t>
            </w:r>
          </w:p>
        </w:tc>
        <w:tc>
          <w:tcPr>
            <w:tcW w:w="6140" w:type="dxa"/>
            <w:tcBorders>
              <w:top w:val="single" w:color="auto" w:sz="4" w:space="0"/>
              <w:left w:val="single" w:color="auto" w:sz="4" w:space="0"/>
              <w:bottom w:val="single" w:color="auto" w:sz="4" w:space="0"/>
              <w:right w:val="single" w:color="auto" w:sz="4" w:space="0"/>
            </w:tcBorders>
            <w:vAlign w:val="center"/>
          </w:tcPr>
          <w:p w14:paraId="0680463B">
            <w:pPr>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不召开</w:t>
            </w:r>
          </w:p>
        </w:tc>
      </w:tr>
      <w:tr w14:paraId="222A511C">
        <w:tblPrEx>
          <w:tblCellMar>
            <w:top w:w="0" w:type="dxa"/>
            <w:left w:w="108" w:type="dxa"/>
            <w:bottom w:w="0" w:type="dxa"/>
            <w:right w:w="108" w:type="dxa"/>
          </w:tblCellMar>
        </w:tblPrEx>
        <w:trPr>
          <w:trHeight w:val="440" w:hRule="atLeast"/>
        </w:trPr>
        <w:tc>
          <w:tcPr>
            <w:tcW w:w="878" w:type="dxa"/>
            <w:tcBorders>
              <w:top w:val="single" w:color="auto" w:sz="4" w:space="0"/>
              <w:left w:val="single" w:color="auto" w:sz="4" w:space="0"/>
              <w:bottom w:val="single" w:color="auto" w:sz="4" w:space="0"/>
              <w:right w:val="single" w:color="auto" w:sz="4" w:space="0"/>
            </w:tcBorders>
            <w:vAlign w:val="center"/>
          </w:tcPr>
          <w:p w14:paraId="04F0E62A">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383" w:type="dxa"/>
            <w:tcBorders>
              <w:top w:val="single" w:color="auto" w:sz="4" w:space="0"/>
              <w:left w:val="single" w:color="auto" w:sz="4" w:space="0"/>
              <w:bottom w:val="single" w:color="auto" w:sz="4" w:space="0"/>
              <w:right w:val="single" w:color="auto" w:sz="4" w:space="0"/>
            </w:tcBorders>
            <w:vAlign w:val="center"/>
          </w:tcPr>
          <w:p w14:paraId="5C1BBB4E">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踏勘现场</w:t>
            </w:r>
          </w:p>
        </w:tc>
        <w:tc>
          <w:tcPr>
            <w:tcW w:w="6140" w:type="dxa"/>
            <w:tcBorders>
              <w:top w:val="single" w:color="auto" w:sz="4" w:space="0"/>
              <w:left w:val="single" w:color="auto" w:sz="4" w:space="0"/>
              <w:bottom w:val="single" w:color="auto" w:sz="4" w:space="0"/>
              <w:right w:val="single" w:color="auto" w:sz="4" w:space="0"/>
            </w:tcBorders>
            <w:vAlign w:val="center"/>
          </w:tcPr>
          <w:p w14:paraId="07F75E95">
            <w:pPr>
              <w:topLinePunct/>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不组织</w:t>
            </w:r>
          </w:p>
        </w:tc>
      </w:tr>
      <w:tr w14:paraId="422C8A58">
        <w:tblPrEx>
          <w:tblCellMar>
            <w:top w:w="0" w:type="dxa"/>
            <w:left w:w="108" w:type="dxa"/>
            <w:bottom w:w="0" w:type="dxa"/>
            <w:right w:w="108" w:type="dxa"/>
          </w:tblCellMar>
        </w:tblPrEx>
        <w:trPr>
          <w:trHeight w:val="90" w:hRule="atLeast"/>
        </w:trPr>
        <w:tc>
          <w:tcPr>
            <w:tcW w:w="878" w:type="dxa"/>
            <w:tcBorders>
              <w:top w:val="single" w:color="auto" w:sz="4" w:space="0"/>
              <w:left w:val="single" w:color="auto" w:sz="4" w:space="0"/>
              <w:bottom w:val="single" w:color="auto" w:sz="4" w:space="0"/>
              <w:right w:val="single" w:color="auto" w:sz="4" w:space="0"/>
            </w:tcBorders>
            <w:vAlign w:val="center"/>
          </w:tcPr>
          <w:p w14:paraId="5D976BD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383" w:type="dxa"/>
            <w:tcBorders>
              <w:top w:val="single" w:color="auto" w:sz="4" w:space="0"/>
              <w:left w:val="single" w:color="auto" w:sz="4" w:space="0"/>
              <w:bottom w:val="single" w:color="auto" w:sz="4" w:space="0"/>
              <w:right w:val="single" w:color="auto" w:sz="4" w:space="0"/>
            </w:tcBorders>
            <w:vAlign w:val="center"/>
          </w:tcPr>
          <w:p w14:paraId="4109DCB1">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分包</w:t>
            </w:r>
          </w:p>
        </w:tc>
        <w:tc>
          <w:tcPr>
            <w:tcW w:w="6140" w:type="dxa"/>
            <w:tcBorders>
              <w:top w:val="single" w:color="auto" w:sz="4" w:space="0"/>
              <w:left w:val="single" w:color="auto" w:sz="4" w:space="0"/>
              <w:bottom w:val="single" w:color="auto" w:sz="4" w:space="0"/>
              <w:right w:val="single" w:color="auto" w:sz="4" w:space="0"/>
            </w:tcBorders>
            <w:vAlign w:val="center"/>
          </w:tcPr>
          <w:p w14:paraId="29CA579E">
            <w:pPr>
              <w:pStyle w:val="3"/>
              <w:widowControl/>
              <w:spacing w:before="0" w:after="0" w:line="360" w:lineRule="auto"/>
              <w:jc w:val="left"/>
              <w:rPr>
                <w:rFonts w:hint="eastAsia" w:ascii="宋体" w:hAnsi="宋体" w:eastAsia="宋体" w:cs="宋体"/>
                <w:b w:val="0"/>
                <w:bCs w:val="0"/>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14:textFill>
                  <w14:solidFill>
                    <w14:schemeClr w14:val="tx1"/>
                  </w14:solidFill>
                </w14:textFill>
              </w:rPr>
              <w:t>不允许</w:t>
            </w:r>
          </w:p>
        </w:tc>
      </w:tr>
      <w:tr w14:paraId="2BA32DD9">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3CC631B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383" w:type="dxa"/>
            <w:tcBorders>
              <w:top w:val="single" w:color="auto" w:sz="4" w:space="0"/>
              <w:left w:val="single" w:color="auto" w:sz="4" w:space="0"/>
              <w:bottom w:val="single" w:color="auto" w:sz="4" w:space="0"/>
              <w:right w:val="single" w:color="auto" w:sz="4" w:space="0"/>
            </w:tcBorders>
            <w:vAlign w:val="center"/>
          </w:tcPr>
          <w:p w14:paraId="236782F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构成招标文件的其他材料</w:t>
            </w:r>
          </w:p>
        </w:tc>
        <w:tc>
          <w:tcPr>
            <w:tcW w:w="6140" w:type="dxa"/>
            <w:tcBorders>
              <w:top w:val="nil"/>
              <w:left w:val="single" w:color="auto" w:sz="4" w:space="0"/>
              <w:bottom w:val="single" w:color="auto" w:sz="4" w:space="0"/>
              <w:right w:val="single" w:color="auto" w:sz="4" w:space="0"/>
            </w:tcBorders>
            <w:vAlign w:val="center"/>
          </w:tcPr>
          <w:p w14:paraId="3E414F19">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招标文件澄清、修改、答疑、补遗书、补充通知等</w:t>
            </w:r>
          </w:p>
        </w:tc>
      </w:tr>
      <w:tr w14:paraId="4BBE68D0">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5D7C9D3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383" w:type="dxa"/>
            <w:tcBorders>
              <w:top w:val="single" w:color="auto" w:sz="4" w:space="0"/>
              <w:left w:val="single" w:color="auto" w:sz="4" w:space="0"/>
              <w:bottom w:val="single" w:color="auto" w:sz="4" w:space="0"/>
              <w:right w:val="single" w:color="auto" w:sz="4" w:space="0"/>
            </w:tcBorders>
            <w:vAlign w:val="center"/>
          </w:tcPr>
          <w:p w14:paraId="32A9174F">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相同品牌认定</w:t>
            </w:r>
          </w:p>
        </w:tc>
        <w:tc>
          <w:tcPr>
            <w:tcW w:w="6140" w:type="dxa"/>
            <w:tcBorders>
              <w:top w:val="single" w:color="auto" w:sz="4" w:space="0"/>
              <w:left w:val="single" w:color="auto" w:sz="4" w:space="0"/>
              <w:bottom w:val="single" w:color="auto" w:sz="4" w:space="0"/>
              <w:right w:val="single" w:color="auto" w:sz="4" w:space="0"/>
            </w:tcBorders>
            <w:vAlign w:val="center"/>
          </w:tcPr>
          <w:p w14:paraId="57D1D061">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本项目不涉及</w:t>
            </w:r>
          </w:p>
        </w:tc>
      </w:tr>
      <w:tr w14:paraId="7596EC38">
        <w:tblPrEx>
          <w:tblCellMar>
            <w:top w:w="0" w:type="dxa"/>
            <w:left w:w="108" w:type="dxa"/>
            <w:bottom w:w="0" w:type="dxa"/>
            <w:right w:w="108" w:type="dxa"/>
          </w:tblCellMar>
        </w:tblPrEx>
        <w:trPr>
          <w:trHeight w:val="273" w:hRule="atLeast"/>
        </w:trPr>
        <w:tc>
          <w:tcPr>
            <w:tcW w:w="878" w:type="dxa"/>
            <w:tcBorders>
              <w:top w:val="single" w:color="auto" w:sz="4" w:space="0"/>
              <w:left w:val="single" w:color="auto" w:sz="4" w:space="0"/>
              <w:bottom w:val="single" w:color="auto" w:sz="4" w:space="0"/>
              <w:right w:val="single" w:color="auto" w:sz="4" w:space="0"/>
            </w:tcBorders>
            <w:vAlign w:val="center"/>
          </w:tcPr>
          <w:p w14:paraId="75001376">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383" w:type="dxa"/>
            <w:tcBorders>
              <w:top w:val="single" w:color="auto" w:sz="4" w:space="0"/>
              <w:left w:val="single" w:color="auto" w:sz="4" w:space="0"/>
              <w:bottom w:val="single" w:color="auto" w:sz="4" w:space="0"/>
              <w:right w:val="single" w:color="auto" w:sz="4" w:space="0"/>
            </w:tcBorders>
            <w:vAlign w:val="center"/>
          </w:tcPr>
          <w:p w14:paraId="113349B7">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投标人要求澄清招标文件</w:t>
            </w:r>
          </w:p>
        </w:tc>
        <w:tc>
          <w:tcPr>
            <w:tcW w:w="6140" w:type="dxa"/>
            <w:tcBorders>
              <w:top w:val="single" w:color="auto" w:sz="4" w:space="0"/>
              <w:left w:val="single" w:color="auto" w:sz="4" w:space="0"/>
              <w:bottom w:val="single" w:color="auto" w:sz="4" w:space="0"/>
              <w:right w:val="single" w:color="auto" w:sz="4" w:space="0"/>
            </w:tcBorders>
            <w:vAlign w:val="center"/>
          </w:tcPr>
          <w:p w14:paraId="7D52D389">
            <w:pPr>
              <w:spacing w:line="400" w:lineRule="exact"/>
              <w:ind w:right="-512" w:rightChars="-24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招标文件获取之日起7个工作日内在电子交易系统中提出</w:t>
            </w:r>
          </w:p>
        </w:tc>
      </w:tr>
      <w:tr w14:paraId="0B01952D">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0A6F78B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20</w:t>
            </w:r>
          </w:p>
        </w:tc>
        <w:tc>
          <w:tcPr>
            <w:tcW w:w="2383" w:type="dxa"/>
            <w:tcBorders>
              <w:top w:val="single" w:color="auto" w:sz="4" w:space="0"/>
              <w:left w:val="single" w:color="auto" w:sz="4" w:space="0"/>
              <w:bottom w:val="single" w:color="auto" w:sz="4" w:space="0"/>
              <w:right w:val="single" w:color="auto" w:sz="4" w:space="0"/>
            </w:tcBorders>
            <w:vAlign w:val="center"/>
          </w:tcPr>
          <w:p w14:paraId="366F59D6">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构成投标文件的其他材料</w:t>
            </w:r>
          </w:p>
        </w:tc>
        <w:tc>
          <w:tcPr>
            <w:tcW w:w="6140" w:type="dxa"/>
            <w:tcBorders>
              <w:top w:val="single" w:color="auto" w:sz="4" w:space="0"/>
              <w:left w:val="single" w:color="auto" w:sz="4" w:space="0"/>
              <w:bottom w:val="single" w:color="auto" w:sz="4" w:space="0"/>
              <w:right w:val="single" w:color="auto" w:sz="4" w:space="0"/>
            </w:tcBorders>
            <w:vAlign w:val="center"/>
          </w:tcPr>
          <w:p w14:paraId="00F9AFE0">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招标文件要求提交的其他资料</w:t>
            </w:r>
          </w:p>
        </w:tc>
      </w:tr>
      <w:tr w14:paraId="20D3E850">
        <w:tblPrEx>
          <w:tblCellMar>
            <w:top w:w="0" w:type="dxa"/>
            <w:left w:w="108" w:type="dxa"/>
            <w:bottom w:w="0" w:type="dxa"/>
            <w:right w:w="108" w:type="dxa"/>
          </w:tblCellMar>
        </w:tblPrEx>
        <w:trPr>
          <w:trHeight w:val="647" w:hRule="atLeast"/>
        </w:trPr>
        <w:tc>
          <w:tcPr>
            <w:tcW w:w="878" w:type="dxa"/>
            <w:tcBorders>
              <w:top w:val="single" w:color="auto" w:sz="4" w:space="0"/>
              <w:left w:val="single" w:color="auto" w:sz="4" w:space="0"/>
              <w:bottom w:val="single" w:color="auto" w:sz="4" w:space="0"/>
              <w:right w:val="single" w:color="auto" w:sz="4" w:space="0"/>
            </w:tcBorders>
            <w:vAlign w:val="center"/>
          </w:tcPr>
          <w:p w14:paraId="33F80878">
            <w:pPr>
              <w:spacing w:line="400" w:lineRule="exact"/>
              <w:jc w:val="center"/>
              <w:rPr>
                <w:rFonts w:hint="eastAsia" w:ascii="宋体" w:hAnsi="宋体" w:eastAsia="宋体" w:cs="宋体"/>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21</w:t>
            </w:r>
          </w:p>
        </w:tc>
        <w:tc>
          <w:tcPr>
            <w:tcW w:w="2383" w:type="dxa"/>
            <w:tcBorders>
              <w:top w:val="single" w:color="auto" w:sz="4" w:space="0"/>
              <w:left w:val="single" w:color="auto" w:sz="4" w:space="0"/>
              <w:bottom w:val="single" w:color="auto" w:sz="4" w:space="0"/>
              <w:right w:val="single" w:color="auto" w:sz="4" w:space="0"/>
            </w:tcBorders>
            <w:vAlign w:val="center"/>
          </w:tcPr>
          <w:p w14:paraId="2259EFEE">
            <w:pPr>
              <w:spacing w:line="400" w:lineRule="exact"/>
              <w:jc w:val="center"/>
              <w:rPr>
                <w:rFonts w:hint="eastAsia" w:ascii="宋体" w:hAnsi="宋体" w:eastAsia="宋体" w:cs="宋体"/>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最高投标限价</w:t>
            </w:r>
          </w:p>
        </w:tc>
        <w:tc>
          <w:tcPr>
            <w:tcW w:w="6140" w:type="dxa"/>
            <w:tcBorders>
              <w:top w:val="single" w:color="auto" w:sz="4" w:space="0"/>
              <w:left w:val="single" w:color="auto" w:sz="4" w:space="0"/>
              <w:bottom w:val="single" w:color="auto" w:sz="4" w:space="0"/>
              <w:right w:val="single" w:color="auto" w:sz="4" w:space="0"/>
            </w:tcBorders>
            <w:vAlign w:val="center"/>
          </w:tcPr>
          <w:p w14:paraId="214F8F70">
            <w:pPr>
              <w:spacing w:line="360" w:lineRule="auto"/>
              <w:rPr>
                <w:rFonts w:hint="eastAsia" w:ascii="宋体" w:hAnsi="宋体" w:eastAsia="宋体" w:cs="宋体"/>
                <w:b w:val="0"/>
                <w:bCs w:val="0"/>
                <w:color w:val="000000" w:themeColor="text1"/>
                <w:szCs w:val="24"/>
                <w:highlight w:val="none"/>
                <w:lang w:val="en-US" w:eastAsia="zh-CN"/>
                <w14:textFill>
                  <w14:solidFill>
                    <w14:schemeClr w14:val="tx1"/>
                  </w14:solidFill>
                </w14:textFill>
              </w:rPr>
            </w:pPr>
            <w:r>
              <w:rPr>
                <w:rFonts w:hint="eastAsia" w:ascii="宋体" w:hAnsi="宋体" w:cs="宋体"/>
                <w:b w:val="0"/>
                <w:bCs w:val="0"/>
                <w:color w:val="000000" w:themeColor="text1"/>
                <w:szCs w:val="24"/>
                <w:highlight w:val="none"/>
                <w:lang w:val="en-US" w:eastAsia="zh-CN"/>
                <w14:textFill>
                  <w14:solidFill>
                    <w14:schemeClr w14:val="tx1"/>
                  </w14:solidFill>
                </w14:textFill>
              </w:rPr>
              <w:t>11997600.00元，3999200.00元/年。</w:t>
            </w:r>
          </w:p>
        </w:tc>
      </w:tr>
      <w:tr w14:paraId="6B89E1E1">
        <w:tblPrEx>
          <w:tblCellMar>
            <w:top w:w="0" w:type="dxa"/>
            <w:left w:w="108" w:type="dxa"/>
            <w:bottom w:w="0" w:type="dxa"/>
            <w:right w:w="108" w:type="dxa"/>
          </w:tblCellMar>
        </w:tblPrEx>
        <w:trPr>
          <w:trHeight w:val="90" w:hRule="atLeast"/>
        </w:trPr>
        <w:tc>
          <w:tcPr>
            <w:tcW w:w="878" w:type="dxa"/>
            <w:tcBorders>
              <w:top w:val="single" w:color="auto" w:sz="4" w:space="0"/>
              <w:left w:val="single" w:color="auto" w:sz="4" w:space="0"/>
              <w:bottom w:val="single" w:color="auto" w:sz="4" w:space="0"/>
              <w:right w:val="single" w:color="auto" w:sz="4" w:space="0"/>
            </w:tcBorders>
            <w:vAlign w:val="center"/>
          </w:tcPr>
          <w:p w14:paraId="53DE7076">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383" w:type="dxa"/>
            <w:tcBorders>
              <w:top w:val="single" w:color="auto" w:sz="4" w:space="0"/>
              <w:left w:val="single" w:color="auto" w:sz="4" w:space="0"/>
              <w:bottom w:val="single" w:color="auto" w:sz="4" w:space="0"/>
              <w:right w:val="single" w:color="auto" w:sz="4" w:space="0"/>
            </w:tcBorders>
            <w:vAlign w:val="center"/>
          </w:tcPr>
          <w:p w14:paraId="332EB60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投标有效期</w:t>
            </w:r>
          </w:p>
        </w:tc>
        <w:tc>
          <w:tcPr>
            <w:tcW w:w="6140" w:type="dxa"/>
            <w:tcBorders>
              <w:top w:val="single" w:color="auto" w:sz="4" w:space="0"/>
              <w:left w:val="single" w:color="auto" w:sz="4" w:space="0"/>
              <w:bottom w:val="single" w:color="auto" w:sz="4" w:space="0"/>
              <w:right w:val="single" w:color="auto" w:sz="4" w:space="0"/>
            </w:tcBorders>
            <w:vAlign w:val="center"/>
          </w:tcPr>
          <w:p w14:paraId="19121432">
            <w:pPr>
              <w:spacing w:line="360" w:lineRule="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投标文件递交截止之日起60日历天</w:t>
            </w:r>
          </w:p>
        </w:tc>
      </w:tr>
      <w:tr w14:paraId="6ACEE8D3">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016C5FDA">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383" w:type="dxa"/>
            <w:tcBorders>
              <w:top w:val="single" w:color="auto" w:sz="4" w:space="0"/>
              <w:left w:val="single" w:color="auto" w:sz="4" w:space="0"/>
              <w:bottom w:val="single" w:color="auto" w:sz="4" w:space="0"/>
              <w:right w:val="single" w:color="auto" w:sz="4" w:space="0"/>
            </w:tcBorders>
            <w:vAlign w:val="center"/>
          </w:tcPr>
          <w:p w14:paraId="7662C89A">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是否允许递交备选投标方案</w:t>
            </w:r>
          </w:p>
        </w:tc>
        <w:tc>
          <w:tcPr>
            <w:tcW w:w="6140" w:type="dxa"/>
            <w:tcBorders>
              <w:top w:val="single" w:color="auto" w:sz="4" w:space="0"/>
              <w:left w:val="single" w:color="auto" w:sz="4" w:space="0"/>
              <w:bottom w:val="single" w:color="auto" w:sz="4" w:space="0"/>
              <w:right w:val="single" w:color="auto" w:sz="4" w:space="0"/>
            </w:tcBorders>
            <w:vAlign w:val="center"/>
          </w:tcPr>
          <w:p w14:paraId="05C48987">
            <w:pPr>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否</w:t>
            </w:r>
          </w:p>
        </w:tc>
      </w:tr>
      <w:tr w14:paraId="4820B226">
        <w:tblPrEx>
          <w:tblCellMar>
            <w:top w:w="0" w:type="dxa"/>
            <w:left w:w="108" w:type="dxa"/>
            <w:bottom w:w="0" w:type="dxa"/>
            <w:right w:w="108" w:type="dxa"/>
          </w:tblCellMar>
        </w:tblPrEx>
        <w:trPr>
          <w:trHeight w:val="761" w:hRule="atLeast"/>
        </w:trPr>
        <w:tc>
          <w:tcPr>
            <w:tcW w:w="878" w:type="dxa"/>
            <w:tcBorders>
              <w:top w:val="single" w:color="auto" w:sz="4" w:space="0"/>
              <w:left w:val="single" w:color="auto" w:sz="4" w:space="0"/>
              <w:bottom w:val="single" w:color="auto" w:sz="4" w:space="0"/>
              <w:right w:val="single" w:color="auto" w:sz="4" w:space="0"/>
            </w:tcBorders>
            <w:vAlign w:val="center"/>
          </w:tcPr>
          <w:p w14:paraId="01FD9F2F">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w:t>
            </w:r>
          </w:p>
        </w:tc>
        <w:tc>
          <w:tcPr>
            <w:tcW w:w="2383" w:type="dxa"/>
            <w:tcBorders>
              <w:top w:val="single" w:color="auto" w:sz="4" w:space="0"/>
              <w:left w:val="single" w:color="auto" w:sz="4" w:space="0"/>
              <w:bottom w:val="single" w:color="auto" w:sz="4" w:space="0"/>
              <w:right w:val="single" w:color="auto" w:sz="4" w:space="0"/>
            </w:tcBorders>
            <w:vAlign w:val="center"/>
          </w:tcPr>
          <w:p w14:paraId="4918DDF6">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签字或盖章要求</w:t>
            </w:r>
          </w:p>
        </w:tc>
        <w:tc>
          <w:tcPr>
            <w:tcW w:w="6140" w:type="dxa"/>
            <w:tcBorders>
              <w:top w:val="single" w:color="auto" w:sz="4" w:space="0"/>
              <w:left w:val="single" w:color="auto" w:sz="4" w:space="0"/>
              <w:bottom w:val="single" w:color="auto" w:sz="4" w:space="0"/>
              <w:right w:val="single" w:color="auto" w:sz="4" w:space="0"/>
            </w:tcBorders>
            <w:vAlign w:val="center"/>
          </w:tcPr>
          <w:p w14:paraId="0668D0A2">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按招标文件要求在相应位置加盖投标人单位电子印章和法人电子印章。</w:t>
            </w:r>
          </w:p>
        </w:tc>
      </w:tr>
      <w:tr w14:paraId="0938B4EB">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3CDBB0FF">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w:t>
            </w:r>
          </w:p>
        </w:tc>
        <w:tc>
          <w:tcPr>
            <w:tcW w:w="2383" w:type="dxa"/>
            <w:tcBorders>
              <w:top w:val="single" w:color="auto" w:sz="4" w:space="0"/>
              <w:left w:val="single" w:color="auto" w:sz="4" w:space="0"/>
              <w:bottom w:val="single" w:color="auto" w:sz="4" w:space="0"/>
              <w:right w:val="single" w:color="auto" w:sz="4" w:space="0"/>
            </w:tcBorders>
            <w:vAlign w:val="center"/>
          </w:tcPr>
          <w:p w14:paraId="324C1B8B">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投标文件递交</w:t>
            </w:r>
          </w:p>
        </w:tc>
        <w:tc>
          <w:tcPr>
            <w:tcW w:w="6140" w:type="dxa"/>
            <w:tcBorders>
              <w:top w:val="single" w:color="auto" w:sz="4" w:space="0"/>
              <w:left w:val="single" w:color="auto" w:sz="4" w:space="0"/>
              <w:bottom w:val="single" w:color="auto" w:sz="4" w:space="0"/>
              <w:right w:val="single" w:color="auto" w:sz="4" w:space="0"/>
            </w:tcBorders>
            <w:vAlign w:val="center"/>
          </w:tcPr>
          <w:p w14:paraId="315B164F">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应按招标文件规定编制、提交电子投标文件。加密电子投标文件应在招标文件规定的投标截止时间之前成功提交至《全国公共资源交易平台(河南省·平顶山市)》公共资源交易系统。投标人应充分考虑并预留技术处理和上传数据所需时间。</w:t>
            </w:r>
          </w:p>
        </w:tc>
      </w:tr>
      <w:tr w14:paraId="15BB69FF">
        <w:tblPrEx>
          <w:tblCellMar>
            <w:top w:w="0" w:type="dxa"/>
            <w:left w:w="108" w:type="dxa"/>
            <w:bottom w:w="0" w:type="dxa"/>
            <w:right w:w="108" w:type="dxa"/>
          </w:tblCellMar>
        </w:tblPrEx>
        <w:trPr>
          <w:trHeight w:val="556" w:hRule="atLeast"/>
        </w:trPr>
        <w:tc>
          <w:tcPr>
            <w:tcW w:w="878" w:type="dxa"/>
            <w:tcBorders>
              <w:top w:val="single" w:color="auto" w:sz="4" w:space="0"/>
              <w:left w:val="single" w:color="auto" w:sz="4" w:space="0"/>
              <w:bottom w:val="single" w:color="auto" w:sz="4" w:space="0"/>
              <w:right w:val="single" w:color="auto" w:sz="4" w:space="0"/>
            </w:tcBorders>
            <w:vAlign w:val="center"/>
          </w:tcPr>
          <w:p w14:paraId="125DFC0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26</w:t>
            </w:r>
          </w:p>
        </w:tc>
        <w:tc>
          <w:tcPr>
            <w:tcW w:w="2383" w:type="dxa"/>
            <w:tcBorders>
              <w:top w:val="single" w:color="auto" w:sz="4" w:space="0"/>
              <w:left w:val="single" w:color="auto" w:sz="4" w:space="0"/>
              <w:bottom w:val="single" w:color="auto" w:sz="4" w:space="0"/>
              <w:right w:val="single" w:color="auto" w:sz="4" w:space="0"/>
            </w:tcBorders>
            <w:vAlign w:val="center"/>
          </w:tcPr>
          <w:p w14:paraId="681FEA9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投标截止时间</w:t>
            </w:r>
          </w:p>
        </w:tc>
        <w:tc>
          <w:tcPr>
            <w:tcW w:w="6140" w:type="dxa"/>
            <w:tcBorders>
              <w:top w:val="single" w:color="auto" w:sz="4" w:space="0"/>
              <w:left w:val="single" w:color="auto" w:sz="4" w:space="0"/>
              <w:bottom w:val="single" w:color="auto" w:sz="4" w:space="0"/>
              <w:right w:val="single" w:color="auto" w:sz="4" w:space="0"/>
            </w:tcBorders>
            <w:vAlign w:val="center"/>
          </w:tcPr>
          <w:p w14:paraId="42DF2077">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同招标公告</w:t>
            </w:r>
          </w:p>
        </w:tc>
      </w:tr>
      <w:tr w14:paraId="56CD8BE1">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29FD61D8">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27</w:t>
            </w:r>
          </w:p>
        </w:tc>
        <w:tc>
          <w:tcPr>
            <w:tcW w:w="2383" w:type="dxa"/>
            <w:tcBorders>
              <w:top w:val="single" w:color="auto" w:sz="4" w:space="0"/>
              <w:left w:val="single" w:color="auto" w:sz="4" w:space="0"/>
              <w:bottom w:val="single" w:color="auto" w:sz="4" w:space="0"/>
              <w:right w:val="single" w:color="auto" w:sz="4" w:space="0"/>
            </w:tcBorders>
            <w:vAlign w:val="center"/>
          </w:tcPr>
          <w:p w14:paraId="322876A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递交投标文件地点</w:t>
            </w:r>
          </w:p>
        </w:tc>
        <w:tc>
          <w:tcPr>
            <w:tcW w:w="6140" w:type="dxa"/>
            <w:tcBorders>
              <w:top w:val="single" w:color="auto" w:sz="4" w:space="0"/>
              <w:left w:val="single" w:color="auto" w:sz="4" w:space="0"/>
              <w:bottom w:val="single" w:color="auto" w:sz="4" w:space="0"/>
              <w:right w:val="single" w:color="auto" w:sz="4" w:space="0"/>
            </w:tcBorders>
            <w:vAlign w:val="center"/>
          </w:tcPr>
          <w:p w14:paraId="442D894A">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《全国公共资源交易平台(河南省·平顶山市)》公共资源交易系统</w:t>
            </w:r>
          </w:p>
        </w:tc>
      </w:tr>
      <w:tr w14:paraId="6D67C0EB">
        <w:tblPrEx>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vAlign w:val="center"/>
          </w:tcPr>
          <w:p w14:paraId="57ED8A0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28</w:t>
            </w:r>
          </w:p>
        </w:tc>
        <w:tc>
          <w:tcPr>
            <w:tcW w:w="2383" w:type="dxa"/>
            <w:tcBorders>
              <w:top w:val="single" w:color="auto" w:sz="4" w:space="0"/>
              <w:left w:val="single" w:color="auto" w:sz="4" w:space="0"/>
              <w:bottom w:val="single" w:color="auto" w:sz="4" w:space="0"/>
              <w:right w:val="single" w:color="auto" w:sz="4" w:space="0"/>
            </w:tcBorders>
            <w:vAlign w:val="center"/>
          </w:tcPr>
          <w:p w14:paraId="0F50CF2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是否退还投标文件</w:t>
            </w:r>
          </w:p>
        </w:tc>
        <w:tc>
          <w:tcPr>
            <w:tcW w:w="6140" w:type="dxa"/>
            <w:tcBorders>
              <w:top w:val="single" w:color="auto" w:sz="4" w:space="0"/>
              <w:left w:val="single" w:color="auto" w:sz="4" w:space="0"/>
              <w:bottom w:val="single" w:color="auto" w:sz="4" w:space="0"/>
              <w:right w:val="single" w:color="auto" w:sz="4" w:space="0"/>
            </w:tcBorders>
            <w:vAlign w:val="center"/>
          </w:tcPr>
          <w:p w14:paraId="6B0F5D73">
            <w:pPr>
              <w:topLinePunct/>
              <w:spacing w:line="40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否</w:t>
            </w:r>
          </w:p>
        </w:tc>
      </w:tr>
      <w:tr w14:paraId="1881B7AA">
        <w:tblPrEx>
          <w:tblCellMar>
            <w:top w:w="0" w:type="dxa"/>
            <w:left w:w="108" w:type="dxa"/>
            <w:bottom w:w="0" w:type="dxa"/>
            <w:right w:w="108" w:type="dxa"/>
          </w:tblCellMar>
        </w:tblPrEx>
        <w:trPr>
          <w:trHeight w:val="558" w:hRule="atLeast"/>
        </w:trPr>
        <w:tc>
          <w:tcPr>
            <w:tcW w:w="878" w:type="dxa"/>
            <w:tcBorders>
              <w:top w:val="single" w:color="auto" w:sz="4" w:space="0"/>
              <w:left w:val="single" w:color="auto" w:sz="4" w:space="0"/>
              <w:bottom w:val="nil"/>
              <w:right w:val="single" w:color="auto" w:sz="4" w:space="0"/>
            </w:tcBorders>
            <w:vAlign w:val="center"/>
          </w:tcPr>
          <w:p w14:paraId="3A956A6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29</w:t>
            </w:r>
          </w:p>
        </w:tc>
        <w:tc>
          <w:tcPr>
            <w:tcW w:w="2383" w:type="dxa"/>
            <w:tcBorders>
              <w:top w:val="single" w:color="auto" w:sz="4" w:space="0"/>
              <w:left w:val="single" w:color="auto" w:sz="4" w:space="0"/>
              <w:bottom w:val="nil"/>
              <w:right w:val="single" w:color="auto" w:sz="4" w:space="0"/>
            </w:tcBorders>
            <w:vAlign w:val="center"/>
          </w:tcPr>
          <w:p w14:paraId="1A207CAB">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开标时间和地点</w:t>
            </w:r>
          </w:p>
        </w:tc>
        <w:tc>
          <w:tcPr>
            <w:tcW w:w="6140" w:type="dxa"/>
            <w:tcBorders>
              <w:top w:val="single" w:color="auto" w:sz="4" w:space="0"/>
              <w:left w:val="single" w:color="auto" w:sz="4" w:space="0"/>
              <w:bottom w:val="nil"/>
              <w:right w:val="single" w:color="auto" w:sz="4" w:space="0"/>
            </w:tcBorders>
            <w:vAlign w:val="center"/>
          </w:tcPr>
          <w:p w14:paraId="2E9E804B">
            <w:pPr>
              <w:autoSpaceDE w:val="0"/>
              <w:autoSpaceDN w:val="0"/>
              <w:adjustRightInd w:val="0"/>
              <w:spacing w:before="48"/>
              <w:ind w:right="-2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开标时间：同投标截止时间</w:t>
            </w:r>
          </w:p>
          <w:p w14:paraId="4408EF93">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开标地点：同递交投标文件地点</w:t>
            </w:r>
          </w:p>
        </w:tc>
      </w:tr>
      <w:tr w14:paraId="3A8898A3">
        <w:tblPrEx>
          <w:tblCellMar>
            <w:top w:w="0" w:type="dxa"/>
            <w:left w:w="108" w:type="dxa"/>
            <w:bottom w:w="0" w:type="dxa"/>
            <w:right w:w="108" w:type="dxa"/>
          </w:tblCellMar>
        </w:tblPrEx>
        <w:trPr>
          <w:trHeight w:val="381" w:hRule="atLeast"/>
        </w:trPr>
        <w:tc>
          <w:tcPr>
            <w:tcW w:w="878" w:type="dxa"/>
            <w:tcBorders>
              <w:top w:val="single" w:color="auto" w:sz="4" w:space="0"/>
              <w:left w:val="single" w:color="auto" w:sz="4" w:space="0"/>
              <w:bottom w:val="nil"/>
              <w:right w:val="single" w:color="auto" w:sz="4" w:space="0"/>
            </w:tcBorders>
            <w:vAlign w:val="center"/>
          </w:tcPr>
          <w:p w14:paraId="587F70DF">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30</w:t>
            </w:r>
          </w:p>
        </w:tc>
        <w:tc>
          <w:tcPr>
            <w:tcW w:w="2383" w:type="dxa"/>
            <w:tcBorders>
              <w:top w:val="single" w:color="auto" w:sz="4" w:space="0"/>
              <w:left w:val="single" w:color="auto" w:sz="4" w:space="0"/>
              <w:bottom w:val="nil"/>
              <w:right w:val="single" w:color="auto" w:sz="4" w:space="0"/>
            </w:tcBorders>
            <w:vAlign w:val="center"/>
          </w:tcPr>
          <w:p w14:paraId="2FB7F59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开标程序</w:t>
            </w:r>
          </w:p>
        </w:tc>
        <w:tc>
          <w:tcPr>
            <w:tcW w:w="6140" w:type="dxa"/>
            <w:tcBorders>
              <w:top w:val="single" w:color="auto" w:sz="4" w:space="0"/>
              <w:left w:val="single" w:color="auto" w:sz="4" w:space="0"/>
              <w:bottom w:val="nil"/>
              <w:right w:val="single" w:color="auto" w:sz="4" w:space="0"/>
            </w:tcBorders>
            <w:vAlign w:val="center"/>
          </w:tcPr>
          <w:p w14:paraId="25926DFB">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开标时，投标人使用CA证书在规定时间内对其电子投标文件进行解密</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采购人（代理机构）操作，对开标结果进行公示</w:t>
            </w:r>
            <w:r>
              <w:rPr>
                <w:rFonts w:hint="eastAsia" w:ascii="宋体" w:hAnsi="宋体" w:eastAsia="宋体" w:cs="宋体"/>
                <w:color w:val="000000" w:themeColor="text1"/>
                <w:kern w:val="0"/>
                <w:highlight w:val="none"/>
                <w14:textFill>
                  <w14:solidFill>
                    <w14:schemeClr w14:val="tx1"/>
                  </w14:solidFill>
                </w14:textFill>
              </w:rPr>
              <w:t>。</w:t>
            </w:r>
          </w:p>
        </w:tc>
      </w:tr>
      <w:tr w14:paraId="6396AF9F">
        <w:tblPrEx>
          <w:tblCellMar>
            <w:top w:w="0" w:type="dxa"/>
            <w:left w:w="108" w:type="dxa"/>
            <w:bottom w:w="0" w:type="dxa"/>
            <w:right w:w="108" w:type="dxa"/>
          </w:tblCellMar>
        </w:tblPrEx>
        <w:trPr>
          <w:trHeight w:val="880" w:hRule="atLeast"/>
        </w:trPr>
        <w:tc>
          <w:tcPr>
            <w:tcW w:w="878" w:type="dxa"/>
            <w:tcBorders>
              <w:top w:val="single" w:color="auto" w:sz="4" w:space="0"/>
              <w:left w:val="single" w:color="auto" w:sz="4" w:space="0"/>
              <w:bottom w:val="nil"/>
              <w:right w:val="single" w:color="auto" w:sz="4" w:space="0"/>
            </w:tcBorders>
            <w:vAlign w:val="center"/>
          </w:tcPr>
          <w:p w14:paraId="796E387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383" w:type="dxa"/>
            <w:tcBorders>
              <w:top w:val="single" w:color="auto" w:sz="4" w:space="0"/>
              <w:left w:val="single" w:color="auto" w:sz="4" w:space="0"/>
              <w:bottom w:val="nil"/>
              <w:right w:val="single" w:color="auto" w:sz="4" w:space="0"/>
            </w:tcBorders>
            <w:vAlign w:val="center"/>
          </w:tcPr>
          <w:p w14:paraId="05B2083E">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评标委员会的组建</w:t>
            </w:r>
          </w:p>
        </w:tc>
        <w:tc>
          <w:tcPr>
            <w:tcW w:w="6140" w:type="dxa"/>
            <w:tcBorders>
              <w:top w:val="single" w:color="auto" w:sz="4" w:space="0"/>
              <w:left w:val="single" w:color="auto" w:sz="4" w:space="0"/>
              <w:bottom w:val="nil"/>
              <w:right w:val="single" w:color="auto" w:sz="4" w:space="0"/>
            </w:tcBorders>
            <w:vAlign w:val="center"/>
          </w:tcPr>
          <w:p w14:paraId="2F01C73E">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评标委员会由采购人代表和评审专家组成，成员人数应当为</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人以上单数，其中评审专家不得少于成员总数的三分之二。评标专家确定方式为从</w:t>
            </w:r>
            <w:r>
              <w:rPr>
                <w:rFonts w:hint="eastAsia" w:ascii="宋体" w:hAnsi="宋体" w:eastAsia="宋体" w:cs="宋体"/>
                <w:color w:val="000000" w:themeColor="text1"/>
                <w:highlight w:val="none"/>
                <w:lang w:val="en-US" w:eastAsia="zh-CN"/>
                <w14:textFill>
                  <w14:solidFill>
                    <w14:schemeClr w14:val="tx1"/>
                  </w14:solidFill>
                </w14:textFill>
              </w:rPr>
              <w:t>政府采购</w:t>
            </w:r>
            <w:r>
              <w:rPr>
                <w:rFonts w:hint="eastAsia" w:ascii="宋体" w:hAnsi="宋体" w:eastAsia="宋体" w:cs="宋体"/>
                <w:color w:val="000000" w:themeColor="text1"/>
                <w:highlight w:val="none"/>
                <w14:textFill>
                  <w14:solidFill>
                    <w14:schemeClr w14:val="tx1"/>
                  </w14:solidFill>
                </w14:textFill>
              </w:rPr>
              <w:t>专家库中随机抽取。</w:t>
            </w:r>
          </w:p>
          <w:p w14:paraId="6FC0D27C">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备注：上述规定为一组评标专家组成方式，根据项目标段数量和评标工作量，可由多组专家完成评审。</w:t>
            </w:r>
          </w:p>
        </w:tc>
      </w:tr>
      <w:tr w14:paraId="0AFB372F">
        <w:tblPrEx>
          <w:tblCellMar>
            <w:top w:w="0" w:type="dxa"/>
            <w:left w:w="108" w:type="dxa"/>
            <w:bottom w:w="0" w:type="dxa"/>
            <w:right w:w="108" w:type="dxa"/>
          </w:tblCellMar>
        </w:tblPrEx>
        <w:trPr>
          <w:trHeight w:val="880" w:hRule="atLeast"/>
        </w:trPr>
        <w:tc>
          <w:tcPr>
            <w:tcW w:w="878" w:type="dxa"/>
            <w:tcBorders>
              <w:top w:val="single" w:color="auto" w:sz="4" w:space="0"/>
              <w:left w:val="single" w:color="auto" w:sz="4" w:space="0"/>
              <w:bottom w:val="single" w:color="auto" w:sz="4" w:space="0"/>
              <w:right w:val="single" w:color="auto" w:sz="4" w:space="0"/>
            </w:tcBorders>
            <w:vAlign w:val="center"/>
          </w:tcPr>
          <w:p w14:paraId="1BDA15F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383" w:type="dxa"/>
            <w:tcBorders>
              <w:top w:val="single" w:color="auto" w:sz="4" w:space="0"/>
              <w:left w:val="single" w:color="auto" w:sz="4" w:space="0"/>
              <w:bottom w:val="single" w:color="auto" w:sz="4" w:space="0"/>
              <w:right w:val="single" w:color="auto" w:sz="4" w:space="0"/>
            </w:tcBorders>
            <w:vAlign w:val="center"/>
          </w:tcPr>
          <w:p w14:paraId="27A3DE7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是否授权评标委员会确定中标人</w:t>
            </w:r>
          </w:p>
        </w:tc>
        <w:tc>
          <w:tcPr>
            <w:tcW w:w="6140" w:type="dxa"/>
            <w:tcBorders>
              <w:top w:val="single" w:color="auto" w:sz="4" w:space="0"/>
              <w:left w:val="single" w:color="auto" w:sz="4" w:space="0"/>
              <w:bottom w:val="single" w:color="auto" w:sz="4" w:space="0"/>
              <w:right w:val="single" w:color="auto" w:sz="4" w:space="0"/>
            </w:tcBorders>
            <w:vAlign w:val="center"/>
          </w:tcPr>
          <w:p w14:paraId="0B800632">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否，推荐中标候选人数：3名</w:t>
            </w:r>
          </w:p>
        </w:tc>
      </w:tr>
      <w:tr w14:paraId="1420CC78">
        <w:tblPrEx>
          <w:tblCellMar>
            <w:top w:w="0" w:type="dxa"/>
            <w:left w:w="108" w:type="dxa"/>
            <w:bottom w:w="0" w:type="dxa"/>
            <w:right w:w="108" w:type="dxa"/>
          </w:tblCellMar>
        </w:tblPrEx>
        <w:trPr>
          <w:trHeight w:val="880" w:hRule="atLeast"/>
        </w:trPr>
        <w:tc>
          <w:tcPr>
            <w:tcW w:w="878" w:type="dxa"/>
            <w:tcBorders>
              <w:top w:val="single" w:color="auto" w:sz="4" w:space="0"/>
              <w:left w:val="single" w:color="auto" w:sz="4" w:space="0"/>
              <w:bottom w:val="single" w:color="auto" w:sz="4" w:space="0"/>
              <w:right w:val="single" w:color="auto" w:sz="4" w:space="0"/>
            </w:tcBorders>
            <w:vAlign w:val="center"/>
          </w:tcPr>
          <w:p w14:paraId="76CA53E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w:t>
            </w:r>
          </w:p>
        </w:tc>
        <w:tc>
          <w:tcPr>
            <w:tcW w:w="2383" w:type="dxa"/>
            <w:tcBorders>
              <w:top w:val="single" w:color="auto" w:sz="4" w:space="0"/>
              <w:left w:val="single" w:color="auto" w:sz="4" w:space="0"/>
              <w:bottom w:val="single" w:color="auto" w:sz="4" w:space="0"/>
              <w:right w:val="single" w:color="auto" w:sz="4" w:space="0"/>
            </w:tcBorders>
            <w:vAlign w:val="center"/>
          </w:tcPr>
          <w:p w14:paraId="05976B6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中标公告媒介及期限</w:t>
            </w:r>
          </w:p>
        </w:tc>
        <w:tc>
          <w:tcPr>
            <w:tcW w:w="6140" w:type="dxa"/>
            <w:tcBorders>
              <w:top w:val="single" w:color="auto" w:sz="4" w:space="0"/>
              <w:left w:val="single" w:color="auto" w:sz="4" w:space="0"/>
              <w:bottom w:val="single" w:color="auto" w:sz="4" w:space="0"/>
              <w:right w:val="single" w:color="auto" w:sz="4" w:space="0"/>
            </w:tcBorders>
            <w:vAlign w:val="center"/>
          </w:tcPr>
          <w:p w14:paraId="25DC4BD6">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同招标公告发布媒介，公示期为1个工作日。</w:t>
            </w:r>
          </w:p>
        </w:tc>
      </w:tr>
      <w:tr w14:paraId="410DD4C6">
        <w:tblPrEx>
          <w:tblCellMar>
            <w:top w:w="0" w:type="dxa"/>
            <w:left w:w="108" w:type="dxa"/>
            <w:bottom w:w="0" w:type="dxa"/>
            <w:right w:w="108" w:type="dxa"/>
          </w:tblCellMar>
        </w:tblPrEx>
        <w:trPr>
          <w:trHeight w:val="880" w:hRule="atLeast"/>
        </w:trPr>
        <w:tc>
          <w:tcPr>
            <w:tcW w:w="878" w:type="dxa"/>
            <w:tcBorders>
              <w:top w:val="single" w:color="auto" w:sz="4" w:space="0"/>
              <w:left w:val="single" w:color="auto" w:sz="4" w:space="0"/>
              <w:bottom w:val="single" w:color="auto" w:sz="4" w:space="0"/>
              <w:right w:val="single" w:color="auto" w:sz="4" w:space="0"/>
            </w:tcBorders>
            <w:vAlign w:val="center"/>
          </w:tcPr>
          <w:p w14:paraId="34127124">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w:t>
            </w:r>
          </w:p>
        </w:tc>
        <w:tc>
          <w:tcPr>
            <w:tcW w:w="2383" w:type="dxa"/>
            <w:tcBorders>
              <w:top w:val="single" w:color="auto" w:sz="4" w:space="0"/>
              <w:left w:val="single" w:color="auto" w:sz="4" w:space="0"/>
              <w:bottom w:val="single" w:color="auto" w:sz="4" w:space="0"/>
              <w:right w:val="single" w:color="auto" w:sz="4" w:space="0"/>
            </w:tcBorders>
            <w:vAlign w:val="center"/>
          </w:tcPr>
          <w:p w14:paraId="6B9AE39E">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合同签订方式</w:t>
            </w:r>
          </w:p>
        </w:tc>
        <w:tc>
          <w:tcPr>
            <w:tcW w:w="6140" w:type="dxa"/>
            <w:tcBorders>
              <w:top w:val="single" w:color="auto" w:sz="4" w:space="0"/>
              <w:left w:val="single" w:color="auto" w:sz="4" w:space="0"/>
              <w:bottom w:val="single" w:color="auto" w:sz="4" w:space="0"/>
              <w:right w:val="single" w:color="auto" w:sz="4" w:space="0"/>
            </w:tcBorders>
            <w:vAlign w:val="center"/>
          </w:tcPr>
          <w:p w14:paraId="79E8F417">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招标人（采购人）与中标人（供应商）利用平顶山市公共资源交易平台“合同在线签订模块”，将电子合同推送至对方进行审核，经双方确认均无异议通过后，进行在线签章，完成合同签订并公示。</w:t>
            </w:r>
          </w:p>
        </w:tc>
      </w:tr>
      <w:tr w14:paraId="4420EC68">
        <w:tblPrEx>
          <w:tblCellMar>
            <w:top w:w="0" w:type="dxa"/>
            <w:left w:w="108" w:type="dxa"/>
            <w:bottom w:w="0" w:type="dxa"/>
            <w:right w:w="108" w:type="dxa"/>
          </w:tblCellMar>
        </w:tblPrEx>
        <w:trPr>
          <w:trHeight w:val="619" w:hRule="atLeast"/>
        </w:trPr>
        <w:tc>
          <w:tcPr>
            <w:tcW w:w="878" w:type="dxa"/>
            <w:vMerge w:val="restart"/>
            <w:tcBorders>
              <w:top w:val="single" w:color="auto" w:sz="4" w:space="0"/>
              <w:left w:val="single" w:color="auto" w:sz="4" w:space="0"/>
              <w:bottom w:val="nil"/>
              <w:right w:val="single" w:color="auto" w:sz="4" w:space="0"/>
            </w:tcBorders>
            <w:vAlign w:val="center"/>
          </w:tcPr>
          <w:p w14:paraId="29C4205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35</w:t>
            </w:r>
          </w:p>
        </w:tc>
        <w:tc>
          <w:tcPr>
            <w:tcW w:w="2383" w:type="dxa"/>
            <w:tcBorders>
              <w:top w:val="single" w:color="auto" w:sz="4" w:space="0"/>
              <w:left w:val="single" w:color="auto" w:sz="4" w:space="0"/>
              <w:bottom w:val="nil"/>
              <w:right w:val="single" w:color="auto" w:sz="4" w:space="0"/>
            </w:tcBorders>
            <w:vAlign w:val="center"/>
          </w:tcPr>
          <w:p w14:paraId="40AFA28D">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招标文件费</w:t>
            </w:r>
          </w:p>
        </w:tc>
        <w:tc>
          <w:tcPr>
            <w:tcW w:w="6140" w:type="dxa"/>
            <w:tcBorders>
              <w:top w:val="single" w:color="auto" w:sz="4" w:space="0"/>
              <w:left w:val="single" w:color="auto" w:sz="4" w:space="0"/>
              <w:bottom w:val="nil"/>
              <w:right w:val="single" w:color="auto" w:sz="4" w:space="0"/>
            </w:tcBorders>
            <w:vAlign w:val="center"/>
          </w:tcPr>
          <w:p w14:paraId="5ECC56B7">
            <w:pPr>
              <w:spacing w:line="44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不收取</w:t>
            </w:r>
          </w:p>
        </w:tc>
      </w:tr>
      <w:tr w14:paraId="1E81B845">
        <w:tblPrEx>
          <w:tblCellMar>
            <w:top w:w="0" w:type="dxa"/>
            <w:left w:w="108" w:type="dxa"/>
            <w:bottom w:w="0" w:type="dxa"/>
            <w:right w:w="108" w:type="dxa"/>
          </w:tblCellMar>
        </w:tblPrEx>
        <w:trPr>
          <w:trHeight w:val="557" w:hRule="atLeast"/>
        </w:trPr>
        <w:tc>
          <w:tcPr>
            <w:tcW w:w="878" w:type="dxa"/>
            <w:vMerge w:val="continue"/>
            <w:tcBorders>
              <w:top w:val="single" w:color="auto" w:sz="4" w:space="0"/>
              <w:left w:val="single" w:color="auto" w:sz="4" w:space="0"/>
              <w:bottom w:val="nil"/>
              <w:right w:val="single" w:color="auto" w:sz="4" w:space="0"/>
            </w:tcBorders>
            <w:vAlign w:val="center"/>
          </w:tcPr>
          <w:p w14:paraId="3B5EA727">
            <w:pPr>
              <w:widowControl/>
              <w:jc w:val="left"/>
              <w:rPr>
                <w:rFonts w:hint="eastAsia" w:ascii="宋体" w:hAnsi="宋体" w:eastAsia="宋体" w:cs="宋体"/>
                <w:color w:val="000000" w:themeColor="text1"/>
                <w:highlight w:val="none"/>
                <w14:textFill>
                  <w14:solidFill>
                    <w14:schemeClr w14:val="tx1"/>
                  </w14:solidFill>
                </w14:textFill>
              </w:rPr>
            </w:pPr>
          </w:p>
        </w:tc>
        <w:tc>
          <w:tcPr>
            <w:tcW w:w="2383" w:type="dxa"/>
            <w:tcBorders>
              <w:top w:val="single" w:color="auto" w:sz="4" w:space="0"/>
              <w:left w:val="single" w:color="auto" w:sz="4" w:space="0"/>
              <w:bottom w:val="nil"/>
              <w:right w:val="single" w:color="auto" w:sz="4" w:space="0"/>
            </w:tcBorders>
            <w:vAlign w:val="center"/>
          </w:tcPr>
          <w:p w14:paraId="090948C2">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投标保证金</w:t>
            </w:r>
          </w:p>
        </w:tc>
        <w:tc>
          <w:tcPr>
            <w:tcW w:w="6140" w:type="dxa"/>
            <w:tcBorders>
              <w:top w:val="single" w:color="auto" w:sz="4" w:space="0"/>
              <w:left w:val="single" w:color="auto" w:sz="4" w:space="0"/>
              <w:bottom w:val="nil"/>
              <w:right w:val="single" w:color="auto" w:sz="4" w:space="0"/>
            </w:tcBorders>
            <w:vAlign w:val="center"/>
          </w:tcPr>
          <w:p w14:paraId="0C48D975">
            <w:pPr>
              <w:spacing w:line="44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不收取</w:t>
            </w:r>
          </w:p>
        </w:tc>
      </w:tr>
      <w:tr w14:paraId="28E06C95">
        <w:tblPrEx>
          <w:tblCellMar>
            <w:top w:w="0" w:type="dxa"/>
            <w:left w:w="108" w:type="dxa"/>
            <w:bottom w:w="0" w:type="dxa"/>
            <w:right w:w="108" w:type="dxa"/>
          </w:tblCellMar>
        </w:tblPrEx>
        <w:trPr>
          <w:trHeight w:val="551" w:hRule="atLeast"/>
        </w:trPr>
        <w:tc>
          <w:tcPr>
            <w:tcW w:w="878" w:type="dxa"/>
            <w:vMerge w:val="continue"/>
            <w:tcBorders>
              <w:top w:val="single" w:color="auto" w:sz="4" w:space="0"/>
              <w:left w:val="single" w:color="auto" w:sz="4" w:space="0"/>
              <w:bottom w:val="nil"/>
              <w:right w:val="single" w:color="auto" w:sz="4" w:space="0"/>
            </w:tcBorders>
            <w:vAlign w:val="center"/>
          </w:tcPr>
          <w:p w14:paraId="19B24A3D">
            <w:pPr>
              <w:widowControl/>
              <w:jc w:val="left"/>
              <w:rPr>
                <w:rFonts w:hint="eastAsia" w:ascii="宋体" w:hAnsi="宋体" w:eastAsia="宋体" w:cs="宋体"/>
                <w:color w:val="000000" w:themeColor="text1"/>
                <w:highlight w:val="none"/>
                <w14:textFill>
                  <w14:solidFill>
                    <w14:schemeClr w14:val="tx1"/>
                  </w14:solidFill>
                </w14:textFill>
              </w:rPr>
            </w:pPr>
          </w:p>
        </w:tc>
        <w:tc>
          <w:tcPr>
            <w:tcW w:w="2383" w:type="dxa"/>
            <w:tcBorders>
              <w:top w:val="single" w:color="auto" w:sz="4" w:space="0"/>
              <w:left w:val="single" w:color="auto" w:sz="4" w:space="0"/>
              <w:bottom w:val="nil"/>
              <w:right w:val="single" w:color="auto" w:sz="4" w:space="0"/>
            </w:tcBorders>
            <w:vAlign w:val="center"/>
          </w:tcPr>
          <w:p w14:paraId="2D654D8E">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质量保证金</w:t>
            </w:r>
          </w:p>
        </w:tc>
        <w:tc>
          <w:tcPr>
            <w:tcW w:w="6140" w:type="dxa"/>
            <w:tcBorders>
              <w:top w:val="single" w:color="auto" w:sz="4" w:space="0"/>
              <w:left w:val="single" w:color="auto" w:sz="4" w:space="0"/>
              <w:bottom w:val="nil"/>
              <w:right w:val="single" w:color="auto" w:sz="4" w:space="0"/>
            </w:tcBorders>
            <w:vAlign w:val="center"/>
          </w:tcPr>
          <w:p w14:paraId="7AF4788F">
            <w:pPr>
              <w:spacing w:line="44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不收取</w:t>
            </w:r>
          </w:p>
        </w:tc>
      </w:tr>
      <w:tr w14:paraId="2695CCA0">
        <w:tblPrEx>
          <w:tblCellMar>
            <w:top w:w="0" w:type="dxa"/>
            <w:left w:w="108" w:type="dxa"/>
            <w:bottom w:w="0" w:type="dxa"/>
            <w:right w:w="108" w:type="dxa"/>
          </w:tblCellMar>
        </w:tblPrEx>
        <w:trPr>
          <w:trHeight w:val="551" w:hRule="atLeast"/>
        </w:trPr>
        <w:tc>
          <w:tcPr>
            <w:tcW w:w="878" w:type="dxa"/>
            <w:vMerge w:val="continue"/>
            <w:tcBorders>
              <w:top w:val="single" w:color="auto" w:sz="4" w:space="0"/>
              <w:left w:val="single" w:color="auto" w:sz="4" w:space="0"/>
              <w:bottom w:val="nil"/>
              <w:right w:val="single" w:color="auto" w:sz="4" w:space="0"/>
            </w:tcBorders>
            <w:vAlign w:val="center"/>
          </w:tcPr>
          <w:p w14:paraId="0C0FFE1C">
            <w:pPr>
              <w:widowControl/>
              <w:jc w:val="left"/>
              <w:rPr>
                <w:rFonts w:hint="eastAsia" w:ascii="宋体" w:hAnsi="宋体" w:eastAsia="宋体" w:cs="宋体"/>
                <w:color w:val="000000" w:themeColor="text1"/>
                <w:highlight w:val="none"/>
                <w14:textFill>
                  <w14:solidFill>
                    <w14:schemeClr w14:val="tx1"/>
                  </w14:solidFill>
                </w14:textFill>
              </w:rPr>
            </w:pPr>
          </w:p>
        </w:tc>
        <w:tc>
          <w:tcPr>
            <w:tcW w:w="2383" w:type="dxa"/>
            <w:tcBorders>
              <w:top w:val="single" w:color="auto" w:sz="4" w:space="0"/>
              <w:left w:val="single" w:color="auto" w:sz="4" w:space="0"/>
              <w:bottom w:val="nil"/>
              <w:right w:val="single" w:color="auto" w:sz="4" w:space="0"/>
            </w:tcBorders>
            <w:vAlign w:val="center"/>
          </w:tcPr>
          <w:p w14:paraId="67F2629D">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履约保证金</w:t>
            </w:r>
          </w:p>
        </w:tc>
        <w:tc>
          <w:tcPr>
            <w:tcW w:w="6140" w:type="dxa"/>
            <w:tcBorders>
              <w:top w:val="single" w:color="auto" w:sz="4" w:space="0"/>
              <w:left w:val="single" w:color="auto" w:sz="4" w:space="0"/>
              <w:bottom w:val="nil"/>
              <w:right w:val="single" w:color="auto" w:sz="4" w:space="0"/>
            </w:tcBorders>
            <w:vAlign w:val="center"/>
          </w:tcPr>
          <w:p w14:paraId="5F265FBD">
            <w:pPr>
              <w:spacing w:line="44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不收取</w:t>
            </w:r>
          </w:p>
        </w:tc>
      </w:tr>
      <w:tr w14:paraId="2BBA6EF9">
        <w:tblPrEx>
          <w:tblCellMar>
            <w:top w:w="0" w:type="dxa"/>
            <w:left w:w="108" w:type="dxa"/>
            <w:bottom w:w="0" w:type="dxa"/>
            <w:right w:w="108" w:type="dxa"/>
          </w:tblCellMar>
        </w:tblPrEx>
        <w:trPr>
          <w:trHeight w:val="90" w:hRule="atLeast"/>
        </w:trPr>
        <w:tc>
          <w:tcPr>
            <w:tcW w:w="878" w:type="dxa"/>
            <w:tcBorders>
              <w:top w:val="single" w:color="auto" w:sz="4" w:space="0"/>
              <w:left w:val="single" w:color="auto" w:sz="4" w:space="0"/>
              <w:bottom w:val="single" w:color="auto" w:sz="4" w:space="0"/>
              <w:right w:val="single" w:color="auto" w:sz="4" w:space="0"/>
            </w:tcBorders>
            <w:vAlign w:val="center"/>
          </w:tcPr>
          <w:p w14:paraId="069B07AC">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36</w:t>
            </w:r>
          </w:p>
        </w:tc>
        <w:tc>
          <w:tcPr>
            <w:tcW w:w="2383" w:type="dxa"/>
            <w:tcBorders>
              <w:top w:val="single" w:color="auto" w:sz="4" w:space="0"/>
              <w:left w:val="single" w:color="auto" w:sz="4" w:space="0"/>
              <w:bottom w:val="single" w:color="auto" w:sz="4" w:space="0"/>
              <w:right w:val="single" w:color="auto" w:sz="4" w:space="0"/>
            </w:tcBorders>
            <w:vAlign w:val="center"/>
          </w:tcPr>
          <w:p w14:paraId="49EF7DEB">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相关政府采购政策落实情况</w:t>
            </w:r>
          </w:p>
        </w:tc>
        <w:tc>
          <w:tcPr>
            <w:tcW w:w="6140" w:type="dxa"/>
            <w:tcBorders>
              <w:top w:val="single" w:color="auto" w:sz="4" w:space="0"/>
              <w:left w:val="single" w:color="auto" w:sz="4" w:space="0"/>
              <w:bottom w:val="single" w:color="auto" w:sz="4" w:space="0"/>
              <w:right w:val="single" w:color="auto" w:sz="4" w:space="0"/>
            </w:tcBorders>
            <w:vAlign w:val="center"/>
          </w:tcPr>
          <w:p w14:paraId="3B8C7B1D">
            <w:pPr>
              <w:spacing w:line="360" w:lineRule="auto"/>
              <w:ind w:left="105" w:leftChars="50" w:firstLine="316" w:firstLineChars="150"/>
              <w:jc w:val="left"/>
              <w:rPr>
                <w:rFonts w:ascii="宋体" w:hAnsi="宋体" w:cs="宋体"/>
                <w:b/>
                <w:kern w:val="0"/>
                <w:szCs w:val="21"/>
                <w:highlight w:val="none"/>
              </w:rPr>
            </w:pPr>
            <w:r>
              <w:rPr>
                <w:rFonts w:hint="eastAsia" w:ascii="宋体" w:hAnsi="宋体" w:cs="宋体"/>
                <w:b/>
                <w:kern w:val="0"/>
                <w:szCs w:val="21"/>
                <w:highlight w:val="none"/>
              </w:rPr>
              <w:t>一、落实四个“一日办”精神：</w:t>
            </w:r>
          </w:p>
          <w:p w14:paraId="2B63048B">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按照《平顶山市财政局关于压减政府采购各环节时限进一步优化政府采购营商环境的通知》（平财购〔2021〕34号）通知，落实四个“一日办”精神：</w:t>
            </w:r>
          </w:p>
          <w:p w14:paraId="1F709931">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（1）在评审结束后1日内确定采购结果，同时对中标单位发出中标或成交通知书，并在网上进行公示公告；</w:t>
            </w:r>
          </w:p>
          <w:p w14:paraId="79E584FE">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（2）中标或成交通知书发出后，1日内与中标或成交供应商签订合同，合同签订当日完成合同备案工作；</w:t>
            </w:r>
          </w:p>
          <w:p w14:paraId="40B082C3">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（3）政府采购项目供应商履约完成后，采购人应在供应商提出验收申请1个工作日内完成验收，同时在平顶山市政府采购网发布验收结果公告；</w:t>
            </w:r>
          </w:p>
          <w:p w14:paraId="36ED5F21">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（4）验收合格具备付款条件的项目，采购人要在1个工作日内按照合同约定支付项目资金。</w:t>
            </w:r>
          </w:p>
          <w:p w14:paraId="0C5C3EEB">
            <w:pPr>
              <w:spacing w:line="360" w:lineRule="auto"/>
              <w:ind w:left="105" w:leftChars="17" w:hanging="69" w:hangingChars="33"/>
              <w:jc w:val="left"/>
              <w:rPr>
                <w:rFonts w:ascii="宋体" w:hAnsi="宋体" w:cs="宋体"/>
                <w:b w:val="0"/>
                <w:bCs/>
                <w:kern w:val="0"/>
                <w:szCs w:val="21"/>
                <w:highlight w:val="none"/>
                <w:u w:val="none"/>
              </w:rPr>
            </w:pPr>
            <w:r>
              <w:rPr>
                <w:rFonts w:hint="eastAsia" w:ascii="宋体" w:hAnsi="宋体" w:cs="宋体"/>
                <w:b w:val="0"/>
                <w:bCs/>
                <w:kern w:val="0"/>
                <w:szCs w:val="21"/>
                <w:highlight w:val="none"/>
                <w:u w:val="none"/>
              </w:rPr>
              <w:t>温馨提示：为了不影响中标后及时发布合同公告，请供应商在开标前完成河南省政府采购网企业账号注册。</w:t>
            </w:r>
          </w:p>
          <w:p w14:paraId="3990FEBF">
            <w:pPr>
              <w:spacing w:line="360" w:lineRule="auto"/>
              <w:ind w:left="105" w:leftChars="50" w:firstLine="316" w:firstLineChars="150"/>
              <w:jc w:val="left"/>
              <w:rPr>
                <w:rFonts w:ascii="宋体" w:hAnsi="宋体" w:cs="宋体"/>
                <w:b/>
                <w:bCs/>
                <w:kern w:val="0"/>
                <w:szCs w:val="21"/>
                <w:highlight w:val="none"/>
              </w:rPr>
            </w:pPr>
            <w:r>
              <w:rPr>
                <w:rFonts w:hint="eastAsia" w:ascii="宋体" w:hAnsi="宋体" w:cs="宋体"/>
                <w:b/>
                <w:bCs/>
                <w:kern w:val="0"/>
                <w:szCs w:val="21"/>
                <w:highlight w:val="none"/>
              </w:rPr>
              <w:t>二、保障市场主体自由平等参与政府采购活动</w:t>
            </w:r>
          </w:p>
          <w:p w14:paraId="09F6A306">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各单位应严格落实《中华人民共和国政府采购法》等相关法律法规的要求，依法保障各类市场主体平等参与政府采购活动的权利。在开展采购活动时禁止出现下列情形：</w:t>
            </w:r>
          </w:p>
          <w:p w14:paraId="591E3193">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1.以供应商的所有制形式、组织形式或者股权结构，对供应商实施差别待遇或者歧视待遇，对民营企业设置不平等条款，对内资企业和外资企业在中国境内生产的产品、提供的服务区别对待；</w:t>
            </w:r>
          </w:p>
          <w:p w14:paraId="52DFE272">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2.通过入围方式设置备选库、名录库、资格库作为参与政府采购活动的资格条件，妨碍供应商进入政府采购市场；</w:t>
            </w:r>
          </w:p>
          <w:p w14:paraId="5B49C7D4">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3.要求供应商在政府采购活动前进行不必要的登记、注册，或者要求设立分支机构，设置或者变相设置进入政府采购市场的障碍；</w:t>
            </w:r>
          </w:p>
          <w:p w14:paraId="467BAE91">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4.设置或者变相设置供应商规模、成立年限等门槛，限制供应商参与政府采购活动；</w:t>
            </w:r>
          </w:p>
          <w:p w14:paraId="64F601F1">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5.要求供应商购买指定软件，作为参加电子化政府采购活动的条件；</w:t>
            </w:r>
          </w:p>
          <w:p w14:paraId="1F4E86B2">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6.不依法及时、有效、完整发布或者提供采购项目信息，妨碍供应商参与政府采购活动；</w:t>
            </w:r>
          </w:p>
          <w:p w14:paraId="0C96E263">
            <w:pPr>
              <w:spacing w:line="360" w:lineRule="auto"/>
              <w:ind w:left="105" w:leftChars="50" w:firstLine="315" w:firstLineChars="150"/>
              <w:jc w:val="left"/>
              <w:rPr>
                <w:rFonts w:ascii="宋体" w:hAnsi="宋体" w:cs="宋体"/>
                <w:kern w:val="0"/>
                <w:szCs w:val="21"/>
                <w:highlight w:val="none"/>
              </w:rPr>
            </w:pPr>
            <w:r>
              <w:rPr>
                <w:rFonts w:hint="eastAsia" w:ascii="宋体" w:hAnsi="宋体" w:cs="宋体"/>
                <w:kern w:val="0"/>
                <w:szCs w:val="21"/>
                <w:highlight w:val="none"/>
              </w:rPr>
              <w:t>7.设置没有法律法规依据的审批、备案、监管、处罚、收费等事项；</w:t>
            </w:r>
          </w:p>
          <w:p w14:paraId="74334473">
            <w:pPr>
              <w:spacing w:line="360" w:lineRule="auto"/>
              <w:ind w:left="105" w:leftChars="50" w:firstLine="315" w:firstLineChars="150"/>
              <w:jc w:val="left"/>
              <w:rPr>
                <w:rFonts w:ascii="宋体" w:hAnsi="宋体" w:cs="宋体"/>
                <w:b/>
                <w:kern w:val="0"/>
                <w:szCs w:val="21"/>
                <w:highlight w:val="none"/>
                <w:u w:val="single"/>
              </w:rPr>
            </w:pPr>
            <w:r>
              <w:rPr>
                <w:rFonts w:hint="eastAsia" w:ascii="宋体" w:hAnsi="宋体" w:cs="宋体"/>
                <w:kern w:val="0"/>
                <w:szCs w:val="21"/>
                <w:highlight w:val="none"/>
              </w:rPr>
              <w:t>8.违反法律法规相关规定的其他妨碍公平竞争的情形。</w:t>
            </w:r>
          </w:p>
          <w:p w14:paraId="53BBEA02">
            <w:pPr>
              <w:spacing w:line="360" w:lineRule="auto"/>
              <w:ind w:firstLine="316" w:firstLineChars="150"/>
              <w:jc w:val="left"/>
              <w:rPr>
                <w:rFonts w:ascii="宋体" w:hAnsi="宋体" w:cs="宋体"/>
                <w:b/>
                <w:kern w:val="0"/>
                <w:szCs w:val="21"/>
                <w:highlight w:val="none"/>
              </w:rPr>
            </w:pPr>
            <w:r>
              <w:rPr>
                <w:rFonts w:hint="eastAsia" w:ascii="宋体" w:hAnsi="宋体" w:cs="宋体"/>
                <w:b/>
                <w:kern w:val="0"/>
                <w:szCs w:val="21"/>
                <w:highlight w:val="none"/>
              </w:rPr>
              <w:t>三、维护企业在政府采购活动中的知情权</w:t>
            </w:r>
          </w:p>
          <w:p w14:paraId="34201438">
            <w:pPr>
              <w:spacing w:line="360" w:lineRule="auto"/>
              <w:ind w:left="105" w:leftChars="50" w:firstLine="315" w:firstLineChars="150"/>
              <w:jc w:val="left"/>
              <w:rPr>
                <w:rFonts w:ascii="宋体" w:hAnsi="宋体" w:cs="宋体"/>
                <w:highlight w:val="none"/>
              </w:rPr>
            </w:pPr>
            <w:r>
              <w:rPr>
                <w:rFonts w:hint="eastAsia" w:ascii="宋体" w:hAnsi="宋体" w:cs="宋体"/>
                <w:kern w:val="0"/>
                <w:szCs w:val="21"/>
                <w:highlight w:val="none"/>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071F7B80">
            <w:pPr>
              <w:pStyle w:val="3"/>
              <w:widowControl/>
              <w:spacing w:before="0" w:after="0" w:line="360" w:lineRule="auto"/>
              <w:ind w:firstLine="316" w:firstLineChars="150"/>
              <w:jc w:val="left"/>
              <w:rPr>
                <w:rFonts w:ascii="宋体" w:hAnsi="宋体" w:eastAsia="宋体" w:cs="宋体"/>
                <w:b w:val="0"/>
                <w:bCs w:val="0"/>
                <w:sz w:val="21"/>
                <w:szCs w:val="21"/>
                <w:highlight w:val="none"/>
              </w:rPr>
            </w:pPr>
            <w:r>
              <w:rPr>
                <w:rFonts w:hint="eastAsia" w:ascii="宋体" w:hAnsi="宋体" w:eastAsia="宋体" w:cs="宋体"/>
                <w:bCs w:val="0"/>
                <w:sz w:val="21"/>
                <w:szCs w:val="21"/>
                <w:highlight w:val="none"/>
              </w:rPr>
              <w:t>四、提供中小企业声明函格式</w:t>
            </w:r>
          </w:p>
          <w:p w14:paraId="511DC20C">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在采购文件中，采购代理机构应按照财政部、工信部印发的《政府采购促进中小企业发展管理办法》的通知精神（财库〔2020〕46号）提供中小企业声明函格式（见附件）。</w:t>
            </w:r>
          </w:p>
          <w:p w14:paraId="49AEB5B6">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根据《政府采购促进中小企业发展管理办法》（财库〔2020〕46号）第四条：在政府采购活动中，供应商提供的货物、工程或者服务符合下列情形的，享受本办法规定的中小企业扶持政策：</w:t>
            </w:r>
          </w:p>
          <w:p w14:paraId="015104AA">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（一）在货物采购项目中，货物由中小企业制造，即货物由中小企业生产且使用该中小企业商号或者注册商标；</w:t>
            </w:r>
          </w:p>
          <w:p w14:paraId="15224C07">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（二）在工程采购项目中，工程由中小企业承建，即工程施工单位为中小企业；</w:t>
            </w:r>
          </w:p>
          <w:p w14:paraId="40F4F321">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（三）在服务采购项目中，服务由中小企业承接，即提供服务的人员为中小企业依照《中华人民共和国劳动合同法》订立劳动合同的从业人员。</w:t>
            </w:r>
          </w:p>
          <w:p w14:paraId="61E451C7">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在货物采购项目中，投标人提供的货物既有中小企业制造货物，也有大型企业制造货物的，不享受本办法规定的中小企业扶持政策。</w:t>
            </w:r>
          </w:p>
          <w:p w14:paraId="607D0454">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以联合体形式参加政府采购活动，联合体各方均为中小企业的，联合体视同中小企业。其中，联合体各方均为小微企业的，联合体视同小微企业。</w:t>
            </w:r>
          </w:p>
          <w:p w14:paraId="7288D187">
            <w:pPr>
              <w:pStyle w:val="3"/>
              <w:widowControl/>
              <w:spacing w:before="0" w:after="0" w:line="360" w:lineRule="auto"/>
              <w:ind w:firstLine="315" w:firstLineChars="150"/>
              <w:jc w:val="left"/>
              <w:rPr>
                <w:rFonts w:ascii="宋体" w:hAnsi="宋体" w:eastAsia="宋体" w:cs="宋体"/>
                <w:b w:val="0"/>
                <w:bCs w:val="0"/>
                <w:sz w:val="21"/>
                <w:szCs w:val="21"/>
                <w:highlight w:val="none"/>
              </w:rPr>
            </w:pPr>
            <w:bookmarkStart w:id="51" w:name="_Toc15613"/>
            <w:bookmarkStart w:id="52" w:name="_Toc6599"/>
            <w:bookmarkStart w:id="53" w:name="_Toc12286"/>
            <w:r>
              <w:rPr>
                <w:rFonts w:hint="eastAsia" w:ascii="宋体" w:hAnsi="宋体" w:eastAsia="宋体" w:cs="宋体"/>
                <w:b w:val="0"/>
                <w:bCs w:val="0"/>
                <w:sz w:val="21"/>
                <w:szCs w:val="21"/>
                <w:highlight w:val="none"/>
              </w:rPr>
              <w:t>任何单位和个人不得要求供应商提供《中小企业声明函》之外的中小企业身份证明文件。</w:t>
            </w:r>
            <w:bookmarkEnd w:id="51"/>
            <w:bookmarkEnd w:id="52"/>
            <w:bookmarkEnd w:id="53"/>
          </w:p>
          <w:p w14:paraId="5D8F538C">
            <w:pPr>
              <w:spacing w:line="360" w:lineRule="auto"/>
              <w:ind w:left="105" w:leftChars="50" w:firstLine="316" w:firstLineChars="150"/>
              <w:jc w:val="left"/>
              <w:rPr>
                <w:rFonts w:ascii="宋体" w:hAnsi="宋体" w:cs="宋体"/>
                <w:b/>
                <w:kern w:val="0"/>
                <w:szCs w:val="21"/>
                <w:highlight w:val="none"/>
              </w:rPr>
            </w:pPr>
            <w:r>
              <w:rPr>
                <w:rFonts w:hint="eastAsia" w:ascii="宋体" w:hAnsi="宋体" w:cs="宋体"/>
                <w:b/>
                <w:kern w:val="0"/>
                <w:szCs w:val="21"/>
                <w:highlight w:val="none"/>
              </w:rPr>
              <w:t>五、推广政府采购合同融资</w:t>
            </w:r>
          </w:p>
          <w:p w14:paraId="287102D0">
            <w:pPr>
              <w:pStyle w:val="3"/>
              <w:widowControl/>
              <w:spacing w:before="0" w:after="0" w:line="360" w:lineRule="auto"/>
              <w:ind w:firstLine="315" w:firstLineChars="150"/>
              <w:jc w:val="left"/>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“政府采购合同融资告知函”（见附件），鼓励中标投标人凭借采购合同申请贷款，助力解决中小企业融资难、融资贵的问题。</w:t>
            </w:r>
          </w:p>
          <w:p w14:paraId="6D00BA93">
            <w:pPr>
              <w:spacing w:line="360" w:lineRule="auto"/>
              <w:ind w:left="105" w:leftChars="50" w:firstLine="316" w:firstLineChars="150"/>
              <w:jc w:val="left"/>
              <w:rPr>
                <w:rFonts w:hint="default" w:ascii="宋体" w:hAnsi="宋体" w:eastAsia="宋体" w:cs="宋体"/>
                <w:b/>
                <w:kern w:val="0"/>
                <w:szCs w:val="21"/>
                <w:highlight w:val="none"/>
                <w:lang w:val="en-US" w:eastAsia="zh-CN"/>
              </w:rPr>
            </w:pPr>
            <w:r>
              <w:rPr>
                <w:rFonts w:hint="eastAsia" w:ascii="宋体" w:hAnsi="宋体" w:cs="宋体"/>
                <w:b/>
                <w:kern w:val="0"/>
                <w:szCs w:val="21"/>
                <w:highlight w:val="none"/>
              </w:rPr>
              <w:t>六、落实预留采购份额</w:t>
            </w:r>
            <w:r>
              <w:rPr>
                <w:rFonts w:hint="eastAsia" w:ascii="宋体" w:hAnsi="宋体" w:cs="宋体"/>
                <w:b/>
                <w:kern w:val="0"/>
                <w:szCs w:val="21"/>
                <w:highlight w:val="none"/>
                <w:lang w:eastAsia="zh-CN"/>
              </w:rPr>
              <w:t>、</w:t>
            </w:r>
            <w:r>
              <w:rPr>
                <w:rFonts w:hint="eastAsia" w:ascii="宋体" w:hAnsi="宋体" w:cs="宋体"/>
                <w:b/>
                <w:kern w:val="0"/>
                <w:szCs w:val="21"/>
                <w:highlight w:val="none"/>
                <w:lang w:val="en-US" w:eastAsia="zh-CN"/>
              </w:rPr>
              <w:t>价格评审优惠政策</w:t>
            </w:r>
          </w:p>
          <w:p w14:paraId="3954BC19">
            <w:pPr>
              <w:pStyle w:val="3"/>
              <w:widowControl/>
              <w:spacing w:before="0" w:after="0" w:line="360" w:lineRule="auto"/>
              <w:ind w:firstLine="420" w:firstLineChars="200"/>
              <w:jc w:val="left"/>
              <w:rPr>
                <w:rFonts w:ascii="宋体" w:hAnsi="宋体" w:eastAsia="宋体" w:cs="宋体"/>
                <w:b w:val="0"/>
                <w:bCs w:val="0"/>
                <w:sz w:val="21"/>
                <w:szCs w:val="21"/>
                <w:highlight w:val="none"/>
              </w:rPr>
            </w:pPr>
            <w:bookmarkStart w:id="54" w:name="_Toc30449"/>
            <w:bookmarkStart w:id="55" w:name="_Toc9623"/>
            <w:bookmarkStart w:id="56" w:name="_Toc4280"/>
            <w:r>
              <w:rPr>
                <w:rFonts w:hint="eastAsia" w:ascii="宋体" w:hAnsi="宋体" w:eastAsia="宋体" w:cs="宋体"/>
                <w:b w:val="0"/>
                <w:bCs w:val="0"/>
                <w:sz w:val="21"/>
                <w:szCs w:val="21"/>
                <w:highlight w:val="none"/>
              </w:rPr>
              <w:t>本项目不专门面向中小企业采购，理由：《政府采购促进中小企业发展管理办法》（财库〔2020〕46号）</w:t>
            </w:r>
            <w:bookmarkEnd w:id="54"/>
            <w:bookmarkEnd w:id="55"/>
            <w:bookmarkEnd w:id="56"/>
            <w:r>
              <w:rPr>
                <w:rFonts w:hint="eastAsia" w:ascii="宋体" w:hAnsi="宋体" w:eastAsia="宋体" w:cs="宋体"/>
                <w:b w:val="0"/>
                <w:bCs w:val="0"/>
                <w:sz w:val="21"/>
                <w:szCs w:val="21"/>
                <w:highlight w:val="none"/>
              </w:rPr>
              <w:t>第六条符合下列情形之一的，可不专门面向中小企业预留采购份额：（三）按照本办法规定预留采购份额无法确保充分供应、充分竞争，或者存在可能影响政府采购目标实现的情形。</w:t>
            </w:r>
          </w:p>
          <w:p w14:paraId="6DEBD60F">
            <w:pPr>
              <w:spacing w:line="360" w:lineRule="auto"/>
              <w:ind w:firstLine="420" w:firstLineChars="200"/>
              <w:rPr>
                <w:rFonts w:ascii="宋体" w:hAnsi="宋体" w:cs="宋体"/>
                <w:b w:val="0"/>
                <w:bCs/>
                <w:szCs w:val="21"/>
                <w:highlight w:val="none"/>
                <w:u w:val="none"/>
              </w:rPr>
            </w:pPr>
            <w:r>
              <w:rPr>
                <w:rFonts w:hint="eastAsia" w:ascii="宋体" w:hAnsi="宋体" w:cs="宋体"/>
                <w:b w:val="0"/>
                <w:bCs/>
                <w:szCs w:val="21"/>
                <w:highlight w:val="none"/>
                <w:u w:val="none"/>
              </w:rPr>
              <w:t>对于未预留份额专门面向中小企业采购的采购项目，以及预留份额项目中的非预留部分采购包，采购人、采购代理机构应当对符合《政府采购促进中小企业发展管理办法》（财库〔2020〕46号）规定的小微企业报价给予20%的扣除，用扣除后的价格参加评审。</w:t>
            </w:r>
          </w:p>
          <w:p w14:paraId="535B341D">
            <w:pPr>
              <w:spacing w:line="360" w:lineRule="auto"/>
              <w:ind w:left="105" w:leftChars="50" w:firstLine="316" w:firstLineChars="150"/>
              <w:jc w:val="left"/>
              <w:rPr>
                <w:rFonts w:ascii="宋体" w:hAnsi="宋体" w:cs="宋体"/>
                <w:b/>
                <w:kern w:val="0"/>
                <w:szCs w:val="21"/>
                <w:highlight w:val="none"/>
              </w:rPr>
            </w:pPr>
            <w:r>
              <w:rPr>
                <w:rFonts w:hint="eastAsia" w:ascii="宋体" w:hAnsi="宋体" w:cs="宋体"/>
                <w:b/>
                <w:kern w:val="0"/>
                <w:szCs w:val="21"/>
                <w:highlight w:val="none"/>
              </w:rPr>
              <w:t>七、监狱企业、残疾人福利单位等政府采购政策</w:t>
            </w:r>
          </w:p>
          <w:p w14:paraId="50EAB34F">
            <w:pPr>
              <w:widowControl/>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根据《财政部、司法部关于政府采购支持监狱企业发展有关问题的通知》（财库[2014]68号）规定，本项目支持监狱企业参与政府采购活动。监狱企业参加本项目投标时，须提供由省级以上监狱管理局、戒毒管理局（含新疆生产建设兵团）出具的属于监狱企业的证明文件，视同小型、微型企业，享受有关促进中小企业发展的政府采购政策，监狱企业属于小型、微型企业的，不重复享受政策。</w:t>
            </w:r>
          </w:p>
          <w:p w14:paraId="6BCD0E2C">
            <w:pPr>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根据《关于促进残疾人就业政府采购政策的通知》（财库〔2017〕141号）文件规定，本项目支持残疾人福利性单位参与政府采购活动。符合条件的残疾人福利性单位参加本项目投标时，应当提供本通知规定的《残疾人福利性单位声明函》（见附件），并对声明的真实性负责，视同小型、微型企业，享受有关促进中小企业发展的政府采购政策，残疾人福利性单位属于小型、微型企业的，不重复享受政策。任何单位或者个人在政府采购活动中均不得要求残疾人福利性单位提供其他证明声明函内容的材料。</w:t>
            </w:r>
          </w:p>
          <w:p w14:paraId="5961E12D">
            <w:pPr>
              <w:keepNext w:val="0"/>
              <w:keepLines w:val="0"/>
              <w:widowControl/>
              <w:numPr>
                <w:ilvl w:val="0"/>
                <w:numId w:val="1"/>
              </w:numPr>
              <w:suppressLineNumbers w:val="0"/>
              <w:spacing w:before="0" w:beforeAutospacing="0" w:after="0" w:afterAutospacing="0" w:line="360" w:lineRule="auto"/>
              <w:ind w:right="0" w:firstLine="316" w:firstLineChars="150"/>
              <w:rPr>
                <w:rFonts w:hint="default" w:ascii="宋体" w:hAnsi="宋体" w:cs="宋体"/>
                <w:b/>
                <w:bCs/>
                <w:kern w:val="0"/>
                <w:szCs w:val="21"/>
                <w:highlight w:val="none"/>
                <w:lang w:bidi="ar"/>
              </w:rPr>
            </w:pPr>
            <w:r>
              <w:rPr>
                <w:rFonts w:hint="eastAsia" w:ascii="宋体" w:hAnsi="宋体" w:cs="宋体"/>
                <w:b/>
                <w:bCs/>
                <w:kern w:val="0"/>
                <w:szCs w:val="21"/>
                <w:highlight w:val="none"/>
                <w:lang w:bidi="ar"/>
              </w:rPr>
              <w:t>电子营业执照应用</w:t>
            </w:r>
          </w:p>
          <w:p w14:paraId="634BC527">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详见：</w:t>
            </w:r>
            <w:r>
              <w:rPr>
                <w:rFonts w:hint="default" w:ascii="宋体" w:hAnsi="宋体" w:cs="宋体"/>
                <w:kern w:val="0"/>
                <w:szCs w:val="21"/>
                <w:highlight w:val="none"/>
                <w:lang w:bidi="ar"/>
              </w:rPr>
              <w:fldChar w:fldCharType="begin"/>
            </w:r>
            <w:r>
              <w:rPr>
                <w:rFonts w:hint="default" w:ascii="宋体" w:hAnsi="宋体" w:cs="宋体"/>
                <w:kern w:val="0"/>
                <w:szCs w:val="21"/>
                <w:highlight w:val="none"/>
                <w:lang w:bidi="ar"/>
              </w:rPr>
              <w:instrText xml:space="preserve"> HYPERLINK "http://ggzy.pds.gov.cn/tzgg/70301.jhtml" </w:instrText>
            </w:r>
            <w:r>
              <w:rPr>
                <w:rFonts w:hint="default" w:ascii="宋体" w:hAnsi="宋体" w:cs="宋体"/>
                <w:kern w:val="0"/>
                <w:szCs w:val="21"/>
                <w:highlight w:val="none"/>
                <w:lang w:bidi="ar"/>
              </w:rPr>
              <w:fldChar w:fldCharType="separate"/>
            </w:r>
            <w:r>
              <w:rPr>
                <w:rStyle w:val="24"/>
                <w:rFonts w:hint="default" w:ascii="宋体" w:hAnsi="宋体" w:cs="宋体"/>
                <w:kern w:val="0"/>
                <w:szCs w:val="21"/>
                <w:highlight w:val="none"/>
                <w:lang w:bidi="ar"/>
              </w:rPr>
              <w:t>http://ggzy.pds.gov.cn/tzgg/70301.jhtml</w:t>
            </w:r>
            <w:r>
              <w:rPr>
                <w:rFonts w:hint="default" w:ascii="宋体" w:hAnsi="宋体" w:cs="宋体"/>
                <w:kern w:val="0"/>
                <w:szCs w:val="21"/>
                <w:highlight w:val="none"/>
                <w:lang w:bidi="ar"/>
              </w:rPr>
              <w:fldChar w:fldCharType="end"/>
            </w:r>
          </w:p>
          <w:p w14:paraId="62558442">
            <w:pPr>
              <w:keepNext w:val="0"/>
              <w:keepLines w:val="0"/>
              <w:widowControl/>
              <w:suppressLineNumbers w:val="0"/>
              <w:spacing w:before="0" w:beforeAutospacing="0" w:after="0" w:afterAutospacing="0" w:line="360" w:lineRule="auto"/>
              <w:ind w:left="0" w:right="0" w:firstLine="316" w:firstLineChars="150"/>
              <w:rPr>
                <w:rFonts w:hint="default" w:ascii="宋体" w:hAnsi="宋体" w:cs="宋体"/>
                <w:b/>
                <w:bCs/>
                <w:kern w:val="0"/>
                <w:szCs w:val="21"/>
                <w:highlight w:val="none"/>
                <w:lang w:bidi="ar"/>
              </w:rPr>
            </w:pPr>
            <w:r>
              <w:rPr>
                <w:rFonts w:hint="eastAsia" w:ascii="宋体" w:hAnsi="宋体" w:cs="宋体"/>
                <w:b/>
                <w:bCs/>
                <w:kern w:val="0"/>
                <w:szCs w:val="21"/>
                <w:highlight w:val="none"/>
                <w:lang w:bidi="ar"/>
              </w:rPr>
              <w:t>九、四方信用评价</w:t>
            </w:r>
          </w:p>
          <w:p w14:paraId="7729305C">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我市政府采购项目已实行四方信用评价功能，各方主体请登录“平顶山市政府采购网”按照评价要求进行客观公正的评价。</w:t>
            </w:r>
          </w:p>
          <w:p w14:paraId="446A5D1B">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1.对采购人评价指标评价主体:中标、成交供应商</w:t>
            </w:r>
          </w:p>
          <w:p w14:paraId="25412FB3">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评价节点:合同履约完成后</w:t>
            </w:r>
          </w:p>
          <w:p w14:paraId="4CDBE97C">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2.对中标、成交供应商评价指标评价主体为:采购人</w:t>
            </w:r>
          </w:p>
          <w:p w14:paraId="05457F3A">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评价节点:合同履约完成后</w:t>
            </w:r>
          </w:p>
          <w:p w14:paraId="0A03C06E">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3.对评审专家评价指标评价主体为:采购人、代理机构</w:t>
            </w:r>
          </w:p>
          <w:p w14:paraId="7CB413F6">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评价节点:项目评审结束后</w:t>
            </w:r>
          </w:p>
          <w:p w14:paraId="5DAF1639">
            <w:pPr>
              <w:keepNext w:val="0"/>
              <w:keepLines w:val="0"/>
              <w:widowControl/>
              <w:suppressLineNumbers w:val="0"/>
              <w:spacing w:before="0" w:beforeAutospacing="0" w:after="0" w:afterAutospacing="0" w:line="360" w:lineRule="auto"/>
              <w:ind w:left="0" w:right="0" w:firstLine="315" w:firstLineChars="150"/>
              <w:rPr>
                <w:rFonts w:hint="default" w:ascii="宋体" w:hAnsi="宋体" w:cs="宋体"/>
                <w:kern w:val="0"/>
                <w:szCs w:val="21"/>
                <w:highlight w:val="none"/>
                <w:lang w:bidi="ar"/>
              </w:rPr>
            </w:pPr>
            <w:r>
              <w:rPr>
                <w:rFonts w:hint="eastAsia" w:ascii="宋体" w:hAnsi="宋体" w:cs="宋体"/>
                <w:kern w:val="0"/>
                <w:szCs w:val="21"/>
                <w:highlight w:val="none"/>
                <w:lang w:bidi="ar"/>
              </w:rPr>
              <w:t>4.对代理机构评价指标评价主体为:采购人、评审专家、供应商</w:t>
            </w:r>
          </w:p>
          <w:p w14:paraId="35FCFFCE">
            <w:pPr>
              <w:ind w:firstLine="420" w:firstLineChars="200"/>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cs="宋体"/>
                <w:kern w:val="0"/>
                <w:szCs w:val="21"/>
                <w:highlight w:val="none"/>
                <w:lang w:bidi="ar"/>
              </w:rPr>
              <w:t>评价节点:项目评审结束后</w:t>
            </w:r>
          </w:p>
        </w:tc>
      </w:tr>
      <w:tr w14:paraId="05372307">
        <w:tblPrEx>
          <w:tblCellMar>
            <w:top w:w="0" w:type="dxa"/>
            <w:left w:w="108" w:type="dxa"/>
            <w:bottom w:w="0" w:type="dxa"/>
            <w:right w:w="108" w:type="dxa"/>
          </w:tblCellMar>
        </w:tblPrEx>
        <w:trPr>
          <w:trHeight w:val="90" w:hRule="atLeast"/>
        </w:trPr>
        <w:tc>
          <w:tcPr>
            <w:tcW w:w="878" w:type="dxa"/>
            <w:tcBorders>
              <w:top w:val="single" w:color="auto" w:sz="4" w:space="0"/>
              <w:left w:val="single" w:color="auto" w:sz="4" w:space="0"/>
              <w:bottom w:val="single" w:color="auto" w:sz="4" w:space="0"/>
              <w:right w:val="single" w:color="auto" w:sz="4" w:space="0"/>
            </w:tcBorders>
            <w:vAlign w:val="center"/>
          </w:tcPr>
          <w:p w14:paraId="3BE25CD1">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37</w:t>
            </w:r>
          </w:p>
        </w:tc>
        <w:tc>
          <w:tcPr>
            <w:tcW w:w="2383" w:type="dxa"/>
            <w:tcBorders>
              <w:top w:val="single" w:color="auto" w:sz="4" w:space="0"/>
              <w:left w:val="single" w:color="auto" w:sz="4" w:space="0"/>
              <w:bottom w:val="single" w:color="auto" w:sz="4" w:space="0"/>
              <w:right w:val="single" w:color="auto" w:sz="4" w:space="0"/>
            </w:tcBorders>
            <w:vAlign w:val="center"/>
          </w:tcPr>
          <w:p w14:paraId="605AE136">
            <w:pPr>
              <w:spacing w:line="400" w:lineRule="exact"/>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落实绿色产品（节能产品、环境标志产品）、创新产品优先采购政策</w:t>
            </w:r>
          </w:p>
        </w:tc>
        <w:tc>
          <w:tcPr>
            <w:tcW w:w="6140" w:type="dxa"/>
            <w:tcBorders>
              <w:top w:val="single" w:color="auto" w:sz="4" w:space="0"/>
              <w:left w:val="single" w:color="auto" w:sz="4" w:space="0"/>
              <w:bottom w:val="single" w:color="auto" w:sz="4" w:space="0"/>
              <w:right w:val="single" w:color="auto" w:sz="4" w:space="0"/>
            </w:tcBorders>
            <w:vAlign w:val="center"/>
          </w:tcPr>
          <w:p w14:paraId="48D81AE5">
            <w:pPr>
              <w:spacing w:line="360" w:lineRule="auto"/>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本项目不涉及</w:t>
            </w:r>
          </w:p>
        </w:tc>
      </w:tr>
      <w:tr w14:paraId="07C782C2">
        <w:tblPrEx>
          <w:tblCellMar>
            <w:top w:w="0" w:type="dxa"/>
            <w:left w:w="108" w:type="dxa"/>
            <w:bottom w:w="0" w:type="dxa"/>
            <w:right w:w="108" w:type="dxa"/>
          </w:tblCellMar>
        </w:tblPrEx>
        <w:trPr>
          <w:trHeight w:val="421" w:hRule="atLeast"/>
        </w:trPr>
        <w:tc>
          <w:tcPr>
            <w:tcW w:w="878" w:type="dxa"/>
            <w:tcBorders>
              <w:top w:val="single" w:color="auto" w:sz="4" w:space="0"/>
              <w:left w:val="single" w:color="auto" w:sz="4" w:space="0"/>
              <w:bottom w:val="nil"/>
              <w:right w:val="single" w:color="auto" w:sz="4" w:space="0"/>
            </w:tcBorders>
            <w:vAlign w:val="center"/>
          </w:tcPr>
          <w:p w14:paraId="27BA326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38</w:t>
            </w:r>
          </w:p>
        </w:tc>
        <w:tc>
          <w:tcPr>
            <w:tcW w:w="2383" w:type="dxa"/>
            <w:tcBorders>
              <w:top w:val="single" w:color="auto" w:sz="4" w:space="0"/>
              <w:left w:val="single" w:color="auto" w:sz="4" w:space="0"/>
              <w:bottom w:val="nil"/>
              <w:right w:val="single" w:color="auto" w:sz="4" w:space="0"/>
            </w:tcBorders>
            <w:vAlign w:val="center"/>
          </w:tcPr>
          <w:p w14:paraId="2184C039">
            <w:pPr>
              <w:spacing w:line="360" w:lineRule="auto"/>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招标代理服务费</w:t>
            </w:r>
          </w:p>
        </w:tc>
        <w:tc>
          <w:tcPr>
            <w:tcW w:w="6140" w:type="dxa"/>
            <w:tcBorders>
              <w:top w:val="single" w:color="auto" w:sz="4" w:space="0"/>
              <w:left w:val="single" w:color="auto" w:sz="4" w:space="0"/>
              <w:bottom w:val="nil"/>
              <w:right w:val="single" w:color="auto" w:sz="4" w:space="0"/>
            </w:tcBorders>
            <w:vAlign w:val="center"/>
          </w:tcPr>
          <w:p w14:paraId="7FF42DE8">
            <w:pPr>
              <w:autoSpaceDE w:val="0"/>
              <w:autoSpaceDN w:val="0"/>
              <w:adjustRightIn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依据《关于进一步放开建设项目专业服务价格的通知》（发改价格[2015]299号），参照《河南省招标代理服务收费指导意见》豫招协[2023]002号计取，由中标单位在领取中标（成交）通知书时向代理机构支付。</w:t>
            </w:r>
          </w:p>
        </w:tc>
      </w:tr>
      <w:tr w14:paraId="0697C7ED">
        <w:tblPrEx>
          <w:tblCellMar>
            <w:top w:w="0" w:type="dxa"/>
            <w:left w:w="108" w:type="dxa"/>
            <w:bottom w:w="0" w:type="dxa"/>
            <w:right w:w="108" w:type="dxa"/>
          </w:tblCellMar>
        </w:tblPrEx>
        <w:trPr>
          <w:trHeight w:val="421" w:hRule="atLeast"/>
        </w:trPr>
        <w:tc>
          <w:tcPr>
            <w:tcW w:w="878" w:type="dxa"/>
            <w:tcBorders>
              <w:top w:val="single" w:color="auto" w:sz="4" w:space="0"/>
              <w:left w:val="single" w:color="auto" w:sz="4" w:space="0"/>
              <w:bottom w:val="nil"/>
              <w:right w:val="single" w:color="auto" w:sz="4" w:space="0"/>
            </w:tcBorders>
            <w:vAlign w:val="center"/>
          </w:tcPr>
          <w:p w14:paraId="53517E4A">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39</w:t>
            </w:r>
          </w:p>
        </w:tc>
        <w:tc>
          <w:tcPr>
            <w:tcW w:w="2383" w:type="dxa"/>
            <w:tcBorders>
              <w:top w:val="single" w:color="auto" w:sz="4" w:space="0"/>
              <w:left w:val="single" w:color="auto" w:sz="4" w:space="0"/>
              <w:bottom w:val="nil"/>
              <w:right w:val="single" w:color="auto" w:sz="4" w:space="0"/>
            </w:tcBorders>
            <w:vAlign w:val="center"/>
          </w:tcPr>
          <w:p w14:paraId="141937CA">
            <w:pPr>
              <w:spacing w:line="360" w:lineRule="auto"/>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接收质疑函的方式和联系方式</w:t>
            </w:r>
          </w:p>
        </w:tc>
        <w:tc>
          <w:tcPr>
            <w:tcW w:w="6140" w:type="dxa"/>
            <w:tcBorders>
              <w:top w:val="single" w:color="auto" w:sz="4" w:space="0"/>
              <w:left w:val="single" w:color="auto" w:sz="4" w:space="0"/>
              <w:bottom w:val="nil"/>
              <w:right w:val="single" w:color="auto" w:sz="4" w:space="0"/>
            </w:tcBorders>
            <w:vAlign w:val="center"/>
          </w:tcPr>
          <w:p w14:paraId="623B9C3D">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1、质疑提出：</w:t>
            </w:r>
          </w:p>
          <w:p w14:paraId="42C3CD72">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供应商认为采购文件、采购过程、中标或者成交结果使自己的权益受到损害的，可以在知道或者应知其权益受到损害之日起7个工作日内，按中华人民共和国财政部令第94号《政府采购质疑和投诉办法》的相关规定，以书面形式同时向采购人和采购代理机构提出质疑(加盖单位公章且法定代表人签字)，由其授权代表携带法人授权书及本人身份证件提交(邮寄、传真件不予受理)。逾期未提交或未按照要求提交的质疑函将不予受理。</w:t>
            </w:r>
          </w:p>
          <w:p w14:paraId="58073FA8">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（2）质疑函的内容、格式：应符合《政府采购质疑和投诉办法》（财政部第94号令）相关规定和财政部门制定的《政府采购质疑函范本》格式。</w:t>
            </w:r>
          </w:p>
          <w:p w14:paraId="79F8F0B1">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（3）投标人应在法定质疑期内一次性提出针对同一采购程序环节的质疑。</w:t>
            </w:r>
          </w:p>
          <w:p w14:paraId="055EC164">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2、接收质疑函的方式、联系部门、联系电话和通讯地址：</w:t>
            </w:r>
          </w:p>
          <w:p w14:paraId="2F819B99">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同采购公告采购人和采购代理机构联系人信息。</w:t>
            </w:r>
          </w:p>
          <w:p w14:paraId="2530CC87">
            <w:pPr>
              <w:autoSpaceDE w:val="0"/>
              <w:autoSpaceDN w:val="0"/>
              <w:adjustRightIn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3、质疑投标人对采购人、采购代理机构的答复不满意，或者采购人、采购代理机构未在规定时间内作出答复的，可以在答复期满后15个工作日内向</w:t>
            </w:r>
            <w:r>
              <w:rPr>
                <w:rFonts w:hint="eastAsia" w:ascii="宋体" w:hAnsi="宋体" w:eastAsia="宋体" w:cs="宋体"/>
                <w:color w:val="000000" w:themeColor="text1"/>
                <w:highlight w:val="none"/>
                <w:lang w:val="en-US" w:eastAsia="zh-CN"/>
                <w14:textFill>
                  <w14:solidFill>
                    <w14:schemeClr w14:val="tx1"/>
                  </w14:solidFill>
                </w14:textFill>
              </w:rPr>
              <w:t>有关监督部门</w:t>
            </w:r>
            <w:r>
              <w:rPr>
                <w:rFonts w:hint="eastAsia" w:ascii="宋体" w:hAnsi="宋体" w:eastAsia="宋体" w:cs="宋体"/>
                <w:color w:val="000000" w:themeColor="text1"/>
                <w:highlight w:val="none"/>
                <w14:textFill>
                  <w14:solidFill>
                    <w14:schemeClr w14:val="tx1"/>
                  </w14:solidFill>
                </w14:textFill>
              </w:rPr>
              <w:t>提起投诉。</w:t>
            </w:r>
          </w:p>
        </w:tc>
      </w:tr>
      <w:tr w14:paraId="0874232D">
        <w:tblPrEx>
          <w:tblCellMar>
            <w:top w:w="0" w:type="dxa"/>
            <w:left w:w="108" w:type="dxa"/>
            <w:bottom w:w="0" w:type="dxa"/>
            <w:right w:w="108" w:type="dxa"/>
          </w:tblCellMar>
        </w:tblPrEx>
        <w:trPr>
          <w:trHeight w:val="408" w:hRule="atLeast"/>
        </w:trPr>
        <w:tc>
          <w:tcPr>
            <w:tcW w:w="878" w:type="dxa"/>
            <w:tcBorders>
              <w:top w:val="single" w:color="auto" w:sz="4" w:space="0"/>
              <w:left w:val="single" w:color="auto" w:sz="4" w:space="0"/>
              <w:bottom w:val="nil"/>
              <w:right w:val="single" w:color="auto" w:sz="4" w:space="0"/>
            </w:tcBorders>
            <w:vAlign w:val="center"/>
          </w:tcPr>
          <w:p w14:paraId="0A64E445">
            <w:pPr>
              <w:spacing w:line="400" w:lineRule="exact"/>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40</w:t>
            </w:r>
          </w:p>
        </w:tc>
        <w:tc>
          <w:tcPr>
            <w:tcW w:w="2383" w:type="dxa"/>
            <w:tcBorders>
              <w:top w:val="single" w:color="auto" w:sz="4" w:space="0"/>
              <w:left w:val="single" w:color="auto" w:sz="4" w:space="0"/>
              <w:bottom w:val="nil"/>
              <w:right w:val="single" w:color="auto" w:sz="4" w:space="0"/>
            </w:tcBorders>
            <w:vAlign w:val="center"/>
          </w:tcPr>
          <w:p w14:paraId="248B1064">
            <w:pPr>
              <w:spacing w:line="360" w:lineRule="auto"/>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是否采用电子招标投标</w:t>
            </w:r>
          </w:p>
        </w:tc>
        <w:tc>
          <w:tcPr>
            <w:tcW w:w="6140" w:type="dxa"/>
            <w:tcBorders>
              <w:top w:val="single" w:color="auto" w:sz="4" w:space="0"/>
              <w:left w:val="single" w:color="auto" w:sz="4" w:space="0"/>
              <w:bottom w:val="nil"/>
              <w:right w:val="single" w:color="auto" w:sz="4" w:space="0"/>
            </w:tcBorders>
            <w:vAlign w:val="center"/>
          </w:tcPr>
          <w:p w14:paraId="0C227962">
            <w:pPr>
              <w:autoSpaceDE w:val="0"/>
              <w:autoSpaceDN w:val="0"/>
              <w:adjustRightInd w:val="0"/>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是</w:t>
            </w:r>
          </w:p>
        </w:tc>
      </w:tr>
      <w:tr w14:paraId="44E3A19F">
        <w:tblPrEx>
          <w:tblCellMar>
            <w:top w:w="0" w:type="dxa"/>
            <w:left w:w="108" w:type="dxa"/>
            <w:bottom w:w="0" w:type="dxa"/>
            <w:right w:w="108" w:type="dxa"/>
          </w:tblCellMar>
        </w:tblPrEx>
        <w:trPr>
          <w:trHeight w:val="295" w:hRule="atLeast"/>
        </w:trPr>
        <w:tc>
          <w:tcPr>
            <w:tcW w:w="878" w:type="dxa"/>
            <w:tcBorders>
              <w:top w:val="single" w:color="auto" w:sz="4" w:space="0"/>
              <w:left w:val="single" w:color="auto" w:sz="4" w:space="0"/>
              <w:bottom w:val="single" w:color="auto" w:sz="4" w:space="0"/>
              <w:right w:val="single" w:color="auto" w:sz="4" w:space="0"/>
            </w:tcBorders>
            <w:vAlign w:val="center"/>
          </w:tcPr>
          <w:p w14:paraId="717B3FEC">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41</w:t>
            </w:r>
          </w:p>
        </w:tc>
        <w:tc>
          <w:tcPr>
            <w:tcW w:w="8523" w:type="dxa"/>
            <w:gridSpan w:val="2"/>
            <w:tcBorders>
              <w:top w:val="single" w:color="auto" w:sz="4" w:space="0"/>
              <w:left w:val="single" w:color="auto" w:sz="4" w:space="0"/>
              <w:bottom w:val="single" w:color="auto" w:sz="4" w:space="0"/>
              <w:right w:val="single" w:color="auto" w:sz="4" w:space="0"/>
            </w:tcBorders>
            <w:vAlign w:val="center"/>
          </w:tcPr>
          <w:p w14:paraId="12E18247">
            <w:pPr>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需要补充的其他内容</w:t>
            </w:r>
          </w:p>
        </w:tc>
      </w:tr>
      <w:tr w14:paraId="17934740">
        <w:tblPrEx>
          <w:tblCellMar>
            <w:top w:w="0" w:type="dxa"/>
            <w:left w:w="108" w:type="dxa"/>
            <w:bottom w:w="0" w:type="dxa"/>
            <w:right w:w="108" w:type="dxa"/>
          </w:tblCellMar>
        </w:tblPrEx>
        <w:trPr>
          <w:trHeight w:val="445" w:hRule="atLeast"/>
        </w:trPr>
        <w:tc>
          <w:tcPr>
            <w:tcW w:w="9401" w:type="dxa"/>
            <w:gridSpan w:val="3"/>
            <w:tcBorders>
              <w:top w:val="single" w:color="auto" w:sz="4" w:space="0"/>
              <w:left w:val="single" w:color="auto" w:sz="4" w:space="0"/>
              <w:bottom w:val="single" w:color="auto" w:sz="4" w:space="0"/>
              <w:right w:val="single" w:color="auto" w:sz="4" w:space="0"/>
            </w:tcBorders>
          </w:tcPr>
          <w:p w14:paraId="1E5778D4">
            <w:pPr>
              <w:spacing w:line="360" w:lineRule="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其它未尽事宜，按国家有关法律法规、政策执行。</w:t>
            </w:r>
          </w:p>
        </w:tc>
      </w:tr>
      <w:bookmarkEnd w:id="38"/>
      <w:bookmarkEnd w:id="39"/>
      <w:bookmarkEnd w:id="40"/>
      <w:bookmarkEnd w:id="41"/>
      <w:bookmarkEnd w:id="42"/>
      <w:bookmarkEnd w:id="43"/>
      <w:bookmarkEnd w:id="44"/>
      <w:bookmarkEnd w:id="45"/>
      <w:bookmarkEnd w:id="46"/>
      <w:bookmarkEnd w:id="47"/>
      <w:bookmarkEnd w:id="48"/>
      <w:bookmarkEnd w:id="49"/>
      <w:bookmarkEnd w:id="50"/>
    </w:tbl>
    <w:p w14:paraId="5F2D6FDB">
      <w:pPr>
        <w:rPr>
          <w:rFonts w:hint="eastAsia" w:ascii="宋体" w:hAnsi="宋体" w:eastAsia="宋体" w:cs="宋体"/>
          <w:color w:val="000000" w:themeColor="text1"/>
          <w:highlight w:val="none"/>
          <w14:textFill>
            <w14:solidFill>
              <w14:schemeClr w14:val="tx1"/>
            </w14:solidFill>
          </w14:textFill>
        </w:rPr>
      </w:pPr>
      <w:bookmarkStart w:id="57" w:name="_Toc18614"/>
      <w:bookmarkStart w:id="58" w:name="_Toc246996175"/>
      <w:bookmarkStart w:id="59" w:name="_Toc2591"/>
      <w:bookmarkStart w:id="60" w:name="_Toc152045529"/>
      <w:bookmarkStart w:id="61" w:name="_Toc247085689"/>
      <w:bookmarkStart w:id="62" w:name="_Toc152042305"/>
      <w:bookmarkStart w:id="63" w:name="_Toc179632546"/>
      <w:bookmarkStart w:id="64" w:name="_Toc144974497"/>
      <w:bookmarkStart w:id="65" w:name="_Toc246996918"/>
      <w:bookmarkStart w:id="66" w:name="_Toc3696"/>
    </w:p>
    <w:p w14:paraId="16882183">
      <w:pPr>
        <w:rPr>
          <w:rFonts w:hint="eastAsia" w:ascii="宋体" w:hAnsi="宋体" w:eastAsia="宋体" w:cs="宋体"/>
          <w:color w:val="000000" w:themeColor="text1"/>
          <w:highlight w:val="none"/>
          <w14:textFill>
            <w14:solidFill>
              <w14:schemeClr w14:val="tx1"/>
            </w14:solidFill>
          </w14:textFill>
        </w:rPr>
      </w:pPr>
    </w:p>
    <w:p w14:paraId="579CBFE6">
      <w:pPr>
        <w:rPr>
          <w:rFonts w:hint="eastAsia" w:ascii="宋体" w:hAnsi="宋体" w:eastAsia="宋体" w:cs="宋体"/>
          <w:color w:val="000000" w:themeColor="text1"/>
          <w:highlight w:val="none"/>
          <w14:textFill>
            <w14:solidFill>
              <w14:schemeClr w14:val="tx1"/>
            </w14:solidFill>
          </w14:textFill>
        </w:rPr>
      </w:pPr>
    </w:p>
    <w:p w14:paraId="1360430A">
      <w:pPr>
        <w:rPr>
          <w:rFonts w:hint="eastAsia" w:ascii="宋体" w:hAnsi="宋体" w:eastAsia="宋体" w:cs="宋体"/>
          <w:color w:val="000000" w:themeColor="text1"/>
          <w:highlight w:val="none"/>
          <w14:textFill>
            <w14:solidFill>
              <w14:schemeClr w14:val="tx1"/>
            </w14:solidFill>
          </w14:textFill>
        </w:rPr>
      </w:pPr>
    </w:p>
    <w:p w14:paraId="5955CAB0">
      <w:pPr>
        <w:rPr>
          <w:rFonts w:hint="eastAsia" w:ascii="宋体" w:hAnsi="宋体" w:eastAsia="宋体" w:cs="宋体"/>
          <w:color w:val="000000" w:themeColor="text1"/>
          <w:highlight w:val="none"/>
          <w14:textFill>
            <w14:solidFill>
              <w14:schemeClr w14:val="tx1"/>
            </w14:solidFill>
          </w14:textFill>
        </w:rPr>
      </w:pPr>
    </w:p>
    <w:p w14:paraId="02AA04D7">
      <w:pPr>
        <w:rPr>
          <w:rFonts w:hint="eastAsia" w:ascii="宋体" w:hAnsi="宋体" w:eastAsia="宋体" w:cs="宋体"/>
          <w:color w:val="000000" w:themeColor="text1"/>
          <w:highlight w:val="none"/>
          <w14:textFill>
            <w14:solidFill>
              <w14:schemeClr w14:val="tx1"/>
            </w14:solidFill>
          </w14:textFill>
        </w:rPr>
      </w:pPr>
    </w:p>
    <w:p w14:paraId="66AF8DF1">
      <w:pPr>
        <w:rPr>
          <w:rFonts w:hint="eastAsia" w:ascii="宋体" w:hAnsi="宋体" w:eastAsia="宋体" w:cs="宋体"/>
          <w:color w:val="000000" w:themeColor="text1"/>
          <w:highlight w:val="none"/>
          <w14:textFill>
            <w14:solidFill>
              <w14:schemeClr w14:val="tx1"/>
            </w14:solidFill>
          </w14:textFill>
        </w:rPr>
      </w:pPr>
    </w:p>
    <w:p w14:paraId="223FAE9D">
      <w:pPr>
        <w:rPr>
          <w:rFonts w:hint="eastAsia" w:ascii="宋体" w:hAnsi="宋体" w:eastAsia="宋体" w:cs="宋体"/>
          <w:color w:val="000000" w:themeColor="text1"/>
          <w:highlight w:val="none"/>
          <w14:textFill>
            <w14:solidFill>
              <w14:schemeClr w14:val="tx1"/>
            </w14:solidFill>
          </w14:textFill>
        </w:rPr>
      </w:pPr>
    </w:p>
    <w:p w14:paraId="2AE874B7">
      <w:pPr>
        <w:rPr>
          <w:rFonts w:hint="eastAsia" w:ascii="宋体" w:hAnsi="宋体" w:eastAsia="宋体" w:cs="宋体"/>
          <w:color w:val="000000" w:themeColor="text1"/>
          <w:highlight w:val="none"/>
          <w14:textFill>
            <w14:solidFill>
              <w14:schemeClr w14:val="tx1"/>
            </w14:solidFill>
          </w14:textFill>
        </w:rPr>
      </w:pPr>
    </w:p>
    <w:p w14:paraId="183CA6D2">
      <w:pPr>
        <w:rPr>
          <w:rFonts w:hint="eastAsia" w:ascii="宋体" w:hAnsi="宋体" w:eastAsia="宋体" w:cs="宋体"/>
          <w:color w:val="000000" w:themeColor="text1"/>
          <w:highlight w:val="none"/>
          <w14:textFill>
            <w14:solidFill>
              <w14:schemeClr w14:val="tx1"/>
            </w14:solidFill>
          </w14:textFill>
        </w:rPr>
      </w:pPr>
    </w:p>
    <w:p w14:paraId="1045B6F1">
      <w:pPr>
        <w:rPr>
          <w:rFonts w:hint="eastAsia" w:ascii="宋体" w:hAnsi="宋体" w:eastAsia="宋体" w:cs="宋体"/>
          <w:color w:val="000000" w:themeColor="text1"/>
          <w:highlight w:val="none"/>
          <w14:textFill>
            <w14:solidFill>
              <w14:schemeClr w14:val="tx1"/>
            </w14:solidFill>
          </w14:textFill>
        </w:rPr>
      </w:pPr>
    </w:p>
    <w:p w14:paraId="66CB09FA">
      <w:pPr>
        <w:rPr>
          <w:rFonts w:hint="eastAsia" w:ascii="宋体" w:hAnsi="宋体" w:eastAsia="宋体" w:cs="宋体"/>
          <w:color w:val="000000" w:themeColor="text1"/>
          <w:highlight w:val="none"/>
          <w14:textFill>
            <w14:solidFill>
              <w14:schemeClr w14:val="tx1"/>
            </w14:solidFill>
          </w14:textFill>
        </w:rPr>
      </w:pPr>
    </w:p>
    <w:p w14:paraId="7A77DC98">
      <w:pPr>
        <w:rPr>
          <w:rFonts w:hint="eastAsia" w:ascii="宋体" w:hAnsi="宋体" w:eastAsia="宋体" w:cs="宋体"/>
          <w:color w:val="000000" w:themeColor="text1"/>
          <w:highlight w:val="none"/>
          <w14:textFill>
            <w14:solidFill>
              <w14:schemeClr w14:val="tx1"/>
            </w14:solidFill>
          </w14:textFill>
        </w:rPr>
      </w:pPr>
    </w:p>
    <w:p w14:paraId="7CA93FB7">
      <w:pPr>
        <w:rPr>
          <w:rFonts w:hint="eastAsia" w:ascii="宋体" w:hAnsi="宋体" w:eastAsia="宋体" w:cs="宋体"/>
          <w:color w:val="000000" w:themeColor="text1"/>
          <w:highlight w:val="none"/>
          <w14:textFill>
            <w14:solidFill>
              <w14:schemeClr w14:val="tx1"/>
            </w14:solidFill>
          </w14:textFill>
        </w:rPr>
      </w:pPr>
    </w:p>
    <w:p w14:paraId="2B27A93D">
      <w:pPr>
        <w:rPr>
          <w:rFonts w:hint="eastAsia" w:ascii="宋体" w:hAnsi="宋体" w:eastAsia="宋体" w:cs="宋体"/>
          <w:color w:val="000000" w:themeColor="text1"/>
          <w:highlight w:val="none"/>
          <w14:textFill>
            <w14:solidFill>
              <w14:schemeClr w14:val="tx1"/>
            </w14:solidFill>
          </w14:textFill>
        </w:rPr>
      </w:pPr>
    </w:p>
    <w:p w14:paraId="45154A1A">
      <w:pPr>
        <w:rPr>
          <w:rFonts w:hint="eastAsia" w:ascii="宋体" w:hAnsi="宋体" w:eastAsia="宋体" w:cs="宋体"/>
          <w:color w:val="000000" w:themeColor="text1"/>
          <w:highlight w:val="none"/>
          <w14:textFill>
            <w14:solidFill>
              <w14:schemeClr w14:val="tx1"/>
            </w14:solidFill>
          </w14:textFill>
        </w:rPr>
      </w:pPr>
    </w:p>
    <w:p w14:paraId="64ABD1CA">
      <w:pPr>
        <w:rPr>
          <w:rFonts w:hint="eastAsia" w:ascii="宋体" w:hAnsi="宋体" w:eastAsia="宋体" w:cs="宋体"/>
          <w:color w:val="000000" w:themeColor="text1"/>
          <w:highlight w:val="none"/>
          <w14:textFill>
            <w14:solidFill>
              <w14:schemeClr w14:val="tx1"/>
            </w14:solidFill>
          </w14:textFill>
        </w:rPr>
      </w:pPr>
    </w:p>
    <w:p w14:paraId="1050A4F0">
      <w:pPr>
        <w:rPr>
          <w:rFonts w:hint="eastAsia" w:ascii="宋体" w:hAnsi="宋体" w:eastAsia="宋体" w:cs="宋体"/>
          <w:color w:val="000000" w:themeColor="text1"/>
          <w:highlight w:val="none"/>
          <w14:textFill>
            <w14:solidFill>
              <w14:schemeClr w14:val="tx1"/>
            </w14:solidFill>
          </w14:textFill>
        </w:rPr>
      </w:pPr>
    </w:p>
    <w:p w14:paraId="3B36B48E">
      <w:pPr>
        <w:rPr>
          <w:rFonts w:hint="eastAsia" w:ascii="宋体" w:hAnsi="宋体" w:eastAsia="宋体" w:cs="宋体"/>
          <w:color w:val="000000" w:themeColor="text1"/>
          <w:highlight w:val="none"/>
          <w14:textFill>
            <w14:solidFill>
              <w14:schemeClr w14:val="tx1"/>
            </w14:solidFill>
          </w14:textFill>
        </w:rPr>
      </w:pPr>
    </w:p>
    <w:p w14:paraId="11EE55C0">
      <w:pPr>
        <w:rPr>
          <w:rFonts w:hint="eastAsia" w:ascii="宋体" w:hAnsi="宋体" w:eastAsia="宋体" w:cs="宋体"/>
          <w:color w:val="000000" w:themeColor="text1"/>
          <w:highlight w:val="none"/>
          <w14:textFill>
            <w14:solidFill>
              <w14:schemeClr w14:val="tx1"/>
            </w14:solidFill>
          </w14:textFill>
        </w:rPr>
      </w:pPr>
    </w:p>
    <w:p w14:paraId="41728B1A">
      <w:pPr>
        <w:rPr>
          <w:rFonts w:hint="eastAsia" w:ascii="宋体" w:hAnsi="宋体" w:eastAsia="宋体" w:cs="宋体"/>
          <w:color w:val="000000" w:themeColor="text1"/>
          <w:highlight w:val="none"/>
          <w14:textFill>
            <w14:solidFill>
              <w14:schemeClr w14:val="tx1"/>
            </w14:solidFill>
          </w14:textFill>
        </w:rPr>
      </w:pPr>
    </w:p>
    <w:p w14:paraId="5183A827">
      <w:pPr>
        <w:rPr>
          <w:rFonts w:hint="eastAsia" w:ascii="宋体" w:hAnsi="宋体" w:eastAsia="宋体" w:cs="宋体"/>
          <w:color w:val="000000" w:themeColor="text1"/>
          <w:highlight w:val="none"/>
          <w14:textFill>
            <w14:solidFill>
              <w14:schemeClr w14:val="tx1"/>
            </w14:solidFill>
          </w14:textFill>
        </w:rPr>
      </w:pPr>
    </w:p>
    <w:p w14:paraId="6F1F38B5">
      <w:pPr>
        <w:rPr>
          <w:rFonts w:hint="eastAsia" w:ascii="宋体" w:hAnsi="宋体" w:eastAsia="宋体" w:cs="宋体"/>
          <w:color w:val="000000" w:themeColor="text1"/>
          <w:highlight w:val="none"/>
          <w14:textFill>
            <w14:solidFill>
              <w14:schemeClr w14:val="tx1"/>
            </w14:solidFill>
          </w14:textFill>
        </w:rPr>
      </w:pPr>
    </w:p>
    <w:p w14:paraId="62683B94">
      <w:pPr>
        <w:rPr>
          <w:rFonts w:hint="eastAsia" w:ascii="宋体" w:hAnsi="宋体" w:eastAsia="宋体" w:cs="宋体"/>
          <w:color w:val="000000" w:themeColor="text1"/>
          <w:highlight w:val="none"/>
          <w14:textFill>
            <w14:solidFill>
              <w14:schemeClr w14:val="tx1"/>
            </w14:solidFill>
          </w14:textFill>
        </w:rPr>
      </w:pPr>
    </w:p>
    <w:p w14:paraId="472B463D">
      <w:pPr>
        <w:rPr>
          <w:rFonts w:hint="eastAsia" w:ascii="宋体" w:hAnsi="宋体" w:eastAsia="宋体" w:cs="宋体"/>
          <w:color w:val="000000" w:themeColor="text1"/>
          <w:highlight w:val="none"/>
          <w14:textFill>
            <w14:solidFill>
              <w14:schemeClr w14:val="tx1"/>
            </w14:solidFill>
          </w14:textFill>
        </w:rPr>
      </w:pPr>
    </w:p>
    <w:p w14:paraId="4EF53C65">
      <w:pPr>
        <w:rPr>
          <w:rFonts w:hint="eastAsia" w:ascii="宋体" w:hAnsi="宋体" w:eastAsia="宋体" w:cs="宋体"/>
          <w:color w:val="000000" w:themeColor="text1"/>
          <w:highlight w:val="none"/>
          <w14:textFill>
            <w14:solidFill>
              <w14:schemeClr w14:val="tx1"/>
            </w14:solidFill>
          </w14:textFill>
        </w:rPr>
      </w:pPr>
    </w:p>
    <w:p w14:paraId="61C0DDC2">
      <w:pPr>
        <w:rPr>
          <w:rFonts w:hint="eastAsia" w:ascii="宋体" w:hAnsi="宋体" w:eastAsia="宋体" w:cs="宋体"/>
          <w:color w:val="000000" w:themeColor="text1"/>
          <w:highlight w:val="none"/>
          <w14:textFill>
            <w14:solidFill>
              <w14:schemeClr w14:val="tx1"/>
            </w14:solidFill>
          </w14:textFill>
        </w:rPr>
      </w:pPr>
    </w:p>
    <w:p w14:paraId="308370B9">
      <w:pPr>
        <w:rPr>
          <w:rFonts w:hint="eastAsia" w:ascii="宋体" w:hAnsi="宋体" w:eastAsia="宋体" w:cs="宋体"/>
          <w:color w:val="000000" w:themeColor="text1"/>
          <w:highlight w:val="none"/>
          <w14:textFill>
            <w14:solidFill>
              <w14:schemeClr w14:val="tx1"/>
            </w14:solidFill>
          </w14:textFill>
        </w:rPr>
      </w:pPr>
    </w:p>
    <w:p w14:paraId="32A8105D">
      <w:pPr>
        <w:rPr>
          <w:rFonts w:hint="eastAsia" w:ascii="宋体" w:hAnsi="宋体" w:eastAsia="宋体" w:cs="宋体"/>
          <w:color w:val="000000" w:themeColor="text1"/>
          <w:highlight w:val="none"/>
          <w14:textFill>
            <w14:solidFill>
              <w14:schemeClr w14:val="tx1"/>
            </w14:solidFill>
          </w14:textFill>
        </w:rPr>
      </w:pPr>
    </w:p>
    <w:p w14:paraId="0B782122">
      <w:pPr>
        <w:rPr>
          <w:rFonts w:hint="eastAsia" w:ascii="宋体" w:hAnsi="宋体" w:eastAsia="宋体" w:cs="宋体"/>
          <w:color w:val="000000" w:themeColor="text1"/>
          <w:highlight w:val="none"/>
          <w14:textFill>
            <w14:solidFill>
              <w14:schemeClr w14:val="tx1"/>
            </w14:solidFill>
          </w14:textFill>
        </w:rPr>
      </w:pPr>
    </w:p>
    <w:p w14:paraId="70B42C12">
      <w:pPr>
        <w:rPr>
          <w:rFonts w:hint="eastAsia" w:ascii="宋体" w:hAnsi="宋体" w:eastAsia="宋体" w:cs="宋体"/>
          <w:color w:val="000000" w:themeColor="text1"/>
          <w:highlight w:val="none"/>
          <w14:textFill>
            <w14:solidFill>
              <w14:schemeClr w14:val="tx1"/>
            </w14:solidFill>
          </w14:textFill>
        </w:rPr>
      </w:pPr>
    </w:p>
    <w:p w14:paraId="6D14FAFC">
      <w:pPr>
        <w:rPr>
          <w:rFonts w:hint="eastAsia" w:ascii="宋体" w:hAnsi="宋体" w:eastAsia="宋体" w:cs="宋体"/>
          <w:color w:val="000000" w:themeColor="text1"/>
          <w:highlight w:val="none"/>
          <w14:textFill>
            <w14:solidFill>
              <w14:schemeClr w14:val="tx1"/>
            </w14:solidFill>
          </w14:textFill>
        </w:rPr>
      </w:pPr>
    </w:p>
    <w:p w14:paraId="273FC00A">
      <w:pPr>
        <w:rPr>
          <w:rFonts w:hint="eastAsia" w:ascii="宋体" w:hAnsi="宋体" w:eastAsia="宋体" w:cs="宋体"/>
          <w:color w:val="000000" w:themeColor="text1"/>
          <w:highlight w:val="none"/>
          <w14:textFill>
            <w14:solidFill>
              <w14:schemeClr w14:val="tx1"/>
            </w14:solidFill>
          </w14:textFill>
        </w:rPr>
      </w:pPr>
    </w:p>
    <w:p w14:paraId="4F6EFED2">
      <w:pPr>
        <w:rPr>
          <w:rFonts w:hint="eastAsia" w:ascii="宋体" w:hAnsi="宋体" w:eastAsia="宋体" w:cs="宋体"/>
          <w:color w:val="000000" w:themeColor="text1"/>
          <w:highlight w:val="none"/>
          <w14:textFill>
            <w14:solidFill>
              <w14:schemeClr w14:val="tx1"/>
            </w14:solidFill>
          </w14:textFill>
        </w:rPr>
      </w:pPr>
    </w:p>
    <w:p w14:paraId="69749F59">
      <w:pPr>
        <w:rPr>
          <w:rFonts w:hint="eastAsia" w:ascii="宋体" w:hAnsi="宋体" w:eastAsia="宋体" w:cs="宋体"/>
          <w:color w:val="000000" w:themeColor="text1"/>
          <w:highlight w:val="none"/>
          <w14:textFill>
            <w14:solidFill>
              <w14:schemeClr w14:val="tx1"/>
            </w14:solidFill>
          </w14:textFill>
        </w:rPr>
      </w:pPr>
    </w:p>
    <w:p w14:paraId="430C9414">
      <w:pPr>
        <w:rPr>
          <w:rFonts w:hint="eastAsia" w:ascii="宋体" w:hAnsi="宋体" w:eastAsia="宋体" w:cs="宋体"/>
          <w:color w:val="000000" w:themeColor="text1"/>
          <w:highlight w:val="none"/>
          <w14:textFill>
            <w14:solidFill>
              <w14:schemeClr w14:val="tx1"/>
            </w14:solidFill>
          </w14:textFill>
        </w:rPr>
      </w:pPr>
    </w:p>
    <w:p w14:paraId="462E1C97">
      <w:pPr>
        <w:rPr>
          <w:rFonts w:hint="eastAsia" w:ascii="宋体" w:hAnsi="宋体" w:eastAsia="宋体" w:cs="宋体"/>
          <w:color w:val="000000" w:themeColor="text1"/>
          <w:highlight w:val="none"/>
          <w14:textFill>
            <w14:solidFill>
              <w14:schemeClr w14:val="tx1"/>
            </w14:solidFill>
          </w14:textFill>
        </w:rPr>
      </w:pPr>
    </w:p>
    <w:p w14:paraId="5AA11AC5">
      <w:pPr>
        <w:rPr>
          <w:rFonts w:hint="eastAsia" w:ascii="宋体" w:hAnsi="宋体" w:eastAsia="宋体" w:cs="宋体"/>
          <w:color w:val="000000" w:themeColor="text1"/>
          <w:highlight w:val="none"/>
          <w14:textFill>
            <w14:solidFill>
              <w14:schemeClr w14:val="tx1"/>
            </w14:solidFill>
          </w14:textFill>
        </w:rPr>
      </w:pPr>
    </w:p>
    <w:p w14:paraId="02E55080">
      <w:pPr>
        <w:rPr>
          <w:rFonts w:hint="eastAsia" w:ascii="宋体" w:hAnsi="宋体" w:eastAsia="宋体" w:cs="宋体"/>
          <w:color w:val="000000" w:themeColor="text1"/>
          <w:highlight w:val="none"/>
          <w14:textFill>
            <w14:solidFill>
              <w14:schemeClr w14:val="tx1"/>
            </w14:solidFill>
          </w14:textFill>
        </w:rPr>
      </w:pPr>
    </w:p>
    <w:p w14:paraId="18E573E0">
      <w:pPr>
        <w:rPr>
          <w:rFonts w:hint="eastAsia" w:ascii="宋体" w:hAnsi="宋体" w:eastAsia="宋体" w:cs="宋体"/>
          <w:color w:val="000000" w:themeColor="text1"/>
          <w:highlight w:val="none"/>
          <w14:textFill>
            <w14:solidFill>
              <w14:schemeClr w14:val="tx1"/>
            </w14:solidFill>
          </w14:textFill>
        </w:rPr>
      </w:pPr>
    </w:p>
    <w:p w14:paraId="4B93B231">
      <w:pPr>
        <w:pStyle w:val="4"/>
        <w:widowControl/>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总则</w:t>
      </w:r>
      <w:bookmarkEnd w:id="57"/>
      <w:bookmarkEnd w:id="58"/>
      <w:bookmarkEnd w:id="59"/>
      <w:bookmarkEnd w:id="60"/>
      <w:bookmarkEnd w:id="61"/>
      <w:bookmarkEnd w:id="62"/>
      <w:bookmarkEnd w:id="63"/>
      <w:bookmarkEnd w:id="64"/>
      <w:bookmarkEnd w:id="65"/>
      <w:bookmarkEnd w:id="66"/>
    </w:p>
    <w:p w14:paraId="4BE43BD0">
      <w:pPr>
        <w:pStyle w:val="5"/>
        <w:widowControl/>
        <w:rPr>
          <w:rFonts w:hint="eastAsia" w:ascii="宋体" w:hAnsi="宋体" w:eastAsia="宋体" w:cs="宋体"/>
          <w:color w:val="000000" w:themeColor="text1"/>
          <w:highlight w:val="none"/>
          <w14:textFill>
            <w14:solidFill>
              <w14:schemeClr w14:val="tx1"/>
            </w14:solidFill>
          </w14:textFill>
        </w:rPr>
      </w:pPr>
      <w:bookmarkStart w:id="67" w:name="_Toc135648890"/>
      <w:bookmarkStart w:id="68" w:name="_Toc6162"/>
      <w:bookmarkStart w:id="69" w:name="_Toc135922540"/>
      <w:bookmarkStart w:id="70" w:name="_Toc40795879"/>
      <w:bookmarkStart w:id="71" w:name="_Toc179632547"/>
      <w:bookmarkStart w:id="72" w:name="_Toc57369398"/>
      <w:bookmarkStart w:id="73" w:name="_Toc11715"/>
      <w:bookmarkStart w:id="74" w:name="_Toc21793"/>
      <w:bookmarkStart w:id="75" w:name="_Toc40518990"/>
      <w:bookmarkStart w:id="76" w:name="_Toc246996176"/>
      <w:bookmarkStart w:id="77" w:name="_Toc152045530"/>
      <w:bookmarkStart w:id="78" w:name="_Toc152042306"/>
      <w:bookmarkStart w:id="79" w:name="_Toc246996919"/>
      <w:bookmarkStart w:id="80" w:name="_Toc40708375"/>
      <w:bookmarkStart w:id="81" w:name="_Toc81321212"/>
      <w:bookmarkStart w:id="82" w:name="_Toc417333969"/>
      <w:bookmarkStart w:id="83" w:name="_Toc415819196"/>
      <w:bookmarkStart w:id="84" w:name="_Toc247085690"/>
      <w:bookmarkStart w:id="85" w:name="_Toc144974498"/>
      <w:r>
        <w:rPr>
          <w:rFonts w:hint="eastAsia" w:ascii="宋体" w:hAnsi="宋体" w:eastAsia="宋体" w:cs="宋体"/>
          <w:color w:val="000000" w:themeColor="text1"/>
          <w:highlight w:val="none"/>
          <w14:textFill>
            <w14:solidFill>
              <w14:schemeClr w14:val="tx1"/>
            </w14:solidFill>
          </w14:textFill>
        </w:rPr>
        <w:t>1.1 项目概况</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7DAC0B02">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1.1.1根据《中华人民共和国政府采购法》、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中华人民共和国政府采购法实施条例</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《政府采购货物和服务招标投标管理办法》等有关法律、法规和规章的规定，本招标项目已具备招标条件，现对本项目进行招标。</w:t>
      </w:r>
    </w:p>
    <w:p w14:paraId="75056582">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1.1.2采购人：见投标人须知前附表。</w:t>
      </w:r>
    </w:p>
    <w:p w14:paraId="32609ECE">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1.1.3采购代理机构：见投标人须知前附表。</w:t>
      </w:r>
    </w:p>
    <w:p w14:paraId="35815BD0">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1.1.4 项目名称：见投标人须知前附表。</w:t>
      </w:r>
    </w:p>
    <w:p w14:paraId="2A99B5A2">
      <w:pPr>
        <w:pStyle w:val="5"/>
        <w:widowControl/>
        <w:rPr>
          <w:rFonts w:hint="eastAsia" w:ascii="宋体" w:hAnsi="宋体" w:eastAsia="宋体" w:cs="宋体"/>
          <w:color w:val="000000" w:themeColor="text1"/>
          <w:highlight w:val="none"/>
          <w14:textFill>
            <w14:solidFill>
              <w14:schemeClr w14:val="tx1"/>
            </w14:solidFill>
          </w14:textFill>
        </w:rPr>
      </w:pPr>
      <w:bookmarkStart w:id="86" w:name="_Toc135648891"/>
      <w:bookmarkStart w:id="87" w:name="_Toc14069"/>
      <w:bookmarkStart w:id="88" w:name="_Toc40518991"/>
      <w:bookmarkStart w:id="89" w:name="_Toc7536"/>
      <w:bookmarkStart w:id="90" w:name="_Toc14679"/>
      <w:bookmarkStart w:id="91" w:name="_Toc179632548"/>
      <w:bookmarkStart w:id="92" w:name="_Toc40795880"/>
      <w:bookmarkStart w:id="93" w:name="_Toc152042307"/>
      <w:bookmarkStart w:id="94" w:name="_Toc247085691"/>
      <w:bookmarkStart w:id="95" w:name="_Toc246996177"/>
      <w:bookmarkStart w:id="96" w:name="_Toc246996920"/>
      <w:bookmarkStart w:id="97" w:name="_Toc144974499"/>
      <w:bookmarkStart w:id="98" w:name="_Toc415819197"/>
      <w:bookmarkStart w:id="99" w:name="_Toc152045531"/>
      <w:bookmarkStart w:id="100" w:name="_Toc135922541"/>
      <w:bookmarkStart w:id="101" w:name="_Toc417333970"/>
      <w:bookmarkStart w:id="102" w:name="_Toc57369399"/>
      <w:bookmarkStart w:id="103" w:name="_Toc81321213"/>
      <w:bookmarkStart w:id="104" w:name="_Toc40708376"/>
      <w:r>
        <w:rPr>
          <w:rFonts w:hint="eastAsia" w:ascii="宋体" w:hAnsi="宋体" w:eastAsia="宋体" w:cs="宋体"/>
          <w:color w:val="000000" w:themeColor="text1"/>
          <w:highlight w:val="none"/>
          <w14:textFill>
            <w14:solidFill>
              <w14:schemeClr w14:val="tx1"/>
            </w14:solidFill>
          </w14:textFill>
        </w:rPr>
        <w:t>1.2 资金来源和落实情况</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82D4CC2">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资金来源及落实情况：见投标人须知前附表。</w:t>
      </w:r>
    </w:p>
    <w:p w14:paraId="215A0880">
      <w:pPr>
        <w:pStyle w:val="5"/>
        <w:widowControl/>
        <w:rPr>
          <w:rFonts w:hint="eastAsia" w:ascii="宋体" w:hAnsi="宋体" w:eastAsia="宋体" w:cs="宋体"/>
          <w:color w:val="000000" w:themeColor="text1"/>
          <w:highlight w:val="none"/>
          <w14:textFill>
            <w14:solidFill>
              <w14:schemeClr w14:val="tx1"/>
            </w14:solidFill>
          </w14:textFill>
        </w:rPr>
      </w:pPr>
      <w:bookmarkStart w:id="105" w:name="_Toc144974500"/>
      <w:bookmarkStart w:id="106" w:name="_Toc179632549"/>
      <w:bookmarkStart w:id="107" w:name="_Toc152045532"/>
      <w:bookmarkStart w:id="108" w:name="_Toc417333971"/>
      <w:bookmarkStart w:id="109" w:name="_Toc7302"/>
      <w:bookmarkStart w:id="110" w:name="_Toc246996178"/>
      <w:bookmarkStart w:id="111" w:name="_Toc152042308"/>
      <w:bookmarkStart w:id="112" w:name="_Toc24223"/>
      <w:bookmarkStart w:id="113" w:name="_Toc25094"/>
      <w:bookmarkStart w:id="114" w:name="_Toc247085692"/>
      <w:bookmarkStart w:id="115" w:name="_Toc415819198"/>
      <w:bookmarkStart w:id="116" w:name="_Toc246996921"/>
      <w:bookmarkStart w:id="117" w:name="_Toc135922542"/>
      <w:bookmarkStart w:id="118" w:name="_Toc40795881"/>
      <w:bookmarkStart w:id="119" w:name="_Toc40518992"/>
      <w:bookmarkStart w:id="120" w:name="_Toc57369400"/>
      <w:bookmarkStart w:id="121" w:name="_Toc40708377"/>
      <w:bookmarkStart w:id="122" w:name="_Toc135648892"/>
      <w:bookmarkStart w:id="123" w:name="_Toc81321214"/>
      <w:r>
        <w:rPr>
          <w:rFonts w:hint="eastAsia" w:ascii="宋体" w:hAnsi="宋体" w:eastAsia="宋体" w:cs="宋体"/>
          <w:color w:val="000000" w:themeColor="text1"/>
          <w:highlight w:val="none"/>
          <w14:textFill>
            <w14:solidFill>
              <w14:schemeClr w14:val="tx1"/>
            </w14:solidFill>
          </w14:textFill>
        </w:rPr>
        <w:t>1.3 采购内容、服务期限、</w:t>
      </w:r>
      <w:bookmarkEnd w:id="105"/>
      <w:bookmarkEnd w:id="106"/>
      <w:bookmarkEnd w:id="107"/>
      <w:bookmarkEnd w:id="108"/>
      <w:bookmarkEnd w:id="109"/>
      <w:bookmarkEnd w:id="110"/>
      <w:bookmarkEnd w:id="111"/>
      <w:bookmarkEnd w:id="112"/>
      <w:bookmarkEnd w:id="113"/>
      <w:bookmarkEnd w:id="114"/>
      <w:bookmarkEnd w:id="115"/>
      <w:bookmarkEnd w:id="116"/>
      <w:r>
        <w:rPr>
          <w:rFonts w:hint="eastAsia" w:ascii="宋体" w:hAnsi="宋体" w:eastAsia="宋体" w:cs="宋体"/>
          <w:color w:val="000000" w:themeColor="text1"/>
          <w:highlight w:val="none"/>
          <w14:textFill>
            <w14:solidFill>
              <w14:schemeClr w14:val="tx1"/>
            </w14:solidFill>
          </w14:textFill>
        </w:rPr>
        <w:t>服务地点、</w:t>
      </w:r>
      <w:bookmarkEnd w:id="117"/>
      <w:bookmarkEnd w:id="118"/>
      <w:bookmarkEnd w:id="119"/>
      <w:bookmarkEnd w:id="120"/>
      <w:bookmarkEnd w:id="121"/>
      <w:bookmarkEnd w:id="122"/>
      <w:bookmarkEnd w:id="123"/>
      <w:r>
        <w:rPr>
          <w:rFonts w:hint="eastAsia" w:ascii="宋体" w:hAnsi="宋体" w:eastAsia="宋体" w:cs="宋体"/>
          <w:color w:val="000000" w:themeColor="text1"/>
          <w:highlight w:val="none"/>
          <w14:textFill>
            <w14:solidFill>
              <w14:schemeClr w14:val="tx1"/>
            </w14:solidFill>
          </w14:textFill>
        </w:rPr>
        <w:t>质量</w:t>
      </w:r>
    </w:p>
    <w:p w14:paraId="4B0D2D1A">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1.3.1采购内容：见投标人须知前附表。</w:t>
      </w:r>
    </w:p>
    <w:p w14:paraId="7FBD1737">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1.3.2服务期限、服务地点：见投标人须知前附表。</w:t>
      </w:r>
    </w:p>
    <w:p w14:paraId="60A5F8E6">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1.3.3质量：见投标人须知前附表。</w:t>
      </w:r>
    </w:p>
    <w:p w14:paraId="5D0A184E">
      <w:pPr>
        <w:pStyle w:val="5"/>
        <w:widowControl/>
        <w:rPr>
          <w:rFonts w:hint="eastAsia" w:ascii="宋体" w:hAnsi="宋体" w:eastAsia="宋体" w:cs="宋体"/>
          <w:color w:val="000000" w:themeColor="text1"/>
          <w:highlight w:val="none"/>
          <w14:textFill>
            <w14:solidFill>
              <w14:schemeClr w14:val="tx1"/>
            </w14:solidFill>
          </w14:textFill>
        </w:rPr>
      </w:pPr>
      <w:bookmarkStart w:id="124" w:name="_Toc11634"/>
      <w:bookmarkStart w:id="125" w:name="_Toc417333972"/>
      <w:bookmarkStart w:id="126" w:name="_Toc4052"/>
      <w:bookmarkStart w:id="127" w:name="_Toc40795882"/>
      <w:bookmarkStart w:id="128" w:name="_Toc81321215"/>
      <w:bookmarkStart w:id="129" w:name="_Toc152042310"/>
      <w:bookmarkStart w:id="130" w:name="_Toc144974502"/>
      <w:bookmarkStart w:id="131" w:name="_Toc40708378"/>
      <w:bookmarkStart w:id="132" w:name="_Toc246996179"/>
      <w:bookmarkStart w:id="133" w:name="_Toc40518993"/>
      <w:bookmarkStart w:id="134" w:name="_Toc179632551"/>
      <w:bookmarkStart w:id="135" w:name="_Toc247085693"/>
      <w:bookmarkStart w:id="136" w:name="_Toc57369401"/>
      <w:bookmarkStart w:id="137" w:name="_Toc152045534"/>
      <w:bookmarkStart w:id="138" w:name="_Toc25695"/>
      <w:bookmarkStart w:id="139" w:name="_Toc135922543"/>
      <w:bookmarkStart w:id="140" w:name="_Toc415819199"/>
      <w:bookmarkStart w:id="141" w:name="_Toc135648893"/>
      <w:bookmarkStart w:id="142" w:name="_Toc246996922"/>
      <w:r>
        <w:rPr>
          <w:rFonts w:hint="eastAsia" w:ascii="宋体" w:hAnsi="宋体" w:eastAsia="宋体" w:cs="宋体"/>
          <w:color w:val="000000" w:themeColor="text1"/>
          <w:highlight w:val="none"/>
          <w14:textFill>
            <w14:solidFill>
              <w14:schemeClr w14:val="tx1"/>
            </w14:solidFill>
          </w14:textFill>
        </w:rPr>
        <w:t>1.4 投标人资格要求</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0F908B81">
      <w:pPr>
        <w:spacing w:line="400" w:lineRule="exact"/>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投标人应具备承担本项目投标的资格要求：见投标人须知前附表。</w:t>
      </w:r>
    </w:p>
    <w:p w14:paraId="395D1A1E">
      <w:pPr>
        <w:pStyle w:val="5"/>
        <w:widowControl/>
        <w:rPr>
          <w:rFonts w:hint="eastAsia" w:ascii="宋体" w:hAnsi="宋体" w:eastAsia="宋体" w:cs="宋体"/>
          <w:color w:val="000000" w:themeColor="text1"/>
          <w:highlight w:val="none"/>
          <w14:textFill>
            <w14:solidFill>
              <w14:schemeClr w14:val="tx1"/>
            </w14:solidFill>
          </w14:textFill>
        </w:rPr>
      </w:pPr>
      <w:bookmarkStart w:id="143" w:name="_Toc152042311"/>
      <w:bookmarkStart w:id="144" w:name="_Toc40518994"/>
      <w:bookmarkStart w:id="145" w:name="_Toc417333973"/>
      <w:bookmarkStart w:id="146" w:name="_Toc247085694"/>
      <w:bookmarkStart w:id="147" w:name="_Toc18906"/>
      <w:bookmarkStart w:id="148" w:name="_Toc135922544"/>
      <w:bookmarkStart w:id="149" w:name="_Toc40795883"/>
      <w:bookmarkStart w:id="150" w:name="_Toc135648894"/>
      <w:bookmarkStart w:id="151" w:name="_Toc246996180"/>
      <w:bookmarkStart w:id="152" w:name="_Toc40708379"/>
      <w:bookmarkStart w:id="153" w:name="_Toc57369402"/>
      <w:bookmarkStart w:id="154" w:name="_Toc81321216"/>
      <w:bookmarkStart w:id="155" w:name="_Toc27254"/>
      <w:bookmarkStart w:id="156" w:name="_Toc179632552"/>
      <w:bookmarkStart w:id="157" w:name="_Toc18787"/>
      <w:bookmarkStart w:id="158" w:name="_Toc246996923"/>
      <w:bookmarkStart w:id="159" w:name="_Toc144974503"/>
      <w:bookmarkStart w:id="160" w:name="_Toc415819200"/>
      <w:bookmarkStart w:id="161" w:name="_Toc152045535"/>
      <w:r>
        <w:rPr>
          <w:rFonts w:hint="eastAsia" w:ascii="宋体" w:hAnsi="宋体" w:eastAsia="宋体" w:cs="宋体"/>
          <w:color w:val="000000" w:themeColor="text1"/>
          <w:highlight w:val="none"/>
          <w14:textFill>
            <w14:solidFill>
              <w14:schemeClr w14:val="tx1"/>
            </w14:solidFill>
          </w14:textFill>
        </w:rPr>
        <w:t>1.5 费用承担</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47ACE24">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投标人准备和参加投标活动发生的费用自理。</w:t>
      </w:r>
    </w:p>
    <w:p w14:paraId="4CD30B9A">
      <w:pPr>
        <w:pStyle w:val="5"/>
        <w:widowControl/>
        <w:rPr>
          <w:rFonts w:hint="eastAsia" w:ascii="宋体" w:hAnsi="宋体" w:eastAsia="宋体" w:cs="宋体"/>
          <w:color w:val="000000" w:themeColor="text1"/>
          <w:highlight w:val="none"/>
          <w14:textFill>
            <w14:solidFill>
              <w14:schemeClr w14:val="tx1"/>
            </w14:solidFill>
          </w14:textFill>
        </w:rPr>
      </w:pPr>
      <w:bookmarkStart w:id="162" w:name="_Toc144974504"/>
      <w:bookmarkStart w:id="163" w:name="_Toc8226"/>
      <w:bookmarkStart w:id="164" w:name="_Toc18051"/>
      <w:bookmarkStart w:id="165" w:name="_Toc57369403"/>
      <w:bookmarkStart w:id="166" w:name="_Toc135922545"/>
      <w:bookmarkStart w:id="167" w:name="_Toc247085695"/>
      <w:bookmarkStart w:id="168" w:name="_Toc40518995"/>
      <w:bookmarkStart w:id="169" w:name="_Toc417333974"/>
      <w:bookmarkStart w:id="170" w:name="_Toc246996181"/>
      <w:bookmarkStart w:id="171" w:name="_Toc415819201"/>
      <w:bookmarkStart w:id="172" w:name="_Toc254"/>
      <w:bookmarkStart w:id="173" w:name="_Toc40795884"/>
      <w:bookmarkStart w:id="174" w:name="_Toc135648895"/>
      <w:bookmarkStart w:id="175" w:name="_Toc152045536"/>
      <w:bookmarkStart w:id="176" w:name="_Toc81321217"/>
      <w:bookmarkStart w:id="177" w:name="_Toc40708380"/>
      <w:bookmarkStart w:id="178" w:name="_Toc179632553"/>
      <w:bookmarkStart w:id="179" w:name="_Toc152042312"/>
      <w:bookmarkStart w:id="180" w:name="_Toc246996924"/>
      <w:r>
        <w:rPr>
          <w:rFonts w:hint="eastAsia" w:ascii="宋体" w:hAnsi="宋体" w:eastAsia="宋体" w:cs="宋体"/>
          <w:color w:val="000000" w:themeColor="text1"/>
          <w:highlight w:val="none"/>
          <w14:textFill>
            <w14:solidFill>
              <w14:schemeClr w14:val="tx1"/>
            </w14:solidFill>
          </w14:textFill>
        </w:rPr>
        <w:t>1.6 保密</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2BC1714">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参与招标投标活动的各方应对招标文件和投标文件中的商业和技术等秘密保密，违者应对由此造成的后果承担法律责任。 </w:t>
      </w:r>
    </w:p>
    <w:p w14:paraId="73F85CE2">
      <w:pPr>
        <w:pStyle w:val="5"/>
        <w:widowControl/>
        <w:rPr>
          <w:rFonts w:hint="eastAsia" w:ascii="宋体" w:hAnsi="宋体" w:eastAsia="宋体" w:cs="宋体"/>
          <w:color w:val="000000" w:themeColor="text1"/>
          <w:highlight w:val="none"/>
          <w14:textFill>
            <w14:solidFill>
              <w14:schemeClr w14:val="tx1"/>
            </w14:solidFill>
          </w14:textFill>
        </w:rPr>
      </w:pPr>
      <w:bookmarkStart w:id="181" w:name="_Toc144974505"/>
      <w:bookmarkStart w:id="182" w:name="_Toc152045537"/>
      <w:bookmarkStart w:id="183" w:name="_Toc40708381"/>
      <w:bookmarkStart w:id="184" w:name="_Toc417333975"/>
      <w:bookmarkStart w:id="185" w:name="_Toc40518996"/>
      <w:bookmarkStart w:id="186" w:name="_Toc2540"/>
      <w:bookmarkStart w:id="187" w:name="_Toc135922546"/>
      <w:bookmarkStart w:id="188" w:name="_Toc57369404"/>
      <w:bookmarkStart w:id="189" w:name="_Toc247085696"/>
      <w:bookmarkStart w:id="190" w:name="_Toc415819202"/>
      <w:bookmarkStart w:id="191" w:name="_Toc152042313"/>
      <w:bookmarkStart w:id="192" w:name="_Toc246996182"/>
      <w:bookmarkStart w:id="193" w:name="_Toc81321218"/>
      <w:bookmarkStart w:id="194" w:name="_Toc26174"/>
      <w:bookmarkStart w:id="195" w:name="_Toc4015"/>
      <w:bookmarkStart w:id="196" w:name="_Toc135648896"/>
      <w:bookmarkStart w:id="197" w:name="_Toc246996925"/>
      <w:bookmarkStart w:id="198" w:name="_Toc40795885"/>
      <w:bookmarkStart w:id="199" w:name="_Toc179632554"/>
      <w:r>
        <w:rPr>
          <w:rFonts w:hint="eastAsia" w:ascii="宋体" w:hAnsi="宋体" w:eastAsia="宋体" w:cs="宋体"/>
          <w:color w:val="000000" w:themeColor="text1"/>
          <w:highlight w:val="none"/>
          <w14:textFill>
            <w14:solidFill>
              <w14:schemeClr w14:val="tx1"/>
            </w14:solidFill>
          </w14:textFill>
        </w:rPr>
        <w:t>1.7 语言</w:t>
      </w:r>
      <w:bookmarkEnd w:id="181"/>
      <w:r>
        <w:rPr>
          <w:rFonts w:hint="eastAsia" w:ascii="宋体" w:hAnsi="宋体" w:eastAsia="宋体" w:cs="宋体"/>
          <w:color w:val="000000" w:themeColor="text1"/>
          <w:highlight w:val="none"/>
          <w14:textFill>
            <w14:solidFill>
              <w14:schemeClr w14:val="tx1"/>
            </w14:solidFill>
          </w14:textFill>
        </w:rPr>
        <w:t>文字</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067E4A0C">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bookmarkStart w:id="200" w:name="_Toc179632555"/>
      <w:bookmarkStart w:id="201" w:name="_Toc152042314"/>
      <w:bookmarkStart w:id="202" w:name="_Toc152045538"/>
      <w:bookmarkStart w:id="203" w:name="_Toc247085697"/>
      <w:bookmarkStart w:id="204" w:name="_Toc246996926"/>
      <w:bookmarkStart w:id="205" w:name="_Toc246996183"/>
      <w:bookmarkStart w:id="206" w:name="_Toc144974506"/>
      <w:r>
        <w:rPr>
          <w:rFonts w:hint="eastAsia" w:ascii="宋体" w:hAnsi="宋体" w:eastAsia="宋体" w:cs="宋体"/>
          <w:color w:val="000000" w:themeColor="text1"/>
          <w:highlight w:val="none"/>
          <w14:textFill>
            <w14:solidFill>
              <w14:schemeClr w14:val="tx1"/>
            </w14:solidFill>
          </w14:textFill>
        </w:rPr>
        <w:t>招标投标文件使用的语言文字为中文。专用术语使用外文的，应附有中文注释。</w:t>
      </w:r>
    </w:p>
    <w:p w14:paraId="36BB0B7C">
      <w:pPr>
        <w:pStyle w:val="5"/>
        <w:widowControl/>
        <w:rPr>
          <w:rFonts w:hint="eastAsia" w:ascii="宋体" w:hAnsi="宋体" w:eastAsia="宋体" w:cs="宋体"/>
          <w:color w:val="000000" w:themeColor="text1"/>
          <w:highlight w:val="none"/>
          <w14:textFill>
            <w14:solidFill>
              <w14:schemeClr w14:val="tx1"/>
            </w14:solidFill>
          </w14:textFill>
        </w:rPr>
      </w:pPr>
      <w:bookmarkStart w:id="207" w:name="_Toc29905"/>
      <w:bookmarkStart w:id="208" w:name="_Toc135648897"/>
      <w:bookmarkStart w:id="209" w:name="_Toc135922547"/>
      <w:bookmarkStart w:id="210" w:name="_Toc40795886"/>
      <w:bookmarkStart w:id="211" w:name="_Toc40708382"/>
      <w:bookmarkStart w:id="212" w:name="_Toc415819203"/>
      <w:bookmarkStart w:id="213" w:name="_Toc40518997"/>
      <w:bookmarkStart w:id="214" w:name="_Toc11147"/>
      <w:bookmarkStart w:id="215" w:name="_Toc81321219"/>
      <w:bookmarkStart w:id="216" w:name="_Toc417333976"/>
      <w:bookmarkStart w:id="217" w:name="_Toc57369405"/>
      <w:bookmarkStart w:id="218" w:name="_Toc25556"/>
      <w:r>
        <w:rPr>
          <w:rFonts w:hint="eastAsia" w:ascii="宋体" w:hAnsi="宋体" w:eastAsia="宋体" w:cs="宋体"/>
          <w:color w:val="000000" w:themeColor="text1"/>
          <w:highlight w:val="none"/>
          <w14:textFill>
            <w14:solidFill>
              <w14:schemeClr w14:val="tx1"/>
            </w14:solidFill>
          </w14:textFill>
        </w:rPr>
        <w:t>1.8 计量单位</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8B0B4C3">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所有计量均采用中华人民共和国法定计量单位。</w:t>
      </w:r>
    </w:p>
    <w:p w14:paraId="0A4C5979">
      <w:pPr>
        <w:pStyle w:val="5"/>
        <w:widowControl/>
        <w:rPr>
          <w:rFonts w:hint="eastAsia" w:ascii="宋体" w:hAnsi="宋体" w:eastAsia="宋体" w:cs="宋体"/>
          <w:color w:val="000000" w:themeColor="text1"/>
          <w:highlight w:val="none"/>
          <w14:textFill>
            <w14:solidFill>
              <w14:schemeClr w14:val="tx1"/>
            </w14:solidFill>
          </w14:textFill>
        </w:rPr>
      </w:pPr>
      <w:bookmarkStart w:id="219" w:name="_Toc135648898"/>
      <w:bookmarkStart w:id="220" w:name="_Toc135922548"/>
      <w:r>
        <w:rPr>
          <w:rFonts w:hint="eastAsia" w:ascii="宋体" w:hAnsi="宋体" w:eastAsia="宋体" w:cs="宋体"/>
          <w:color w:val="000000" w:themeColor="text1"/>
          <w:highlight w:val="none"/>
          <w14:textFill>
            <w14:solidFill>
              <w14:schemeClr w14:val="tx1"/>
            </w14:solidFill>
          </w14:textFill>
        </w:rPr>
        <w:t>1.9踏勘现场（不组织）</w:t>
      </w:r>
      <w:bookmarkEnd w:id="219"/>
      <w:bookmarkEnd w:id="220"/>
    </w:p>
    <w:p w14:paraId="402726F8">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1.9.1 投标人须知前附表规定组织踏勘现场的，采购人按投标人须知前附表规定的时间、地点组织投标人踏勘项目现场。 </w:t>
      </w:r>
    </w:p>
    <w:p w14:paraId="1577AE0E">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1.9.2 投标人踏勘现场发生的费用自理。</w:t>
      </w:r>
    </w:p>
    <w:p w14:paraId="14FE2B54">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1.9.3 除采购人的原因外，投标人自行负责在踏勘现场中所发生的人员伤亡和财产损失。</w:t>
      </w:r>
    </w:p>
    <w:p w14:paraId="6AC009AF">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1.9.4 采购人在踏勘现场中介绍的工程场地和相关的周边环境情况，供投标人在编制投标文件时参考，采购人不对投标人据此作出的判断和决策负责。</w:t>
      </w:r>
    </w:p>
    <w:p w14:paraId="2ADB6644">
      <w:pPr>
        <w:pStyle w:val="5"/>
        <w:widowControl/>
        <w:rPr>
          <w:rFonts w:hint="eastAsia" w:ascii="宋体" w:hAnsi="宋体" w:eastAsia="宋体" w:cs="宋体"/>
          <w:color w:val="000000" w:themeColor="text1"/>
          <w:highlight w:val="none"/>
          <w14:textFill>
            <w14:solidFill>
              <w14:schemeClr w14:val="tx1"/>
            </w14:solidFill>
          </w14:textFill>
        </w:rPr>
      </w:pPr>
      <w:bookmarkStart w:id="221" w:name="_Toc493"/>
      <w:bookmarkStart w:id="222" w:name="_Toc144974508"/>
      <w:bookmarkStart w:id="223" w:name="_Toc20335"/>
      <w:bookmarkStart w:id="224" w:name="_Toc30934"/>
      <w:bookmarkStart w:id="225" w:name="_Toc417333978"/>
      <w:bookmarkStart w:id="226" w:name="_Toc152045540"/>
      <w:bookmarkStart w:id="227" w:name="_Toc415819205"/>
      <w:bookmarkStart w:id="228" w:name="_Toc247592877"/>
      <w:bookmarkStart w:id="229" w:name="_Toc152042316"/>
      <w:bookmarkStart w:id="230" w:name="_Toc247513963"/>
      <w:bookmarkStart w:id="231" w:name="_Toc247527564"/>
      <w:bookmarkStart w:id="232" w:name="_Toc81321220"/>
      <w:bookmarkStart w:id="233" w:name="_Toc40518998"/>
      <w:bookmarkStart w:id="234" w:name="_Toc135648899"/>
      <w:bookmarkStart w:id="235" w:name="_Toc40708383"/>
      <w:bookmarkStart w:id="236" w:name="_Toc135922549"/>
      <w:bookmarkStart w:id="237" w:name="_Toc40795887"/>
      <w:bookmarkStart w:id="238" w:name="_Toc57369406"/>
      <w:r>
        <w:rPr>
          <w:rFonts w:hint="eastAsia" w:ascii="宋体" w:hAnsi="宋体" w:eastAsia="宋体" w:cs="宋体"/>
          <w:color w:val="000000" w:themeColor="text1"/>
          <w:highlight w:val="none"/>
          <w14:textFill>
            <w14:solidFill>
              <w14:schemeClr w14:val="tx1"/>
            </w14:solidFill>
          </w14:textFill>
        </w:rPr>
        <w:t>1.10投标预备会</w:t>
      </w:r>
      <w:bookmarkEnd w:id="221"/>
      <w:bookmarkEnd w:id="222"/>
      <w:bookmarkEnd w:id="223"/>
      <w:bookmarkEnd w:id="224"/>
      <w:bookmarkEnd w:id="225"/>
      <w:bookmarkEnd w:id="226"/>
      <w:bookmarkEnd w:id="227"/>
      <w:bookmarkEnd w:id="228"/>
      <w:bookmarkEnd w:id="229"/>
      <w:bookmarkEnd w:id="230"/>
      <w:bookmarkEnd w:id="231"/>
      <w:r>
        <w:rPr>
          <w:rFonts w:hint="eastAsia" w:ascii="宋体" w:hAnsi="宋体" w:eastAsia="宋体" w:cs="宋体"/>
          <w:color w:val="000000" w:themeColor="text1"/>
          <w:highlight w:val="none"/>
          <w14:textFill>
            <w14:solidFill>
              <w14:schemeClr w14:val="tx1"/>
            </w14:solidFill>
          </w14:textFill>
        </w:rPr>
        <w:t>（不召开）</w:t>
      </w:r>
      <w:bookmarkEnd w:id="232"/>
      <w:bookmarkEnd w:id="233"/>
      <w:bookmarkEnd w:id="234"/>
      <w:bookmarkEnd w:id="235"/>
      <w:bookmarkEnd w:id="236"/>
      <w:bookmarkEnd w:id="237"/>
      <w:bookmarkEnd w:id="238"/>
    </w:p>
    <w:p w14:paraId="33ECFA29">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bookmarkStart w:id="239" w:name="_Toc40518999"/>
      <w:bookmarkStart w:id="240" w:name="_Toc144974507"/>
      <w:bookmarkStart w:id="241" w:name="_Toc247592876"/>
      <w:bookmarkStart w:id="242" w:name="_Toc417333977"/>
      <w:bookmarkStart w:id="243" w:name="_Toc247513962"/>
      <w:bookmarkStart w:id="244" w:name="_Toc4959"/>
      <w:bookmarkStart w:id="245" w:name="_Toc415819204"/>
      <w:bookmarkStart w:id="246" w:name="_Toc40708384"/>
      <w:bookmarkStart w:id="247" w:name="_Toc152042315"/>
      <w:bookmarkStart w:id="248" w:name="_Toc9285"/>
      <w:bookmarkStart w:id="249" w:name="_Toc81321221"/>
      <w:bookmarkStart w:id="250" w:name="_Toc11121"/>
      <w:bookmarkStart w:id="251" w:name="_Toc57369407"/>
      <w:bookmarkStart w:id="252" w:name="_Toc152045539"/>
      <w:bookmarkStart w:id="253" w:name="_Toc40795888"/>
      <w:bookmarkStart w:id="254" w:name="_Toc247527563"/>
      <w:r>
        <w:rPr>
          <w:rFonts w:hint="eastAsia" w:ascii="宋体" w:hAnsi="宋体" w:eastAsia="宋体" w:cs="宋体"/>
          <w:color w:val="000000" w:themeColor="text1"/>
          <w:szCs w:val="22"/>
          <w:highlight w:val="none"/>
          <w14:textFill>
            <w14:solidFill>
              <w14:schemeClr w14:val="tx1"/>
            </w14:solidFill>
          </w14:textFill>
        </w:rPr>
        <w:t>1.10.1 投标人须知前附表规定召开投标预备会的，采购人按投标人须知前附表规定的时间和地点召开投标预备会，澄清投标人提出的问题。</w:t>
      </w:r>
    </w:p>
    <w:p w14:paraId="247942FF">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1.10.2 投标人应在投标人须知前附表规定的时间前，以书面形式将提出的问题送达采购人，以便采购人在会议期间澄清。</w:t>
      </w:r>
    </w:p>
    <w:p w14:paraId="33E9EF7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1.10.3 投标预备会后，采购人在投标人须知前附表规定的时间内，将对投标人所提问题的澄清，以书面方式通知所有购买招标文件的投标人。该澄清内容为招标文件的组成部分。</w:t>
      </w:r>
    </w:p>
    <w:p w14:paraId="1CF9FB75">
      <w:pPr>
        <w:pStyle w:val="5"/>
        <w:widowControl/>
        <w:rPr>
          <w:rFonts w:hint="eastAsia" w:ascii="宋体" w:hAnsi="宋体" w:eastAsia="宋体" w:cs="宋体"/>
          <w:color w:val="000000" w:themeColor="text1"/>
          <w:highlight w:val="none"/>
          <w14:textFill>
            <w14:solidFill>
              <w14:schemeClr w14:val="tx1"/>
            </w14:solidFill>
          </w14:textFill>
        </w:rPr>
      </w:pPr>
      <w:bookmarkStart w:id="255" w:name="_Toc135922550"/>
      <w:bookmarkStart w:id="256" w:name="_Toc152045541"/>
      <w:bookmarkStart w:id="257" w:name="_Toc179632558"/>
      <w:bookmarkStart w:id="258" w:name="_Toc144974509"/>
      <w:bookmarkStart w:id="259" w:name="_Toc135648900"/>
      <w:bookmarkStart w:id="260" w:name="_Toc152042317"/>
      <w:r>
        <w:rPr>
          <w:rFonts w:hint="eastAsia" w:ascii="宋体" w:hAnsi="宋体" w:eastAsia="宋体" w:cs="宋体"/>
          <w:color w:val="000000" w:themeColor="text1"/>
          <w:highlight w:val="none"/>
          <w14:textFill>
            <w14:solidFill>
              <w14:schemeClr w14:val="tx1"/>
            </w14:solidFill>
          </w14:textFill>
        </w:rPr>
        <w:t>1.11 分包</w:t>
      </w:r>
      <w:bookmarkEnd w:id="255"/>
      <w:bookmarkEnd w:id="256"/>
      <w:bookmarkEnd w:id="257"/>
      <w:bookmarkEnd w:id="258"/>
      <w:bookmarkEnd w:id="259"/>
      <w:bookmarkEnd w:id="260"/>
    </w:p>
    <w:p w14:paraId="67B2B387">
      <w:pPr>
        <w:spacing w:line="400"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应符合投标人须知前附表规定。</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20C01524">
      <w:pPr>
        <w:pStyle w:val="4"/>
        <w:widowControl/>
        <w:rPr>
          <w:rFonts w:hint="eastAsia" w:ascii="宋体" w:hAnsi="宋体" w:eastAsia="宋体" w:cs="宋体"/>
          <w:color w:val="000000" w:themeColor="text1"/>
          <w:highlight w:val="none"/>
          <w14:textFill>
            <w14:solidFill>
              <w14:schemeClr w14:val="tx1"/>
            </w14:solidFill>
          </w14:textFill>
        </w:rPr>
      </w:pPr>
      <w:bookmarkStart w:id="261" w:name="_Toc144974510"/>
      <w:bookmarkStart w:id="262" w:name="_Toc32550"/>
      <w:bookmarkStart w:id="263" w:name="_Toc81321222"/>
      <w:bookmarkStart w:id="264" w:name="_Toc17419"/>
      <w:bookmarkStart w:id="265" w:name="_Toc246996187"/>
      <w:bookmarkStart w:id="266" w:name="_Toc12187"/>
      <w:bookmarkStart w:id="267" w:name="_Toc247085701"/>
      <w:bookmarkStart w:id="268" w:name="_Toc152045542"/>
      <w:bookmarkStart w:id="269" w:name="_Toc246996930"/>
      <w:bookmarkStart w:id="270" w:name="_Toc179632560"/>
      <w:bookmarkStart w:id="271" w:name="_Toc57369408"/>
      <w:bookmarkStart w:id="272" w:name="_Toc152042318"/>
      <w:bookmarkStart w:id="273" w:name="_Toc135648902"/>
      <w:r>
        <w:rPr>
          <w:rFonts w:hint="eastAsia" w:ascii="宋体" w:hAnsi="宋体" w:eastAsia="宋体" w:cs="宋体"/>
          <w:color w:val="000000" w:themeColor="text1"/>
          <w:highlight w:val="none"/>
          <w14:textFill>
            <w14:solidFill>
              <w14:schemeClr w14:val="tx1"/>
            </w14:solidFill>
          </w14:textFill>
        </w:rPr>
        <w:t>2. 招标文件</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4D6567DA">
      <w:pPr>
        <w:pStyle w:val="5"/>
        <w:widowControl/>
        <w:rPr>
          <w:rFonts w:hint="eastAsia" w:ascii="宋体" w:hAnsi="宋体" w:eastAsia="宋体" w:cs="宋体"/>
          <w:color w:val="000000" w:themeColor="text1"/>
          <w:highlight w:val="none"/>
          <w14:textFill>
            <w14:solidFill>
              <w14:schemeClr w14:val="tx1"/>
            </w14:solidFill>
          </w14:textFill>
        </w:rPr>
      </w:pPr>
      <w:bookmarkStart w:id="274" w:name="_Toc247085702"/>
      <w:bookmarkStart w:id="275" w:name="_Toc135922552"/>
      <w:bookmarkStart w:id="276" w:name="_Toc81321223"/>
      <w:bookmarkStart w:id="277" w:name="_Toc246996188"/>
      <w:bookmarkStart w:id="278" w:name="_Toc40708386"/>
      <w:bookmarkStart w:id="279" w:name="_Toc40795890"/>
      <w:bookmarkStart w:id="280" w:name="_Toc152042319"/>
      <w:bookmarkStart w:id="281" w:name="_Toc135648903"/>
      <w:bookmarkStart w:id="282" w:name="_Toc179632561"/>
      <w:bookmarkStart w:id="283" w:name="_Toc57369409"/>
      <w:bookmarkStart w:id="284" w:name="_Toc152045543"/>
      <w:bookmarkStart w:id="285" w:name="_Toc40519001"/>
      <w:bookmarkStart w:id="286" w:name="_Toc14415"/>
      <w:bookmarkStart w:id="287" w:name="_Toc144974511"/>
      <w:bookmarkStart w:id="288" w:name="_Toc14432"/>
      <w:bookmarkStart w:id="289" w:name="_Toc415819208"/>
      <w:bookmarkStart w:id="290" w:name="_Toc29325"/>
      <w:bookmarkStart w:id="291" w:name="_Toc417333981"/>
      <w:bookmarkStart w:id="292" w:name="_Toc246996931"/>
      <w:r>
        <w:rPr>
          <w:rFonts w:hint="eastAsia" w:ascii="宋体" w:hAnsi="宋体" w:eastAsia="宋体" w:cs="宋体"/>
          <w:color w:val="000000" w:themeColor="text1"/>
          <w:highlight w:val="none"/>
          <w14:textFill>
            <w14:solidFill>
              <w14:schemeClr w14:val="tx1"/>
            </w14:solidFill>
          </w14:textFill>
        </w:rPr>
        <w:t>2.1 招标文件的组成</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8FA7803">
      <w:pPr>
        <w:spacing w:line="360" w:lineRule="auto"/>
        <w:ind w:right="-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2.1.1 本招标文件包括：</w:t>
      </w:r>
    </w:p>
    <w:p w14:paraId="7A5C92D1">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（1）招标公告；</w:t>
      </w:r>
    </w:p>
    <w:p w14:paraId="6060B683">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（2）投标人须知；</w:t>
      </w:r>
    </w:p>
    <w:p w14:paraId="6C36E04F">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（3）评标办法；</w:t>
      </w:r>
    </w:p>
    <w:p w14:paraId="54075EC0">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（4）采购内容及要求；</w:t>
      </w:r>
    </w:p>
    <w:p w14:paraId="439847E5">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（5）合同条款及格式；</w:t>
      </w:r>
    </w:p>
    <w:p w14:paraId="7921EC38">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（6）投标文件格式；</w:t>
      </w:r>
    </w:p>
    <w:p w14:paraId="7117E6F9">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（7）投标人须知前附表规定的其他材料。</w:t>
      </w:r>
    </w:p>
    <w:p w14:paraId="537D8C8D">
      <w:pPr>
        <w:spacing w:line="360" w:lineRule="auto"/>
        <w:ind w:right="-1" w:firstLine="359" w:firstLineChars="1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2.1.2 根据本章对招标文件所作的澄清、修改（如有）等，构成招标文件的组成部分。</w:t>
      </w:r>
    </w:p>
    <w:p w14:paraId="69F6FE8F">
      <w:pPr>
        <w:pStyle w:val="5"/>
        <w:widowControl/>
        <w:rPr>
          <w:rFonts w:hint="eastAsia" w:ascii="宋体" w:hAnsi="宋体" w:eastAsia="宋体" w:cs="宋体"/>
          <w:color w:val="000000" w:themeColor="text1"/>
          <w:highlight w:val="none"/>
          <w14:textFill>
            <w14:solidFill>
              <w14:schemeClr w14:val="tx1"/>
            </w14:solidFill>
          </w14:textFill>
        </w:rPr>
      </w:pPr>
      <w:bookmarkStart w:id="293" w:name="_Toc179632562"/>
      <w:bookmarkStart w:id="294" w:name="_Toc152045544"/>
      <w:bookmarkStart w:id="295" w:name="_Toc417333982"/>
      <w:bookmarkStart w:id="296" w:name="_Toc9719"/>
      <w:bookmarkStart w:id="297" w:name="_Toc246996189"/>
      <w:bookmarkStart w:id="298" w:name="_Toc415819209"/>
      <w:bookmarkStart w:id="299" w:name="_Toc16336"/>
      <w:bookmarkStart w:id="300" w:name="_Toc8516"/>
      <w:bookmarkStart w:id="301" w:name="_Toc152042320"/>
      <w:bookmarkStart w:id="302" w:name="_Toc247085703"/>
      <w:bookmarkStart w:id="303" w:name="_Toc144974512"/>
      <w:bookmarkStart w:id="304" w:name="_Toc246996932"/>
      <w:r>
        <w:rPr>
          <w:rFonts w:hint="eastAsia" w:ascii="宋体" w:hAnsi="宋体" w:eastAsia="宋体" w:cs="宋体"/>
          <w:color w:val="000000" w:themeColor="text1"/>
          <w:highlight w:val="none"/>
          <w14:textFill>
            <w14:solidFill>
              <w14:schemeClr w14:val="tx1"/>
            </w14:solidFill>
          </w14:textFill>
        </w:rPr>
        <w:t>2.2</w:t>
      </w:r>
      <w:bookmarkEnd w:id="293"/>
      <w:bookmarkEnd w:id="294"/>
      <w:bookmarkEnd w:id="295"/>
      <w:bookmarkEnd w:id="296"/>
      <w:bookmarkEnd w:id="297"/>
      <w:bookmarkEnd w:id="298"/>
      <w:bookmarkEnd w:id="299"/>
      <w:bookmarkEnd w:id="300"/>
      <w:bookmarkEnd w:id="301"/>
      <w:bookmarkEnd w:id="302"/>
      <w:bookmarkEnd w:id="303"/>
      <w:bookmarkEnd w:id="304"/>
      <w:r>
        <w:rPr>
          <w:rFonts w:hint="eastAsia" w:ascii="宋体" w:hAnsi="宋体" w:eastAsia="宋体" w:cs="宋体"/>
          <w:color w:val="000000" w:themeColor="text1"/>
          <w:highlight w:val="none"/>
          <w14:textFill>
            <w14:solidFill>
              <w14:schemeClr w14:val="tx1"/>
            </w14:solidFill>
          </w14:textFill>
        </w:rPr>
        <w:t>招标文件的疑问、澄清、说明或者补正</w:t>
      </w:r>
    </w:p>
    <w:p w14:paraId="36F0FC6C">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2.2.1投标人对招标文件提出疑问的，应在投标须知前附表规定的时间内在电子交易系统中提出。</w:t>
      </w:r>
    </w:p>
    <w:p w14:paraId="2D0F6F97">
      <w:pPr>
        <w:spacing w:line="360" w:lineRule="auto"/>
        <w:ind w:right="42" w:rightChars="20"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2.2.2 采购人将在电子交易系统等原公告媒体将招标文件的澄清、说明或者补正进行公示，</w:t>
      </w:r>
      <w:r>
        <w:rPr>
          <w:rFonts w:hint="eastAsia" w:ascii="宋体" w:hAnsi="宋体" w:eastAsia="宋体" w:cs="宋体"/>
          <w:color w:val="000000" w:themeColor="text1"/>
          <w:szCs w:val="22"/>
          <w:highlight w:val="none"/>
          <w14:textFill>
            <w14:solidFill>
              <w14:schemeClr w14:val="tx1"/>
            </w14:solidFill>
          </w14:textFill>
        </w:rPr>
        <w:t>此公示视作已送达所有投标人</w:t>
      </w:r>
      <w:r>
        <w:rPr>
          <w:rFonts w:hint="eastAsia" w:ascii="宋体" w:hAnsi="宋体" w:eastAsia="宋体" w:cs="宋体"/>
          <w:color w:val="000000" w:themeColor="text1"/>
          <w:highlight w:val="none"/>
          <w14:textFill>
            <w14:solidFill>
              <w14:schemeClr w14:val="tx1"/>
            </w14:solidFill>
          </w14:textFill>
        </w:rPr>
        <w:t>。如果澄清、说明或者补正发出的时间距投标人须知前附表规定的投标截止时间不足15日，并且澄清、说明或者补正内容影响投标文件编制的，将相应延长投标截止时间。</w:t>
      </w:r>
    </w:p>
    <w:p w14:paraId="2EA594BF">
      <w:pPr>
        <w:widowControl/>
        <w:spacing w:line="360" w:lineRule="auto"/>
        <w:ind w:right="42" w:rightChars="2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2.2.3除非采购人认为有必要答复，否则，采购人有权拒绝回复投标人在本章第2.2.1项规定的时间后的任何澄清要求。</w:t>
      </w:r>
    </w:p>
    <w:p w14:paraId="760AE966">
      <w:pPr>
        <w:widowControl/>
        <w:spacing w:line="360" w:lineRule="auto"/>
        <w:ind w:right="42" w:rightChars="20" w:firstLine="424" w:firstLineChars="202"/>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2.2.4投标人应及时关注电子交易系统等公告媒体发布的与招标项目相关的信息，如因投标人自身原因未及时获取有关信息，由此造成的对投标不利的后果由投标人自负。</w:t>
      </w:r>
    </w:p>
    <w:p w14:paraId="3F232DA8">
      <w:pPr>
        <w:pStyle w:val="4"/>
        <w:widowControl/>
        <w:rPr>
          <w:rFonts w:hint="eastAsia" w:ascii="宋体" w:hAnsi="宋体" w:eastAsia="宋体" w:cs="宋体"/>
          <w:color w:val="000000" w:themeColor="text1"/>
          <w:highlight w:val="none"/>
          <w14:textFill>
            <w14:solidFill>
              <w14:schemeClr w14:val="tx1"/>
            </w14:solidFill>
          </w14:textFill>
        </w:rPr>
      </w:pPr>
      <w:bookmarkStart w:id="305" w:name="_Toc81321224"/>
      <w:bookmarkStart w:id="306" w:name="_Toc246996934"/>
      <w:bookmarkStart w:id="307" w:name="_Toc144974514"/>
      <w:bookmarkStart w:id="308" w:name="_Toc152042322"/>
      <w:bookmarkStart w:id="309" w:name="_Toc152045546"/>
      <w:bookmarkStart w:id="310" w:name="_Toc26305"/>
      <w:bookmarkStart w:id="311" w:name="_Toc21404"/>
      <w:bookmarkStart w:id="312" w:name="_Toc179632564"/>
      <w:bookmarkStart w:id="313" w:name="_Toc57369410"/>
      <w:bookmarkStart w:id="314" w:name="_Toc135648904"/>
      <w:bookmarkStart w:id="315" w:name="_Toc247085705"/>
      <w:bookmarkStart w:id="316" w:name="_Toc7141"/>
      <w:bookmarkStart w:id="317" w:name="_Toc246996191"/>
      <w:r>
        <w:rPr>
          <w:rFonts w:hint="eastAsia" w:ascii="宋体" w:hAnsi="宋体" w:eastAsia="宋体" w:cs="宋体"/>
          <w:color w:val="000000" w:themeColor="text1"/>
          <w:highlight w:val="none"/>
          <w14:textFill>
            <w14:solidFill>
              <w14:schemeClr w14:val="tx1"/>
            </w14:solidFill>
          </w14:textFill>
        </w:rPr>
        <w:t>3. 投标文件</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0485222C">
      <w:pPr>
        <w:pStyle w:val="5"/>
        <w:widowControl/>
        <w:rPr>
          <w:rFonts w:hint="eastAsia" w:ascii="宋体" w:hAnsi="宋体" w:eastAsia="宋体" w:cs="宋体"/>
          <w:color w:val="000000" w:themeColor="text1"/>
          <w:highlight w:val="none"/>
          <w14:textFill>
            <w14:solidFill>
              <w14:schemeClr w14:val="tx1"/>
            </w14:solidFill>
          </w14:textFill>
        </w:rPr>
      </w:pPr>
      <w:bookmarkStart w:id="318" w:name="_Toc246996935"/>
      <w:bookmarkStart w:id="319" w:name="_Toc179632565"/>
      <w:bookmarkStart w:id="320" w:name="_Toc19365"/>
      <w:bookmarkStart w:id="321" w:name="_Toc22603"/>
      <w:bookmarkStart w:id="322" w:name="_Toc152042323"/>
      <w:bookmarkStart w:id="323" w:name="_Toc144974515"/>
      <w:bookmarkStart w:id="324" w:name="_Toc4811"/>
      <w:bookmarkStart w:id="325" w:name="_Toc415819212"/>
      <w:bookmarkStart w:id="326" w:name="_Toc417333985"/>
      <w:bookmarkStart w:id="327" w:name="_Toc246996192"/>
      <w:bookmarkStart w:id="328" w:name="_Toc152045547"/>
      <w:bookmarkStart w:id="329" w:name="_Toc247085706"/>
      <w:r>
        <w:rPr>
          <w:rFonts w:hint="eastAsia" w:ascii="宋体" w:hAnsi="宋体" w:eastAsia="宋体" w:cs="宋体"/>
          <w:color w:val="000000" w:themeColor="text1"/>
          <w:highlight w:val="none"/>
          <w14:textFill>
            <w14:solidFill>
              <w14:schemeClr w14:val="tx1"/>
            </w14:solidFill>
          </w14:textFill>
        </w:rPr>
        <w:t>3.1 投标文件的组成</w:t>
      </w:r>
      <w:bookmarkEnd w:id="318"/>
      <w:bookmarkEnd w:id="319"/>
      <w:bookmarkEnd w:id="320"/>
      <w:bookmarkEnd w:id="321"/>
      <w:bookmarkEnd w:id="322"/>
      <w:bookmarkEnd w:id="323"/>
      <w:bookmarkEnd w:id="324"/>
      <w:bookmarkEnd w:id="325"/>
      <w:bookmarkEnd w:id="326"/>
      <w:bookmarkEnd w:id="327"/>
      <w:bookmarkEnd w:id="328"/>
      <w:bookmarkEnd w:id="329"/>
    </w:p>
    <w:p w14:paraId="58065718">
      <w:pPr>
        <w:spacing w:line="360" w:lineRule="auto"/>
        <w:ind w:firstLine="21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投标文件至少应包括第六章投标文件格式要求的内容。</w:t>
      </w:r>
    </w:p>
    <w:p w14:paraId="41FC24E3">
      <w:pPr>
        <w:pStyle w:val="5"/>
        <w:widowControl/>
        <w:rPr>
          <w:rFonts w:hint="eastAsia" w:ascii="宋体" w:hAnsi="宋体" w:eastAsia="宋体" w:cs="宋体"/>
          <w:color w:val="000000" w:themeColor="text1"/>
          <w:highlight w:val="none"/>
          <w14:textFill>
            <w14:solidFill>
              <w14:schemeClr w14:val="tx1"/>
            </w14:solidFill>
          </w14:textFill>
        </w:rPr>
      </w:pPr>
      <w:bookmarkStart w:id="330" w:name="_Toc415819213"/>
      <w:bookmarkStart w:id="331" w:name="_Toc246996193"/>
      <w:bookmarkStart w:id="332" w:name="_Toc10834"/>
      <w:bookmarkStart w:id="333" w:name="_Toc152042324"/>
      <w:bookmarkStart w:id="334" w:name="_Toc246996936"/>
      <w:bookmarkStart w:id="335" w:name="_Toc28278"/>
      <w:bookmarkStart w:id="336" w:name="_Toc417333986"/>
      <w:bookmarkStart w:id="337" w:name="_Toc152045548"/>
      <w:bookmarkStart w:id="338" w:name="_Toc179632566"/>
      <w:bookmarkStart w:id="339" w:name="_Toc144974516"/>
      <w:bookmarkStart w:id="340" w:name="_Toc7902"/>
      <w:bookmarkStart w:id="341" w:name="_Toc247085707"/>
      <w:r>
        <w:rPr>
          <w:rFonts w:hint="eastAsia" w:ascii="宋体" w:hAnsi="宋体" w:eastAsia="宋体" w:cs="宋体"/>
          <w:color w:val="000000" w:themeColor="text1"/>
          <w:highlight w:val="none"/>
          <w14:textFill>
            <w14:solidFill>
              <w14:schemeClr w14:val="tx1"/>
            </w14:solidFill>
          </w14:textFill>
        </w:rPr>
        <w:t>3.2 投标报价</w:t>
      </w:r>
      <w:bookmarkEnd w:id="330"/>
      <w:bookmarkEnd w:id="331"/>
      <w:bookmarkEnd w:id="332"/>
      <w:bookmarkEnd w:id="333"/>
      <w:bookmarkEnd w:id="334"/>
      <w:bookmarkEnd w:id="335"/>
      <w:bookmarkEnd w:id="336"/>
      <w:bookmarkEnd w:id="337"/>
      <w:bookmarkEnd w:id="338"/>
      <w:bookmarkEnd w:id="339"/>
      <w:bookmarkEnd w:id="340"/>
      <w:bookmarkEnd w:id="341"/>
    </w:p>
    <w:p w14:paraId="118E804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3.2.1投标人应参考采购人提供的招标内容，考虑物价上涨、政策性调整等诸多因素，结合本项目实</w:t>
      </w:r>
      <w:r>
        <w:rPr>
          <w:rFonts w:hint="eastAsia" w:ascii="宋体" w:hAnsi="宋体" w:eastAsia="宋体" w:cs="宋体"/>
          <w:color w:val="000000" w:themeColor="text1"/>
          <w:highlight w:val="none"/>
          <w14:textFill>
            <w14:solidFill>
              <w14:schemeClr w14:val="tx1"/>
            </w14:solidFill>
          </w14:textFill>
        </w:rPr>
        <w:t>际情况和企业成本、市场行情自主报价。一经中标，投标总价作为中标单位与采购人签定的合同上限金额，合同期限内不得突破。采购人不承担合同价以外的其它任何费用。</w:t>
      </w:r>
    </w:p>
    <w:p w14:paraId="627A8CB8">
      <w:pPr>
        <w:spacing w:line="360" w:lineRule="auto"/>
        <w:ind w:right="-1" w:firstLine="424" w:firstLineChars="202"/>
        <w:rPr>
          <w:rFonts w:hint="eastAsia" w:ascii="宋体" w:hAnsi="宋体" w:eastAsia="宋体" w:cs="宋体"/>
          <w:color w:val="000000" w:themeColor="text1"/>
          <w:highlight w:val="none"/>
          <w14:textFill>
            <w14:solidFill>
              <w14:schemeClr w14:val="tx1"/>
            </w14:solidFill>
          </w14:textFill>
        </w:rPr>
      </w:pPr>
      <w:bookmarkStart w:id="342" w:name="_Toc179632567"/>
      <w:bookmarkStart w:id="343" w:name="_Toc152045549"/>
      <w:bookmarkStart w:id="344" w:name="_Toc144974517"/>
      <w:bookmarkStart w:id="345" w:name="_Toc152042325"/>
      <w:r>
        <w:rPr>
          <w:rFonts w:hint="eastAsia" w:ascii="宋体" w:hAnsi="宋体" w:eastAsia="宋体" w:cs="宋体"/>
          <w:color w:val="000000" w:themeColor="text1"/>
          <w:highlight w:val="none"/>
          <w14:textFill>
            <w14:solidFill>
              <w14:schemeClr w14:val="tx1"/>
            </w14:solidFill>
          </w14:textFill>
        </w:rPr>
        <w:t>3.2.2采购人设有最高投标限价的，投标人的投标报价不得超过最高投标限价，最高投标限价或其计算方法在投标人须知前附表中载明。</w:t>
      </w:r>
    </w:p>
    <w:p w14:paraId="24868611">
      <w:pPr>
        <w:pStyle w:val="5"/>
        <w:widowControl/>
        <w:rPr>
          <w:rFonts w:hint="eastAsia" w:ascii="宋体" w:hAnsi="宋体" w:eastAsia="宋体" w:cs="宋体"/>
          <w:color w:val="000000" w:themeColor="text1"/>
          <w:highlight w:val="none"/>
          <w14:textFill>
            <w14:solidFill>
              <w14:schemeClr w14:val="tx1"/>
            </w14:solidFill>
          </w14:textFill>
        </w:rPr>
      </w:pPr>
      <w:bookmarkStart w:id="346" w:name="_Toc246996937"/>
      <w:bookmarkStart w:id="347" w:name="_Toc40519003"/>
      <w:bookmarkStart w:id="348" w:name="_Toc22703"/>
      <w:bookmarkStart w:id="349" w:name="_Toc40708388"/>
      <w:bookmarkStart w:id="350" w:name="_Toc415819214"/>
      <w:bookmarkStart w:id="351" w:name="_Toc6031"/>
      <w:bookmarkStart w:id="352" w:name="_Toc40795892"/>
      <w:bookmarkStart w:id="353" w:name="_Toc247085708"/>
      <w:bookmarkStart w:id="354" w:name="_Toc135922553"/>
      <w:bookmarkStart w:id="355" w:name="_Toc57369411"/>
      <w:bookmarkStart w:id="356" w:name="_Toc28469"/>
      <w:bookmarkStart w:id="357" w:name="_Toc81321225"/>
      <w:bookmarkStart w:id="358" w:name="_Toc417333987"/>
      <w:bookmarkStart w:id="359" w:name="_Toc246996194"/>
      <w:bookmarkStart w:id="360" w:name="_Toc135648905"/>
      <w:r>
        <w:rPr>
          <w:rFonts w:hint="eastAsia" w:ascii="宋体" w:hAnsi="宋体" w:eastAsia="宋体" w:cs="宋体"/>
          <w:color w:val="000000" w:themeColor="text1"/>
          <w:highlight w:val="none"/>
          <w14:textFill>
            <w14:solidFill>
              <w14:schemeClr w14:val="tx1"/>
            </w14:solidFill>
          </w14:textFill>
        </w:rPr>
        <w:t>3.3 投标有效期</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1ED69CD5">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3.3.1 详见投标人须知前附表。</w:t>
      </w:r>
    </w:p>
    <w:p w14:paraId="6F6DEA43">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3.3.2在投标有效期内，投标人撤销或修改其投标文件的，应承担招标文件和法律规定的责任。</w:t>
      </w:r>
    </w:p>
    <w:p w14:paraId="78747407">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3.3.3出现特殊情况需要延长投标有效期的，采购人通知所有投标人延长投标有效期。投标人同意延长的，应相应延长其投标保证金的有效期，但不得要求或被允许修改或撤销其投标文件；投标人拒绝延长的，其投标失效</w:t>
      </w:r>
      <w:r>
        <w:rPr>
          <w:rFonts w:hint="eastAsia" w:ascii="宋体" w:hAnsi="宋体" w:eastAsia="宋体" w:cs="宋体"/>
          <w:color w:val="000000" w:themeColor="text1"/>
          <w:szCs w:val="22"/>
          <w:highlight w:val="none"/>
          <w14:textFill>
            <w14:solidFill>
              <w14:schemeClr w14:val="tx1"/>
            </w14:solidFill>
          </w14:textFill>
        </w:rPr>
        <w:t>，但投标人有权收回其投标保证金。</w:t>
      </w:r>
    </w:p>
    <w:p w14:paraId="3AC8D6D0">
      <w:pPr>
        <w:pStyle w:val="5"/>
        <w:widowControl/>
        <w:rPr>
          <w:rFonts w:hint="eastAsia" w:ascii="宋体" w:hAnsi="宋体" w:eastAsia="宋体" w:cs="宋体"/>
          <w:b w:val="0"/>
          <w:color w:val="000000" w:themeColor="text1"/>
          <w:highlight w:val="none"/>
          <w14:textFill>
            <w14:solidFill>
              <w14:schemeClr w14:val="tx1"/>
            </w14:solidFill>
          </w14:textFill>
        </w:rPr>
      </w:pPr>
      <w:bookmarkStart w:id="361" w:name="_Toc246996938"/>
      <w:bookmarkStart w:id="362" w:name="_Toc415819215"/>
      <w:bookmarkStart w:id="363" w:name="_Toc22305"/>
      <w:bookmarkStart w:id="364" w:name="_Toc152045550"/>
      <w:bookmarkStart w:id="365" w:name="_Toc179632568"/>
      <w:bookmarkStart w:id="366" w:name="_Toc27694"/>
      <w:bookmarkStart w:id="367" w:name="_Toc12397"/>
      <w:bookmarkStart w:id="368" w:name="_Toc247085709"/>
      <w:bookmarkStart w:id="369" w:name="_Toc246996195"/>
      <w:bookmarkStart w:id="370" w:name="_Toc417333988"/>
      <w:bookmarkStart w:id="371" w:name="_Toc144974518"/>
      <w:bookmarkStart w:id="372" w:name="_Toc152042326"/>
      <w:bookmarkStart w:id="373" w:name="_Toc57369412"/>
      <w:bookmarkStart w:id="374" w:name="_Toc81321226"/>
      <w:bookmarkStart w:id="375" w:name="_Toc135648906"/>
      <w:bookmarkStart w:id="376" w:name="_Toc40519004"/>
      <w:bookmarkStart w:id="377" w:name="_Toc135922554"/>
      <w:bookmarkStart w:id="378" w:name="_Toc40795893"/>
      <w:bookmarkStart w:id="379" w:name="_Toc40708389"/>
      <w:r>
        <w:rPr>
          <w:rStyle w:val="29"/>
          <w:rFonts w:hint="eastAsia" w:ascii="宋体" w:hAnsi="宋体" w:eastAsia="宋体" w:cs="宋体"/>
          <w:b/>
          <w:bCs w:val="0"/>
          <w:color w:val="000000" w:themeColor="text1"/>
          <w:highlight w:val="none"/>
          <w14:textFill>
            <w14:solidFill>
              <w14:schemeClr w14:val="tx1"/>
            </w14:solidFill>
          </w14:textFill>
        </w:rPr>
        <w:t>3.4 投标保证金</w:t>
      </w:r>
      <w:bookmarkEnd w:id="361"/>
      <w:bookmarkEnd w:id="362"/>
      <w:bookmarkEnd w:id="363"/>
      <w:bookmarkEnd w:id="364"/>
      <w:bookmarkEnd w:id="365"/>
      <w:bookmarkEnd w:id="366"/>
      <w:bookmarkEnd w:id="367"/>
      <w:bookmarkEnd w:id="368"/>
      <w:bookmarkEnd w:id="369"/>
      <w:bookmarkEnd w:id="370"/>
      <w:bookmarkEnd w:id="371"/>
      <w:bookmarkEnd w:id="372"/>
      <w:r>
        <w:rPr>
          <w:rStyle w:val="29"/>
          <w:rFonts w:hint="eastAsia" w:ascii="宋体" w:hAnsi="宋体" w:eastAsia="宋体" w:cs="宋体"/>
          <w:b/>
          <w:bCs w:val="0"/>
          <w:color w:val="000000" w:themeColor="text1"/>
          <w:highlight w:val="none"/>
          <w14:textFill>
            <w14:solidFill>
              <w14:schemeClr w14:val="tx1"/>
            </w14:solidFill>
          </w14:textFill>
        </w:rPr>
        <w:t>（不适用</w:t>
      </w:r>
      <w:r>
        <w:rPr>
          <w:rFonts w:hint="eastAsia" w:ascii="宋体" w:hAnsi="宋体" w:eastAsia="宋体" w:cs="宋体"/>
          <w:b w:val="0"/>
          <w:color w:val="000000" w:themeColor="text1"/>
          <w:highlight w:val="none"/>
          <w14:textFill>
            <w14:solidFill>
              <w14:schemeClr w14:val="tx1"/>
            </w14:solidFill>
          </w14:textFill>
        </w:rPr>
        <w:t>）</w:t>
      </w:r>
      <w:bookmarkEnd w:id="373"/>
      <w:bookmarkEnd w:id="374"/>
      <w:bookmarkEnd w:id="375"/>
      <w:bookmarkEnd w:id="376"/>
      <w:bookmarkEnd w:id="377"/>
      <w:bookmarkEnd w:id="378"/>
      <w:bookmarkEnd w:id="379"/>
    </w:p>
    <w:p w14:paraId="165C9511">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3.4.1 投标人应按投标人须知前附表的规定递交投标保证金，</w:t>
      </w:r>
      <w:r>
        <w:rPr>
          <w:rFonts w:hint="eastAsia" w:ascii="宋体" w:hAnsi="宋体" w:eastAsia="宋体" w:cs="宋体"/>
          <w:color w:val="000000" w:themeColor="text1"/>
          <w:szCs w:val="22"/>
          <w:highlight w:val="none"/>
          <w14:textFill>
            <w14:solidFill>
              <w14:schemeClr w14:val="tx1"/>
            </w14:solidFill>
          </w14:textFill>
        </w:rPr>
        <w:t>并作为其投标文件的组成部分。</w:t>
      </w:r>
      <w:r>
        <w:rPr>
          <w:rFonts w:hint="eastAsia" w:ascii="宋体" w:hAnsi="宋体" w:eastAsia="宋体" w:cs="宋体"/>
          <w:color w:val="000000" w:themeColor="text1"/>
          <w:highlight w:val="none"/>
          <w14:textFill>
            <w14:solidFill>
              <w14:schemeClr w14:val="tx1"/>
            </w14:solidFill>
          </w14:textFill>
        </w:rPr>
        <w:t>投标人不按要求提交投标保证金的，评标委员会将否决其投标。</w:t>
      </w:r>
    </w:p>
    <w:p w14:paraId="32295CD3">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3.4.2 采购人自中标通知书发出之日起5个工作日内退还未中标人的投标保证金，自采购合同签订之日起5个工作日内退还中标人的投标保证金。</w:t>
      </w:r>
      <w:r>
        <w:rPr>
          <w:rFonts w:hint="eastAsia" w:ascii="宋体" w:hAnsi="宋体" w:eastAsia="宋体" w:cs="宋体"/>
          <w:color w:val="000000" w:themeColor="text1"/>
          <w:kern w:val="0"/>
          <w:highlight w:val="none"/>
          <w14:textFill>
            <w14:solidFill>
              <w14:schemeClr w14:val="tx1"/>
            </w14:solidFill>
          </w14:textFill>
        </w:rPr>
        <w:t>但因投标人自身原因导致无法及时退还的除外。</w:t>
      </w:r>
    </w:p>
    <w:p w14:paraId="0CB12134">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3.4.3 有下列情形之一的，投标保证金将不予退还： </w:t>
      </w:r>
    </w:p>
    <w:p w14:paraId="0851C849">
      <w:pPr>
        <w:spacing w:line="400" w:lineRule="exact"/>
        <w:ind w:right="-1"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（1）投标截止时间后及投标有效期内投标人撤销投标文件的；</w:t>
      </w:r>
    </w:p>
    <w:p w14:paraId="71006A74">
      <w:pPr>
        <w:spacing w:line="400" w:lineRule="exact"/>
        <w:ind w:right="-1"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（2）投标人在投标文件中提供虚假资料的；</w:t>
      </w:r>
    </w:p>
    <w:p w14:paraId="71D10E99">
      <w:pPr>
        <w:spacing w:line="400" w:lineRule="exact"/>
        <w:ind w:right="-1"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（3）中标后无正当理由不与采购人签订合同的；</w:t>
      </w:r>
    </w:p>
    <w:p w14:paraId="033A560E">
      <w:pPr>
        <w:spacing w:line="400" w:lineRule="exact"/>
        <w:ind w:right="-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（4）将中标项目转让给他人，或者在投标文件中未说明，且未经采购人同意，将中标项目分包给他人的；</w:t>
      </w:r>
    </w:p>
    <w:p w14:paraId="1736E6A1">
      <w:pPr>
        <w:spacing w:line="400" w:lineRule="exact"/>
        <w:ind w:right="-1" w:firstLine="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（5）拒绝履行合同义务的；</w:t>
      </w:r>
    </w:p>
    <w:p w14:paraId="21AD18BF">
      <w:pPr>
        <w:spacing w:line="400" w:lineRule="exact"/>
        <w:ind w:right="-1" w:firstLine="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（6）投标人与采购人、其他投标人或者采购代理机构恶意串通的；</w:t>
      </w:r>
    </w:p>
    <w:p w14:paraId="78FB7B97">
      <w:pPr>
        <w:spacing w:line="400" w:lineRule="exact"/>
        <w:ind w:right="-1" w:firstLine="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（7）法律法规禁止的其它情形。</w:t>
      </w:r>
    </w:p>
    <w:p w14:paraId="6BBC043A">
      <w:pPr>
        <w:pStyle w:val="5"/>
        <w:widowControl/>
        <w:rPr>
          <w:rFonts w:hint="eastAsia" w:ascii="宋体" w:hAnsi="宋体" w:eastAsia="宋体" w:cs="宋体"/>
          <w:color w:val="000000" w:themeColor="text1"/>
          <w:highlight w:val="none"/>
          <w14:textFill>
            <w14:solidFill>
              <w14:schemeClr w14:val="tx1"/>
            </w14:solidFill>
          </w14:textFill>
        </w:rPr>
      </w:pPr>
      <w:bookmarkStart w:id="380" w:name="_Toc40708390"/>
      <w:bookmarkStart w:id="381" w:name="_Toc97"/>
      <w:bookmarkStart w:id="382" w:name="_Toc27983"/>
      <w:bookmarkStart w:id="383" w:name="_Toc32406"/>
      <w:bookmarkStart w:id="384" w:name="_Toc40795894"/>
      <w:bookmarkStart w:id="385" w:name="_Toc135922555"/>
      <w:bookmarkStart w:id="386" w:name="_Toc81321227"/>
      <w:bookmarkStart w:id="387" w:name="_Toc40519005"/>
      <w:bookmarkStart w:id="388" w:name="_Toc57369413"/>
      <w:bookmarkStart w:id="389" w:name="_Toc415819217"/>
      <w:bookmarkStart w:id="390" w:name="_Toc417333990"/>
      <w:bookmarkStart w:id="391" w:name="_Toc135648907"/>
      <w:bookmarkStart w:id="392" w:name="_Toc152045553"/>
      <w:bookmarkStart w:id="393" w:name="_Toc246996197"/>
      <w:bookmarkStart w:id="394" w:name="_Toc246996940"/>
      <w:bookmarkStart w:id="395" w:name="_Toc247085711"/>
      <w:bookmarkStart w:id="396" w:name="_Toc179632571"/>
      <w:bookmarkStart w:id="397" w:name="_Toc144974521"/>
      <w:bookmarkStart w:id="398" w:name="_Toc152042329"/>
      <w:r>
        <w:rPr>
          <w:rFonts w:hint="eastAsia" w:ascii="宋体" w:hAnsi="宋体" w:eastAsia="宋体" w:cs="宋体"/>
          <w:color w:val="000000" w:themeColor="text1"/>
          <w:highlight w:val="none"/>
          <w14:textFill>
            <w14:solidFill>
              <w14:schemeClr w14:val="tx1"/>
            </w14:solidFill>
          </w14:textFill>
        </w:rPr>
        <w:t>3.5 投标文件的编制</w:t>
      </w:r>
      <w:bookmarkEnd w:id="380"/>
      <w:bookmarkEnd w:id="381"/>
      <w:bookmarkEnd w:id="382"/>
      <w:bookmarkEnd w:id="383"/>
      <w:bookmarkEnd w:id="384"/>
      <w:bookmarkEnd w:id="385"/>
      <w:bookmarkEnd w:id="386"/>
      <w:bookmarkEnd w:id="387"/>
      <w:bookmarkEnd w:id="388"/>
      <w:bookmarkEnd w:id="389"/>
      <w:bookmarkEnd w:id="390"/>
      <w:bookmarkEnd w:id="391"/>
    </w:p>
    <w:p w14:paraId="491D12F6">
      <w:pPr>
        <w:spacing w:line="360" w:lineRule="auto"/>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须严格按第六章“投标文件格式”进行编写，提供有格式的须按照招标文件格式填写；如有必要，可以增加附页，作为投标文件的组成部分。其中，开标一览表在满足招标文件实质性要求的基础上，可以提出比招标文件要求更有利于采购人的承诺。</w:t>
      </w:r>
    </w:p>
    <w:bookmarkEnd w:id="392"/>
    <w:bookmarkEnd w:id="393"/>
    <w:bookmarkEnd w:id="394"/>
    <w:bookmarkEnd w:id="395"/>
    <w:bookmarkEnd w:id="396"/>
    <w:bookmarkEnd w:id="397"/>
    <w:bookmarkEnd w:id="398"/>
    <w:p w14:paraId="6DF90CE1">
      <w:pPr>
        <w:pStyle w:val="4"/>
        <w:widowControl/>
        <w:rPr>
          <w:rFonts w:hint="eastAsia" w:ascii="宋体" w:hAnsi="宋体" w:eastAsia="宋体" w:cs="宋体"/>
          <w:color w:val="000000" w:themeColor="text1"/>
          <w:highlight w:val="none"/>
          <w14:textFill>
            <w14:solidFill>
              <w14:schemeClr w14:val="tx1"/>
            </w14:solidFill>
          </w14:textFill>
        </w:rPr>
      </w:pPr>
      <w:bookmarkStart w:id="399" w:name="_Toc21416"/>
      <w:bookmarkStart w:id="400" w:name="_Toc152045555"/>
      <w:bookmarkStart w:id="401" w:name="_Toc9991"/>
      <w:bookmarkStart w:id="402" w:name="_Toc152042331"/>
      <w:bookmarkStart w:id="403" w:name="_Toc135648908"/>
      <w:bookmarkStart w:id="404" w:name="_Toc57369414"/>
      <w:bookmarkStart w:id="405" w:name="_Toc246996942"/>
      <w:bookmarkStart w:id="406" w:name="_Toc29306"/>
      <w:bookmarkStart w:id="407" w:name="_Toc81321228"/>
      <w:bookmarkStart w:id="408" w:name="_Toc144974523"/>
      <w:bookmarkStart w:id="409" w:name="_Toc179632573"/>
      <w:bookmarkStart w:id="410" w:name="_Toc246996199"/>
      <w:bookmarkStart w:id="411" w:name="_Toc247085713"/>
      <w:r>
        <w:rPr>
          <w:rFonts w:hint="eastAsia" w:ascii="宋体" w:hAnsi="宋体" w:eastAsia="宋体" w:cs="宋体"/>
          <w:color w:val="000000" w:themeColor="text1"/>
          <w:highlight w:val="none"/>
          <w14:textFill>
            <w14:solidFill>
              <w14:schemeClr w14:val="tx1"/>
            </w14:solidFill>
          </w14:textFill>
        </w:rPr>
        <w:t>4. 投标</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3EE1DBB0">
      <w:pPr>
        <w:pStyle w:val="5"/>
        <w:widowControl/>
        <w:rPr>
          <w:rFonts w:hint="eastAsia" w:ascii="宋体" w:hAnsi="宋体" w:eastAsia="宋体" w:cs="宋体"/>
          <w:color w:val="000000" w:themeColor="text1"/>
          <w:highlight w:val="none"/>
          <w14:textFill>
            <w14:solidFill>
              <w14:schemeClr w14:val="tx1"/>
            </w14:solidFill>
          </w14:textFill>
        </w:rPr>
      </w:pPr>
      <w:bookmarkStart w:id="412" w:name="_Toc247085715"/>
      <w:bookmarkStart w:id="413" w:name="_Toc179632575"/>
      <w:bookmarkStart w:id="414" w:name="_Toc417333993"/>
      <w:bookmarkStart w:id="415" w:name="_Toc144974525"/>
      <w:bookmarkStart w:id="416" w:name="_Toc2436"/>
      <w:bookmarkStart w:id="417" w:name="_Toc19529"/>
      <w:bookmarkStart w:id="418" w:name="_Toc246996201"/>
      <w:bookmarkStart w:id="419" w:name="_Toc152042333"/>
      <w:bookmarkStart w:id="420" w:name="_Toc246996944"/>
      <w:bookmarkStart w:id="421" w:name="_Toc415819220"/>
      <w:bookmarkStart w:id="422" w:name="_Toc2976"/>
      <w:bookmarkStart w:id="423" w:name="_Toc152045557"/>
      <w:r>
        <w:rPr>
          <w:rFonts w:hint="eastAsia" w:ascii="宋体" w:hAnsi="宋体" w:eastAsia="宋体" w:cs="宋体"/>
          <w:color w:val="000000" w:themeColor="text1"/>
          <w:highlight w:val="none"/>
          <w14:textFill>
            <w14:solidFill>
              <w14:schemeClr w14:val="tx1"/>
            </w14:solidFill>
          </w14:textFill>
        </w:rPr>
        <w:t>4.1 投标文件的递交</w:t>
      </w:r>
      <w:bookmarkEnd w:id="412"/>
      <w:bookmarkEnd w:id="413"/>
      <w:bookmarkEnd w:id="414"/>
      <w:bookmarkEnd w:id="415"/>
      <w:bookmarkEnd w:id="416"/>
      <w:bookmarkEnd w:id="417"/>
      <w:bookmarkEnd w:id="418"/>
      <w:bookmarkEnd w:id="419"/>
      <w:bookmarkEnd w:id="420"/>
      <w:bookmarkEnd w:id="421"/>
      <w:bookmarkEnd w:id="422"/>
      <w:bookmarkEnd w:id="423"/>
    </w:p>
    <w:p w14:paraId="5E5664AE">
      <w:pPr>
        <w:spacing w:line="360" w:lineRule="auto"/>
        <w:ind w:firstLine="21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4.1.1 投标人应在</w:t>
      </w:r>
      <w:r>
        <w:rPr>
          <w:rFonts w:hint="eastAsia" w:ascii="宋体" w:hAnsi="宋体" w:eastAsia="宋体" w:cs="宋体"/>
          <w:color w:val="000000" w:themeColor="text1"/>
          <w:highlight w:val="none"/>
          <w14:textFill>
            <w14:solidFill>
              <w14:schemeClr w14:val="tx1"/>
            </w14:solidFill>
          </w14:textFill>
        </w:rPr>
        <w:t>投标人</w:t>
      </w:r>
      <w:r>
        <w:rPr>
          <w:rFonts w:hint="eastAsia" w:ascii="宋体" w:hAnsi="宋体" w:eastAsia="宋体" w:cs="宋体"/>
          <w:color w:val="000000" w:themeColor="text1"/>
          <w:szCs w:val="22"/>
          <w:highlight w:val="none"/>
          <w14:textFill>
            <w14:solidFill>
              <w14:schemeClr w14:val="tx1"/>
            </w14:solidFill>
          </w14:textFill>
        </w:rPr>
        <w:t>须知前附表规定的投标截止时间前递交投标文件。</w:t>
      </w:r>
    </w:p>
    <w:p w14:paraId="04334CF1">
      <w:pPr>
        <w:spacing w:line="360" w:lineRule="auto"/>
        <w:ind w:firstLine="21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4.1.2 投标人递交投标文件的地点：见</w:t>
      </w:r>
      <w:r>
        <w:rPr>
          <w:rFonts w:hint="eastAsia" w:ascii="宋体" w:hAnsi="宋体" w:eastAsia="宋体" w:cs="宋体"/>
          <w:color w:val="000000" w:themeColor="text1"/>
          <w:highlight w:val="none"/>
          <w14:textFill>
            <w14:solidFill>
              <w14:schemeClr w14:val="tx1"/>
            </w14:solidFill>
          </w14:textFill>
        </w:rPr>
        <w:t>投标人</w:t>
      </w:r>
      <w:r>
        <w:rPr>
          <w:rFonts w:hint="eastAsia" w:ascii="宋体" w:hAnsi="宋体" w:eastAsia="宋体" w:cs="宋体"/>
          <w:color w:val="000000" w:themeColor="text1"/>
          <w:szCs w:val="22"/>
          <w:highlight w:val="none"/>
          <w14:textFill>
            <w14:solidFill>
              <w14:schemeClr w14:val="tx1"/>
            </w14:solidFill>
          </w14:textFill>
        </w:rPr>
        <w:t>须知前附表。</w:t>
      </w:r>
    </w:p>
    <w:p w14:paraId="2196333A">
      <w:pPr>
        <w:spacing w:line="360" w:lineRule="auto"/>
        <w:ind w:firstLine="21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4.1.3 除</w:t>
      </w:r>
      <w:r>
        <w:rPr>
          <w:rFonts w:hint="eastAsia" w:ascii="宋体" w:hAnsi="宋体" w:eastAsia="宋体" w:cs="宋体"/>
          <w:color w:val="000000" w:themeColor="text1"/>
          <w:highlight w:val="none"/>
          <w14:textFill>
            <w14:solidFill>
              <w14:schemeClr w14:val="tx1"/>
            </w14:solidFill>
          </w14:textFill>
        </w:rPr>
        <w:t>投标人</w:t>
      </w:r>
      <w:r>
        <w:rPr>
          <w:rFonts w:hint="eastAsia" w:ascii="宋体" w:hAnsi="宋体" w:eastAsia="宋体" w:cs="宋体"/>
          <w:color w:val="000000" w:themeColor="text1"/>
          <w:szCs w:val="22"/>
          <w:highlight w:val="none"/>
          <w14:textFill>
            <w14:solidFill>
              <w14:schemeClr w14:val="tx1"/>
            </w14:solidFill>
          </w14:textFill>
        </w:rPr>
        <w:t>须知前附表另有规定外，投标人所递交的投标文件不予退还。</w:t>
      </w:r>
    </w:p>
    <w:p w14:paraId="5E237C86">
      <w:pPr>
        <w:pStyle w:val="5"/>
        <w:widowControl/>
        <w:rPr>
          <w:rFonts w:hint="eastAsia" w:ascii="宋体" w:hAnsi="宋体" w:eastAsia="宋体" w:cs="宋体"/>
          <w:color w:val="000000" w:themeColor="text1"/>
          <w:highlight w:val="none"/>
          <w14:textFill>
            <w14:solidFill>
              <w14:schemeClr w14:val="tx1"/>
            </w14:solidFill>
          </w14:textFill>
        </w:rPr>
      </w:pPr>
      <w:bookmarkStart w:id="424" w:name="_Toc246996945"/>
      <w:bookmarkStart w:id="425" w:name="_Toc415819221"/>
      <w:bookmarkStart w:id="426" w:name="_Toc179632576"/>
      <w:bookmarkStart w:id="427" w:name="_Toc152045558"/>
      <w:bookmarkStart w:id="428" w:name="_Toc144974526"/>
      <w:bookmarkStart w:id="429" w:name="_Toc29337"/>
      <w:bookmarkStart w:id="430" w:name="_Toc417333994"/>
      <w:bookmarkStart w:id="431" w:name="_Toc26908"/>
      <w:bookmarkStart w:id="432" w:name="_Toc32471"/>
      <w:bookmarkStart w:id="433" w:name="_Toc247085716"/>
      <w:bookmarkStart w:id="434" w:name="_Toc152042334"/>
      <w:bookmarkStart w:id="435" w:name="_Toc246996202"/>
      <w:r>
        <w:rPr>
          <w:rFonts w:hint="eastAsia" w:ascii="宋体" w:hAnsi="宋体" w:eastAsia="宋体" w:cs="宋体"/>
          <w:color w:val="000000" w:themeColor="text1"/>
          <w:highlight w:val="none"/>
          <w14:textFill>
            <w14:solidFill>
              <w14:schemeClr w14:val="tx1"/>
            </w14:solidFill>
          </w14:textFill>
        </w:rPr>
        <w:t>4.2 投标文件的修改与撤回</w:t>
      </w:r>
      <w:bookmarkEnd w:id="424"/>
      <w:bookmarkEnd w:id="425"/>
      <w:bookmarkEnd w:id="426"/>
      <w:bookmarkEnd w:id="427"/>
      <w:bookmarkEnd w:id="428"/>
      <w:bookmarkEnd w:id="429"/>
      <w:bookmarkEnd w:id="430"/>
      <w:bookmarkEnd w:id="431"/>
      <w:bookmarkEnd w:id="432"/>
      <w:bookmarkEnd w:id="433"/>
      <w:bookmarkEnd w:id="434"/>
      <w:bookmarkEnd w:id="435"/>
    </w:p>
    <w:p w14:paraId="00E96765">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4.2.1 在投标人须知前附表规定的投标截止时间前，投标人可以修改或撤回已递交的投标文件。</w:t>
      </w:r>
    </w:p>
    <w:p w14:paraId="06C34B7B">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4.2.2 投标人修改或撤回已递交投标文件的书面通知应按照招标文件要求签字或盖章。</w:t>
      </w:r>
    </w:p>
    <w:p w14:paraId="48249FA7">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4.2.3 修改的内容为投标文件的组成部分。修改的投标文件应按照本章第3条、第4条规定进行编制、标记和递交，并标明“修改”字样。</w:t>
      </w:r>
    </w:p>
    <w:p w14:paraId="11F3683C">
      <w:pPr>
        <w:pStyle w:val="4"/>
        <w:widowControl/>
        <w:rPr>
          <w:rFonts w:hint="eastAsia" w:ascii="宋体" w:hAnsi="宋体" w:eastAsia="宋体" w:cs="宋体"/>
          <w:color w:val="000000" w:themeColor="text1"/>
          <w:highlight w:val="none"/>
          <w14:textFill>
            <w14:solidFill>
              <w14:schemeClr w14:val="tx1"/>
            </w14:solidFill>
          </w14:textFill>
        </w:rPr>
      </w:pPr>
      <w:bookmarkStart w:id="436" w:name="_Toc246996203"/>
      <w:bookmarkStart w:id="437" w:name="_Toc144974527"/>
      <w:bookmarkStart w:id="438" w:name="_Toc247085717"/>
      <w:bookmarkStart w:id="439" w:name="_Toc12507"/>
      <w:bookmarkStart w:id="440" w:name="_Toc152042335"/>
      <w:bookmarkStart w:id="441" w:name="_Toc57369415"/>
      <w:bookmarkStart w:id="442" w:name="_Toc152045559"/>
      <w:bookmarkStart w:id="443" w:name="_Toc246996946"/>
      <w:bookmarkStart w:id="444" w:name="_Toc27605"/>
      <w:bookmarkStart w:id="445" w:name="_Toc135648909"/>
      <w:bookmarkStart w:id="446" w:name="_Toc30875"/>
      <w:bookmarkStart w:id="447" w:name="_Toc179632577"/>
      <w:bookmarkStart w:id="448" w:name="_Toc81321229"/>
      <w:r>
        <w:rPr>
          <w:rFonts w:hint="eastAsia" w:ascii="宋体" w:hAnsi="宋体" w:eastAsia="宋体" w:cs="宋体"/>
          <w:color w:val="000000" w:themeColor="text1"/>
          <w:highlight w:val="none"/>
          <w14:textFill>
            <w14:solidFill>
              <w14:schemeClr w14:val="tx1"/>
            </w14:solidFill>
          </w14:textFill>
        </w:rPr>
        <w:t>5. 开标</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24A1E2DF">
      <w:pPr>
        <w:tabs>
          <w:tab w:val="center" w:pos="3316"/>
        </w:tabs>
        <w:spacing w:line="360" w:lineRule="auto"/>
        <w:ind w:firstLine="415" w:firstLineChars="197"/>
        <w:rPr>
          <w:rFonts w:hint="eastAsia" w:ascii="宋体" w:hAnsi="宋体" w:eastAsia="宋体" w:cs="宋体"/>
          <w:b/>
          <w:color w:val="000000" w:themeColor="text1"/>
          <w:highlight w:val="none"/>
          <w:shd w:val="clear" w:color="auto" w:fill="FFFFFF"/>
          <w14:textFill>
            <w14:solidFill>
              <w14:schemeClr w14:val="tx1"/>
            </w14:solidFill>
          </w14:textFill>
        </w:rPr>
      </w:pPr>
      <w:bookmarkStart w:id="449" w:name="_Toc16949"/>
      <w:bookmarkStart w:id="450" w:name="_Toc152045562"/>
      <w:bookmarkStart w:id="451" w:name="_Toc8191"/>
      <w:bookmarkStart w:id="452" w:name="_Toc152042338"/>
      <w:bookmarkStart w:id="453" w:name="_Toc81321230"/>
      <w:bookmarkStart w:id="454" w:name="_Toc247085720"/>
      <w:bookmarkStart w:id="455" w:name="_Toc57369416"/>
      <w:bookmarkStart w:id="456" w:name="_Toc246996206"/>
      <w:bookmarkStart w:id="457" w:name="_Toc144974530"/>
      <w:bookmarkStart w:id="458" w:name="_Toc179632580"/>
      <w:bookmarkStart w:id="459" w:name="_Toc246996949"/>
      <w:bookmarkStart w:id="460" w:name="_Toc31045"/>
      <w:r>
        <w:rPr>
          <w:rFonts w:hint="eastAsia" w:ascii="宋体" w:hAnsi="宋体" w:eastAsia="宋体" w:cs="宋体"/>
          <w:b/>
          <w:color w:val="000000" w:themeColor="text1"/>
          <w:highlight w:val="none"/>
          <w:shd w:val="clear" w:color="auto" w:fill="FFFFFF"/>
          <w14:textFill>
            <w14:solidFill>
              <w14:schemeClr w14:val="tx1"/>
            </w14:solidFill>
          </w14:textFill>
        </w:rPr>
        <w:t>5.1“不见面”开标注意事项及操作流程</w:t>
      </w:r>
    </w:p>
    <w:p w14:paraId="422568E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5.1.1采购人和代理机构应当提前做好各项准备工作，准时开标。</w:t>
      </w:r>
    </w:p>
    <w:p w14:paraId="4C40423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5.1.2开标时，投标人采用网上远程异地解密时，请用CA证书登录平顶山市公共资源交易中心业务系统，进入本项目不见面开标大厅点击解密来完成投标文件的解密工作。每位投标人的解密时间从开标时间起60分钟内完成，超过规定时间解密的投标文件不予接收。</w:t>
      </w:r>
    </w:p>
    <w:p w14:paraId="04E66E4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5.1.3如出现投标人的电子投标文件无法解密的情况，投标人应及时联系采购人（代理机构）进行说明。投标文件解密异常，按以下步骤进行处理：</w:t>
      </w:r>
    </w:p>
    <w:p w14:paraId="5CDF931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（1）如果是投标文件自身问题导致投标文件无法解密的，该投标文件将不予接收、解密。</w:t>
      </w:r>
    </w:p>
    <w:p w14:paraId="7FE0BAEC">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（2）如果是电子化交易系统问题造成投标文件无法解密的，将由技术人员进行排查处理。如短时间内问题无法解决的，将由采购人（代理机构）联系监督部门申请暂停开标，待问题解决后继续开标。</w:t>
      </w:r>
    </w:p>
    <w:p w14:paraId="13EFAB3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5.1.4所有投标文件解密完成后，由采购人（代理机构）操作，对开标结果进行公示。</w:t>
      </w:r>
    </w:p>
    <w:p w14:paraId="51E1FCA6">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5.1.5投标人应保证在开标期间电话、电脑、网络等能够正常使用，投标人因停电、电脑病毒、网络堵塞等原因，未在规定的解密时间内对投标文件进行解密的，其投标文件不予接收。</w:t>
      </w:r>
    </w:p>
    <w:p w14:paraId="37185FAA">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5.1.6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p w14:paraId="0EFB0EF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说明：上述内容如有与《全国公共资源交易平台(河南省▪平顶山市)》公共资源交易系统不一致的以最新电子化交易程序为准。</w:t>
      </w:r>
    </w:p>
    <w:p w14:paraId="6B54AFA8">
      <w:pPr>
        <w:pStyle w:val="4"/>
        <w:widowControl/>
        <w:rPr>
          <w:rFonts w:hint="eastAsia" w:ascii="宋体" w:hAnsi="宋体" w:eastAsia="宋体" w:cs="宋体"/>
          <w:color w:val="000000" w:themeColor="text1"/>
          <w:highlight w:val="none"/>
          <w14:textFill>
            <w14:solidFill>
              <w14:schemeClr w14:val="tx1"/>
            </w14:solidFill>
          </w14:textFill>
        </w:rPr>
      </w:pPr>
      <w:bookmarkStart w:id="461" w:name="_Toc135648910"/>
      <w:r>
        <w:rPr>
          <w:rFonts w:hint="eastAsia" w:ascii="宋体" w:hAnsi="宋体" w:eastAsia="宋体" w:cs="宋体"/>
          <w:color w:val="000000" w:themeColor="text1"/>
          <w:highlight w:val="none"/>
          <w14:textFill>
            <w14:solidFill>
              <w14:schemeClr w14:val="tx1"/>
            </w14:solidFill>
          </w14:textFill>
        </w:rPr>
        <w:t>6. 评标</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00939C7D">
      <w:pPr>
        <w:pStyle w:val="5"/>
        <w:widowControl/>
        <w:rPr>
          <w:rFonts w:hint="eastAsia" w:ascii="宋体" w:hAnsi="宋体" w:eastAsia="宋体" w:cs="宋体"/>
          <w:color w:val="000000" w:themeColor="text1"/>
          <w:highlight w:val="none"/>
          <w14:textFill>
            <w14:solidFill>
              <w14:schemeClr w14:val="tx1"/>
            </w14:solidFill>
          </w14:textFill>
        </w:rPr>
      </w:pPr>
      <w:bookmarkStart w:id="462" w:name="_Toc246996207"/>
      <w:bookmarkStart w:id="463" w:name="_Toc81321231"/>
      <w:bookmarkStart w:id="464" w:name="_Toc247085721"/>
      <w:bookmarkStart w:id="465" w:name="_Toc246996950"/>
      <w:bookmarkStart w:id="466" w:name="_Toc135922556"/>
      <w:bookmarkStart w:id="467" w:name="_Toc40519009"/>
      <w:bookmarkStart w:id="468" w:name="_Toc40708394"/>
      <w:bookmarkStart w:id="469" w:name="_Toc13489"/>
      <w:bookmarkStart w:id="470" w:name="_Toc415819227"/>
      <w:bookmarkStart w:id="471" w:name="_Toc417334000"/>
      <w:bookmarkStart w:id="472" w:name="_Toc57369417"/>
      <w:bookmarkStart w:id="473" w:name="_Toc135648911"/>
      <w:bookmarkStart w:id="474" w:name="_Toc144974531"/>
      <w:bookmarkStart w:id="475" w:name="_Toc17879"/>
      <w:bookmarkStart w:id="476" w:name="_Toc152042339"/>
      <w:bookmarkStart w:id="477" w:name="_Toc152045563"/>
      <w:bookmarkStart w:id="478" w:name="_Toc4431"/>
      <w:bookmarkStart w:id="479" w:name="_Toc40795898"/>
      <w:bookmarkStart w:id="480" w:name="_Toc179632581"/>
      <w:r>
        <w:rPr>
          <w:rFonts w:hint="eastAsia" w:ascii="宋体" w:hAnsi="宋体" w:eastAsia="宋体" w:cs="宋体"/>
          <w:color w:val="000000" w:themeColor="text1"/>
          <w:highlight w:val="none"/>
          <w14:textFill>
            <w14:solidFill>
              <w14:schemeClr w14:val="tx1"/>
            </w14:solidFill>
          </w14:textFill>
        </w:rPr>
        <w:t>6.1 评标委员会</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5A095251">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6.1.1 评标由采购人依法组建的评标委员会负责。评标委员会成员组成、人数以及技术、经济等方面专家的确定方式见投标人须知前附表。</w:t>
      </w:r>
    </w:p>
    <w:p w14:paraId="1D49A60D">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6.1.2 评审专家与参加采购活动的供应商存在下列利害关系之一的,应当回避:</w:t>
      </w:r>
    </w:p>
    <w:p w14:paraId="0EAC4B7C">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(一)参加采购活动前三年内,与供应商存在劳动关系,或者担任过供应商的董事、监事,或者是供应商的控股股东或实际控制人；</w:t>
      </w:r>
    </w:p>
    <w:p w14:paraId="6A0FA8E4">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(二)与供应商的法定代表人或者负责人有夫妻、直系血亲、三代以内旁系血亲或者近姻亲关系；</w:t>
      </w:r>
    </w:p>
    <w:p w14:paraId="7237255A">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(三)与供应商有其他可能影响政府采购活动公平、公正进行的关系。</w:t>
      </w:r>
    </w:p>
    <w:p w14:paraId="0A368FF1">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评审专家发现本人与参加采购活动的供应商有利害关系的,应当主动提出回避。</w:t>
      </w:r>
    </w:p>
    <w:p w14:paraId="0DC1539D">
      <w:pPr>
        <w:pStyle w:val="5"/>
        <w:widowControl/>
        <w:rPr>
          <w:rFonts w:hint="eastAsia" w:ascii="宋体" w:hAnsi="宋体" w:eastAsia="宋体" w:cs="宋体"/>
          <w:color w:val="000000" w:themeColor="text1"/>
          <w:highlight w:val="none"/>
          <w14:textFill>
            <w14:solidFill>
              <w14:schemeClr w14:val="tx1"/>
            </w14:solidFill>
          </w14:textFill>
        </w:rPr>
      </w:pPr>
      <w:bookmarkStart w:id="481" w:name="_Toc40708395"/>
      <w:bookmarkStart w:id="482" w:name="_Toc81321232"/>
      <w:bookmarkStart w:id="483" w:name="_Toc415819228"/>
      <w:bookmarkStart w:id="484" w:name="_Toc246996208"/>
      <w:bookmarkStart w:id="485" w:name="_Toc40795899"/>
      <w:bookmarkStart w:id="486" w:name="_Toc135922557"/>
      <w:bookmarkStart w:id="487" w:name="_Toc417334001"/>
      <w:bookmarkStart w:id="488" w:name="_Toc27236"/>
      <w:bookmarkStart w:id="489" w:name="_Toc152045564"/>
      <w:bookmarkStart w:id="490" w:name="_Toc40519010"/>
      <w:bookmarkStart w:id="491" w:name="_Toc152042340"/>
      <w:bookmarkStart w:id="492" w:name="_Toc18118"/>
      <w:bookmarkStart w:id="493" w:name="_Toc135648912"/>
      <w:bookmarkStart w:id="494" w:name="_Toc246996951"/>
      <w:bookmarkStart w:id="495" w:name="_Toc179632582"/>
      <w:bookmarkStart w:id="496" w:name="_Toc31505"/>
      <w:bookmarkStart w:id="497" w:name="_Toc57369418"/>
      <w:bookmarkStart w:id="498" w:name="_Toc247085722"/>
      <w:bookmarkStart w:id="499" w:name="_Toc144974532"/>
      <w:r>
        <w:rPr>
          <w:rFonts w:hint="eastAsia" w:ascii="宋体" w:hAnsi="宋体" w:eastAsia="宋体" w:cs="宋体"/>
          <w:color w:val="000000" w:themeColor="text1"/>
          <w:highlight w:val="none"/>
          <w14:textFill>
            <w14:solidFill>
              <w14:schemeClr w14:val="tx1"/>
            </w14:solidFill>
          </w14:textFill>
        </w:rPr>
        <w:t>6.2 评标原则</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4C9EC122">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评标活动遵循公平、公正、科学和择优的原则。</w:t>
      </w:r>
    </w:p>
    <w:p w14:paraId="2C21E0F6">
      <w:pPr>
        <w:pStyle w:val="5"/>
        <w:widowControl/>
        <w:rPr>
          <w:rFonts w:hint="eastAsia" w:ascii="宋体" w:hAnsi="宋体" w:eastAsia="宋体" w:cs="宋体"/>
          <w:color w:val="000000" w:themeColor="text1"/>
          <w:highlight w:val="none"/>
          <w14:textFill>
            <w14:solidFill>
              <w14:schemeClr w14:val="tx1"/>
            </w14:solidFill>
          </w14:textFill>
        </w:rPr>
      </w:pPr>
      <w:bookmarkStart w:id="500" w:name="_Toc24347"/>
      <w:bookmarkStart w:id="501" w:name="_Toc246996209"/>
      <w:bookmarkStart w:id="502" w:name="_Toc13600"/>
      <w:bookmarkStart w:id="503" w:name="_Toc81321233"/>
      <w:bookmarkStart w:id="504" w:name="_Toc246996952"/>
      <w:bookmarkStart w:id="505" w:name="_Toc40519011"/>
      <w:bookmarkStart w:id="506" w:name="_Toc415819229"/>
      <w:bookmarkStart w:id="507" w:name="_Toc247085723"/>
      <w:bookmarkStart w:id="508" w:name="_Toc57369419"/>
      <w:bookmarkStart w:id="509" w:name="_Toc179632583"/>
      <w:bookmarkStart w:id="510" w:name="_Toc135922558"/>
      <w:bookmarkStart w:id="511" w:name="_Toc40708396"/>
      <w:bookmarkStart w:id="512" w:name="_Toc152042341"/>
      <w:bookmarkStart w:id="513" w:name="_Toc144974533"/>
      <w:bookmarkStart w:id="514" w:name="_Toc152045565"/>
      <w:bookmarkStart w:id="515" w:name="_Toc27439"/>
      <w:bookmarkStart w:id="516" w:name="_Toc135648913"/>
      <w:bookmarkStart w:id="517" w:name="_Toc40795900"/>
      <w:bookmarkStart w:id="518" w:name="_Toc417334002"/>
      <w:r>
        <w:rPr>
          <w:rFonts w:hint="eastAsia" w:ascii="宋体" w:hAnsi="宋体" w:eastAsia="宋体" w:cs="宋体"/>
          <w:color w:val="000000" w:themeColor="text1"/>
          <w:highlight w:val="none"/>
          <w14:textFill>
            <w14:solidFill>
              <w14:schemeClr w14:val="tx1"/>
            </w14:solidFill>
          </w14:textFill>
        </w:rPr>
        <w:t>6.3 评标</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6D1FF0A">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评标委员会按照第三章“评标办法”规定的方法、评审因素、标准和程序对投标文件进行评审。第三章“评标办法”没有规定的方法、评审因素和标准，不作为评标依据。</w:t>
      </w:r>
    </w:p>
    <w:p w14:paraId="2A48EF14">
      <w:pPr>
        <w:keepNext/>
        <w:keepLines/>
        <w:spacing w:before="260" w:after="260"/>
        <w:ind w:right="-1"/>
        <w:outlineLvl w:val="2"/>
        <w:rPr>
          <w:rFonts w:hint="eastAsia" w:ascii="宋体" w:hAnsi="宋体" w:eastAsia="宋体" w:cs="宋体"/>
          <w:b/>
          <w:bCs/>
          <w:color w:val="000000" w:themeColor="text1"/>
          <w:sz w:val="28"/>
          <w:szCs w:val="28"/>
          <w:highlight w:val="none"/>
          <w14:textFill>
            <w14:solidFill>
              <w14:schemeClr w14:val="tx1"/>
            </w14:solidFill>
          </w14:textFill>
        </w:rPr>
      </w:pPr>
      <w:bookmarkStart w:id="519" w:name="_Toc144974534"/>
      <w:bookmarkStart w:id="520" w:name="_Toc246996953"/>
      <w:bookmarkStart w:id="521" w:name="_Toc81321234"/>
      <w:bookmarkStart w:id="522" w:name="_Toc135648914"/>
      <w:bookmarkStart w:id="523" w:name="_Toc19301"/>
      <w:bookmarkStart w:id="524" w:name="_Toc247085724"/>
      <w:bookmarkStart w:id="525" w:name="_Toc179632584"/>
      <w:bookmarkStart w:id="526" w:name="_Toc57369420"/>
      <w:bookmarkStart w:id="527" w:name="_Toc18639"/>
      <w:bookmarkStart w:id="528" w:name="_Toc152045566"/>
      <w:bookmarkStart w:id="529" w:name="_Toc14885"/>
      <w:bookmarkStart w:id="530" w:name="_Toc246996210"/>
      <w:bookmarkStart w:id="531" w:name="_Toc152042342"/>
      <w:r>
        <w:rPr>
          <w:rFonts w:hint="eastAsia" w:ascii="宋体" w:hAnsi="宋体" w:eastAsia="宋体" w:cs="宋体"/>
          <w:b/>
          <w:bCs/>
          <w:color w:val="000000" w:themeColor="text1"/>
          <w:sz w:val="28"/>
          <w:szCs w:val="28"/>
          <w:highlight w:val="none"/>
          <w14:textFill>
            <w14:solidFill>
              <w14:schemeClr w14:val="tx1"/>
            </w14:solidFill>
          </w14:textFill>
        </w:rPr>
        <w:t>7. 合同授予</w:t>
      </w:r>
      <w:bookmarkEnd w:id="519"/>
      <w:bookmarkEnd w:id="520"/>
      <w:bookmarkEnd w:id="521"/>
      <w:bookmarkEnd w:id="522"/>
      <w:bookmarkEnd w:id="523"/>
      <w:bookmarkEnd w:id="524"/>
      <w:bookmarkEnd w:id="525"/>
      <w:bookmarkEnd w:id="526"/>
      <w:bookmarkEnd w:id="527"/>
      <w:bookmarkEnd w:id="528"/>
      <w:bookmarkEnd w:id="529"/>
      <w:bookmarkEnd w:id="530"/>
      <w:bookmarkEnd w:id="531"/>
    </w:p>
    <w:p w14:paraId="1C308759">
      <w:pPr>
        <w:pStyle w:val="5"/>
        <w:widowControl/>
        <w:rPr>
          <w:rFonts w:hint="eastAsia" w:ascii="宋体" w:hAnsi="宋体" w:eastAsia="宋体" w:cs="宋体"/>
          <w:color w:val="000000" w:themeColor="text1"/>
          <w:highlight w:val="none"/>
          <w14:textFill>
            <w14:solidFill>
              <w14:schemeClr w14:val="tx1"/>
            </w14:solidFill>
          </w14:textFill>
        </w:rPr>
      </w:pPr>
      <w:bookmarkStart w:id="532" w:name="_Toc152042343"/>
      <w:bookmarkStart w:id="533" w:name="_Toc135648915"/>
      <w:bookmarkStart w:id="534" w:name="_Toc40708398"/>
      <w:bookmarkStart w:id="535" w:name="_Toc246996954"/>
      <w:bookmarkStart w:id="536" w:name="_Toc14636"/>
      <w:bookmarkStart w:id="537" w:name="_Toc144974535"/>
      <w:bookmarkStart w:id="538" w:name="_Toc179632585"/>
      <w:bookmarkStart w:id="539" w:name="_Toc247085725"/>
      <w:bookmarkStart w:id="540" w:name="_Toc152045567"/>
      <w:bookmarkStart w:id="541" w:name="_Toc415819231"/>
      <w:bookmarkStart w:id="542" w:name="_Toc246996211"/>
      <w:bookmarkStart w:id="543" w:name="_Toc22605"/>
      <w:bookmarkStart w:id="544" w:name="_Toc417334004"/>
      <w:bookmarkStart w:id="545" w:name="_Toc57369421"/>
      <w:bookmarkStart w:id="546" w:name="_Toc40519013"/>
      <w:bookmarkStart w:id="547" w:name="_Toc40795902"/>
      <w:bookmarkStart w:id="548" w:name="_Toc1518"/>
      <w:bookmarkStart w:id="549" w:name="_Toc81321235"/>
      <w:bookmarkStart w:id="550" w:name="_Toc135922559"/>
      <w:r>
        <w:rPr>
          <w:rFonts w:hint="eastAsia" w:ascii="宋体" w:hAnsi="宋体" w:eastAsia="宋体" w:cs="宋体"/>
          <w:color w:val="000000" w:themeColor="text1"/>
          <w:highlight w:val="none"/>
          <w14:textFill>
            <w14:solidFill>
              <w14:schemeClr w14:val="tx1"/>
            </w14:solidFill>
          </w14:textFill>
        </w:rPr>
        <w:t>7.1 定标方式</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0CDB28DE">
      <w:pPr>
        <w:spacing w:line="400" w:lineRule="exact"/>
        <w:ind w:right="-1" w:firstLine="424" w:firstLineChars="202"/>
        <w:rPr>
          <w:rFonts w:hint="eastAsia" w:ascii="宋体" w:hAnsi="宋体" w:eastAsia="宋体" w:cs="宋体"/>
          <w:color w:val="000000" w:themeColor="text1"/>
          <w:highlight w:val="none"/>
          <w14:textFill>
            <w14:solidFill>
              <w14:schemeClr w14:val="tx1"/>
            </w14:solidFill>
          </w14:textFill>
        </w:rPr>
      </w:pPr>
      <w:bookmarkStart w:id="551" w:name="_Toc25102"/>
      <w:bookmarkStart w:id="552" w:name="_Toc417334005"/>
      <w:bookmarkStart w:id="553" w:name="_Toc22000"/>
      <w:bookmarkStart w:id="554" w:name="_Toc415819232"/>
      <w:bookmarkStart w:id="555" w:name="_Toc29879"/>
      <w:bookmarkStart w:id="556" w:name="_Toc40708399"/>
      <w:bookmarkStart w:id="557" w:name="_Toc81321236"/>
      <w:bookmarkStart w:id="558" w:name="_Toc40795903"/>
      <w:bookmarkStart w:id="559" w:name="_Toc57369422"/>
      <w:bookmarkStart w:id="560" w:name="_Toc40519014"/>
      <w:r>
        <w:rPr>
          <w:rFonts w:hint="eastAsia" w:ascii="宋体" w:hAnsi="宋体" w:eastAsia="宋体" w:cs="宋体"/>
          <w:color w:val="000000" w:themeColor="text1"/>
          <w:highlight w:val="none"/>
          <w14:textFill>
            <w14:solidFill>
              <w14:schemeClr w14:val="tx1"/>
            </w14:solidFill>
          </w14:textFill>
        </w:rPr>
        <w:t>采购人应当</w:t>
      </w:r>
      <w:r>
        <w:rPr>
          <w:rFonts w:hint="eastAsia" w:ascii="宋体" w:hAnsi="宋体" w:cs="宋体"/>
          <w:color w:val="000000" w:themeColor="text1"/>
          <w:highlight w:val="none"/>
          <w:lang w:val="en-US" w:eastAsia="zh-CN"/>
          <w14:textFill>
            <w14:solidFill>
              <w14:schemeClr w14:val="tx1"/>
            </w14:solidFill>
          </w14:textFill>
        </w:rPr>
        <w:t>在评审结束后1日内，</w:t>
      </w:r>
      <w:r>
        <w:rPr>
          <w:rFonts w:hint="eastAsia" w:ascii="宋体" w:hAnsi="宋体" w:eastAsia="宋体" w:cs="宋体"/>
          <w:color w:val="000000" w:themeColor="text1"/>
          <w:highlight w:val="none"/>
          <w14:textFill>
            <w14:solidFill>
              <w14:schemeClr w14:val="tx1"/>
            </w14:solidFill>
          </w14:textFill>
        </w:rPr>
        <w:t>在评标报告确定的中标候选人名单中按顺序确定中标人。中标候选人并列的，由采购人采取随机抽取的方式确定。采购人在收到评标报告后未在规定时间内按评标报告推荐的中标候选人顺序确定中标人，又不能说明合法理由的，视同按评标报告推荐的顺序确定排名第一的中标候选人为中标人。</w:t>
      </w:r>
    </w:p>
    <w:p w14:paraId="330A426A">
      <w:pPr>
        <w:pStyle w:val="5"/>
        <w:widowControl/>
        <w:rPr>
          <w:rFonts w:hint="eastAsia" w:ascii="宋体" w:hAnsi="宋体" w:eastAsia="宋体" w:cs="宋体"/>
          <w:color w:val="000000" w:themeColor="text1"/>
          <w:highlight w:val="none"/>
          <w14:textFill>
            <w14:solidFill>
              <w14:schemeClr w14:val="tx1"/>
            </w14:solidFill>
          </w14:textFill>
        </w:rPr>
      </w:pPr>
      <w:bookmarkStart w:id="561" w:name="_Toc135922560"/>
      <w:bookmarkStart w:id="562" w:name="_Toc135648916"/>
      <w:r>
        <w:rPr>
          <w:rFonts w:hint="eastAsia" w:ascii="宋体" w:hAnsi="宋体" w:eastAsia="宋体" w:cs="宋体"/>
          <w:color w:val="000000" w:themeColor="text1"/>
          <w:highlight w:val="none"/>
          <w14:textFill>
            <w14:solidFill>
              <w14:schemeClr w14:val="tx1"/>
            </w14:solidFill>
          </w14:textFill>
        </w:rPr>
        <w:t>7.2 中标</w:t>
      </w:r>
      <w:bookmarkEnd w:id="551"/>
      <w:bookmarkEnd w:id="552"/>
      <w:bookmarkEnd w:id="553"/>
      <w:bookmarkEnd w:id="554"/>
      <w:bookmarkEnd w:id="555"/>
      <w:r>
        <w:rPr>
          <w:rFonts w:hint="eastAsia" w:ascii="宋体" w:hAnsi="宋体" w:eastAsia="宋体" w:cs="宋体"/>
          <w:color w:val="000000" w:themeColor="text1"/>
          <w:highlight w:val="none"/>
          <w14:textFill>
            <w14:solidFill>
              <w14:schemeClr w14:val="tx1"/>
            </w14:solidFill>
          </w14:textFill>
        </w:rPr>
        <w:t>公告</w:t>
      </w:r>
      <w:bookmarkEnd w:id="556"/>
      <w:bookmarkEnd w:id="557"/>
      <w:bookmarkEnd w:id="558"/>
      <w:bookmarkEnd w:id="559"/>
      <w:bookmarkEnd w:id="560"/>
      <w:bookmarkEnd w:id="561"/>
      <w:bookmarkEnd w:id="562"/>
    </w:p>
    <w:p w14:paraId="0345C683">
      <w:pPr>
        <w:spacing w:line="400" w:lineRule="exact"/>
        <w:ind w:right="-1" w:firstLine="424" w:firstLineChars="202"/>
        <w:rPr>
          <w:rFonts w:hint="eastAsia" w:ascii="宋体" w:hAnsi="宋体" w:eastAsia="宋体" w:cs="宋体"/>
          <w:color w:val="000000" w:themeColor="text1"/>
          <w:highlight w:val="none"/>
          <w14:textFill>
            <w14:solidFill>
              <w14:schemeClr w14:val="tx1"/>
            </w14:solidFill>
          </w14:textFill>
        </w:rPr>
      </w:pPr>
      <w:bookmarkStart w:id="563" w:name="_Toc179632586"/>
      <w:bookmarkStart w:id="564" w:name="_Toc152045568"/>
      <w:bookmarkStart w:id="565" w:name="_Toc30839"/>
      <w:bookmarkStart w:id="566" w:name="_Toc152042344"/>
      <w:bookmarkStart w:id="567" w:name="_Toc25313"/>
      <w:bookmarkStart w:id="568" w:name="_Toc247085726"/>
      <w:bookmarkStart w:id="569" w:name="_Toc417334006"/>
      <w:bookmarkStart w:id="570" w:name="_Toc415819233"/>
      <w:bookmarkStart w:id="571" w:name="_Toc246996212"/>
      <w:bookmarkStart w:id="572" w:name="_Toc144974536"/>
      <w:bookmarkStart w:id="573" w:name="_Toc18909"/>
      <w:bookmarkStart w:id="574" w:name="_Toc246996955"/>
      <w:bookmarkStart w:id="575" w:name="_Toc40795904"/>
      <w:bookmarkStart w:id="576" w:name="_Toc81321237"/>
      <w:bookmarkStart w:id="577" w:name="_Toc40519015"/>
      <w:bookmarkStart w:id="578" w:name="_Toc40708400"/>
      <w:bookmarkStart w:id="579" w:name="_Toc57369423"/>
      <w:r>
        <w:rPr>
          <w:rFonts w:hint="eastAsia" w:ascii="宋体" w:hAnsi="宋体" w:eastAsia="宋体" w:cs="宋体"/>
          <w:color w:val="000000" w:themeColor="text1"/>
          <w:highlight w:val="none"/>
          <w14:textFill>
            <w14:solidFill>
              <w14:schemeClr w14:val="tx1"/>
            </w14:solidFill>
          </w14:textFill>
        </w:rPr>
        <w:t>采购人应当</w:t>
      </w:r>
      <w:r>
        <w:rPr>
          <w:rFonts w:hint="eastAsia" w:ascii="宋体" w:hAnsi="宋体" w:cs="宋体"/>
          <w:color w:val="000000" w:themeColor="text1"/>
          <w:highlight w:val="none"/>
          <w:lang w:val="en-US" w:eastAsia="zh-CN"/>
          <w14:textFill>
            <w14:solidFill>
              <w14:schemeClr w14:val="tx1"/>
            </w14:solidFill>
          </w14:textFill>
        </w:rPr>
        <w:t>在</w:t>
      </w:r>
      <w:r>
        <w:rPr>
          <w:rFonts w:hint="eastAsia" w:ascii="宋体" w:hAnsi="宋体" w:eastAsia="宋体" w:cs="宋体"/>
          <w:color w:val="000000" w:themeColor="text1"/>
          <w:highlight w:val="none"/>
          <w14:textFill>
            <w14:solidFill>
              <w14:schemeClr w14:val="tx1"/>
            </w14:solidFill>
          </w14:textFill>
        </w:rPr>
        <w:t>中标人确定</w:t>
      </w:r>
      <w:r>
        <w:rPr>
          <w:rFonts w:hint="eastAsia" w:ascii="宋体" w:hAnsi="宋体" w:cs="宋体"/>
          <w:color w:val="000000" w:themeColor="text1"/>
          <w:highlight w:val="none"/>
          <w:lang w:val="en-US" w:eastAsia="zh-CN"/>
          <w14:textFill>
            <w14:solidFill>
              <w14:schemeClr w14:val="tx1"/>
            </w14:solidFill>
          </w14:textFill>
        </w:rPr>
        <w:t>后</w:t>
      </w:r>
      <w:r>
        <w:rPr>
          <w:rFonts w:hint="eastAsia" w:ascii="宋体" w:hAnsi="宋体" w:eastAsia="宋体" w:cs="宋体"/>
          <w:color w:val="000000" w:themeColor="text1"/>
          <w:highlight w:val="none"/>
          <w14:textFill>
            <w14:solidFill>
              <w14:schemeClr w14:val="tx1"/>
            </w14:solidFill>
          </w14:textFill>
        </w:rPr>
        <w:t>在指定的媒体公告中标结果。</w:t>
      </w:r>
    </w:p>
    <w:p w14:paraId="10EC9045">
      <w:pPr>
        <w:pStyle w:val="5"/>
        <w:widowControl/>
        <w:rPr>
          <w:rFonts w:hint="eastAsia" w:ascii="宋体" w:hAnsi="宋体" w:eastAsia="宋体" w:cs="宋体"/>
          <w:color w:val="000000" w:themeColor="text1"/>
          <w:highlight w:val="none"/>
          <w14:textFill>
            <w14:solidFill>
              <w14:schemeClr w14:val="tx1"/>
            </w14:solidFill>
          </w14:textFill>
        </w:rPr>
      </w:pPr>
      <w:bookmarkStart w:id="580" w:name="_Toc135922561"/>
      <w:bookmarkStart w:id="581" w:name="_Toc135648917"/>
      <w:r>
        <w:rPr>
          <w:rFonts w:hint="eastAsia" w:ascii="宋体" w:hAnsi="宋体" w:eastAsia="宋体" w:cs="宋体"/>
          <w:color w:val="000000" w:themeColor="text1"/>
          <w:highlight w:val="none"/>
          <w14:textFill>
            <w14:solidFill>
              <w14:schemeClr w14:val="tx1"/>
            </w14:solidFill>
          </w14:textFill>
        </w:rPr>
        <w:t>7.3 中标通知</w:t>
      </w:r>
      <w:bookmarkEnd w:id="563"/>
      <w:bookmarkEnd w:id="564"/>
      <w:bookmarkEnd w:id="565"/>
      <w:bookmarkEnd w:id="566"/>
      <w:bookmarkEnd w:id="567"/>
      <w:bookmarkEnd w:id="568"/>
      <w:bookmarkEnd w:id="569"/>
      <w:bookmarkEnd w:id="570"/>
      <w:bookmarkEnd w:id="571"/>
      <w:bookmarkEnd w:id="572"/>
      <w:bookmarkEnd w:id="573"/>
      <w:bookmarkEnd w:id="574"/>
      <w:r>
        <w:rPr>
          <w:rFonts w:hint="eastAsia" w:ascii="宋体" w:hAnsi="宋体" w:eastAsia="宋体" w:cs="宋体"/>
          <w:color w:val="000000" w:themeColor="text1"/>
          <w:highlight w:val="none"/>
          <w14:textFill>
            <w14:solidFill>
              <w14:schemeClr w14:val="tx1"/>
            </w14:solidFill>
          </w14:textFill>
        </w:rPr>
        <w:t>书</w:t>
      </w:r>
      <w:bookmarkEnd w:id="575"/>
      <w:bookmarkEnd w:id="576"/>
      <w:bookmarkEnd w:id="577"/>
      <w:bookmarkEnd w:id="578"/>
      <w:bookmarkEnd w:id="579"/>
      <w:bookmarkEnd w:id="580"/>
      <w:bookmarkEnd w:id="581"/>
    </w:p>
    <w:p w14:paraId="05E2A831">
      <w:pPr>
        <w:spacing w:line="400" w:lineRule="exact"/>
        <w:ind w:right="-1" w:firstLine="424" w:firstLineChars="202"/>
        <w:rPr>
          <w:rFonts w:hint="eastAsia" w:ascii="宋体" w:hAnsi="宋体" w:eastAsia="宋体" w:cs="宋体"/>
          <w:color w:val="000000" w:themeColor="text1"/>
          <w:highlight w:val="none"/>
          <w14:textFill>
            <w14:solidFill>
              <w14:schemeClr w14:val="tx1"/>
            </w14:solidFill>
          </w14:textFill>
        </w:rPr>
      </w:pPr>
      <w:bookmarkStart w:id="582" w:name="_Toc15555"/>
      <w:bookmarkStart w:id="583" w:name="_Toc40708401"/>
      <w:bookmarkStart w:id="584" w:name="_Toc246996957"/>
      <w:bookmarkStart w:id="585" w:name="_Toc81321238"/>
      <w:bookmarkStart w:id="586" w:name="_Toc415819235"/>
      <w:bookmarkStart w:id="587" w:name="_Toc179632588"/>
      <w:bookmarkStart w:id="588" w:name="_Toc246996214"/>
      <w:bookmarkStart w:id="589" w:name="_Toc144974538"/>
      <w:bookmarkStart w:id="590" w:name="_Toc152042346"/>
      <w:bookmarkStart w:id="591" w:name="_Toc30518"/>
      <w:bookmarkStart w:id="592" w:name="_Toc247085728"/>
      <w:bookmarkStart w:id="593" w:name="_Toc40519016"/>
      <w:bookmarkStart w:id="594" w:name="_Toc40795905"/>
      <w:bookmarkStart w:id="595" w:name="_Toc57369424"/>
      <w:bookmarkStart w:id="596" w:name="_Toc152045570"/>
      <w:bookmarkStart w:id="597" w:name="_Toc15810"/>
      <w:bookmarkStart w:id="598" w:name="_Toc417334008"/>
      <w:r>
        <w:rPr>
          <w:rFonts w:hint="eastAsia" w:ascii="宋体" w:hAnsi="宋体" w:eastAsia="宋体" w:cs="宋体"/>
          <w:color w:val="000000" w:themeColor="text1"/>
          <w:szCs w:val="22"/>
          <w:highlight w:val="none"/>
          <w14:textFill>
            <w14:solidFill>
              <w14:schemeClr w14:val="tx1"/>
            </w14:solidFill>
          </w14:textFill>
        </w:rPr>
        <w:t>在公告中标结果的同时，采购人或者采购代理机构应当向中标人发出中标通知书。中标通知书发出后，采购人不得违法改变中标结果，中标人无正当理由不得放弃中标。</w:t>
      </w:r>
    </w:p>
    <w:p w14:paraId="65F135C2">
      <w:pPr>
        <w:pStyle w:val="5"/>
        <w:widowControl/>
        <w:rPr>
          <w:rFonts w:hint="eastAsia" w:ascii="宋体" w:hAnsi="宋体" w:eastAsia="宋体" w:cs="宋体"/>
          <w:color w:val="000000" w:themeColor="text1"/>
          <w:highlight w:val="none"/>
          <w14:textFill>
            <w14:solidFill>
              <w14:schemeClr w14:val="tx1"/>
            </w14:solidFill>
          </w14:textFill>
        </w:rPr>
      </w:pPr>
      <w:bookmarkStart w:id="599" w:name="_Toc135922562"/>
      <w:bookmarkStart w:id="600" w:name="_Toc135648918"/>
      <w:r>
        <w:rPr>
          <w:rFonts w:hint="eastAsia" w:ascii="宋体" w:hAnsi="宋体" w:eastAsia="宋体" w:cs="宋体"/>
          <w:color w:val="000000" w:themeColor="text1"/>
          <w:highlight w:val="none"/>
          <w14:textFill>
            <w14:solidFill>
              <w14:schemeClr w14:val="tx1"/>
            </w14:solidFill>
          </w14:textFill>
        </w:rPr>
        <w:t>7.4 签订合同</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26249B8">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bookmarkStart w:id="601" w:name="_Toc853"/>
      <w:bookmarkStart w:id="602" w:name="_Toc57369425"/>
      <w:bookmarkStart w:id="603" w:name="_Toc6019"/>
      <w:bookmarkStart w:id="604" w:name="_Toc81321239"/>
      <w:bookmarkStart w:id="605" w:name="_Toc4910"/>
      <w:r>
        <w:rPr>
          <w:rFonts w:hint="eastAsia" w:ascii="宋体" w:hAnsi="宋体" w:eastAsia="宋体" w:cs="宋体"/>
          <w:color w:val="000000" w:themeColor="text1"/>
          <w:highlight w:val="none"/>
          <w14:textFill>
            <w14:solidFill>
              <w14:schemeClr w14:val="tx1"/>
            </w14:solidFill>
          </w14:textFill>
        </w:rPr>
        <w:t>7.4.1采购人应当自中标通知书发出之日后</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日内，按照招标文件和中标人投标文件的规定，与中标人签订书面合同。所签订的合同不得对招标文件确定的事项和中标人投标文件作实质性修改。</w:t>
      </w:r>
    </w:p>
    <w:p w14:paraId="3D8761E7">
      <w:pPr>
        <w:spacing w:line="400" w:lineRule="exact"/>
        <w:ind w:right="-1" w:firstLine="424" w:firstLineChars="202"/>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7.4.2</w:t>
      </w:r>
      <w:r>
        <w:rPr>
          <w:rFonts w:hint="eastAsia" w:ascii="宋体" w:hAnsi="宋体" w:eastAsia="宋体" w:cs="宋体"/>
          <w:color w:val="000000" w:themeColor="text1"/>
          <w:highlight w:val="none"/>
          <w14:textFill>
            <w14:solidFill>
              <w14:schemeClr w14:val="tx1"/>
            </w14:solidFill>
          </w14:textFill>
        </w:rPr>
        <w:t>中标或者成交供应商拒绝与采购人签订合同的，采购人可以按照评审报告推荐的中标或者成交候选人名单排序，确定下一候选人为中标或者成交供应商，也可以重新开展政府采购活动。</w:t>
      </w:r>
    </w:p>
    <w:p w14:paraId="4C0A1F3D">
      <w:pPr>
        <w:keepNext/>
        <w:keepLines/>
        <w:spacing w:before="260" w:after="260"/>
        <w:ind w:right="-1"/>
        <w:outlineLvl w:val="2"/>
        <w:rPr>
          <w:rFonts w:hint="eastAsia" w:ascii="宋体" w:hAnsi="宋体" w:eastAsia="宋体" w:cs="宋体"/>
          <w:b/>
          <w:bCs/>
          <w:color w:val="000000" w:themeColor="text1"/>
          <w:sz w:val="28"/>
          <w:szCs w:val="28"/>
          <w:highlight w:val="none"/>
          <w14:textFill>
            <w14:solidFill>
              <w14:schemeClr w14:val="tx1"/>
            </w14:solidFill>
          </w14:textFill>
        </w:rPr>
      </w:pPr>
      <w:bookmarkStart w:id="606" w:name="_Toc135648919"/>
      <w:r>
        <w:rPr>
          <w:rFonts w:hint="eastAsia" w:ascii="宋体" w:hAnsi="宋体" w:eastAsia="宋体" w:cs="宋体"/>
          <w:b/>
          <w:bCs/>
          <w:color w:val="000000" w:themeColor="text1"/>
          <w:sz w:val="28"/>
          <w:szCs w:val="28"/>
          <w:highlight w:val="none"/>
          <w14:textFill>
            <w14:solidFill>
              <w14:schemeClr w14:val="tx1"/>
            </w14:solidFill>
          </w14:textFill>
        </w:rPr>
        <w:t>8. 纪律和监督</w:t>
      </w:r>
      <w:bookmarkEnd w:id="601"/>
      <w:bookmarkEnd w:id="602"/>
      <w:bookmarkEnd w:id="603"/>
      <w:bookmarkEnd w:id="604"/>
      <w:bookmarkEnd w:id="605"/>
      <w:bookmarkEnd w:id="606"/>
    </w:p>
    <w:p w14:paraId="712F9BCE">
      <w:pPr>
        <w:pStyle w:val="5"/>
        <w:widowControl/>
        <w:rPr>
          <w:rFonts w:hint="eastAsia" w:ascii="宋体" w:hAnsi="宋体" w:eastAsia="宋体" w:cs="宋体"/>
          <w:color w:val="000000" w:themeColor="text1"/>
          <w:highlight w:val="none"/>
          <w14:textFill>
            <w14:solidFill>
              <w14:schemeClr w14:val="tx1"/>
            </w14:solidFill>
          </w14:textFill>
        </w:rPr>
      </w:pPr>
      <w:bookmarkStart w:id="607" w:name="_Toc40708403"/>
      <w:bookmarkStart w:id="608" w:name="_Toc20104"/>
      <w:bookmarkStart w:id="609" w:name="_Toc246996962"/>
      <w:bookmarkStart w:id="610" w:name="_Toc40795907"/>
      <w:bookmarkStart w:id="611" w:name="_Toc415819237"/>
      <w:bookmarkStart w:id="612" w:name="_Toc247085733"/>
      <w:bookmarkStart w:id="613" w:name="_Toc152045575"/>
      <w:bookmarkStart w:id="614" w:name="_Toc135922563"/>
      <w:bookmarkStart w:id="615" w:name="_Toc22175"/>
      <w:bookmarkStart w:id="616" w:name="_Toc296590983"/>
      <w:bookmarkStart w:id="617" w:name="_Toc57369426"/>
      <w:bookmarkStart w:id="618" w:name="_Toc81321240"/>
      <w:bookmarkStart w:id="619" w:name="_Toc417334010"/>
      <w:bookmarkStart w:id="620" w:name="_Toc6133"/>
      <w:bookmarkStart w:id="621" w:name="_Toc152042351"/>
      <w:bookmarkStart w:id="622" w:name="_Toc144974543"/>
      <w:bookmarkStart w:id="623" w:name="_Toc246996219"/>
      <w:bookmarkStart w:id="624" w:name="_Toc40519018"/>
      <w:bookmarkStart w:id="625" w:name="_Toc179632593"/>
      <w:bookmarkStart w:id="626" w:name="_Toc135648920"/>
      <w:r>
        <w:rPr>
          <w:rFonts w:hint="eastAsia" w:ascii="宋体" w:hAnsi="宋体" w:eastAsia="宋体" w:cs="宋体"/>
          <w:color w:val="000000" w:themeColor="text1"/>
          <w:highlight w:val="none"/>
          <w14:textFill>
            <w14:solidFill>
              <w14:schemeClr w14:val="tx1"/>
            </w14:solidFill>
          </w14:textFill>
        </w:rPr>
        <w:t>8.1 对采购人的纪律要求</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152759DE">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采购人不得泄漏招标投标活动中应当保密的情况和资料，不得与投标人串通损害国家利益、社会公共利益或者他人合法权益。</w:t>
      </w:r>
    </w:p>
    <w:p w14:paraId="00223140">
      <w:pPr>
        <w:pStyle w:val="5"/>
        <w:widowControl/>
        <w:rPr>
          <w:rFonts w:hint="eastAsia" w:ascii="宋体" w:hAnsi="宋体" w:eastAsia="宋体" w:cs="宋体"/>
          <w:color w:val="000000" w:themeColor="text1"/>
          <w:highlight w:val="none"/>
          <w14:textFill>
            <w14:solidFill>
              <w14:schemeClr w14:val="tx1"/>
            </w14:solidFill>
          </w14:textFill>
        </w:rPr>
      </w:pPr>
      <w:bookmarkStart w:id="627" w:name="_Toc152045576"/>
      <w:bookmarkStart w:id="628" w:name="_Toc40708404"/>
      <w:bookmarkStart w:id="629" w:name="_Toc12604"/>
      <w:bookmarkStart w:id="630" w:name="_Toc135922564"/>
      <w:bookmarkStart w:id="631" w:name="_Toc152042352"/>
      <w:bookmarkStart w:id="632" w:name="_Toc144974544"/>
      <w:bookmarkStart w:id="633" w:name="_Toc415819238"/>
      <w:bookmarkStart w:id="634" w:name="_Toc40795908"/>
      <w:bookmarkStart w:id="635" w:name="_Toc29979"/>
      <w:bookmarkStart w:id="636" w:name="_Toc57369427"/>
      <w:bookmarkStart w:id="637" w:name="_Toc3374"/>
      <w:bookmarkStart w:id="638" w:name="_Toc179632594"/>
      <w:bookmarkStart w:id="639" w:name="_Toc246996220"/>
      <w:bookmarkStart w:id="640" w:name="_Toc246996963"/>
      <w:bookmarkStart w:id="641" w:name="_Toc417334011"/>
      <w:bookmarkStart w:id="642" w:name="_Toc135648921"/>
      <w:bookmarkStart w:id="643" w:name="_Toc247085734"/>
      <w:bookmarkStart w:id="644" w:name="_Toc40519019"/>
      <w:bookmarkStart w:id="645" w:name="_Toc81321241"/>
      <w:r>
        <w:rPr>
          <w:rFonts w:hint="eastAsia" w:ascii="宋体" w:hAnsi="宋体" w:eastAsia="宋体" w:cs="宋体"/>
          <w:color w:val="000000" w:themeColor="text1"/>
          <w:highlight w:val="none"/>
          <w14:textFill>
            <w14:solidFill>
              <w14:schemeClr w14:val="tx1"/>
            </w14:solidFill>
          </w14:textFill>
        </w:rPr>
        <w:t>8.2 对投标人的纪律要求</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4A65C8BF">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6645CA5">
      <w:pPr>
        <w:pStyle w:val="5"/>
        <w:widowControl/>
        <w:rPr>
          <w:rFonts w:hint="eastAsia" w:ascii="宋体" w:hAnsi="宋体" w:eastAsia="宋体" w:cs="宋体"/>
          <w:color w:val="000000" w:themeColor="text1"/>
          <w:highlight w:val="none"/>
          <w14:textFill>
            <w14:solidFill>
              <w14:schemeClr w14:val="tx1"/>
            </w14:solidFill>
          </w14:textFill>
        </w:rPr>
      </w:pPr>
      <w:bookmarkStart w:id="646" w:name="_Toc152045577"/>
      <w:bookmarkStart w:id="647" w:name="_Toc152042353"/>
      <w:bookmarkStart w:id="648" w:name="_Toc247085735"/>
      <w:bookmarkStart w:id="649" w:name="_Toc135922565"/>
      <w:bookmarkStart w:id="650" w:name="_Toc40708405"/>
      <w:bookmarkStart w:id="651" w:name="_Toc179632595"/>
      <w:bookmarkStart w:id="652" w:name="_Toc417334012"/>
      <w:bookmarkStart w:id="653" w:name="_Toc40795909"/>
      <w:bookmarkStart w:id="654" w:name="_Toc21000"/>
      <w:bookmarkStart w:id="655" w:name="_Toc81321242"/>
      <w:bookmarkStart w:id="656" w:name="_Toc246996964"/>
      <w:bookmarkStart w:id="657" w:name="_Toc40519020"/>
      <w:bookmarkStart w:id="658" w:name="_Toc135648922"/>
      <w:bookmarkStart w:id="659" w:name="_Toc2657"/>
      <w:bookmarkStart w:id="660" w:name="_Toc246996221"/>
      <w:bookmarkStart w:id="661" w:name="_Toc57369428"/>
      <w:bookmarkStart w:id="662" w:name="_Toc415819239"/>
      <w:bookmarkStart w:id="663" w:name="_Toc144974545"/>
      <w:bookmarkStart w:id="664" w:name="_Toc31279"/>
      <w:r>
        <w:rPr>
          <w:rFonts w:hint="eastAsia" w:ascii="宋体" w:hAnsi="宋体" w:eastAsia="宋体" w:cs="宋体"/>
          <w:color w:val="000000" w:themeColor="text1"/>
          <w:highlight w:val="none"/>
          <w14:textFill>
            <w14:solidFill>
              <w14:schemeClr w14:val="tx1"/>
            </w14:solidFill>
          </w14:textFill>
        </w:rPr>
        <w:t>8.3 对评标委员会成员的纪律要求</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69FD7A95">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4168CA46">
      <w:pPr>
        <w:pStyle w:val="5"/>
        <w:widowControl/>
        <w:rPr>
          <w:rFonts w:hint="eastAsia" w:ascii="宋体" w:hAnsi="宋体" w:eastAsia="宋体" w:cs="宋体"/>
          <w:color w:val="000000" w:themeColor="text1"/>
          <w:highlight w:val="none"/>
          <w14:textFill>
            <w14:solidFill>
              <w14:schemeClr w14:val="tx1"/>
            </w14:solidFill>
          </w14:textFill>
        </w:rPr>
      </w:pPr>
      <w:bookmarkStart w:id="665" w:name="_Toc20662"/>
      <w:bookmarkStart w:id="666" w:name="_Toc15705"/>
      <w:bookmarkStart w:id="667" w:name="_Toc135922566"/>
      <w:bookmarkStart w:id="668" w:name="_Toc135648923"/>
      <w:bookmarkStart w:id="669" w:name="_Toc40519021"/>
      <w:bookmarkStart w:id="670" w:name="_Toc57369429"/>
      <w:bookmarkStart w:id="671" w:name="_Toc246996222"/>
      <w:bookmarkStart w:id="672" w:name="_Toc415819240"/>
      <w:bookmarkStart w:id="673" w:name="_Toc81321243"/>
      <w:bookmarkStart w:id="674" w:name="_Toc152045578"/>
      <w:bookmarkStart w:id="675" w:name="_Toc152042354"/>
      <w:bookmarkStart w:id="676" w:name="_Toc179632596"/>
      <w:bookmarkStart w:id="677" w:name="_Toc14459"/>
      <w:bookmarkStart w:id="678" w:name="_Toc247085736"/>
      <w:bookmarkStart w:id="679" w:name="_Toc40795910"/>
      <w:bookmarkStart w:id="680" w:name="_Toc417334013"/>
      <w:bookmarkStart w:id="681" w:name="_Toc246996965"/>
      <w:bookmarkStart w:id="682" w:name="_Toc40708406"/>
      <w:bookmarkStart w:id="683" w:name="_Toc144974546"/>
      <w:r>
        <w:rPr>
          <w:rFonts w:hint="eastAsia" w:ascii="宋体" w:hAnsi="宋体" w:eastAsia="宋体" w:cs="宋体"/>
          <w:color w:val="000000" w:themeColor="text1"/>
          <w:highlight w:val="none"/>
          <w14:textFill>
            <w14:solidFill>
              <w14:schemeClr w14:val="tx1"/>
            </w14:solidFill>
          </w14:textFill>
        </w:rPr>
        <w:t>8.4 对与评标活动有关的工作人员的纪律要求</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3FD4A87D">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bookmarkStart w:id="684" w:name="_Toc152042355"/>
      <w:r>
        <w:rPr>
          <w:rFonts w:hint="eastAsia" w:ascii="宋体" w:hAnsi="宋体" w:eastAsia="宋体" w:cs="宋体"/>
          <w:color w:val="000000" w:themeColor="text1"/>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683"/>
      <w:bookmarkEnd w:id="684"/>
    </w:p>
    <w:p w14:paraId="24DCC5C1">
      <w:pPr>
        <w:pStyle w:val="5"/>
        <w:widowControl/>
        <w:rPr>
          <w:rFonts w:hint="eastAsia" w:ascii="宋体" w:hAnsi="宋体" w:eastAsia="宋体" w:cs="宋体"/>
          <w:color w:val="000000" w:themeColor="text1"/>
          <w:highlight w:val="none"/>
          <w14:textFill>
            <w14:solidFill>
              <w14:schemeClr w14:val="tx1"/>
            </w14:solidFill>
          </w14:textFill>
        </w:rPr>
      </w:pPr>
      <w:bookmarkStart w:id="685" w:name="_Toc179632598"/>
      <w:bookmarkStart w:id="686" w:name="_Toc57369431"/>
      <w:bookmarkStart w:id="687" w:name="_Toc246996224"/>
      <w:bookmarkStart w:id="688" w:name="_Toc135648924"/>
      <w:bookmarkStart w:id="689" w:name="_Toc246996967"/>
      <w:bookmarkStart w:id="690" w:name="_Toc152045580"/>
      <w:bookmarkStart w:id="691" w:name="_Toc152042357"/>
      <w:bookmarkStart w:id="692" w:name="_Toc247085738"/>
      <w:bookmarkStart w:id="693" w:name="_Toc81321245"/>
      <w:bookmarkStart w:id="694" w:name="_Toc14266"/>
      <w:bookmarkStart w:id="695" w:name="_Toc144974547"/>
      <w:bookmarkStart w:id="696" w:name="_Toc4569"/>
      <w:bookmarkStart w:id="697" w:name="_Toc14267"/>
      <w:bookmarkStart w:id="698" w:name="_Toc415819242"/>
      <w:r>
        <w:rPr>
          <w:rFonts w:hint="eastAsia" w:ascii="宋体" w:hAnsi="宋体" w:eastAsia="宋体" w:cs="宋体"/>
          <w:color w:val="000000" w:themeColor="text1"/>
          <w:highlight w:val="none"/>
          <w14:textFill>
            <w14:solidFill>
              <w14:schemeClr w14:val="tx1"/>
            </w14:solidFill>
          </w14:textFill>
        </w:rPr>
        <w:t>9. 需要补充的其他内容</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255C8F07">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需要补充的其他内容：见投标人须知前附表。</w:t>
      </w:r>
    </w:p>
    <w:p w14:paraId="37ECCE4E">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3DEAC1C2">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0089F866">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0B8607DE">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146FCB16">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5AD0D994">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0E79852B">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7E556FF3">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31ABF157">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7491F30A">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770EF49A">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46537528">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5649B003">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5CEB25D6">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1B04200D">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03790189">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24440E0B">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0D9D6E24">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5B79638C">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4FAED2B2">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3232FC5D">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05D69E26">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4737C8B5">
      <w:pPr>
        <w:spacing w:line="400" w:lineRule="exact"/>
        <w:ind w:right="-1" w:firstLine="420" w:firstLineChars="200"/>
        <w:rPr>
          <w:rFonts w:hint="eastAsia" w:ascii="宋体" w:hAnsi="宋体" w:eastAsia="宋体" w:cs="宋体"/>
          <w:color w:val="000000" w:themeColor="text1"/>
          <w:highlight w:val="none"/>
          <w14:textFill>
            <w14:solidFill>
              <w14:schemeClr w14:val="tx1"/>
            </w14:solidFill>
          </w14:textFill>
        </w:rPr>
      </w:pPr>
    </w:p>
    <w:p w14:paraId="439C0BA3">
      <w:pPr>
        <w:pStyle w:val="4"/>
        <w:widowControl/>
        <w:rPr>
          <w:rFonts w:hint="eastAsia" w:ascii="宋体" w:hAnsi="宋体" w:eastAsia="宋体" w:cs="宋体"/>
          <w:color w:val="000000" w:themeColor="text1"/>
          <w:highlight w:val="none"/>
          <w14:textFill>
            <w14:solidFill>
              <w14:schemeClr w14:val="tx1"/>
            </w14:solidFill>
          </w14:textFill>
        </w:rPr>
      </w:pPr>
      <w:bookmarkStart w:id="699" w:name="_Toc134619336"/>
      <w:bookmarkStart w:id="700" w:name="_Toc152045598"/>
      <w:bookmarkStart w:id="701" w:name="_Toc144974565"/>
      <w:bookmarkStart w:id="702" w:name="_Toc152042375"/>
      <w:bookmarkStart w:id="703" w:name="_Toc179632616"/>
      <w:bookmarkStart w:id="704" w:name="_Toc247085756"/>
      <w:bookmarkStart w:id="705" w:name="_Toc246996984"/>
      <w:bookmarkStart w:id="706" w:name="_Toc2946"/>
      <w:bookmarkStart w:id="707" w:name="_Toc31661"/>
      <w:bookmarkStart w:id="708" w:name="_Toc17643"/>
      <w:bookmarkStart w:id="709" w:name="_Toc246996241"/>
      <w:r>
        <w:rPr>
          <w:rFonts w:hint="eastAsia" w:ascii="宋体" w:hAnsi="宋体" w:eastAsia="宋体" w:cs="宋体"/>
          <w:color w:val="000000" w:themeColor="text1"/>
          <w:highlight w:val="none"/>
          <w14:textFill>
            <w14:solidFill>
              <w14:schemeClr w14:val="tx1"/>
            </w14:solidFill>
          </w14:textFill>
        </w:rPr>
        <w:t>附件1</w:t>
      </w:r>
      <w:bookmarkEnd w:id="699"/>
      <w:r>
        <w:rPr>
          <w:rFonts w:hint="eastAsia" w:ascii="宋体" w:hAnsi="宋体" w:eastAsia="宋体" w:cs="宋体"/>
          <w:color w:val="000000" w:themeColor="text1"/>
          <w:highlight w:val="none"/>
          <w14:textFill>
            <w14:solidFill>
              <w14:schemeClr w14:val="tx1"/>
            </w14:solidFill>
          </w14:textFill>
        </w:rPr>
        <w:t xml:space="preserve"> 中小企业声明函</w:t>
      </w:r>
    </w:p>
    <w:p w14:paraId="2519B272">
      <w:pPr>
        <w:spacing w:line="360" w:lineRule="auto"/>
        <w:ind w:right="-298" w:rightChars="-142"/>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中小企业声明函（工程、服务）</w:t>
      </w:r>
    </w:p>
    <w:p w14:paraId="12A90983">
      <w:pPr>
        <w:spacing w:line="360" w:lineRule="auto"/>
        <w:ind w:right="-298" w:rightChars="-142" w:firstLine="371" w:firstLineChars="17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本公司（联合体）郑重声明，根据《政府采购促进中小企业发展管理办法》（财库﹝2020﹞46 号）的规定，本公司（联合体）参加</w:t>
      </w:r>
      <w:r>
        <w:rPr>
          <w:rFonts w:hint="eastAsia" w:ascii="宋体" w:hAnsi="宋体" w:eastAsia="宋体" w:cs="宋体"/>
          <w:color w:val="000000" w:themeColor="text1"/>
          <w:highlight w:val="none"/>
          <w:u w:val="single"/>
          <w14:textFill>
            <w14:solidFill>
              <w14:schemeClr w14:val="tx1"/>
            </w14:solidFill>
          </w14:textFill>
        </w:rPr>
        <w:t>（单位名称）</w:t>
      </w:r>
      <w:r>
        <w:rPr>
          <w:rFonts w:hint="eastAsia" w:ascii="宋体" w:hAnsi="宋体" w:eastAsia="宋体" w:cs="宋体"/>
          <w:color w:val="000000" w:themeColor="text1"/>
          <w:highlight w:val="none"/>
          <w14:textFill>
            <w14:solidFill>
              <w14:schemeClr w14:val="tx1"/>
            </w14:solidFill>
          </w14:textFill>
        </w:rPr>
        <w:t>的</w:t>
      </w:r>
      <w:r>
        <w:rPr>
          <w:rFonts w:hint="eastAsia" w:ascii="宋体" w:hAnsi="宋体" w:eastAsia="宋体" w:cs="宋体"/>
          <w:color w:val="000000" w:themeColor="text1"/>
          <w:highlight w:val="none"/>
          <w:u w:val="single"/>
          <w14:textFill>
            <w14:solidFill>
              <w14:schemeClr w14:val="tx1"/>
            </w14:solidFill>
          </w14:textFill>
        </w:rPr>
        <w:t>（项目名称）</w:t>
      </w:r>
      <w:r>
        <w:rPr>
          <w:rFonts w:hint="eastAsia" w:ascii="宋体" w:hAnsi="宋体" w:eastAsia="宋体" w:cs="宋体"/>
          <w:color w:val="000000" w:themeColor="text1"/>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73565644">
      <w:pPr>
        <w:spacing w:line="360" w:lineRule="auto"/>
        <w:ind w:right="-298" w:rightChars="-142" w:firstLine="371" w:firstLineChars="17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u w:val="single"/>
          <w14:textFill>
            <w14:solidFill>
              <w14:schemeClr w14:val="tx1"/>
            </w14:solidFill>
          </w14:textFill>
        </w:rPr>
        <w:t xml:space="preserve">（标的名称） </w:t>
      </w:r>
      <w:r>
        <w:rPr>
          <w:rFonts w:hint="eastAsia" w:ascii="宋体" w:hAnsi="宋体" w:eastAsia="宋体" w:cs="宋体"/>
          <w:color w:val="000000" w:themeColor="text1"/>
          <w:highlight w:val="none"/>
          <w14:textFill>
            <w14:solidFill>
              <w14:schemeClr w14:val="tx1"/>
            </w14:solidFill>
          </w14:textFill>
        </w:rPr>
        <w:t>，属于</w:t>
      </w:r>
      <w:r>
        <w:rPr>
          <w:rFonts w:hint="eastAsia" w:ascii="宋体" w:hAnsi="宋体" w:eastAsia="宋体" w:cs="宋体"/>
          <w:color w:val="000000" w:themeColor="text1"/>
          <w:highlight w:val="none"/>
          <w:u w:val="single"/>
          <w14:textFill>
            <w14:solidFill>
              <w14:schemeClr w14:val="tx1"/>
            </w14:solidFill>
          </w14:textFill>
        </w:rPr>
        <w:t>（采购文件中明确的所属行业）</w:t>
      </w:r>
      <w:r>
        <w:rPr>
          <w:rFonts w:hint="eastAsia" w:ascii="宋体" w:hAnsi="宋体" w:eastAsia="宋体" w:cs="宋体"/>
          <w:color w:val="000000" w:themeColor="text1"/>
          <w:highlight w:val="none"/>
          <w14:textFill>
            <w14:solidFill>
              <w14:schemeClr w14:val="tx1"/>
            </w14:solidFill>
          </w14:textFill>
        </w:rPr>
        <w:t>；承建（承接）企业为</w:t>
      </w:r>
      <w:r>
        <w:rPr>
          <w:rFonts w:hint="eastAsia" w:ascii="宋体" w:hAnsi="宋体" w:eastAsia="宋体" w:cs="宋体"/>
          <w:color w:val="000000" w:themeColor="text1"/>
          <w:highlight w:val="none"/>
          <w:u w:val="single"/>
          <w14:textFill>
            <w14:solidFill>
              <w14:schemeClr w14:val="tx1"/>
            </w14:solidFill>
          </w14:textFill>
        </w:rPr>
        <w:t>（企业名称）</w:t>
      </w:r>
      <w:r>
        <w:rPr>
          <w:rFonts w:hint="eastAsia" w:ascii="宋体" w:hAnsi="宋体" w:eastAsia="宋体" w:cs="宋体"/>
          <w:color w:val="000000" w:themeColor="text1"/>
          <w:highlight w:val="none"/>
          <w14:textFill>
            <w14:solidFill>
              <w14:schemeClr w14:val="tx1"/>
            </w14:solidFill>
          </w14:textFill>
        </w:rPr>
        <w:t>，从业人员人，营业收入为万元，资产总额为万元</w:t>
      </w:r>
      <w:r>
        <w:rPr>
          <w:rFonts w:hint="eastAsia" w:ascii="宋体" w:hAnsi="宋体" w:eastAsia="宋体" w:cs="宋体"/>
          <w:color w:val="000000" w:themeColor="text1"/>
          <w:highlight w:val="none"/>
          <w:vertAlign w:val="superscript"/>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，属于</w:t>
      </w:r>
      <w:r>
        <w:rPr>
          <w:rFonts w:hint="eastAsia" w:ascii="宋体" w:hAnsi="宋体" w:eastAsia="宋体" w:cs="宋体"/>
          <w:color w:val="000000" w:themeColor="text1"/>
          <w:highlight w:val="none"/>
          <w:u w:val="single"/>
          <w14:textFill>
            <w14:solidFill>
              <w14:schemeClr w14:val="tx1"/>
            </w14:solidFill>
          </w14:textFill>
        </w:rPr>
        <w:t>（中型企业、小型企业、微型企业）</w:t>
      </w:r>
      <w:r>
        <w:rPr>
          <w:rFonts w:hint="eastAsia" w:ascii="宋体" w:hAnsi="宋体" w:eastAsia="宋体" w:cs="宋体"/>
          <w:color w:val="000000" w:themeColor="text1"/>
          <w:highlight w:val="none"/>
          <w14:textFill>
            <w14:solidFill>
              <w14:schemeClr w14:val="tx1"/>
            </w14:solidFill>
          </w14:textFill>
        </w:rPr>
        <w:t>；</w:t>
      </w:r>
    </w:p>
    <w:p w14:paraId="69648FF1">
      <w:pPr>
        <w:spacing w:line="360" w:lineRule="auto"/>
        <w:ind w:right="-298" w:rightChars="-142" w:firstLine="371" w:firstLineChars="17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u w:val="single"/>
          <w14:textFill>
            <w14:solidFill>
              <w14:schemeClr w14:val="tx1"/>
            </w14:solidFill>
          </w14:textFill>
        </w:rPr>
        <w:t xml:space="preserve">（标的名称） </w:t>
      </w:r>
      <w:r>
        <w:rPr>
          <w:rFonts w:hint="eastAsia" w:ascii="宋体" w:hAnsi="宋体" w:eastAsia="宋体" w:cs="宋体"/>
          <w:color w:val="000000" w:themeColor="text1"/>
          <w:highlight w:val="none"/>
          <w14:textFill>
            <w14:solidFill>
              <w14:schemeClr w14:val="tx1"/>
            </w14:solidFill>
          </w14:textFill>
        </w:rPr>
        <w:t>，属于</w:t>
      </w:r>
      <w:r>
        <w:rPr>
          <w:rFonts w:hint="eastAsia" w:ascii="宋体" w:hAnsi="宋体" w:eastAsia="宋体" w:cs="宋体"/>
          <w:color w:val="000000" w:themeColor="text1"/>
          <w:highlight w:val="none"/>
          <w:u w:val="single"/>
          <w14:textFill>
            <w14:solidFill>
              <w14:schemeClr w14:val="tx1"/>
            </w14:solidFill>
          </w14:textFill>
        </w:rPr>
        <w:t>（采购文件中明确的所属行业）</w:t>
      </w:r>
      <w:r>
        <w:rPr>
          <w:rFonts w:hint="eastAsia" w:ascii="宋体" w:hAnsi="宋体" w:eastAsia="宋体" w:cs="宋体"/>
          <w:color w:val="000000" w:themeColor="text1"/>
          <w:highlight w:val="none"/>
          <w14:textFill>
            <w14:solidFill>
              <w14:schemeClr w14:val="tx1"/>
            </w14:solidFill>
          </w14:textFill>
        </w:rPr>
        <w:t>；承建（承接）企业为</w:t>
      </w:r>
      <w:r>
        <w:rPr>
          <w:rFonts w:hint="eastAsia" w:ascii="宋体" w:hAnsi="宋体" w:eastAsia="宋体" w:cs="宋体"/>
          <w:color w:val="000000" w:themeColor="text1"/>
          <w:highlight w:val="none"/>
          <w:u w:val="single"/>
          <w14:textFill>
            <w14:solidFill>
              <w14:schemeClr w14:val="tx1"/>
            </w14:solidFill>
          </w14:textFill>
        </w:rPr>
        <w:t>（企业名称）</w:t>
      </w:r>
      <w:r>
        <w:rPr>
          <w:rFonts w:hint="eastAsia" w:ascii="宋体" w:hAnsi="宋体" w:eastAsia="宋体" w:cs="宋体"/>
          <w:color w:val="000000" w:themeColor="text1"/>
          <w:highlight w:val="none"/>
          <w14:textFill>
            <w14:solidFill>
              <w14:schemeClr w14:val="tx1"/>
            </w14:solidFill>
          </w14:textFill>
        </w:rPr>
        <w:t>，从业人员人，营业收入为万元，资产总额为万元</w:t>
      </w:r>
      <w:r>
        <w:rPr>
          <w:rFonts w:hint="eastAsia" w:ascii="宋体" w:hAnsi="宋体" w:eastAsia="宋体" w:cs="宋体"/>
          <w:color w:val="000000" w:themeColor="text1"/>
          <w:highlight w:val="none"/>
          <w:vertAlign w:val="superscript"/>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，属于</w:t>
      </w:r>
      <w:r>
        <w:rPr>
          <w:rFonts w:hint="eastAsia" w:ascii="宋体" w:hAnsi="宋体" w:eastAsia="宋体" w:cs="宋体"/>
          <w:color w:val="000000" w:themeColor="text1"/>
          <w:highlight w:val="none"/>
          <w:u w:val="single"/>
          <w14:textFill>
            <w14:solidFill>
              <w14:schemeClr w14:val="tx1"/>
            </w14:solidFill>
          </w14:textFill>
        </w:rPr>
        <w:t>（中型企业、小型企业、微型企业）</w:t>
      </w:r>
      <w:r>
        <w:rPr>
          <w:rFonts w:hint="eastAsia" w:ascii="宋体" w:hAnsi="宋体" w:eastAsia="宋体" w:cs="宋体"/>
          <w:color w:val="000000" w:themeColor="text1"/>
          <w:highlight w:val="none"/>
          <w14:textFill>
            <w14:solidFill>
              <w14:schemeClr w14:val="tx1"/>
            </w14:solidFill>
          </w14:textFill>
        </w:rPr>
        <w:t>；</w:t>
      </w:r>
    </w:p>
    <w:p w14:paraId="04F56E2D">
      <w:pPr>
        <w:spacing w:line="360" w:lineRule="auto"/>
        <w:ind w:right="-298" w:rightChars="-142" w:firstLine="371" w:firstLineChars="17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p>
    <w:p w14:paraId="48644816">
      <w:pPr>
        <w:spacing w:line="360" w:lineRule="auto"/>
        <w:ind w:right="-298" w:rightChars="-142" w:firstLine="371" w:firstLineChars="17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7A88BBE5">
      <w:pPr>
        <w:spacing w:line="360" w:lineRule="auto"/>
        <w:ind w:right="-298" w:rightChars="-142" w:firstLine="371" w:firstLineChars="17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本企业对上述声明内容的真实性负责。如有虚假，将依法承担相应责任。</w:t>
      </w:r>
    </w:p>
    <w:p w14:paraId="5DAF0791">
      <w:pPr>
        <w:spacing w:line="360" w:lineRule="auto"/>
        <w:ind w:right="-298" w:rightChars="-142" w:firstLine="371" w:firstLineChars="177"/>
        <w:rPr>
          <w:rFonts w:hint="eastAsia" w:ascii="宋体" w:hAnsi="宋体" w:eastAsia="宋体" w:cs="宋体"/>
          <w:color w:val="000000" w:themeColor="text1"/>
          <w:highlight w:val="none"/>
          <w14:textFill>
            <w14:solidFill>
              <w14:schemeClr w14:val="tx1"/>
            </w14:solidFill>
          </w14:textFill>
        </w:rPr>
      </w:pPr>
    </w:p>
    <w:p w14:paraId="3A7ACF1E">
      <w:pPr>
        <w:spacing w:line="360" w:lineRule="auto"/>
        <w:ind w:right="-298" w:rightChars="-142" w:firstLine="3349" w:firstLineChars="159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企业名称（电子印章）：</w:t>
      </w:r>
    </w:p>
    <w:p w14:paraId="2509FF9A">
      <w:pPr>
        <w:spacing w:line="360" w:lineRule="auto"/>
        <w:ind w:right="-298" w:rightChars="-142" w:firstLine="3349" w:firstLineChars="159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w:t>
      </w:r>
    </w:p>
    <w:p w14:paraId="048C5B90">
      <w:pPr>
        <w:spacing w:line="360" w:lineRule="auto"/>
        <w:ind w:right="-298" w:rightChars="-142"/>
        <w:rPr>
          <w:rFonts w:hint="eastAsia" w:ascii="宋体" w:hAnsi="宋体" w:eastAsia="宋体" w:cs="宋体"/>
          <w:color w:val="000000" w:themeColor="text1"/>
          <w:highlight w:val="none"/>
          <w:u w:val="single"/>
          <w14:textFill>
            <w14:solidFill>
              <w14:schemeClr w14:val="tx1"/>
            </w14:solidFill>
          </w14:textFill>
        </w:rPr>
      </w:pPr>
    </w:p>
    <w:p w14:paraId="300CCB8E">
      <w:pPr>
        <w:spacing w:line="360" w:lineRule="auto"/>
        <w:ind w:right="-172" w:rightChars="-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vertAlign w:val="superscript"/>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从业人员、营业收入、资产总额填报上一年度数据，无上一年度数据的新成立企业可不填报。</w:t>
      </w:r>
    </w:p>
    <w:p w14:paraId="413976AD">
      <w:pPr>
        <w:rPr>
          <w:rFonts w:hint="eastAsia" w:ascii="宋体" w:hAnsi="宋体" w:eastAsia="宋体" w:cs="宋体"/>
          <w:color w:val="000000" w:themeColor="text1"/>
          <w:highlight w:val="none"/>
          <w14:textFill>
            <w14:solidFill>
              <w14:schemeClr w14:val="tx1"/>
            </w14:solidFill>
          </w14:textFill>
        </w:rPr>
      </w:pPr>
    </w:p>
    <w:p w14:paraId="5B00BC18">
      <w:pPr>
        <w:widowControl/>
        <w:tabs>
          <w:tab w:val="left" w:pos="9214"/>
        </w:tabs>
        <w:spacing w:line="360" w:lineRule="auto"/>
        <w:ind w:right="141" w:rightChars="67"/>
        <w:jc w:val="left"/>
        <w:rPr>
          <w:rFonts w:hint="eastAsia" w:ascii="宋体" w:hAnsi="宋体" w:eastAsia="宋体" w:cs="宋体"/>
          <w:color w:val="000000" w:themeColor="text1"/>
          <w:highlight w:val="none"/>
          <w14:textFill>
            <w14:solidFill>
              <w14:schemeClr w14:val="tx1"/>
            </w14:solidFill>
          </w14:textFill>
        </w:rPr>
      </w:pPr>
    </w:p>
    <w:p w14:paraId="56675490">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514BF004">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11B8C3C6">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6E476B1D">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6156D77E">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2D62F796">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0E4E5136">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5150C8E4">
      <w:pPr>
        <w:pStyle w:val="4"/>
        <w:widowControl/>
        <w:rPr>
          <w:rFonts w:hint="eastAsia" w:ascii="宋体" w:hAnsi="宋体" w:eastAsia="宋体" w:cs="宋体"/>
          <w:color w:val="000000" w:themeColor="text1"/>
          <w:highlight w:val="none"/>
          <w14:textFill>
            <w14:solidFill>
              <w14:schemeClr w14:val="tx1"/>
            </w14:solidFill>
          </w14:textFill>
        </w:rPr>
      </w:pPr>
      <w:bookmarkStart w:id="710" w:name="_Toc134619337"/>
      <w:r>
        <w:rPr>
          <w:rFonts w:hint="eastAsia" w:ascii="宋体" w:hAnsi="宋体" w:eastAsia="宋体" w:cs="宋体"/>
          <w:color w:val="000000" w:themeColor="text1"/>
          <w:highlight w:val="none"/>
          <w14:textFill>
            <w14:solidFill>
              <w14:schemeClr w14:val="tx1"/>
            </w14:solidFill>
          </w14:textFill>
        </w:rPr>
        <w:t>附件2</w:t>
      </w:r>
      <w:bookmarkEnd w:id="710"/>
      <w:bookmarkStart w:id="711" w:name="_Toc4213_WPSOffice_Level1"/>
      <w:bookmarkStart w:id="712" w:name="_Toc15643_WPSOffice_Level1"/>
      <w:bookmarkStart w:id="713" w:name="_Toc11968_WPSOffice_Level2"/>
      <w:bookmarkStart w:id="714" w:name="_Toc4354_WPSOffice_Level1"/>
      <w:bookmarkStart w:id="715" w:name="_Toc21603_WPSOffice_Level1"/>
      <w:bookmarkStart w:id="716" w:name="_Toc429_WPSOffice_Level1"/>
      <w:bookmarkStart w:id="717" w:name="_Toc27843_WPSOffice_Level1"/>
      <w:bookmarkStart w:id="718" w:name="_Toc24132_WPSOffice_Level1"/>
      <w:bookmarkStart w:id="719" w:name="_Toc27971_WPSOffice_Level1"/>
      <w:bookmarkStart w:id="720" w:name="_Toc26836_WPSOffice_Level1"/>
      <w:bookmarkStart w:id="721" w:name="_Toc338_WPSOffice_Level1"/>
      <w:bookmarkStart w:id="722" w:name="OLE_LINK14"/>
      <w:bookmarkStart w:id="723" w:name="OLE_LINK13"/>
      <w:r>
        <w:rPr>
          <w:rFonts w:hint="eastAsia" w:ascii="宋体" w:hAnsi="宋体" w:eastAsia="宋体" w:cs="宋体"/>
          <w:color w:val="000000" w:themeColor="text1"/>
          <w:highlight w:val="none"/>
          <w14:textFill>
            <w14:solidFill>
              <w14:schemeClr w14:val="tx1"/>
            </w14:solidFill>
          </w14:textFill>
        </w:rPr>
        <w:t xml:space="preserve"> 残疾人福利性单位声明函</w:t>
      </w:r>
    </w:p>
    <w:p w14:paraId="39D7FF0C">
      <w:pPr>
        <w:widowControl/>
        <w:tabs>
          <w:tab w:val="left" w:pos="312"/>
        </w:tabs>
        <w:spacing w:after="120" w:line="360" w:lineRule="auto"/>
        <w:ind w:left="840"/>
        <w:jc w:val="center"/>
        <w:rPr>
          <w:rFonts w:hint="eastAsia" w:ascii="宋体" w:hAnsi="宋体" w:eastAsia="宋体" w:cs="宋体"/>
          <w:bCs/>
          <w:color w:val="000000" w:themeColor="text1"/>
          <w:highlight w:val="none"/>
          <w:lang w:val="zh-CN"/>
          <w14:textFill>
            <w14:solidFill>
              <w14:schemeClr w14:val="tx1"/>
            </w14:solidFill>
          </w14:textFill>
        </w:rPr>
      </w:pPr>
      <w:r>
        <w:rPr>
          <w:rFonts w:hint="eastAsia" w:ascii="宋体" w:hAnsi="宋体" w:eastAsia="宋体" w:cs="宋体"/>
          <w:bCs/>
          <w:color w:val="000000" w:themeColor="text1"/>
          <w:highlight w:val="none"/>
          <w:lang w:val="zh-CN"/>
          <w14:textFill>
            <w14:solidFill>
              <w14:schemeClr w14:val="tx1"/>
            </w14:solidFill>
          </w14:textFill>
        </w:rPr>
        <w:t>残疾人福利性单位声明函</w:t>
      </w:r>
      <w:bookmarkEnd w:id="711"/>
      <w:bookmarkEnd w:id="712"/>
      <w:bookmarkEnd w:id="713"/>
      <w:bookmarkEnd w:id="714"/>
      <w:bookmarkEnd w:id="715"/>
      <w:bookmarkEnd w:id="716"/>
      <w:bookmarkEnd w:id="717"/>
      <w:bookmarkEnd w:id="718"/>
      <w:bookmarkEnd w:id="719"/>
      <w:bookmarkEnd w:id="720"/>
      <w:bookmarkEnd w:id="721"/>
    </w:p>
    <w:bookmarkEnd w:id="722"/>
    <w:bookmarkEnd w:id="723"/>
    <w:p w14:paraId="6A005A70">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30FF7CC">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本单位对上述声明的真实性负责。如有虚假，将依法承担相应责任。</w:t>
      </w:r>
    </w:p>
    <w:p w14:paraId="5CD7495C">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3BC36CCA">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p>
    <w:p w14:paraId="3F4B056A">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单位名称（电子印章）：</w:t>
      </w:r>
    </w:p>
    <w:p w14:paraId="7EF34420">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日  期：</w:t>
      </w:r>
      <w:r>
        <w:rPr>
          <w:rFonts w:hint="eastAsia" w:ascii="宋体" w:hAnsi="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年</w:t>
      </w:r>
      <w:r>
        <w:rPr>
          <w:rFonts w:hint="eastAsia" w:ascii="宋体" w:hAnsi="宋体" w:cs="宋体"/>
          <w:bCs/>
          <w:color w:val="000000" w:themeColor="text1"/>
          <w:highlight w:val="none"/>
          <w:lang w:val="en-US" w:eastAsia="zh-CN"/>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月</w:t>
      </w:r>
      <w:r>
        <w:rPr>
          <w:rFonts w:hint="eastAsia" w:ascii="宋体" w:hAnsi="宋体" w:cs="宋体"/>
          <w:bCs/>
          <w:color w:val="000000" w:themeColor="text1"/>
          <w:highlight w:val="none"/>
          <w:lang w:val="en-US" w:eastAsia="zh-CN"/>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日</w:t>
      </w:r>
    </w:p>
    <w:p w14:paraId="24AFC922">
      <w:pPr>
        <w:spacing w:line="276" w:lineRule="auto"/>
        <w:rPr>
          <w:rFonts w:hint="eastAsia" w:ascii="宋体" w:hAnsi="宋体" w:eastAsia="宋体" w:cs="宋体"/>
          <w:color w:val="000000" w:themeColor="text1"/>
          <w:highlight w:val="none"/>
          <w14:textFill>
            <w14:solidFill>
              <w14:schemeClr w14:val="tx1"/>
            </w14:solidFill>
          </w14:textFill>
        </w:rPr>
      </w:pPr>
    </w:p>
    <w:p w14:paraId="79421E21">
      <w:pPr>
        <w:spacing w:line="276" w:lineRule="auto"/>
        <w:rPr>
          <w:rFonts w:hint="eastAsia" w:ascii="宋体" w:hAnsi="宋体" w:eastAsia="宋体" w:cs="宋体"/>
          <w:color w:val="000000" w:themeColor="text1"/>
          <w:highlight w:val="none"/>
          <w14:textFill>
            <w14:solidFill>
              <w14:schemeClr w14:val="tx1"/>
            </w14:solidFill>
          </w14:textFill>
        </w:rPr>
      </w:pPr>
    </w:p>
    <w:p w14:paraId="527CBD19">
      <w:pPr>
        <w:spacing w:line="360" w:lineRule="auto"/>
        <w:rPr>
          <w:rFonts w:hint="eastAsia" w:ascii="宋体" w:hAnsi="宋体" w:eastAsia="宋体" w:cs="宋体"/>
          <w:color w:val="000000" w:themeColor="text1"/>
          <w:highlight w:val="none"/>
          <w14:textFill>
            <w14:solidFill>
              <w14:schemeClr w14:val="tx1"/>
            </w14:solidFill>
          </w14:textFill>
        </w:rPr>
      </w:pPr>
    </w:p>
    <w:p w14:paraId="3EA5E0AA">
      <w:pPr>
        <w:spacing w:line="360" w:lineRule="auto"/>
        <w:rPr>
          <w:rFonts w:hint="eastAsia" w:ascii="宋体" w:hAnsi="宋体" w:eastAsia="宋体" w:cs="宋体"/>
          <w:color w:val="000000" w:themeColor="text1"/>
          <w:highlight w:val="none"/>
          <w14:textFill>
            <w14:solidFill>
              <w14:schemeClr w14:val="tx1"/>
            </w14:solidFill>
          </w14:textFill>
        </w:rPr>
      </w:pPr>
    </w:p>
    <w:p w14:paraId="1743B0D0">
      <w:pPr>
        <w:spacing w:line="360" w:lineRule="auto"/>
        <w:rPr>
          <w:rFonts w:hint="eastAsia" w:ascii="宋体" w:hAnsi="宋体" w:eastAsia="宋体" w:cs="宋体"/>
          <w:color w:val="000000" w:themeColor="text1"/>
          <w:highlight w:val="none"/>
          <w14:textFill>
            <w14:solidFill>
              <w14:schemeClr w14:val="tx1"/>
            </w14:solidFill>
          </w14:textFill>
        </w:rPr>
      </w:pPr>
    </w:p>
    <w:p w14:paraId="04FD1B36">
      <w:pPr>
        <w:spacing w:line="360" w:lineRule="auto"/>
        <w:rPr>
          <w:rFonts w:hint="eastAsia" w:ascii="宋体" w:hAnsi="宋体" w:eastAsia="宋体" w:cs="宋体"/>
          <w:color w:val="000000" w:themeColor="text1"/>
          <w:highlight w:val="none"/>
          <w14:textFill>
            <w14:solidFill>
              <w14:schemeClr w14:val="tx1"/>
            </w14:solidFill>
          </w14:textFill>
        </w:rPr>
      </w:pPr>
    </w:p>
    <w:p w14:paraId="32C51C83">
      <w:pPr>
        <w:spacing w:line="360" w:lineRule="auto"/>
        <w:rPr>
          <w:rFonts w:hint="eastAsia" w:ascii="宋体" w:hAnsi="宋体" w:eastAsia="宋体" w:cs="宋体"/>
          <w:color w:val="000000" w:themeColor="text1"/>
          <w:highlight w:val="none"/>
          <w14:textFill>
            <w14:solidFill>
              <w14:schemeClr w14:val="tx1"/>
            </w14:solidFill>
          </w14:textFill>
        </w:rPr>
      </w:pPr>
    </w:p>
    <w:p w14:paraId="6D20530F">
      <w:pPr>
        <w:spacing w:line="360" w:lineRule="auto"/>
        <w:rPr>
          <w:rFonts w:hint="eastAsia" w:ascii="宋体" w:hAnsi="宋体" w:eastAsia="宋体" w:cs="宋体"/>
          <w:color w:val="000000" w:themeColor="text1"/>
          <w:highlight w:val="none"/>
          <w14:textFill>
            <w14:solidFill>
              <w14:schemeClr w14:val="tx1"/>
            </w14:solidFill>
          </w14:textFill>
        </w:rPr>
      </w:pPr>
    </w:p>
    <w:p w14:paraId="158658B4">
      <w:pPr>
        <w:spacing w:line="360" w:lineRule="auto"/>
        <w:rPr>
          <w:rFonts w:hint="eastAsia" w:ascii="宋体" w:hAnsi="宋体" w:eastAsia="宋体" w:cs="宋体"/>
          <w:color w:val="000000" w:themeColor="text1"/>
          <w:highlight w:val="none"/>
          <w14:textFill>
            <w14:solidFill>
              <w14:schemeClr w14:val="tx1"/>
            </w14:solidFill>
          </w14:textFill>
        </w:rPr>
      </w:pPr>
    </w:p>
    <w:p w14:paraId="3F928AEE">
      <w:pPr>
        <w:spacing w:line="360" w:lineRule="auto"/>
        <w:rPr>
          <w:rFonts w:hint="eastAsia" w:ascii="宋体" w:hAnsi="宋体" w:eastAsia="宋体" w:cs="宋体"/>
          <w:color w:val="000000" w:themeColor="text1"/>
          <w:highlight w:val="none"/>
          <w14:textFill>
            <w14:solidFill>
              <w14:schemeClr w14:val="tx1"/>
            </w14:solidFill>
          </w14:textFill>
        </w:rPr>
      </w:pPr>
    </w:p>
    <w:p w14:paraId="0FD789CD">
      <w:pPr>
        <w:spacing w:line="360" w:lineRule="auto"/>
        <w:rPr>
          <w:rFonts w:hint="eastAsia" w:ascii="宋体" w:hAnsi="宋体" w:eastAsia="宋体" w:cs="宋体"/>
          <w:color w:val="000000" w:themeColor="text1"/>
          <w:highlight w:val="none"/>
          <w14:textFill>
            <w14:solidFill>
              <w14:schemeClr w14:val="tx1"/>
            </w14:solidFill>
          </w14:textFill>
        </w:rPr>
      </w:pPr>
    </w:p>
    <w:p w14:paraId="4E37EDE2">
      <w:pPr>
        <w:spacing w:line="360" w:lineRule="auto"/>
        <w:rPr>
          <w:rFonts w:hint="eastAsia" w:ascii="宋体" w:hAnsi="宋体" w:eastAsia="宋体" w:cs="宋体"/>
          <w:color w:val="000000" w:themeColor="text1"/>
          <w:highlight w:val="none"/>
          <w14:textFill>
            <w14:solidFill>
              <w14:schemeClr w14:val="tx1"/>
            </w14:solidFill>
          </w14:textFill>
        </w:rPr>
      </w:pPr>
    </w:p>
    <w:p w14:paraId="40072C11">
      <w:pPr>
        <w:spacing w:line="360" w:lineRule="auto"/>
        <w:rPr>
          <w:rFonts w:hint="eastAsia" w:ascii="宋体" w:hAnsi="宋体" w:eastAsia="宋体" w:cs="宋体"/>
          <w:color w:val="000000" w:themeColor="text1"/>
          <w:highlight w:val="none"/>
          <w14:textFill>
            <w14:solidFill>
              <w14:schemeClr w14:val="tx1"/>
            </w14:solidFill>
          </w14:textFill>
        </w:rPr>
      </w:pPr>
    </w:p>
    <w:p w14:paraId="27C6F2E7">
      <w:pPr>
        <w:spacing w:line="360" w:lineRule="auto"/>
        <w:rPr>
          <w:rFonts w:hint="eastAsia" w:ascii="宋体" w:hAnsi="宋体" w:eastAsia="宋体" w:cs="宋体"/>
          <w:color w:val="000000" w:themeColor="text1"/>
          <w:highlight w:val="none"/>
          <w14:textFill>
            <w14:solidFill>
              <w14:schemeClr w14:val="tx1"/>
            </w14:solidFill>
          </w14:textFill>
        </w:rPr>
      </w:pPr>
    </w:p>
    <w:p w14:paraId="6325EFB9">
      <w:pPr>
        <w:spacing w:line="360" w:lineRule="auto"/>
        <w:rPr>
          <w:rFonts w:hint="eastAsia" w:ascii="宋体" w:hAnsi="宋体" w:eastAsia="宋体" w:cs="宋体"/>
          <w:color w:val="000000" w:themeColor="text1"/>
          <w:highlight w:val="none"/>
          <w14:textFill>
            <w14:solidFill>
              <w14:schemeClr w14:val="tx1"/>
            </w14:solidFill>
          </w14:textFill>
        </w:rPr>
      </w:pPr>
    </w:p>
    <w:p w14:paraId="2CB62A0D">
      <w:pPr>
        <w:spacing w:line="360" w:lineRule="auto"/>
        <w:rPr>
          <w:rFonts w:hint="eastAsia" w:ascii="宋体" w:hAnsi="宋体" w:eastAsia="宋体" w:cs="宋体"/>
          <w:color w:val="000000" w:themeColor="text1"/>
          <w:highlight w:val="none"/>
          <w14:textFill>
            <w14:solidFill>
              <w14:schemeClr w14:val="tx1"/>
            </w14:solidFill>
          </w14:textFill>
        </w:rPr>
      </w:pPr>
    </w:p>
    <w:p w14:paraId="40662B89">
      <w:pPr>
        <w:spacing w:line="360" w:lineRule="auto"/>
        <w:rPr>
          <w:rFonts w:hint="eastAsia" w:ascii="宋体" w:hAnsi="宋体" w:eastAsia="宋体" w:cs="宋体"/>
          <w:color w:val="000000" w:themeColor="text1"/>
          <w:highlight w:val="none"/>
          <w14:textFill>
            <w14:solidFill>
              <w14:schemeClr w14:val="tx1"/>
            </w14:solidFill>
          </w14:textFill>
        </w:rPr>
      </w:pPr>
    </w:p>
    <w:p w14:paraId="2E79337F">
      <w:pPr>
        <w:spacing w:line="360" w:lineRule="auto"/>
        <w:rPr>
          <w:rFonts w:hint="eastAsia" w:ascii="宋体" w:hAnsi="宋体" w:eastAsia="宋体" w:cs="宋体"/>
          <w:color w:val="000000" w:themeColor="text1"/>
          <w:highlight w:val="none"/>
          <w14:textFill>
            <w14:solidFill>
              <w14:schemeClr w14:val="tx1"/>
            </w14:solidFill>
          </w14:textFill>
        </w:rPr>
      </w:pPr>
    </w:p>
    <w:p w14:paraId="237826BB">
      <w:pPr>
        <w:spacing w:line="360" w:lineRule="auto"/>
        <w:rPr>
          <w:rFonts w:hint="eastAsia" w:ascii="宋体" w:hAnsi="宋体" w:eastAsia="宋体" w:cs="宋体"/>
          <w:color w:val="000000" w:themeColor="text1"/>
          <w:highlight w:val="none"/>
          <w14:textFill>
            <w14:solidFill>
              <w14:schemeClr w14:val="tx1"/>
            </w14:solidFill>
          </w14:textFill>
        </w:rPr>
      </w:pPr>
    </w:p>
    <w:p w14:paraId="12EC0B6D">
      <w:pPr>
        <w:pStyle w:val="4"/>
        <w:widowControl/>
        <w:rPr>
          <w:rFonts w:ascii="宋体" w:hAnsi="宋体" w:cs="宋体"/>
          <w:highlight w:val="none"/>
        </w:rPr>
      </w:pPr>
      <w:bookmarkStart w:id="724" w:name="_Toc134619338"/>
      <w:r>
        <w:rPr>
          <w:rFonts w:hint="eastAsia" w:ascii="宋体" w:hAnsi="宋体" w:cs="宋体"/>
          <w:highlight w:val="none"/>
        </w:rPr>
        <w:t>附件3</w:t>
      </w:r>
      <w:bookmarkEnd w:id="724"/>
      <w:r>
        <w:rPr>
          <w:rFonts w:hint="eastAsia" w:ascii="宋体" w:hAnsi="宋体" w:cs="宋体"/>
          <w:highlight w:val="none"/>
        </w:rPr>
        <w:t xml:space="preserve"> 河南省政府采购合同融资政策告知函</w:t>
      </w:r>
    </w:p>
    <w:p w14:paraId="3EF930F8">
      <w:pPr>
        <w:spacing w:line="360" w:lineRule="auto"/>
        <w:jc w:val="center"/>
        <w:rPr>
          <w:rFonts w:ascii="宋体" w:hAnsi="宋体" w:cs="宋体"/>
          <w:szCs w:val="21"/>
          <w:highlight w:val="none"/>
        </w:rPr>
      </w:pPr>
      <w:r>
        <w:rPr>
          <w:rFonts w:hint="eastAsia" w:ascii="宋体" w:hAnsi="宋体" w:cs="宋体"/>
          <w:szCs w:val="21"/>
          <w:highlight w:val="none"/>
        </w:rPr>
        <w:t>河南省政府采购合同融资政策告知函</w:t>
      </w:r>
    </w:p>
    <w:p w14:paraId="72AFAF53">
      <w:pPr>
        <w:spacing w:line="360" w:lineRule="auto"/>
        <w:rPr>
          <w:rFonts w:ascii="宋体" w:hAnsi="宋体" w:cs="宋体"/>
          <w:szCs w:val="21"/>
          <w:highlight w:val="none"/>
        </w:rPr>
      </w:pPr>
      <w:r>
        <w:rPr>
          <w:rFonts w:hint="eastAsia" w:ascii="宋体" w:hAnsi="宋体" w:cs="宋体"/>
          <w:szCs w:val="21"/>
          <w:highlight w:val="none"/>
        </w:rPr>
        <w:t>各供应商：</w:t>
      </w:r>
    </w:p>
    <w:p w14:paraId="601693C9">
      <w:pPr>
        <w:spacing w:line="360" w:lineRule="auto"/>
        <w:ind w:right="162" w:rightChars="77" w:firstLine="424" w:firstLineChars="202"/>
        <w:rPr>
          <w:rFonts w:ascii="宋体" w:hAnsi="宋体" w:cs="宋体"/>
          <w:szCs w:val="21"/>
          <w:highlight w:val="none"/>
        </w:rPr>
      </w:pPr>
      <w:r>
        <w:rPr>
          <w:rFonts w:hint="eastAsia" w:ascii="宋体" w:hAnsi="宋体" w:cs="宋体"/>
          <w:szCs w:val="21"/>
          <w:highlight w:val="none"/>
        </w:rPr>
        <w:t>欢迎贵公司参与河南省政府采购活动！</w:t>
      </w:r>
    </w:p>
    <w:p w14:paraId="4E725905">
      <w:pPr>
        <w:spacing w:line="360" w:lineRule="auto"/>
        <w:ind w:right="162" w:rightChars="77" w:firstLine="424" w:firstLineChars="202"/>
        <w:rPr>
          <w:rFonts w:ascii="宋体" w:hAnsi="宋体" w:cs="宋体"/>
          <w:szCs w:val="21"/>
          <w:highlight w:val="none"/>
        </w:rPr>
      </w:pPr>
      <w:r>
        <w:rPr>
          <w:rFonts w:hint="eastAsia" w:ascii="宋体" w:hAnsi="宋体" w:cs="宋体"/>
          <w:szCs w:val="21"/>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03D0A854">
      <w:pPr>
        <w:spacing w:line="360" w:lineRule="auto"/>
        <w:ind w:right="162" w:rightChars="77" w:firstLine="424" w:firstLineChars="202"/>
        <w:rPr>
          <w:rFonts w:ascii="宋体" w:hAnsi="宋体" w:cs="宋体"/>
          <w:szCs w:val="21"/>
          <w:highlight w:val="none"/>
        </w:rPr>
      </w:pPr>
      <w:r>
        <w:rPr>
          <w:rFonts w:hint="eastAsia" w:ascii="宋体" w:hAnsi="宋体" w:cs="宋体"/>
          <w:szCs w:val="21"/>
          <w:highlight w:val="none"/>
        </w:rPr>
        <w:t>贷款渠道和提供贷款的金融机构，可在河南省政府采购网“河南省政府采购合同融资平台”查询联系。</w:t>
      </w:r>
    </w:p>
    <w:p w14:paraId="1F000CA3">
      <w:pPr>
        <w:spacing w:line="360" w:lineRule="auto"/>
        <w:rPr>
          <w:rFonts w:ascii="宋体" w:hAnsi="宋体" w:cs="宋体"/>
          <w:szCs w:val="21"/>
          <w:highlight w:val="none"/>
        </w:rPr>
      </w:pPr>
    </w:p>
    <w:p w14:paraId="68E75877">
      <w:pPr>
        <w:spacing w:line="360" w:lineRule="auto"/>
        <w:rPr>
          <w:rFonts w:ascii="宋体" w:hAnsi="宋体" w:cs="宋体"/>
          <w:szCs w:val="21"/>
          <w:highlight w:val="none"/>
        </w:rPr>
      </w:pPr>
    </w:p>
    <w:p w14:paraId="3A161DE7">
      <w:pPr>
        <w:spacing w:line="360" w:lineRule="auto"/>
        <w:rPr>
          <w:rFonts w:hint="eastAsia" w:ascii="宋体" w:hAnsi="宋体" w:eastAsia="宋体" w:cs="宋体"/>
          <w:color w:val="000000" w:themeColor="text1"/>
          <w:highlight w:val="none"/>
          <w14:textFill>
            <w14:solidFill>
              <w14:schemeClr w14:val="tx1"/>
            </w14:solidFill>
          </w14:textFill>
        </w:rPr>
      </w:pPr>
    </w:p>
    <w:p w14:paraId="78CCBC72">
      <w:pPr>
        <w:spacing w:line="360" w:lineRule="auto"/>
        <w:rPr>
          <w:rFonts w:hint="eastAsia" w:ascii="宋体" w:hAnsi="宋体" w:eastAsia="宋体" w:cs="宋体"/>
          <w:color w:val="000000" w:themeColor="text1"/>
          <w:highlight w:val="none"/>
          <w14:textFill>
            <w14:solidFill>
              <w14:schemeClr w14:val="tx1"/>
            </w14:solidFill>
          </w14:textFill>
        </w:rPr>
      </w:pPr>
    </w:p>
    <w:p w14:paraId="442C2F0D">
      <w:pPr>
        <w:spacing w:line="360" w:lineRule="auto"/>
        <w:rPr>
          <w:rFonts w:hint="eastAsia" w:ascii="宋体" w:hAnsi="宋体" w:eastAsia="宋体" w:cs="宋体"/>
          <w:color w:val="000000" w:themeColor="text1"/>
          <w:highlight w:val="none"/>
          <w14:textFill>
            <w14:solidFill>
              <w14:schemeClr w14:val="tx1"/>
            </w14:solidFill>
          </w14:textFill>
        </w:rPr>
      </w:pPr>
    </w:p>
    <w:p w14:paraId="54D7D79E">
      <w:pPr>
        <w:spacing w:line="360" w:lineRule="auto"/>
        <w:rPr>
          <w:rFonts w:hint="eastAsia" w:ascii="宋体" w:hAnsi="宋体" w:eastAsia="宋体" w:cs="宋体"/>
          <w:color w:val="000000" w:themeColor="text1"/>
          <w:highlight w:val="none"/>
          <w14:textFill>
            <w14:solidFill>
              <w14:schemeClr w14:val="tx1"/>
            </w14:solidFill>
          </w14:textFill>
        </w:rPr>
      </w:pPr>
    </w:p>
    <w:p w14:paraId="5AAFEEB0">
      <w:pPr>
        <w:spacing w:line="360" w:lineRule="auto"/>
        <w:rPr>
          <w:rFonts w:hint="eastAsia" w:ascii="宋体" w:hAnsi="宋体" w:eastAsia="宋体" w:cs="宋体"/>
          <w:color w:val="000000" w:themeColor="text1"/>
          <w:highlight w:val="none"/>
          <w14:textFill>
            <w14:solidFill>
              <w14:schemeClr w14:val="tx1"/>
            </w14:solidFill>
          </w14:textFill>
        </w:rPr>
      </w:pPr>
    </w:p>
    <w:p w14:paraId="1FCF8F88">
      <w:pPr>
        <w:spacing w:line="360" w:lineRule="auto"/>
        <w:rPr>
          <w:rFonts w:hint="eastAsia" w:ascii="宋体" w:hAnsi="宋体" w:eastAsia="宋体" w:cs="宋体"/>
          <w:color w:val="000000" w:themeColor="text1"/>
          <w:highlight w:val="none"/>
          <w14:textFill>
            <w14:solidFill>
              <w14:schemeClr w14:val="tx1"/>
            </w14:solidFill>
          </w14:textFill>
        </w:rPr>
      </w:pPr>
    </w:p>
    <w:p w14:paraId="2E77AA87">
      <w:pPr>
        <w:spacing w:line="360" w:lineRule="auto"/>
        <w:rPr>
          <w:rFonts w:hint="eastAsia" w:ascii="宋体" w:hAnsi="宋体" w:eastAsia="宋体" w:cs="宋体"/>
          <w:color w:val="000000" w:themeColor="text1"/>
          <w:highlight w:val="none"/>
          <w14:textFill>
            <w14:solidFill>
              <w14:schemeClr w14:val="tx1"/>
            </w14:solidFill>
          </w14:textFill>
        </w:rPr>
      </w:pPr>
    </w:p>
    <w:p w14:paraId="0E2D93ED">
      <w:pPr>
        <w:spacing w:line="360" w:lineRule="auto"/>
        <w:rPr>
          <w:rFonts w:hint="eastAsia" w:ascii="宋体" w:hAnsi="宋体" w:eastAsia="宋体" w:cs="宋体"/>
          <w:color w:val="000000" w:themeColor="text1"/>
          <w:highlight w:val="none"/>
          <w14:textFill>
            <w14:solidFill>
              <w14:schemeClr w14:val="tx1"/>
            </w14:solidFill>
          </w14:textFill>
        </w:rPr>
      </w:pPr>
    </w:p>
    <w:p w14:paraId="573008B7">
      <w:pPr>
        <w:spacing w:line="360" w:lineRule="auto"/>
        <w:rPr>
          <w:rFonts w:hint="eastAsia" w:ascii="宋体" w:hAnsi="宋体" w:eastAsia="宋体" w:cs="宋体"/>
          <w:color w:val="000000" w:themeColor="text1"/>
          <w:highlight w:val="none"/>
          <w14:textFill>
            <w14:solidFill>
              <w14:schemeClr w14:val="tx1"/>
            </w14:solidFill>
          </w14:textFill>
        </w:rPr>
      </w:pPr>
    </w:p>
    <w:p w14:paraId="6EC2CAE3">
      <w:pPr>
        <w:spacing w:line="360" w:lineRule="auto"/>
        <w:rPr>
          <w:rFonts w:hint="eastAsia" w:ascii="宋体" w:hAnsi="宋体" w:eastAsia="宋体" w:cs="宋体"/>
          <w:color w:val="000000" w:themeColor="text1"/>
          <w:highlight w:val="none"/>
          <w14:textFill>
            <w14:solidFill>
              <w14:schemeClr w14:val="tx1"/>
            </w14:solidFill>
          </w14:textFill>
        </w:rPr>
      </w:pPr>
    </w:p>
    <w:p w14:paraId="019DCB06">
      <w:pPr>
        <w:spacing w:line="360" w:lineRule="auto"/>
        <w:rPr>
          <w:rFonts w:hint="eastAsia" w:ascii="宋体" w:hAnsi="宋体" w:eastAsia="宋体" w:cs="宋体"/>
          <w:color w:val="000000" w:themeColor="text1"/>
          <w:highlight w:val="none"/>
          <w14:textFill>
            <w14:solidFill>
              <w14:schemeClr w14:val="tx1"/>
            </w14:solidFill>
          </w14:textFill>
        </w:rPr>
      </w:pPr>
    </w:p>
    <w:p w14:paraId="058C9DB5">
      <w:pPr>
        <w:spacing w:line="360" w:lineRule="auto"/>
        <w:rPr>
          <w:rFonts w:hint="eastAsia" w:ascii="宋体" w:hAnsi="宋体" w:eastAsia="宋体" w:cs="宋体"/>
          <w:color w:val="000000" w:themeColor="text1"/>
          <w:highlight w:val="none"/>
          <w14:textFill>
            <w14:solidFill>
              <w14:schemeClr w14:val="tx1"/>
            </w14:solidFill>
          </w14:textFill>
        </w:rPr>
      </w:pPr>
    </w:p>
    <w:p w14:paraId="4B60FD7F">
      <w:pPr>
        <w:spacing w:line="360" w:lineRule="auto"/>
        <w:rPr>
          <w:rFonts w:hint="eastAsia" w:ascii="宋体" w:hAnsi="宋体" w:eastAsia="宋体" w:cs="宋体"/>
          <w:color w:val="000000" w:themeColor="text1"/>
          <w:highlight w:val="none"/>
          <w14:textFill>
            <w14:solidFill>
              <w14:schemeClr w14:val="tx1"/>
            </w14:solidFill>
          </w14:textFill>
        </w:rPr>
      </w:pPr>
    </w:p>
    <w:p w14:paraId="4CD099C9">
      <w:pPr>
        <w:spacing w:line="360" w:lineRule="auto"/>
        <w:rPr>
          <w:rFonts w:hint="eastAsia" w:ascii="宋体" w:hAnsi="宋体" w:eastAsia="宋体" w:cs="宋体"/>
          <w:color w:val="000000" w:themeColor="text1"/>
          <w:highlight w:val="none"/>
          <w14:textFill>
            <w14:solidFill>
              <w14:schemeClr w14:val="tx1"/>
            </w14:solidFill>
          </w14:textFill>
        </w:rPr>
      </w:pPr>
    </w:p>
    <w:p w14:paraId="7F1020B2">
      <w:pPr>
        <w:spacing w:line="360" w:lineRule="auto"/>
        <w:rPr>
          <w:rFonts w:hint="eastAsia" w:ascii="宋体" w:hAnsi="宋体" w:eastAsia="宋体" w:cs="宋体"/>
          <w:color w:val="000000" w:themeColor="text1"/>
          <w:highlight w:val="none"/>
          <w14:textFill>
            <w14:solidFill>
              <w14:schemeClr w14:val="tx1"/>
            </w14:solidFill>
          </w14:textFill>
        </w:rPr>
      </w:pPr>
    </w:p>
    <w:p w14:paraId="043A0B8C">
      <w:pPr>
        <w:pStyle w:val="4"/>
        <w:widowControl/>
        <w:rPr>
          <w:rFonts w:hint="eastAsia" w:ascii="宋体" w:hAnsi="宋体" w:eastAsia="宋体" w:cs="宋体"/>
          <w:color w:val="000000" w:themeColor="text1"/>
          <w:highlight w:val="none"/>
          <w14:textFill>
            <w14:solidFill>
              <w14:schemeClr w14:val="tx1"/>
            </w14:solidFill>
          </w14:textFill>
        </w:rPr>
      </w:pPr>
      <w:bookmarkStart w:id="725" w:name="_Toc134619339"/>
      <w:r>
        <w:rPr>
          <w:rFonts w:hint="eastAsia" w:ascii="宋体" w:hAnsi="宋体" w:eastAsia="宋体" w:cs="宋体"/>
          <w:color w:val="000000" w:themeColor="text1"/>
          <w:highlight w:val="none"/>
          <w14:textFill>
            <w14:solidFill>
              <w14:schemeClr w14:val="tx1"/>
            </w14:solidFill>
          </w14:textFill>
        </w:rPr>
        <w:t>附件</w:t>
      </w:r>
      <w:bookmarkEnd w:id="725"/>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 xml:space="preserve"> 关于印发中小企业划型标准规定的通知</w:t>
      </w:r>
    </w:p>
    <w:p w14:paraId="1EE6996D">
      <w:pPr>
        <w:spacing w:line="36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关于印发中小企业划型标准规定的通知</w:t>
      </w:r>
    </w:p>
    <w:p w14:paraId="33EB0307">
      <w:pPr>
        <w:spacing w:line="360" w:lineRule="auto"/>
        <w:ind w:firstLine="315" w:firstLineChars="15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工信部联企业[2011]300号</w:t>
      </w:r>
    </w:p>
    <w:p w14:paraId="11C6DDA3">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各省、自治区、直辖市人民政府，国务院各部委、各直属机构及有关单位：</w:t>
      </w:r>
    </w:p>
    <w:p w14:paraId="2172260D">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DE8391C">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工业和信息化部　国家统计局</w:t>
      </w:r>
    </w:p>
    <w:p w14:paraId="34CF1D51">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国家发展和改革委员会　财政部</w:t>
      </w:r>
    </w:p>
    <w:p w14:paraId="7C9DBD10">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二〇一一年六月十八日</w:t>
      </w:r>
    </w:p>
    <w:p w14:paraId="47C2D9BC">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p>
    <w:p w14:paraId="4AC5F03E">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中小企业划型标准规定</w:t>
      </w:r>
    </w:p>
    <w:p w14:paraId="266BBD92">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一、根据《中华人民共和国中小企业促进法》和《国务院关于进一步促进中小企业发展的若干意见》(国发〔2009〕36号)，制定本规定。</w:t>
      </w:r>
    </w:p>
    <w:p w14:paraId="30A396AD">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二、中小企业划分为中型、小型、微型三种类型，具体标准根据企业从业人员、营业收入、资产总额等指标，结合行业特点制定。</w:t>
      </w:r>
    </w:p>
    <w:p w14:paraId="03C44B14">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684D502">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四、各行业划型标准为：</w:t>
      </w:r>
    </w:p>
    <w:p w14:paraId="395A233E">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653A25BE">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3E16B58">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E90BF69">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DD23420">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84EA94D">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0DC799C">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015ED02">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C69B556">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A55259">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AEAC8F8">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B32ADBF">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0389F58">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F22D0B0">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AD82BA1">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C2B0E0B">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29965263">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五、企业类型的划分以统计部门的统计数据为依据。</w:t>
      </w:r>
    </w:p>
    <w:p w14:paraId="6569DE2F">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六、本规定适用于在中华人民共和国境内依法设立的各类所有制和各种组织形式的企业。个体工商户和本规定以外的行业，参照本规定进行划型。</w:t>
      </w:r>
    </w:p>
    <w:p w14:paraId="593A181F">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七、本规定的中型企业标准上限即为大型企业标准的下限，国家统计部门据此制定大中小微型企业的统计分类。国务院有关部门据此进行相关数据分析，不得制定与本规定不一致的企业划型标准。</w:t>
      </w:r>
    </w:p>
    <w:p w14:paraId="03105AA1">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八、本规定由工业和信息化部、国家统计局会同有关部门根据《国民经济行业分类》修订情况和企业发展变化情况适时修订。</w:t>
      </w:r>
    </w:p>
    <w:p w14:paraId="6A2D81DF">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九、本规定由工业和信息化部、国家统计局会同有关部门负责解释。</w:t>
      </w:r>
    </w:p>
    <w:p w14:paraId="47FB0DBA">
      <w:pPr>
        <w:spacing w:line="360" w:lineRule="auto"/>
        <w:ind w:firstLine="315" w:firstLineChars="1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十、本规定自发布之日起执行，原国家经贸委、原国家计委、财政部和国家统计局2003年颁布的《中小企业标准暂行规定》同时废止。</w:t>
      </w:r>
    </w:p>
    <w:p w14:paraId="067B1E52">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0D4693DB">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51A8705C">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0BEA20DB">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73C680D6">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107131A6">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64A68968">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1DDB6D24">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2CEDF127">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6C3D0E66">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01CBCB9A">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332166D9">
      <w:pPr>
        <w:spacing w:line="400" w:lineRule="exact"/>
        <w:ind w:right="-1" w:firstLine="643" w:firstLineChars="200"/>
        <w:rPr>
          <w:rFonts w:hint="eastAsia" w:ascii="宋体" w:hAnsi="宋体" w:eastAsia="宋体" w:cs="宋体"/>
          <w:b/>
          <w:bCs/>
          <w:color w:val="000000" w:themeColor="text1"/>
          <w:kern w:val="44"/>
          <w:sz w:val="32"/>
          <w:szCs w:val="32"/>
          <w:highlight w:val="none"/>
          <w14:textFill>
            <w14:solidFill>
              <w14:schemeClr w14:val="tx1"/>
            </w14:solidFill>
          </w14:textFill>
        </w:rPr>
      </w:pPr>
    </w:p>
    <w:p w14:paraId="7DA427F9">
      <w:pPr>
        <w:pStyle w:val="4"/>
        <w:widowControl/>
        <w:rPr>
          <w:rFonts w:hint="eastAsia" w:ascii="宋体" w:hAnsi="宋体" w:eastAsia="宋体" w:cs="宋体"/>
          <w:color w:val="000000" w:themeColor="text1"/>
          <w:highlight w:val="none"/>
          <w14:textFill>
            <w14:solidFill>
              <w14:schemeClr w14:val="tx1"/>
            </w14:solidFill>
          </w14:textFill>
        </w:rPr>
      </w:pPr>
      <w:bookmarkStart w:id="726" w:name="_Toc134619340"/>
      <w:r>
        <w:rPr>
          <w:rFonts w:hint="eastAsia" w:ascii="宋体" w:hAnsi="宋体" w:eastAsia="宋体" w:cs="宋体"/>
          <w:color w:val="000000" w:themeColor="text1"/>
          <w:highlight w:val="none"/>
          <w14:textFill>
            <w14:solidFill>
              <w14:schemeClr w14:val="tx1"/>
            </w14:solidFill>
          </w14:textFill>
        </w:rPr>
        <w:t>附件</w:t>
      </w:r>
      <w:bookmarkEnd w:id="726"/>
      <w:r>
        <w:rPr>
          <w:rFonts w:hint="eastAsia" w:ascii="宋体" w:hAnsi="宋体" w:eastAsia="宋体" w:cs="宋体"/>
          <w:color w:val="000000" w:themeColor="text1"/>
          <w:highlight w:val="none"/>
          <w14:textFill>
            <w14:solidFill>
              <w14:schemeClr w14:val="tx1"/>
            </w14:solidFill>
          </w14:textFill>
        </w:rPr>
        <w:t>5 全流程电子化交易注意事项</w:t>
      </w:r>
    </w:p>
    <w:p w14:paraId="2EAA5765">
      <w:pPr>
        <w:spacing w:line="48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全流程电子化交易注意事项</w:t>
      </w:r>
    </w:p>
    <w:p w14:paraId="460FF57A">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化交易项目投标文件是供应商（以下简称“供应商”）通过中心投标文件制作系统制作，并经过签章和加密后生成的电子版投标文件。（电子化投标文件具体制作教材请供应商通过CA证书登录公共资源电子化交易系统在右上角“组件下载”中查看）制作电子化投标文件，需仔细阅读以下条款。</w:t>
      </w:r>
    </w:p>
    <w:p w14:paraId="601FCDF0">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一、电子化投标</w:t>
      </w:r>
    </w:p>
    <w:p w14:paraId="34CAC431">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（一）网上投标保证金的缴纳（本项目不适用）</w:t>
      </w:r>
    </w:p>
    <w:p w14:paraId="48F49F7B">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1、递交形式: 供应商的投标保证金必须通过供应商基本账户以转账或电汇的形式缴纳（账户必须是已加入平顶山市公共资源交易供应商或供应商诚信库中的账户）。</w:t>
      </w:r>
    </w:p>
    <w:p w14:paraId="77957A29">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660E4067">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3、供应商在成功绑定后，可以将系统生成的回执单图片制作在投标文件中，作为缴纳保证金的依据。</w:t>
      </w:r>
    </w:p>
    <w:p w14:paraId="3C21826D">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4、供应商应仔细阅读操作手册并充分考虑异地跨行转账到账时间等因素，因供应商操作不当或银行到账时间等问题造成保证金无法正常绑定影响投标的，由供应商自行承担后果。</w:t>
      </w:r>
    </w:p>
    <w:p w14:paraId="210C0530">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5、未中标供应商的投标保证金在项目结束后，由中介服务机构向中心项目负责人提出退款申请，项目负责人同意并经财务部门核对后，通过中心交易平台退还给供应商。</w:t>
      </w:r>
    </w:p>
    <w:p w14:paraId="0B22AD12">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（二）电子化投标文件的签章</w:t>
      </w:r>
    </w:p>
    <w:p w14:paraId="26BE9432">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1、供应商在生成电子化投标文件后，应对电子化投标文件进行签章，未进行签章的视为无效投标。</w:t>
      </w:r>
    </w:p>
    <w:p w14:paraId="711CCF0D">
      <w:pPr>
        <w:spacing w:line="360" w:lineRule="auto"/>
        <w:ind w:firstLine="369" w:firstLineChars="175"/>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招标文件中要求法定代表人或授权委托人签字或盖章的，供应商在进行电子化投标文件签章时，以签盖法定代表人签章为准。电子化投标文件具体制作教材请供应商通过CA证书登录平顶山市公共资源电子化交易系统在右上角“组建下载”中查看。</w:t>
      </w:r>
    </w:p>
    <w:p w14:paraId="1DE940DC">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（三）电子化投标文件的格式及上传投标</w:t>
      </w:r>
    </w:p>
    <w:p w14:paraId="137A3AC2">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1、供应商所上传的电子化投标文件，应是通过中心投标文件制作系统制作的，经过签章和加密后生成的电子版投标文件。生成的电子版投标文件包含用于投标文件上传的主文件（项目文件格式为：xxx公司_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p w14:paraId="0AC38886">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注：（1）供应商投报多个标段的，根据标段制作各个标段的投标文件后上传</w:t>
      </w:r>
    </w:p>
    <w:p w14:paraId="5A9E9219">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2、电子化投标文件应在投标截止时间前成功上传至平顶山市公共资源电子化交易系统。至投标截止时间止，仍未上传成功的电子化投标文件将不予接收。</w:t>
      </w:r>
    </w:p>
    <w:p w14:paraId="0E16B181">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14:paraId="3DBAAD95">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（四）电子化项目开标、解密、唱标、评标</w:t>
      </w:r>
    </w:p>
    <w:p w14:paraId="0DEF0C1B">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1、电子化投标文件采用双重加密方式。开标时，首先由供应商使用CA证书，在规定时间内对其电子化投标文件进行首次解密，供应商解密完成后，再由中介服务机构使用CA证书对投标文件进行再次解密。</w:t>
      </w:r>
    </w:p>
    <w:p w14:paraId="45F0A495">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2、电子化投标文件解密异常的处理</w:t>
      </w:r>
    </w:p>
    <w:p w14:paraId="4D043280">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如出现供应商的电子投标文件无法解密的情况，供应商应及时联系中介服务机构说明。投标文件解密异常，按以下步骤进行处理：</w:t>
      </w:r>
    </w:p>
    <w:p w14:paraId="4AF8F5DB">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（1）首先由技术人员进行问题排查。</w:t>
      </w:r>
    </w:p>
    <w:p w14:paraId="1373B80F">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（2）经技术人员排查后，是供应商文件自身问题导致投标文件无法解密的，该投标文件将不予接收、解密和唱标，开标会议继续进行。</w:t>
      </w:r>
    </w:p>
    <w:p w14:paraId="7B6E969B">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70DB3264">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3、待所有供应商投标文件解密完成后，由中介服务机构操作，对所有已解密投标文件进行唱标。</w:t>
      </w:r>
    </w:p>
    <w:p w14:paraId="1B21A862">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评标时，评标委员会对电子化投标文件有质疑的，将通过电子化交易系统对供应商发起质疑。质疑回复内容确认后，供应商的回复文件必须以经过供应商和其法定代表人签章的PDF格式文件为准，并通过电子化交易系统提交至评标委员会。</w:t>
      </w:r>
    </w:p>
    <w:p w14:paraId="5F632A1D">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5、如评标委员会对需要回复的供应商回复内容有异议的，经过几次回复仍不清楚的，需在监督下进行免提电话进行质疑。</w:t>
      </w:r>
    </w:p>
    <w:p w14:paraId="09CDF3D5">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6、评标时如因系统异常、停电、电脑病毒、网络堵塞等原因无法正常进行的，由技术人员排查解决，短时间无法解决的，经监督部门同意后，暂停评标活动，待问题解决后继续评标。</w:t>
      </w:r>
    </w:p>
    <w:p w14:paraId="1DA346BD">
      <w:pPr>
        <w:spacing w:line="360" w:lineRule="auto"/>
        <w:ind w:firstLine="367" w:firstLineChars="17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说明：上述内容如有与《全国公共资源交易平台(河南省·平顶山市)》公共资源交易系统不一致的以最新电子化交易程序为准。</w:t>
      </w:r>
    </w:p>
    <w:p w14:paraId="0AE72B46">
      <w:pPr>
        <w:adjustRightInd w:val="0"/>
        <w:spacing w:before="240" w:after="60" w:line="420" w:lineRule="atLeast"/>
        <w:jc w:val="center"/>
        <w:outlineLvl w:val="0"/>
        <w:rPr>
          <w:rFonts w:hint="eastAsia" w:ascii="宋体" w:hAnsi="宋体" w:eastAsia="宋体" w:cs="宋体"/>
          <w:b/>
          <w:bCs/>
          <w:color w:val="000000" w:themeColor="text1"/>
          <w:sz w:val="40"/>
          <w:szCs w:val="44"/>
          <w:highlight w:val="none"/>
          <w14:textFill>
            <w14:solidFill>
              <w14:schemeClr w14:val="tx1"/>
            </w14:solidFill>
          </w14:textFill>
        </w:rPr>
      </w:pPr>
      <w:r>
        <w:rPr>
          <w:rFonts w:hint="eastAsia" w:ascii="宋体" w:hAnsi="宋体" w:eastAsia="宋体" w:cs="宋体"/>
          <w:b/>
          <w:bCs/>
          <w:color w:val="000000" w:themeColor="text1"/>
          <w:sz w:val="40"/>
          <w:szCs w:val="44"/>
          <w:highlight w:val="none"/>
          <w14:textFill>
            <w14:solidFill>
              <w14:schemeClr w14:val="tx1"/>
            </w14:solidFill>
          </w14:textFill>
        </w:rPr>
        <w:br w:type="page"/>
      </w:r>
      <w:bookmarkStart w:id="727" w:name="_Toc135922567"/>
      <w:bookmarkStart w:id="728" w:name="_Toc4149"/>
      <w:r>
        <w:rPr>
          <w:rStyle w:val="26"/>
          <w:rFonts w:hint="eastAsia" w:ascii="宋体" w:hAnsi="宋体" w:eastAsia="宋体" w:cs="宋体"/>
          <w:color w:val="000000" w:themeColor="text1"/>
          <w:sz w:val="40"/>
          <w:szCs w:val="40"/>
          <w:highlight w:val="none"/>
          <w14:textFill>
            <w14:solidFill>
              <w14:schemeClr w14:val="tx1"/>
            </w14:solidFill>
          </w14:textFill>
        </w:rPr>
        <w:t>第三章 评标办法（综合评分法）</w:t>
      </w:r>
      <w:bookmarkEnd w:id="700"/>
      <w:bookmarkEnd w:id="701"/>
      <w:bookmarkEnd w:id="702"/>
      <w:bookmarkEnd w:id="703"/>
      <w:bookmarkEnd w:id="704"/>
      <w:bookmarkEnd w:id="705"/>
      <w:bookmarkEnd w:id="706"/>
      <w:bookmarkEnd w:id="707"/>
      <w:bookmarkEnd w:id="708"/>
      <w:bookmarkEnd w:id="709"/>
      <w:bookmarkEnd w:id="727"/>
      <w:bookmarkEnd w:id="728"/>
      <w:bookmarkStart w:id="729" w:name="_Toc247085767"/>
      <w:bookmarkStart w:id="730" w:name="_Toc246996252"/>
      <w:bookmarkStart w:id="731" w:name="_Toc152045609"/>
      <w:bookmarkStart w:id="732" w:name="_Toc152042387"/>
      <w:bookmarkStart w:id="733" w:name="_Toc144974577"/>
      <w:bookmarkStart w:id="734" w:name="_Toc179632627"/>
      <w:bookmarkStart w:id="735" w:name="_Toc246996995"/>
    </w:p>
    <w:p w14:paraId="07DE2D3A">
      <w:pPr>
        <w:pStyle w:val="4"/>
        <w:widowControl/>
        <w:jc w:val="center"/>
        <w:rPr>
          <w:rFonts w:hint="eastAsia" w:ascii="宋体" w:hAnsi="宋体" w:eastAsia="宋体" w:cs="宋体"/>
          <w:color w:val="000000" w:themeColor="text1"/>
          <w:highlight w:val="none"/>
          <w14:textFill>
            <w14:solidFill>
              <w14:schemeClr w14:val="tx1"/>
            </w14:solidFill>
          </w14:textFill>
        </w:rPr>
      </w:pPr>
      <w:bookmarkStart w:id="736" w:name="_Toc135648925"/>
      <w:r>
        <w:rPr>
          <w:rFonts w:hint="eastAsia" w:ascii="宋体" w:hAnsi="宋体" w:eastAsia="宋体" w:cs="宋体"/>
          <w:color w:val="000000" w:themeColor="text1"/>
          <w:highlight w:val="none"/>
          <w14:textFill>
            <w14:solidFill>
              <w14:schemeClr w14:val="tx1"/>
            </w14:solidFill>
          </w14:textFill>
        </w:rPr>
        <w:t>评标办法前附表</w:t>
      </w:r>
      <w:bookmarkEnd w:id="736"/>
    </w:p>
    <w:tbl>
      <w:tblPr>
        <w:tblStyle w:val="20"/>
        <w:tblW w:w="9322" w:type="dxa"/>
        <w:tblInd w:w="-34"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51"/>
        <w:gridCol w:w="141"/>
        <w:gridCol w:w="950"/>
        <w:gridCol w:w="179"/>
        <w:gridCol w:w="2445"/>
        <w:gridCol w:w="4756"/>
      </w:tblGrid>
      <w:tr w14:paraId="399825B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2121" w:type="dxa"/>
            <w:gridSpan w:val="4"/>
            <w:tcBorders>
              <w:top w:val="single" w:color="auto" w:sz="4" w:space="0"/>
              <w:left w:val="single" w:color="auto" w:sz="4" w:space="0"/>
              <w:bottom w:val="single" w:color="auto" w:sz="4" w:space="0"/>
              <w:right w:val="single" w:color="auto" w:sz="4" w:space="0"/>
            </w:tcBorders>
            <w:vAlign w:val="center"/>
          </w:tcPr>
          <w:p w14:paraId="02926CE8">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条款号</w:t>
            </w:r>
          </w:p>
        </w:tc>
        <w:tc>
          <w:tcPr>
            <w:tcW w:w="2445" w:type="dxa"/>
            <w:tcBorders>
              <w:top w:val="single" w:color="auto" w:sz="4" w:space="0"/>
              <w:left w:val="single" w:color="auto" w:sz="4" w:space="0"/>
              <w:bottom w:val="single" w:color="auto" w:sz="4" w:space="0"/>
              <w:right w:val="single" w:color="auto" w:sz="4" w:space="0"/>
            </w:tcBorders>
            <w:vAlign w:val="center"/>
          </w:tcPr>
          <w:p w14:paraId="2B5E9A06">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评审因素</w:t>
            </w:r>
          </w:p>
        </w:tc>
        <w:tc>
          <w:tcPr>
            <w:tcW w:w="4756" w:type="dxa"/>
            <w:tcBorders>
              <w:top w:val="single" w:color="auto" w:sz="4" w:space="0"/>
              <w:left w:val="single" w:color="auto" w:sz="4" w:space="0"/>
              <w:bottom w:val="single" w:color="auto" w:sz="4" w:space="0"/>
              <w:right w:val="single" w:color="auto" w:sz="4" w:space="0"/>
            </w:tcBorders>
            <w:vAlign w:val="center"/>
          </w:tcPr>
          <w:p w14:paraId="6F584F5F">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评审标准</w:t>
            </w:r>
          </w:p>
        </w:tc>
      </w:tr>
      <w:tr w14:paraId="412D2F6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41" w:hRule="atLeast"/>
        </w:trPr>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14:paraId="424C9CD2">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1129" w:type="dxa"/>
            <w:gridSpan w:val="2"/>
            <w:vMerge w:val="restart"/>
            <w:tcBorders>
              <w:top w:val="single" w:color="auto" w:sz="4" w:space="0"/>
              <w:left w:val="nil"/>
              <w:bottom w:val="single" w:color="auto" w:sz="4" w:space="0"/>
              <w:right w:val="single" w:color="auto" w:sz="4" w:space="0"/>
            </w:tcBorders>
            <w:vAlign w:val="center"/>
          </w:tcPr>
          <w:p w14:paraId="1638D8FB">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资格审查</w:t>
            </w:r>
          </w:p>
        </w:tc>
        <w:tc>
          <w:tcPr>
            <w:tcW w:w="2445" w:type="dxa"/>
            <w:tcBorders>
              <w:top w:val="single" w:color="auto" w:sz="4" w:space="0"/>
              <w:left w:val="single" w:color="auto" w:sz="4" w:space="0"/>
              <w:bottom w:val="single" w:color="auto" w:sz="4" w:space="0"/>
              <w:right w:val="single" w:color="auto" w:sz="4" w:space="0"/>
            </w:tcBorders>
            <w:vAlign w:val="center"/>
          </w:tcPr>
          <w:p w14:paraId="458A6145">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具有独立承担民事责任的能力，提供有效的营业执照（或电子营业执照）</w:t>
            </w:r>
          </w:p>
        </w:tc>
        <w:tc>
          <w:tcPr>
            <w:tcW w:w="4756" w:type="dxa"/>
            <w:tcBorders>
              <w:top w:val="single" w:color="auto" w:sz="4" w:space="0"/>
              <w:left w:val="single" w:color="auto" w:sz="4" w:space="0"/>
              <w:bottom w:val="single" w:color="auto" w:sz="4" w:space="0"/>
              <w:right w:val="single" w:color="auto" w:sz="4" w:space="0"/>
            </w:tcBorders>
            <w:vAlign w:val="center"/>
          </w:tcPr>
          <w:p w14:paraId="2276FE05">
            <w:pPr>
              <w:spacing w:line="400" w:lineRule="exact"/>
              <w:ind w:hanging="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有效的营业执照（或电子营业执照）。</w:t>
            </w:r>
          </w:p>
        </w:tc>
      </w:tr>
      <w:tr w14:paraId="6D58C8A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41" w:hRule="atLeast"/>
        </w:trPr>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14:paraId="7843C616">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single" w:color="auto" w:sz="4" w:space="0"/>
              <w:right w:val="single" w:color="auto" w:sz="4" w:space="0"/>
            </w:tcBorders>
            <w:vAlign w:val="center"/>
          </w:tcPr>
          <w:p w14:paraId="1DF108CC">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3DA094EC">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具有良好的商业信誉和健全的财务会计制度</w:t>
            </w:r>
          </w:p>
        </w:tc>
        <w:tc>
          <w:tcPr>
            <w:tcW w:w="4756" w:type="dxa"/>
            <w:tcBorders>
              <w:top w:val="single" w:color="auto" w:sz="4" w:space="0"/>
              <w:left w:val="single" w:color="auto" w:sz="4" w:space="0"/>
              <w:bottom w:val="single" w:color="auto" w:sz="4" w:space="0"/>
              <w:right w:val="single" w:color="auto" w:sz="4" w:space="0"/>
            </w:tcBorders>
            <w:vAlign w:val="center"/>
          </w:tcPr>
          <w:p w14:paraId="28324BF0">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提供加盖单位公章的承诺书，格式自拟。</w:t>
            </w:r>
          </w:p>
        </w:tc>
      </w:tr>
      <w:tr w14:paraId="626C246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41" w:hRule="atLeast"/>
        </w:trPr>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14:paraId="2F59D60D">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single" w:color="auto" w:sz="4" w:space="0"/>
              <w:right w:val="single" w:color="auto" w:sz="4" w:space="0"/>
            </w:tcBorders>
            <w:vAlign w:val="center"/>
          </w:tcPr>
          <w:p w14:paraId="7BE5A887">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6CF9B3B0">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具备履行合同所必须的设备和专业技术能力</w:t>
            </w:r>
          </w:p>
        </w:tc>
        <w:tc>
          <w:tcPr>
            <w:tcW w:w="4756" w:type="dxa"/>
            <w:tcBorders>
              <w:top w:val="single" w:color="auto" w:sz="4" w:space="0"/>
              <w:left w:val="single" w:color="auto" w:sz="4" w:space="0"/>
              <w:bottom w:val="single" w:color="auto" w:sz="4" w:space="0"/>
              <w:right w:val="single" w:color="auto" w:sz="4" w:space="0"/>
            </w:tcBorders>
            <w:vAlign w:val="center"/>
          </w:tcPr>
          <w:p w14:paraId="2CAB87FC">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提供加盖单位公章的承诺书，格式自拟。</w:t>
            </w:r>
          </w:p>
        </w:tc>
      </w:tr>
      <w:tr w14:paraId="51CF12F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41" w:hRule="atLeast"/>
        </w:trPr>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14:paraId="39826A31">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single" w:color="auto" w:sz="4" w:space="0"/>
              <w:right w:val="single" w:color="auto" w:sz="4" w:space="0"/>
            </w:tcBorders>
            <w:vAlign w:val="center"/>
          </w:tcPr>
          <w:p w14:paraId="7F3F1C65">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5E0B5092">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具有依法缴纳税收和社会保障资金的良好记录</w:t>
            </w:r>
          </w:p>
        </w:tc>
        <w:tc>
          <w:tcPr>
            <w:tcW w:w="4756" w:type="dxa"/>
            <w:tcBorders>
              <w:top w:val="single" w:color="auto" w:sz="4" w:space="0"/>
              <w:left w:val="single" w:color="auto" w:sz="4" w:space="0"/>
              <w:bottom w:val="single" w:color="auto" w:sz="4" w:space="0"/>
              <w:right w:val="single" w:color="auto" w:sz="4" w:space="0"/>
            </w:tcBorders>
            <w:vAlign w:val="center"/>
          </w:tcPr>
          <w:p w14:paraId="317B0CAE">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提供加盖单位公章的承诺书，格式自拟。</w:t>
            </w:r>
          </w:p>
        </w:tc>
      </w:tr>
      <w:tr w14:paraId="0B744C7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58" w:hRule="atLeast"/>
        </w:trPr>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14:paraId="3CBBA728">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single" w:color="auto" w:sz="4" w:space="0"/>
              <w:right w:val="single" w:color="auto" w:sz="4" w:space="0"/>
            </w:tcBorders>
            <w:vAlign w:val="center"/>
          </w:tcPr>
          <w:p w14:paraId="08CF246E">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5CCA6B14">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参加政府采购活动前3年内在经营活动中没有重大违法记录的书面声明</w:t>
            </w:r>
          </w:p>
        </w:tc>
        <w:tc>
          <w:tcPr>
            <w:tcW w:w="4756" w:type="dxa"/>
            <w:tcBorders>
              <w:top w:val="single" w:color="auto" w:sz="4" w:space="0"/>
              <w:left w:val="single" w:color="auto" w:sz="4" w:space="0"/>
              <w:bottom w:val="single" w:color="auto" w:sz="4" w:space="0"/>
              <w:right w:val="single" w:color="auto" w:sz="4" w:space="0"/>
            </w:tcBorders>
            <w:vAlign w:val="center"/>
          </w:tcPr>
          <w:p w14:paraId="372671EA">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提供加盖单位公章的承诺书，格式自拟。</w:t>
            </w:r>
          </w:p>
        </w:tc>
      </w:tr>
      <w:tr w14:paraId="7FD21C2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41" w:hRule="atLeast"/>
        </w:trPr>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14:paraId="0C0ADE93">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single" w:color="auto" w:sz="4" w:space="0"/>
              <w:right w:val="single" w:color="auto" w:sz="4" w:space="0"/>
            </w:tcBorders>
            <w:vAlign w:val="center"/>
          </w:tcPr>
          <w:p w14:paraId="64010523">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00811C5B">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信誉要求</w:t>
            </w:r>
          </w:p>
        </w:tc>
        <w:tc>
          <w:tcPr>
            <w:tcW w:w="4756" w:type="dxa"/>
            <w:tcBorders>
              <w:top w:val="single" w:color="auto" w:sz="4" w:space="0"/>
              <w:left w:val="single" w:color="auto" w:sz="4" w:space="0"/>
              <w:bottom w:val="single" w:color="auto" w:sz="4" w:space="0"/>
              <w:right w:val="single" w:color="auto" w:sz="4" w:space="0"/>
            </w:tcBorders>
            <w:vAlign w:val="center"/>
          </w:tcPr>
          <w:p w14:paraId="2801D9F1">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被 列 入 “ 中 国 执 行 信 息 公 开 网 ” 网 站（http://zxgk.court.gov.cn/shixin/）的“失信被执行人”、“信用中国”网站（http://www.creditchina.gov.cn）的“重大税收违法失信主体”、“中国政府采购网”网站(http://www.ccgp.gov.cn)的“政府采购严重违法失信行为记录名单”及其他不符合《中华人民共和国政府采购法》第二十二条规定条件的投标人，采购人、采购代理机构拒绝其参与本项目投标。</w:t>
            </w:r>
          </w:p>
        </w:tc>
      </w:tr>
      <w:tr w14:paraId="62C8018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41" w:hRule="atLeast"/>
        </w:trPr>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14:paraId="1439B016">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single" w:color="auto" w:sz="4" w:space="0"/>
              <w:right w:val="single" w:color="auto" w:sz="4" w:space="0"/>
            </w:tcBorders>
            <w:vAlign w:val="center"/>
          </w:tcPr>
          <w:p w14:paraId="6B93D08A">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3BCD5783">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其他要求</w:t>
            </w:r>
          </w:p>
        </w:tc>
        <w:tc>
          <w:tcPr>
            <w:tcW w:w="4756" w:type="dxa"/>
            <w:tcBorders>
              <w:top w:val="single" w:color="auto" w:sz="4" w:space="0"/>
              <w:left w:val="single" w:color="auto" w:sz="4" w:space="0"/>
              <w:bottom w:val="single" w:color="auto" w:sz="4" w:space="0"/>
              <w:right w:val="single" w:color="auto" w:sz="4" w:space="0"/>
            </w:tcBorders>
            <w:vAlign w:val="center"/>
          </w:tcPr>
          <w:p w14:paraId="70421526">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符合第二章“投标人须知”第1.4项规定</w:t>
            </w:r>
          </w:p>
        </w:tc>
      </w:tr>
      <w:tr w14:paraId="38246D9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390" w:hRule="atLeast"/>
        </w:trPr>
        <w:tc>
          <w:tcPr>
            <w:tcW w:w="9322" w:type="dxa"/>
            <w:gridSpan w:val="6"/>
            <w:tcBorders>
              <w:top w:val="single" w:color="auto" w:sz="4" w:space="0"/>
              <w:left w:val="single" w:color="auto" w:sz="4" w:space="0"/>
              <w:bottom w:val="single" w:color="auto" w:sz="4" w:space="0"/>
              <w:right w:val="single" w:color="auto" w:sz="4" w:space="0"/>
            </w:tcBorders>
            <w:vAlign w:val="center"/>
          </w:tcPr>
          <w:p w14:paraId="2A8AD0BE">
            <w:pPr>
              <w:spacing w:line="400" w:lineRule="exact"/>
              <w:ind w:left="-107" w:leftChars="-51"/>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注：公开招标采购项目开标结束后，采购人</w:t>
            </w:r>
            <w:r>
              <w:rPr>
                <w:rFonts w:hint="eastAsia" w:ascii="宋体" w:hAnsi="宋体" w:eastAsia="宋体" w:cs="宋体"/>
                <w:b/>
                <w:color w:val="000000" w:themeColor="text1"/>
                <w:highlight w:val="none"/>
                <w:lang w:val="en-US" w:eastAsia="zh-CN"/>
                <w14:textFill>
                  <w14:solidFill>
                    <w14:schemeClr w14:val="tx1"/>
                  </w14:solidFill>
                </w14:textFill>
              </w:rPr>
              <w:t>和</w:t>
            </w:r>
            <w:r>
              <w:rPr>
                <w:rFonts w:hint="eastAsia" w:ascii="宋体" w:hAnsi="宋体" w:eastAsia="宋体" w:cs="宋体"/>
                <w:b/>
                <w:color w:val="000000" w:themeColor="text1"/>
                <w:highlight w:val="none"/>
                <w14:textFill>
                  <w14:solidFill>
                    <w14:schemeClr w14:val="tx1"/>
                  </w14:solidFill>
                </w14:textFill>
              </w:rPr>
              <w:t>采购代理机构依法对投标人的资格进行审查。合格投标人不足3家的，不得评标。</w:t>
            </w:r>
          </w:p>
        </w:tc>
      </w:tr>
      <w:tr w14:paraId="717E8BF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restart"/>
            <w:tcBorders>
              <w:top w:val="single" w:color="auto" w:sz="4" w:space="0"/>
              <w:left w:val="single" w:color="auto" w:sz="4" w:space="0"/>
              <w:bottom w:val="nil"/>
              <w:right w:val="single" w:color="auto" w:sz="4" w:space="0"/>
            </w:tcBorders>
            <w:vAlign w:val="center"/>
          </w:tcPr>
          <w:p w14:paraId="7E7F05C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1129" w:type="dxa"/>
            <w:gridSpan w:val="2"/>
            <w:vMerge w:val="restart"/>
            <w:tcBorders>
              <w:top w:val="single" w:color="auto" w:sz="4" w:space="0"/>
              <w:left w:val="nil"/>
              <w:bottom w:val="nil"/>
              <w:right w:val="single" w:color="auto" w:sz="4" w:space="0"/>
            </w:tcBorders>
            <w:vAlign w:val="center"/>
          </w:tcPr>
          <w:p w14:paraId="4464C21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符合性</w:t>
            </w:r>
          </w:p>
          <w:p w14:paraId="6E4CF7D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评审</w:t>
            </w:r>
          </w:p>
        </w:tc>
        <w:tc>
          <w:tcPr>
            <w:tcW w:w="2445" w:type="dxa"/>
            <w:tcBorders>
              <w:top w:val="single" w:color="auto" w:sz="4" w:space="0"/>
              <w:left w:val="single" w:color="auto" w:sz="4" w:space="0"/>
              <w:bottom w:val="single" w:color="auto" w:sz="4" w:space="0"/>
              <w:right w:val="single" w:color="auto" w:sz="4" w:space="0"/>
            </w:tcBorders>
            <w:vAlign w:val="center"/>
          </w:tcPr>
          <w:p w14:paraId="4B60CBA0">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p>
        </w:tc>
        <w:tc>
          <w:tcPr>
            <w:tcW w:w="4756" w:type="dxa"/>
            <w:tcBorders>
              <w:top w:val="single" w:color="auto" w:sz="4" w:space="0"/>
              <w:left w:val="single" w:color="auto" w:sz="4" w:space="0"/>
              <w:bottom w:val="single" w:color="auto" w:sz="4" w:space="0"/>
              <w:right w:val="single" w:color="auto" w:sz="4" w:space="0"/>
            </w:tcBorders>
            <w:vAlign w:val="center"/>
          </w:tcPr>
          <w:p w14:paraId="6D189A70">
            <w:pPr>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与营业执照一致</w:t>
            </w:r>
          </w:p>
        </w:tc>
      </w:tr>
      <w:tr w14:paraId="233FCB9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1CE97FEF">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0525596D">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21858BC6">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投标函及开标一览表签字盖章</w:t>
            </w:r>
          </w:p>
        </w:tc>
        <w:tc>
          <w:tcPr>
            <w:tcW w:w="4756" w:type="dxa"/>
            <w:tcBorders>
              <w:top w:val="single" w:color="auto" w:sz="4" w:space="0"/>
              <w:left w:val="single" w:color="auto" w:sz="4" w:space="0"/>
              <w:bottom w:val="single" w:color="auto" w:sz="4" w:space="0"/>
              <w:right w:val="single" w:color="auto" w:sz="4" w:space="0"/>
            </w:tcBorders>
            <w:vAlign w:val="center"/>
          </w:tcPr>
          <w:p w14:paraId="5DE836F0">
            <w:pPr>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有法定代表人或其委托代理人签字并加盖单位公章。由法定代表人签字的，应附法定代表人身份证明，由代理人签字的，应附法定代表人授权委托书。</w:t>
            </w:r>
          </w:p>
        </w:tc>
      </w:tr>
      <w:tr w14:paraId="56ACCF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538E413B">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0EB308B7">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430800BE">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投标文件格式</w:t>
            </w:r>
          </w:p>
        </w:tc>
        <w:tc>
          <w:tcPr>
            <w:tcW w:w="4756" w:type="dxa"/>
            <w:tcBorders>
              <w:top w:val="single" w:color="auto" w:sz="4" w:space="0"/>
              <w:left w:val="single" w:color="auto" w:sz="4" w:space="0"/>
              <w:bottom w:val="single" w:color="auto" w:sz="4" w:space="0"/>
              <w:right w:val="single" w:color="auto" w:sz="4" w:space="0"/>
            </w:tcBorders>
            <w:vAlign w:val="center"/>
          </w:tcPr>
          <w:p w14:paraId="334DE78A">
            <w:pPr>
              <w:spacing w:line="400" w:lineRule="exact"/>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符合第六章“投标文件格式”的要求</w:t>
            </w:r>
          </w:p>
        </w:tc>
      </w:tr>
      <w:tr w14:paraId="3F98849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20D3EF2C">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74724C0D">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3933506E">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投标报价</w:t>
            </w:r>
          </w:p>
        </w:tc>
        <w:tc>
          <w:tcPr>
            <w:tcW w:w="4756" w:type="dxa"/>
            <w:tcBorders>
              <w:top w:val="single" w:color="auto" w:sz="4" w:space="0"/>
              <w:left w:val="single" w:color="auto" w:sz="4" w:space="0"/>
              <w:bottom w:val="single" w:color="auto" w:sz="4" w:space="0"/>
              <w:right w:val="single" w:color="auto" w:sz="4" w:space="0"/>
            </w:tcBorders>
            <w:vAlign w:val="center"/>
          </w:tcPr>
          <w:p w14:paraId="171762F4">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符合第二章“投标人须知”第3.2.2项规定</w:t>
            </w:r>
          </w:p>
        </w:tc>
      </w:tr>
      <w:tr w14:paraId="53FD359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34BC6138">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39C391C9">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055BADEB">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投标内容</w:t>
            </w:r>
          </w:p>
        </w:tc>
        <w:tc>
          <w:tcPr>
            <w:tcW w:w="4756" w:type="dxa"/>
            <w:tcBorders>
              <w:top w:val="single" w:color="auto" w:sz="4" w:space="0"/>
              <w:left w:val="single" w:color="auto" w:sz="4" w:space="0"/>
              <w:bottom w:val="single" w:color="auto" w:sz="4" w:space="0"/>
              <w:right w:val="single" w:color="auto" w:sz="4" w:space="0"/>
            </w:tcBorders>
            <w:vAlign w:val="center"/>
          </w:tcPr>
          <w:p w14:paraId="1ED823AD">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符合第二章“投标人须知”第1.3.1项规定</w:t>
            </w:r>
          </w:p>
        </w:tc>
      </w:tr>
      <w:tr w14:paraId="21BFD1E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3E1E12C0">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0981AD57">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45799D2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服务期限、服务地点</w:t>
            </w:r>
          </w:p>
        </w:tc>
        <w:tc>
          <w:tcPr>
            <w:tcW w:w="4756" w:type="dxa"/>
            <w:tcBorders>
              <w:top w:val="single" w:color="auto" w:sz="4" w:space="0"/>
              <w:left w:val="single" w:color="auto" w:sz="4" w:space="0"/>
              <w:bottom w:val="single" w:color="auto" w:sz="4" w:space="0"/>
              <w:right w:val="single" w:color="auto" w:sz="4" w:space="0"/>
            </w:tcBorders>
            <w:vAlign w:val="center"/>
          </w:tcPr>
          <w:p w14:paraId="3D181A57">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符合第二章“投标人须知”第1.3.2项规定</w:t>
            </w:r>
          </w:p>
        </w:tc>
      </w:tr>
      <w:tr w14:paraId="1E2A625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00CA4E33">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00A0C2E9">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50DD0530">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w:t>
            </w:r>
          </w:p>
        </w:tc>
        <w:tc>
          <w:tcPr>
            <w:tcW w:w="4756" w:type="dxa"/>
            <w:tcBorders>
              <w:top w:val="single" w:color="auto" w:sz="4" w:space="0"/>
              <w:left w:val="single" w:color="auto" w:sz="4" w:space="0"/>
              <w:bottom w:val="single" w:color="auto" w:sz="4" w:space="0"/>
              <w:right w:val="single" w:color="auto" w:sz="4" w:space="0"/>
            </w:tcBorders>
            <w:vAlign w:val="center"/>
          </w:tcPr>
          <w:p w14:paraId="769D6C34">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符合第二章“投标人须知”第1.3.3项规定</w:t>
            </w:r>
          </w:p>
        </w:tc>
      </w:tr>
      <w:tr w14:paraId="4028C8E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31BF2C53">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5242E85A">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3E1862C4">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投标有效期</w:t>
            </w:r>
          </w:p>
        </w:tc>
        <w:tc>
          <w:tcPr>
            <w:tcW w:w="4756" w:type="dxa"/>
            <w:tcBorders>
              <w:top w:val="single" w:color="auto" w:sz="4" w:space="0"/>
              <w:left w:val="single" w:color="auto" w:sz="4" w:space="0"/>
              <w:bottom w:val="single" w:color="auto" w:sz="4" w:space="0"/>
              <w:right w:val="single" w:color="auto" w:sz="4" w:space="0"/>
            </w:tcBorders>
            <w:vAlign w:val="center"/>
          </w:tcPr>
          <w:p w14:paraId="0A44ABA9">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符合第二章“投标人须知”第3.3.1项规定</w:t>
            </w:r>
          </w:p>
        </w:tc>
      </w:tr>
      <w:tr w14:paraId="7EB6CED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67" w:hRule="atLeast"/>
        </w:trPr>
        <w:tc>
          <w:tcPr>
            <w:tcW w:w="992" w:type="dxa"/>
            <w:gridSpan w:val="2"/>
            <w:vMerge w:val="continue"/>
            <w:tcBorders>
              <w:top w:val="single" w:color="auto" w:sz="4" w:space="0"/>
              <w:left w:val="single" w:color="auto" w:sz="4" w:space="0"/>
              <w:bottom w:val="nil"/>
              <w:right w:val="single" w:color="auto" w:sz="4" w:space="0"/>
            </w:tcBorders>
            <w:vAlign w:val="center"/>
          </w:tcPr>
          <w:p w14:paraId="7BFF2B5C">
            <w:pPr>
              <w:widowControl/>
              <w:jc w:val="left"/>
              <w:rPr>
                <w:rFonts w:hint="eastAsia" w:ascii="宋体" w:hAnsi="宋体" w:eastAsia="宋体" w:cs="宋体"/>
                <w:color w:val="000000" w:themeColor="text1"/>
                <w:highlight w:val="none"/>
                <w14:textFill>
                  <w14:solidFill>
                    <w14:schemeClr w14:val="tx1"/>
                  </w14:solidFill>
                </w14:textFill>
              </w:rPr>
            </w:pPr>
          </w:p>
        </w:tc>
        <w:tc>
          <w:tcPr>
            <w:tcW w:w="1129" w:type="dxa"/>
            <w:gridSpan w:val="2"/>
            <w:vMerge w:val="continue"/>
            <w:tcBorders>
              <w:top w:val="single" w:color="auto" w:sz="4" w:space="0"/>
              <w:left w:val="nil"/>
              <w:bottom w:val="nil"/>
              <w:right w:val="single" w:color="auto" w:sz="4" w:space="0"/>
            </w:tcBorders>
            <w:vAlign w:val="center"/>
          </w:tcPr>
          <w:p w14:paraId="2D3102A3">
            <w:pPr>
              <w:widowControl/>
              <w:jc w:val="left"/>
              <w:rPr>
                <w:rFonts w:hint="eastAsia" w:ascii="宋体" w:hAnsi="宋体" w:eastAsia="宋体" w:cs="宋体"/>
                <w:color w:val="000000" w:themeColor="text1"/>
                <w:highlight w:val="none"/>
                <w14:textFill>
                  <w14:solidFill>
                    <w14:schemeClr w14:val="tx1"/>
                  </w14:solidFill>
                </w14:textFill>
              </w:rPr>
            </w:pPr>
          </w:p>
        </w:tc>
        <w:tc>
          <w:tcPr>
            <w:tcW w:w="2445" w:type="dxa"/>
            <w:tcBorders>
              <w:top w:val="single" w:color="auto" w:sz="4" w:space="0"/>
              <w:left w:val="single" w:color="auto" w:sz="4" w:space="0"/>
              <w:bottom w:val="single" w:color="auto" w:sz="4" w:space="0"/>
              <w:right w:val="single" w:color="auto" w:sz="4" w:space="0"/>
            </w:tcBorders>
            <w:vAlign w:val="center"/>
          </w:tcPr>
          <w:p w14:paraId="0BF24AD6">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其他实质性要求</w:t>
            </w:r>
          </w:p>
        </w:tc>
        <w:tc>
          <w:tcPr>
            <w:tcW w:w="4756" w:type="dxa"/>
            <w:tcBorders>
              <w:top w:val="single" w:color="auto" w:sz="4" w:space="0"/>
              <w:left w:val="single" w:color="auto" w:sz="4" w:space="0"/>
              <w:bottom w:val="single" w:color="auto" w:sz="4" w:space="0"/>
              <w:right w:val="single" w:color="auto" w:sz="4" w:space="0"/>
            </w:tcBorders>
            <w:vAlign w:val="center"/>
          </w:tcPr>
          <w:p w14:paraId="47E1F094">
            <w:pPr>
              <w:spacing w:line="40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符合或优于法律、法规和招标文件中规定的其他实质性要求</w:t>
            </w:r>
            <w:bookmarkStart w:id="837" w:name="_GoBack"/>
            <w:bookmarkEnd w:id="837"/>
          </w:p>
        </w:tc>
      </w:tr>
      <w:tr w14:paraId="76926CF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12" w:hRule="atLeast"/>
        </w:trPr>
        <w:tc>
          <w:tcPr>
            <w:tcW w:w="2121" w:type="dxa"/>
            <w:gridSpan w:val="4"/>
            <w:tcBorders>
              <w:top w:val="single" w:color="auto" w:sz="4" w:space="0"/>
              <w:left w:val="single" w:color="auto" w:sz="4" w:space="0"/>
              <w:bottom w:val="single" w:color="auto" w:sz="4" w:space="0"/>
              <w:right w:val="single" w:color="auto" w:sz="4" w:space="0"/>
            </w:tcBorders>
            <w:vAlign w:val="center"/>
          </w:tcPr>
          <w:p w14:paraId="7436C41C">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条款号</w:t>
            </w:r>
          </w:p>
        </w:tc>
        <w:tc>
          <w:tcPr>
            <w:tcW w:w="2445" w:type="dxa"/>
            <w:tcBorders>
              <w:top w:val="single" w:color="auto" w:sz="4" w:space="0"/>
              <w:left w:val="single" w:color="auto" w:sz="4" w:space="0"/>
              <w:bottom w:val="single" w:color="auto" w:sz="4" w:space="0"/>
              <w:right w:val="single" w:color="auto" w:sz="4" w:space="0"/>
            </w:tcBorders>
            <w:vAlign w:val="center"/>
          </w:tcPr>
          <w:p w14:paraId="30B9D2C8">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条款内容</w:t>
            </w:r>
          </w:p>
        </w:tc>
        <w:tc>
          <w:tcPr>
            <w:tcW w:w="4756" w:type="dxa"/>
            <w:tcBorders>
              <w:top w:val="single" w:color="auto" w:sz="4" w:space="0"/>
              <w:left w:val="single" w:color="auto" w:sz="4" w:space="0"/>
              <w:bottom w:val="single" w:color="auto" w:sz="4" w:space="0"/>
              <w:right w:val="single" w:color="auto" w:sz="4" w:space="0"/>
            </w:tcBorders>
            <w:vAlign w:val="center"/>
          </w:tcPr>
          <w:p w14:paraId="77334A0C">
            <w:pPr>
              <w:spacing w:line="40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编列内容</w:t>
            </w:r>
          </w:p>
        </w:tc>
      </w:tr>
      <w:tr w14:paraId="2724202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186" w:hRule="atLeast"/>
        </w:trPr>
        <w:tc>
          <w:tcPr>
            <w:tcW w:w="2121" w:type="dxa"/>
            <w:gridSpan w:val="4"/>
            <w:tcBorders>
              <w:top w:val="nil"/>
              <w:left w:val="single" w:color="auto" w:sz="4" w:space="0"/>
              <w:bottom w:val="single" w:color="auto" w:sz="4" w:space="0"/>
              <w:right w:val="single" w:color="auto" w:sz="4" w:space="0"/>
            </w:tcBorders>
            <w:vAlign w:val="center"/>
          </w:tcPr>
          <w:p w14:paraId="54605E9B">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45" w:type="dxa"/>
            <w:tcBorders>
              <w:top w:val="single" w:color="auto" w:sz="4" w:space="0"/>
              <w:left w:val="single" w:color="auto" w:sz="4" w:space="0"/>
              <w:bottom w:val="single" w:color="auto" w:sz="4" w:space="0"/>
              <w:right w:val="single" w:color="auto" w:sz="4" w:space="0"/>
            </w:tcBorders>
            <w:vAlign w:val="center"/>
          </w:tcPr>
          <w:p w14:paraId="3401F27D">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分值构成</w:t>
            </w:r>
          </w:p>
          <w:p w14:paraId="03E6AF53">
            <w:pPr>
              <w:spacing w:line="40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(总分100分)</w:t>
            </w:r>
          </w:p>
        </w:tc>
        <w:tc>
          <w:tcPr>
            <w:tcW w:w="4756" w:type="dxa"/>
            <w:tcBorders>
              <w:top w:val="single" w:color="auto" w:sz="4" w:space="0"/>
              <w:left w:val="single" w:color="auto" w:sz="4" w:space="0"/>
              <w:bottom w:val="single" w:color="auto" w:sz="4" w:space="0"/>
              <w:right w:val="single" w:color="auto" w:sz="4" w:space="0"/>
            </w:tcBorders>
            <w:vAlign w:val="center"/>
          </w:tcPr>
          <w:p w14:paraId="36E0E10A">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投标报价：</w:t>
            </w:r>
            <w:r>
              <w:rPr>
                <w:rFonts w:hint="eastAsia" w:ascii="宋体" w:hAnsi="宋体" w:cs="宋体"/>
                <w:color w:val="000000" w:themeColor="text1"/>
                <w:highlight w:val="none"/>
                <w:lang w:val="en-US" w:eastAsia="zh-CN"/>
                <w14:textFill>
                  <w14:solidFill>
                    <w14:schemeClr w14:val="tx1"/>
                  </w14:solidFill>
                </w14:textFill>
              </w:rPr>
              <w:t>25</w:t>
            </w:r>
            <w:r>
              <w:rPr>
                <w:rFonts w:hint="eastAsia" w:ascii="宋体" w:hAnsi="宋体" w:eastAsia="宋体" w:cs="宋体"/>
                <w:color w:val="000000" w:themeColor="text1"/>
                <w:highlight w:val="none"/>
                <w14:textFill>
                  <w14:solidFill>
                    <w14:schemeClr w14:val="tx1"/>
                  </w14:solidFill>
                </w14:textFill>
              </w:rPr>
              <w:t>分</w:t>
            </w:r>
          </w:p>
          <w:p w14:paraId="42394C30">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商务标：</w:t>
            </w:r>
            <w:r>
              <w:rPr>
                <w:rFonts w:hint="eastAsia" w:ascii="宋体" w:hAnsi="宋体" w:cs="宋体"/>
                <w:color w:val="000000" w:themeColor="text1"/>
                <w:highlight w:val="none"/>
                <w:lang w:val="en-US" w:eastAsia="zh-CN"/>
                <w14:textFill>
                  <w14:solidFill>
                    <w14:schemeClr w14:val="tx1"/>
                  </w14:solidFill>
                </w14:textFill>
              </w:rPr>
              <w:t>14</w:t>
            </w:r>
            <w:r>
              <w:rPr>
                <w:rFonts w:hint="eastAsia" w:ascii="宋体" w:hAnsi="宋体" w:eastAsia="宋体" w:cs="宋体"/>
                <w:color w:val="000000" w:themeColor="text1"/>
                <w:highlight w:val="none"/>
                <w14:textFill>
                  <w14:solidFill>
                    <w14:schemeClr w14:val="tx1"/>
                  </w14:solidFill>
                </w14:textFill>
              </w:rPr>
              <w:t>分</w:t>
            </w:r>
          </w:p>
          <w:p w14:paraId="6A8127DD">
            <w:pPr>
              <w:spacing w:line="40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技术标：</w:t>
            </w:r>
            <w:r>
              <w:rPr>
                <w:rFonts w:hint="eastAsia" w:ascii="宋体" w:hAnsi="宋体" w:cs="宋体"/>
                <w:color w:val="000000" w:themeColor="text1"/>
                <w:highlight w:val="none"/>
                <w:lang w:val="en-US" w:eastAsia="zh-CN"/>
                <w14:textFill>
                  <w14:solidFill>
                    <w14:schemeClr w14:val="tx1"/>
                  </w14:solidFill>
                </w14:textFill>
              </w:rPr>
              <w:t>61</w:t>
            </w:r>
            <w:r>
              <w:rPr>
                <w:rFonts w:hint="eastAsia" w:ascii="宋体" w:hAnsi="宋体" w:eastAsia="宋体" w:cs="宋体"/>
                <w:color w:val="000000" w:themeColor="text1"/>
                <w:highlight w:val="none"/>
                <w14:textFill>
                  <w14:solidFill>
                    <w14:schemeClr w14:val="tx1"/>
                  </w14:solidFill>
                </w14:textFill>
              </w:rPr>
              <w:t>分</w:t>
            </w:r>
          </w:p>
        </w:tc>
      </w:tr>
      <w:tr w14:paraId="1027031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96" w:hRule="atLeast"/>
        </w:trPr>
        <w:tc>
          <w:tcPr>
            <w:tcW w:w="851" w:type="dxa"/>
            <w:tcBorders>
              <w:top w:val="single" w:color="auto" w:sz="4" w:space="0"/>
              <w:left w:val="single" w:color="auto" w:sz="4" w:space="0"/>
              <w:bottom w:val="single" w:color="auto" w:sz="4" w:space="0"/>
              <w:right w:val="single" w:color="auto" w:sz="4" w:space="0"/>
            </w:tcBorders>
          </w:tcPr>
          <w:p w14:paraId="461AF4EF">
            <w:pPr>
              <w:spacing w:line="360" w:lineRule="auto"/>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条款号</w:t>
            </w:r>
          </w:p>
        </w:tc>
        <w:tc>
          <w:tcPr>
            <w:tcW w:w="3715" w:type="dxa"/>
            <w:gridSpan w:val="4"/>
            <w:tcBorders>
              <w:top w:val="single" w:color="auto" w:sz="4" w:space="0"/>
              <w:left w:val="single" w:color="auto" w:sz="4" w:space="0"/>
              <w:bottom w:val="single" w:color="auto" w:sz="4" w:space="0"/>
              <w:right w:val="single" w:color="auto" w:sz="4" w:space="0"/>
            </w:tcBorders>
            <w:vAlign w:val="center"/>
          </w:tcPr>
          <w:p w14:paraId="53FAC478">
            <w:pPr>
              <w:spacing w:line="360" w:lineRule="auto"/>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评审因素</w:t>
            </w:r>
          </w:p>
        </w:tc>
        <w:tc>
          <w:tcPr>
            <w:tcW w:w="4756" w:type="dxa"/>
            <w:tcBorders>
              <w:top w:val="single" w:color="auto" w:sz="4" w:space="0"/>
              <w:left w:val="single" w:color="auto" w:sz="4" w:space="0"/>
              <w:bottom w:val="single" w:color="auto" w:sz="4" w:space="0"/>
              <w:right w:val="single" w:color="auto" w:sz="4" w:space="0"/>
            </w:tcBorders>
            <w:vAlign w:val="center"/>
          </w:tcPr>
          <w:p w14:paraId="4A798C7D">
            <w:pPr>
              <w:spacing w:line="360" w:lineRule="auto"/>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评审标准</w:t>
            </w:r>
          </w:p>
        </w:tc>
      </w:tr>
      <w:tr w14:paraId="2280303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84" w:hRule="atLeast"/>
        </w:trPr>
        <w:tc>
          <w:tcPr>
            <w:tcW w:w="851" w:type="dxa"/>
            <w:tcBorders>
              <w:top w:val="single" w:color="auto" w:sz="4" w:space="0"/>
              <w:left w:val="single" w:color="auto" w:sz="4" w:space="0"/>
              <w:bottom w:val="single" w:color="auto" w:sz="4" w:space="0"/>
              <w:right w:val="single" w:color="auto" w:sz="4" w:space="0"/>
            </w:tcBorders>
            <w:vAlign w:val="center"/>
          </w:tcPr>
          <w:p w14:paraId="2BB45C0D">
            <w:pPr>
              <w:spacing w:line="360" w:lineRule="auto"/>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1</w:t>
            </w:r>
          </w:p>
        </w:tc>
        <w:tc>
          <w:tcPr>
            <w:tcW w:w="3715" w:type="dxa"/>
            <w:gridSpan w:val="4"/>
            <w:tcBorders>
              <w:top w:val="single" w:color="auto" w:sz="4" w:space="0"/>
              <w:left w:val="single" w:color="auto" w:sz="4" w:space="0"/>
              <w:bottom w:val="single" w:color="auto" w:sz="4" w:space="0"/>
              <w:right w:val="single" w:color="auto" w:sz="4" w:space="0"/>
            </w:tcBorders>
            <w:vAlign w:val="center"/>
          </w:tcPr>
          <w:p w14:paraId="246B93E1">
            <w:pPr>
              <w:spacing w:line="360" w:lineRule="auto"/>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 xml:space="preserve">投标报价  </w:t>
            </w:r>
          </w:p>
          <w:p w14:paraId="1F39ADFA">
            <w:pPr>
              <w:spacing w:line="360" w:lineRule="auto"/>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w:t>
            </w:r>
            <w:r>
              <w:rPr>
                <w:rFonts w:hint="eastAsia" w:ascii="宋体" w:hAnsi="宋体" w:cs="宋体"/>
                <w:b/>
                <w:color w:val="000000" w:themeColor="text1"/>
                <w:highlight w:val="none"/>
                <w:lang w:val="en-US" w:eastAsia="zh-CN"/>
                <w14:textFill>
                  <w14:solidFill>
                    <w14:schemeClr w14:val="tx1"/>
                  </w14:solidFill>
                </w14:textFill>
              </w:rPr>
              <w:t>25</w:t>
            </w:r>
            <w:r>
              <w:rPr>
                <w:rFonts w:hint="eastAsia" w:ascii="宋体" w:hAnsi="宋体" w:eastAsia="宋体" w:cs="宋体"/>
                <w:b/>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22B27F74">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评标基准价：采用低价优先法计算，即满足招标文件要求且投标价格最低的投标报价为评标基准价，其价格分为满分。</w:t>
            </w:r>
          </w:p>
          <w:p w14:paraId="30FAE140">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其他投标人的价格分统一按照下列公式计算： </w:t>
            </w:r>
          </w:p>
          <w:p w14:paraId="582728DB">
            <w:pPr>
              <w:spacing w:line="312" w:lineRule="auto"/>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投标报价得分=（评标基准价/投标报价）×</w:t>
            </w:r>
            <w:r>
              <w:rPr>
                <w:rFonts w:hint="eastAsia" w:ascii="宋体" w:hAnsi="宋体" w:cs="宋体"/>
                <w:color w:val="000000" w:themeColor="text1"/>
                <w:highlight w:val="none"/>
                <w:lang w:val="en-US" w:eastAsia="zh-CN"/>
                <w14:textFill>
                  <w14:solidFill>
                    <w14:schemeClr w14:val="tx1"/>
                  </w14:solidFill>
                </w14:textFill>
              </w:rPr>
              <w:t>25</w:t>
            </w:r>
          </w:p>
          <w:p w14:paraId="747992C4">
            <w:pPr>
              <w:spacing w:line="312" w:lineRule="auto"/>
              <w:ind w:firstLine="42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说明：1、投标报价超过最高限价按无效投标处理。</w:t>
            </w:r>
            <w:bookmarkStart w:id="737" w:name="_Toc135648926"/>
            <w:r>
              <w:rPr>
                <w:rFonts w:hint="eastAsia" w:ascii="宋体" w:hAnsi="宋体" w:eastAsia="宋体" w:cs="宋体"/>
                <w:color w:val="000000" w:themeColor="text1"/>
                <w:highlight w:val="none"/>
                <w14:textFill>
                  <w14:solidFill>
                    <w14:schemeClr w14:val="tx1"/>
                  </w14:solidFill>
                </w14:textFill>
              </w:rPr>
              <w:t>2、因落实政府采购政策进行价格调整的，以调整后的价格计算评标基准价和投标报价。</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bookmarkEnd w:id="737"/>
          </w:p>
        </w:tc>
      </w:tr>
      <w:tr w14:paraId="79729D8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532" w:hRule="atLeast"/>
        </w:trPr>
        <w:tc>
          <w:tcPr>
            <w:tcW w:w="851" w:type="dxa"/>
            <w:vMerge w:val="restart"/>
            <w:tcBorders>
              <w:top w:val="single" w:color="auto" w:sz="4" w:space="0"/>
              <w:left w:val="single" w:color="auto" w:sz="4" w:space="0"/>
              <w:bottom w:val="outset" w:color="auto" w:sz="6" w:space="0"/>
              <w:right w:val="single" w:color="auto" w:sz="4" w:space="0"/>
            </w:tcBorders>
            <w:vAlign w:val="center"/>
          </w:tcPr>
          <w:p w14:paraId="0BC95DD6">
            <w:pPr>
              <w:spacing w:line="360" w:lineRule="auto"/>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w:t>
            </w:r>
          </w:p>
        </w:tc>
        <w:tc>
          <w:tcPr>
            <w:tcW w:w="1091" w:type="dxa"/>
            <w:gridSpan w:val="2"/>
            <w:vMerge w:val="restart"/>
            <w:tcBorders>
              <w:top w:val="single" w:color="auto" w:sz="4" w:space="0"/>
              <w:left w:val="single" w:color="auto" w:sz="4" w:space="0"/>
              <w:bottom w:val="single" w:color="auto" w:sz="4" w:space="0"/>
              <w:right w:val="single" w:color="auto" w:sz="4" w:space="0"/>
            </w:tcBorders>
            <w:vAlign w:val="center"/>
          </w:tcPr>
          <w:p w14:paraId="2A920BA4">
            <w:pPr>
              <w:jc w:val="center"/>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商务标</w:t>
            </w:r>
          </w:p>
          <w:p w14:paraId="0354A7BD">
            <w:pPr>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w:t>
            </w:r>
            <w:r>
              <w:rPr>
                <w:rFonts w:hint="eastAsia" w:ascii="宋体" w:hAnsi="宋体" w:cs="宋体"/>
                <w:b/>
                <w:color w:val="000000" w:themeColor="text1"/>
                <w:highlight w:val="none"/>
                <w:lang w:val="en-US" w:eastAsia="zh-CN"/>
                <w14:textFill>
                  <w14:solidFill>
                    <w14:schemeClr w14:val="tx1"/>
                  </w14:solidFill>
                </w14:textFill>
              </w:rPr>
              <w:t>14</w:t>
            </w:r>
            <w:r>
              <w:rPr>
                <w:rFonts w:hint="eastAsia" w:ascii="宋体" w:hAnsi="宋体" w:eastAsia="宋体" w:cs="宋体"/>
                <w:b/>
                <w:color w:val="000000" w:themeColor="text1"/>
                <w:highlight w:val="none"/>
                <w14:textFill>
                  <w14:solidFill>
                    <w14:schemeClr w14:val="tx1"/>
                  </w14:solidFill>
                </w14:textFill>
              </w:rPr>
              <w:t>分）</w:t>
            </w:r>
          </w:p>
          <w:p w14:paraId="437B560B">
            <w:pPr>
              <w:jc w:val="center"/>
              <w:rPr>
                <w:rFonts w:hint="eastAsia" w:ascii="宋体" w:hAnsi="宋体" w:eastAsia="宋体" w:cs="宋体"/>
                <w:b/>
                <w:color w:val="000000" w:themeColor="text1"/>
                <w:szCs w:val="24"/>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23F8D8D9">
            <w:p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1.业绩（0-4分）</w:t>
            </w:r>
          </w:p>
        </w:tc>
        <w:tc>
          <w:tcPr>
            <w:tcW w:w="4756" w:type="dxa"/>
            <w:tcBorders>
              <w:top w:val="single" w:color="auto" w:sz="4" w:space="0"/>
              <w:left w:val="single" w:color="auto" w:sz="4" w:space="0"/>
              <w:bottom w:val="single" w:color="auto" w:sz="4" w:space="0"/>
              <w:right w:val="single" w:color="auto" w:sz="4" w:space="0"/>
            </w:tcBorders>
            <w:vAlign w:val="center"/>
          </w:tcPr>
          <w:p w14:paraId="2E7715E0">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投标人2021年1月1日以来承担过物业服务项目的，每有一个业绩得2分，最多得4分。</w:t>
            </w:r>
          </w:p>
          <w:p w14:paraId="7BB63DE4">
            <w:pPr>
              <w:spacing w:line="312" w:lineRule="auto"/>
              <w:ind w:firstLine="42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备注：物业服务项目服务内容至少含有保洁或者垃圾清运</w:t>
            </w:r>
            <w:r>
              <w:rPr>
                <w:rFonts w:hint="eastAsia" w:ascii="宋体" w:hAnsi="宋体" w:eastAsia="宋体" w:cs="宋体"/>
                <w:color w:val="000000" w:themeColor="text1"/>
                <w:highlight w:val="none"/>
                <w:lang w:val="en-US" w:eastAsia="zh-CN"/>
                <w14:textFill>
                  <w14:solidFill>
                    <w14:schemeClr w14:val="tx1"/>
                  </w14:solidFill>
                </w14:textFill>
              </w:rPr>
              <w:t>或绿化养护</w:t>
            </w:r>
            <w:r>
              <w:rPr>
                <w:rFonts w:hint="eastAsia" w:ascii="宋体" w:hAnsi="宋体" w:eastAsia="宋体" w:cs="宋体"/>
                <w:color w:val="000000" w:themeColor="text1"/>
                <w:highlight w:val="none"/>
                <w14:textFill>
                  <w14:solidFill>
                    <w14:schemeClr w14:val="tx1"/>
                  </w14:solidFill>
                </w14:textFill>
              </w:rPr>
              <w:t>有关内容，日期以合同签订日期为准，投标文件中附合同原件扫描件、中标通知书原件扫描件、中标网页公示截图，没有或不符合要求不得分。</w:t>
            </w:r>
          </w:p>
        </w:tc>
      </w:tr>
      <w:tr w14:paraId="4D6E7CF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47" w:hRule="atLeast"/>
        </w:trPr>
        <w:tc>
          <w:tcPr>
            <w:tcW w:w="851" w:type="dxa"/>
            <w:vMerge w:val="continue"/>
            <w:tcBorders>
              <w:top w:val="single" w:color="auto" w:sz="4" w:space="0"/>
              <w:left w:val="single" w:color="auto" w:sz="4" w:space="0"/>
              <w:bottom w:val="outset" w:color="auto" w:sz="6" w:space="0"/>
              <w:right w:val="single" w:color="auto" w:sz="4" w:space="0"/>
            </w:tcBorders>
            <w:vAlign w:val="center"/>
          </w:tcPr>
          <w:p w14:paraId="284528E4">
            <w:pPr>
              <w:widowControl/>
              <w:jc w:val="left"/>
              <w:rPr>
                <w:rFonts w:hint="eastAsia" w:ascii="宋体" w:hAnsi="宋体" w:eastAsia="宋体" w:cs="宋体"/>
                <w:b/>
                <w:color w:val="000000" w:themeColor="text1"/>
                <w:szCs w:val="24"/>
                <w:highlight w:val="none"/>
                <w14:textFill>
                  <w14:solidFill>
                    <w14:schemeClr w14:val="tx1"/>
                  </w14:solidFill>
                </w14:textFill>
              </w:rPr>
            </w:pPr>
          </w:p>
        </w:tc>
        <w:tc>
          <w:tcPr>
            <w:tcW w:w="1091" w:type="dxa"/>
            <w:gridSpan w:val="2"/>
            <w:vMerge w:val="continue"/>
            <w:tcBorders>
              <w:top w:val="single" w:color="auto" w:sz="4" w:space="0"/>
              <w:left w:val="single" w:color="auto" w:sz="4" w:space="0"/>
              <w:bottom w:val="single" w:color="auto" w:sz="4" w:space="0"/>
              <w:right w:val="single" w:color="auto" w:sz="4" w:space="0"/>
            </w:tcBorders>
            <w:vAlign w:val="center"/>
          </w:tcPr>
          <w:p w14:paraId="6830ED13">
            <w:pPr>
              <w:widowControl/>
              <w:jc w:val="left"/>
              <w:rPr>
                <w:rFonts w:hint="eastAsia" w:ascii="宋体" w:hAnsi="宋体" w:eastAsia="宋体" w:cs="宋体"/>
                <w:b/>
                <w:color w:val="000000" w:themeColor="text1"/>
                <w:szCs w:val="24"/>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6C00D321">
            <w:p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2.人员配备（0-</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03C487EF">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投标人结合服务内容、标准和本项目实际配置服务团队，评委根据服务团队各岗位人员的年龄结构、专业技能、文化程度、综合素质及各岗位的分配情况等综合比较。</w:t>
            </w:r>
          </w:p>
          <w:p w14:paraId="4789E0C3">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服务团队配置完全满足采购人需求的得</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p w14:paraId="52390F58">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服务团队配置基本满足采购人需求的得</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分；</w:t>
            </w:r>
          </w:p>
          <w:p w14:paraId="073B5B0E">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服务团队配置不符合项目实际，存在较多问题的得</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p>
          <w:p w14:paraId="600EA2C6">
            <w:pPr>
              <w:spacing w:line="312"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缺项不得分。</w:t>
            </w:r>
          </w:p>
        </w:tc>
      </w:tr>
      <w:tr w14:paraId="706C926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62" w:hRule="atLeast"/>
        </w:trPr>
        <w:tc>
          <w:tcPr>
            <w:tcW w:w="851" w:type="dxa"/>
            <w:vMerge w:val="restart"/>
            <w:tcBorders>
              <w:top w:val="outset" w:color="auto" w:sz="6" w:space="0"/>
              <w:left w:val="single" w:color="auto" w:sz="4" w:space="0"/>
              <w:bottom w:val="single" w:color="auto" w:sz="4" w:space="0"/>
              <w:right w:val="single" w:color="auto" w:sz="4" w:space="0"/>
            </w:tcBorders>
            <w:vAlign w:val="center"/>
          </w:tcPr>
          <w:p w14:paraId="40950E21">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3</w:t>
            </w:r>
          </w:p>
        </w:tc>
        <w:tc>
          <w:tcPr>
            <w:tcW w:w="1091" w:type="dxa"/>
            <w:gridSpan w:val="2"/>
            <w:vMerge w:val="restart"/>
            <w:tcBorders>
              <w:top w:val="single" w:color="auto" w:sz="4" w:space="0"/>
              <w:left w:val="single" w:color="auto" w:sz="4" w:space="0"/>
              <w:bottom w:val="single" w:color="auto" w:sz="4" w:space="0"/>
              <w:right w:val="single" w:color="auto" w:sz="4" w:space="0"/>
            </w:tcBorders>
            <w:vAlign w:val="center"/>
          </w:tcPr>
          <w:p w14:paraId="590EFBA5">
            <w:pPr>
              <w:spacing w:line="312" w:lineRule="auto"/>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技术标</w:t>
            </w:r>
          </w:p>
          <w:p w14:paraId="230BC08F">
            <w:pPr>
              <w:spacing w:line="312" w:lineRule="auto"/>
              <w:jc w:val="center"/>
              <w:rPr>
                <w:rFonts w:hint="eastAsia" w:ascii="宋体" w:hAnsi="宋体" w:eastAsia="宋体" w:cs="宋体"/>
                <w:b/>
                <w:bCs/>
                <w:color w:val="000000" w:themeColor="text1"/>
                <w:szCs w:val="24"/>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61</w:t>
            </w:r>
            <w:r>
              <w:rPr>
                <w:rFonts w:hint="eastAsia" w:ascii="宋体" w:hAnsi="宋体" w:eastAsia="宋体" w:cs="宋体"/>
                <w:b/>
                <w:bCs/>
                <w:color w:val="000000" w:themeColor="text1"/>
                <w:highlight w:val="none"/>
                <w14:textFill>
                  <w14:solidFill>
                    <w14:schemeClr w14:val="tx1"/>
                  </w14:solidFill>
                </w14:textFill>
              </w:rPr>
              <w:t>分）</w:t>
            </w:r>
          </w:p>
          <w:p w14:paraId="44620F87">
            <w:pPr>
              <w:spacing w:line="312" w:lineRule="auto"/>
              <w:ind w:firstLine="420" w:firstLineChars="200"/>
              <w:jc w:val="center"/>
              <w:rPr>
                <w:rFonts w:hint="eastAsia" w:ascii="宋体" w:hAnsi="宋体" w:eastAsia="宋体" w:cs="宋体"/>
                <w:color w:val="000000" w:themeColor="text1"/>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2E752AFB">
            <w:p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服务方案</w:t>
            </w:r>
            <w:r>
              <w:rPr>
                <w:rFonts w:hint="eastAsia" w:ascii="宋体" w:hAnsi="宋体" w:eastAsia="宋体" w:cs="宋体"/>
                <w:color w:val="000000" w:themeColor="text1"/>
                <w:highlight w:val="none"/>
                <w14:textFill>
                  <w14:solidFill>
                    <w14:schemeClr w14:val="tx1"/>
                  </w14:solidFill>
                </w14:textFill>
              </w:rPr>
              <w:t>（0-</w:t>
            </w:r>
            <w:r>
              <w:rPr>
                <w:rFonts w:hint="eastAsia" w:ascii="宋体" w:hAnsi="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13915D55">
            <w:pPr>
              <w:spacing w:line="312"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投标人针对本项目的</w:t>
            </w:r>
            <w:r>
              <w:rPr>
                <w:rFonts w:hint="eastAsia" w:ascii="宋体" w:hAnsi="宋体" w:eastAsia="宋体" w:cs="宋体"/>
                <w:color w:val="000000" w:themeColor="text1"/>
                <w:highlight w:val="none"/>
                <w:lang w:val="en-US" w:eastAsia="zh-CN"/>
                <w14:textFill>
                  <w14:solidFill>
                    <w14:schemeClr w14:val="tx1"/>
                  </w14:solidFill>
                </w14:textFill>
              </w:rPr>
              <w:t>服务内容，制定服务方案：</w:t>
            </w:r>
          </w:p>
          <w:p w14:paraId="295713E3">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方案内容涵盖全面、有机统一、针对性强的得</w:t>
            </w:r>
            <w:r>
              <w:rPr>
                <w:rFonts w:hint="eastAsia" w:ascii="宋体" w:hAnsi="宋体" w:eastAsia="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分；</w:t>
            </w:r>
          </w:p>
          <w:p w14:paraId="7BC262CB">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方案内容涵盖较为全面、有一定针对性的得</w:t>
            </w:r>
            <w:r>
              <w:rPr>
                <w:rFonts w:hint="eastAsia" w:ascii="宋体" w:hAnsi="宋体" w:eastAsia="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p w14:paraId="71B17F46">
            <w:pPr>
              <w:spacing w:line="312"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服务方案内容不全面，针对性不强，存在较多问题的得</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分</w:t>
            </w:r>
            <w:r>
              <w:rPr>
                <w:rFonts w:hint="eastAsia" w:ascii="宋体" w:hAnsi="宋体" w:eastAsia="宋体" w:cs="宋体"/>
                <w:color w:val="000000" w:themeColor="text1"/>
                <w:highlight w:val="none"/>
                <w:lang w:eastAsia="zh-CN"/>
                <w14:textFill>
                  <w14:solidFill>
                    <w14:schemeClr w14:val="tx1"/>
                  </w14:solidFill>
                </w14:textFill>
              </w:rPr>
              <w:t>；</w:t>
            </w:r>
          </w:p>
          <w:p w14:paraId="4BC23236">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缺项不得分。</w:t>
            </w:r>
          </w:p>
        </w:tc>
      </w:tr>
      <w:tr w14:paraId="3BB661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62" w:hRule="atLeast"/>
        </w:trPr>
        <w:tc>
          <w:tcPr>
            <w:tcW w:w="851" w:type="dxa"/>
            <w:vMerge w:val="continue"/>
            <w:tcBorders>
              <w:left w:val="single" w:color="auto" w:sz="4" w:space="0"/>
              <w:right w:val="single" w:color="auto" w:sz="4" w:space="0"/>
            </w:tcBorders>
            <w:vAlign w:val="center"/>
          </w:tcPr>
          <w:p w14:paraId="1CC47AA9">
            <w:pPr>
              <w:jc w:val="center"/>
              <w:rPr>
                <w:rFonts w:hint="eastAsia" w:ascii="宋体" w:hAnsi="宋体" w:eastAsia="宋体" w:cs="宋体"/>
                <w:b/>
                <w:bCs/>
                <w:color w:val="000000" w:themeColor="text1"/>
                <w:highlight w:val="none"/>
                <w14:textFill>
                  <w14:solidFill>
                    <w14:schemeClr w14:val="tx1"/>
                  </w14:solidFill>
                </w14:textFill>
              </w:rPr>
            </w:pPr>
          </w:p>
        </w:tc>
        <w:tc>
          <w:tcPr>
            <w:tcW w:w="1091" w:type="dxa"/>
            <w:gridSpan w:val="2"/>
            <w:vMerge w:val="continue"/>
            <w:tcBorders>
              <w:left w:val="single" w:color="auto" w:sz="4" w:space="0"/>
              <w:right w:val="single" w:color="auto" w:sz="4" w:space="0"/>
            </w:tcBorders>
            <w:vAlign w:val="center"/>
          </w:tcPr>
          <w:p w14:paraId="470968D1">
            <w:pPr>
              <w:spacing w:line="312" w:lineRule="auto"/>
              <w:ind w:firstLine="420" w:firstLineChars="200"/>
              <w:jc w:val="center"/>
              <w:rPr>
                <w:rFonts w:hint="eastAsia" w:ascii="宋体" w:hAnsi="宋体" w:eastAsia="宋体" w:cs="宋体"/>
                <w:color w:val="000000" w:themeColor="text1"/>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799B9B11">
            <w:p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.组织架构及</w:t>
            </w:r>
            <w:r>
              <w:rPr>
                <w:rFonts w:hint="eastAsia" w:ascii="宋体" w:hAnsi="宋体" w:eastAsia="宋体" w:cs="宋体"/>
                <w:color w:val="000000" w:themeColor="text1"/>
                <w:highlight w:val="none"/>
                <w:lang w:val="en-US" w:eastAsia="zh-CN"/>
                <w14:textFill>
                  <w14:solidFill>
                    <w14:schemeClr w14:val="tx1"/>
                  </w14:solidFill>
                </w14:textFill>
              </w:rPr>
              <w:t>服务</w:t>
            </w:r>
            <w:r>
              <w:rPr>
                <w:rFonts w:hint="eastAsia" w:ascii="宋体" w:hAnsi="宋体" w:eastAsia="宋体" w:cs="宋体"/>
                <w:color w:val="000000" w:themeColor="text1"/>
                <w:highlight w:val="none"/>
                <w14:textFill>
                  <w14:solidFill>
                    <w14:schemeClr w14:val="tx1"/>
                  </w14:solidFill>
                </w14:textFill>
              </w:rPr>
              <w:t>质量保证措施（0-</w:t>
            </w:r>
            <w:r>
              <w:rPr>
                <w:rFonts w:hint="eastAsia" w:ascii="宋体" w:hAnsi="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33305921">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投标人针对本项目设立的管理机构组织架构及其运作方法与流程：包括服务质量保证措施；服务质量检查、验收方法和标准；满意度测评方案等。</w:t>
            </w:r>
          </w:p>
          <w:p w14:paraId="74631224">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组织架构完善、具体措施可操作性强的得</w:t>
            </w:r>
            <w:r>
              <w:rPr>
                <w:rFonts w:hint="eastAsia" w:ascii="宋体" w:hAnsi="宋体" w:eastAsia="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分；</w:t>
            </w:r>
          </w:p>
          <w:p w14:paraId="51A83432">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组织架构基本完善、有具体措施的得</w:t>
            </w:r>
            <w:r>
              <w:rPr>
                <w:rFonts w:hint="eastAsia" w:ascii="宋体" w:hAnsi="宋体" w:eastAsia="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p w14:paraId="0F902947">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有组织架构，具体措施存在较多问题，可操作性较差的得</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分</w:t>
            </w:r>
            <w:r>
              <w:rPr>
                <w:rFonts w:hint="eastAsia" w:ascii="宋体" w:hAnsi="宋体" w:eastAsia="宋体" w:cs="宋体"/>
                <w:color w:val="000000" w:themeColor="text1"/>
                <w:highlight w:val="none"/>
                <w:lang w:eastAsia="zh-CN"/>
                <w14:textFill>
                  <w14:solidFill>
                    <w14:schemeClr w14:val="tx1"/>
                  </w14:solidFill>
                </w14:textFill>
              </w:rPr>
              <w:t>；</w:t>
            </w:r>
          </w:p>
          <w:p w14:paraId="3299AA4F">
            <w:pPr>
              <w:spacing w:line="312"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缺项不得分。</w:t>
            </w:r>
          </w:p>
        </w:tc>
      </w:tr>
      <w:tr w14:paraId="2870DD8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62" w:hRule="atLeast"/>
        </w:trPr>
        <w:tc>
          <w:tcPr>
            <w:tcW w:w="851" w:type="dxa"/>
            <w:vMerge w:val="continue"/>
            <w:tcBorders>
              <w:top w:val="outset" w:color="auto" w:sz="6" w:space="0"/>
              <w:left w:val="single" w:color="auto" w:sz="4" w:space="0"/>
              <w:bottom w:val="single" w:color="auto" w:sz="4" w:space="0"/>
              <w:right w:val="single" w:color="auto" w:sz="4" w:space="0"/>
            </w:tcBorders>
            <w:vAlign w:val="center"/>
          </w:tcPr>
          <w:p w14:paraId="2B55C538">
            <w:pPr>
              <w:widowControl/>
              <w:jc w:val="left"/>
              <w:rPr>
                <w:rFonts w:hint="eastAsia" w:ascii="宋体" w:hAnsi="宋体" w:eastAsia="宋体" w:cs="宋体"/>
                <w:color w:val="000000" w:themeColor="text1"/>
                <w:szCs w:val="24"/>
                <w:highlight w:val="none"/>
                <w14:textFill>
                  <w14:solidFill>
                    <w14:schemeClr w14:val="tx1"/>
                  </w14:solidFill>
                </w14:textFill>
              </w:rPr>
            </w:pPr>
          </w:p>
        </w:tc>
        <w:tc>
          <w:tcPr>
            <w:tcW w:w="1091" w:type="dxa"/>
            <w:gridSpan w:val="2"/>
            <w:vMerge w:val="continue"/>
            <w:tcBorders>
              <w:top w:val="single" w:color="auto" w:sz="4" w:space="0"/>
              <w:left w:val="single" w:color="auto" w:sz="4" w:space="0"/>
              <w:bottom w:val="single" w:color="auto" w:sz="4" w:space="0"/>
              <w:right w:val="single" w:color="auto" w:sz="4" w:space="0"/>
            </w:tcBorders>
            <w:vAlign w:val="center"/>
          </w:tcPr>
          <w:p w14:paraId="51298E99">
            <w:pPr>
              <w:widowControl/>
              <w:jc w:val="left"/>
              <w:rPr>
                <w:rFonts w:hint="eastAsia" w:ascii="宋体" w:hAnsi="宋体" w:eastAsia="宋体" w:cs="宋体"/>
                <w:color w:val="000000" w:themeColor="text1"/>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4CBD3ACA">
            <w:p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.人员管理及培训方案（0-</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67A1F2D3">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投标人结合本项目实际制定服务人员管理及培训方案。</w:t>
            </w:r>
          </w:p>
          <w:p w14:paraId="2B3EDB03">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方案内容完善，切实可行的得</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p w14:paraId="58444ECC">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方案较为完善，有一定可行性的得</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分；</w:t>
            </w:r>
          </w:p>
          <w:p w14:paraId="37A53A08">
            <w:pPr>
              <w:spacing w:line="312"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方案内容不符合项目实际，可行性较差的得</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r>
              <w:rPr>
                <w:rFonts w:hint="eastAsia" w:ascii="宋体" w:hAnsi="宋体" w:eastAsia="宋体" w:cs="宋体"/>
                <w:color w:val="000000" w:themeColor="text1"/>
                <w:highlight w:val="none"/>
                <w:lang w:eastAsia="zh-CN"/>
                <w14:textFill>
                  <w14:solidFill>
                    <w14:schemeClr w14:val="tx1"/>
                  </w14:solidFill>
                </w14:textFill>
              </w:rPr>
              <w:t>；</w:t>
            </w:r>
          </w:p>
          <w:p w14:paraId="18F7C1CE">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缺项不得分。</w:t>
            </w:r>
          </w:p>
        </w:tc>
      </w:tr>
      <w:tr w14:paraId="41E8C12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62" w:hRule="atLeast"/>
        </w:trPr>
        <w:tc>
          <w:tcPr>
            <w:tcW w:w="851" w:type="dxa"/>
            <w:vMerge w:val="continue"/>
            <w:tcBorders>
              <w:top w:val="outset" w:color="auto" w:sz="6" w:space="0"/>
              <w:left w:val="single" w:color="auto" w:sz="4" w:space="0"/>
              <w:bottom w:val="single" w:color="auto" w:sz="4" w:space="0"/>
              <w:right w:val="single" w:color="auto" w:sz="4" w:space="0"/>
            </w:tcBorders>
            <w:vAlign w:val="center"/>
          </w:tcPr>
          <w:p w14:paraId="31640551">
            <w:pPr>
              <w:widowControl/>
              <w:jc w:val="left"/>
              <w:rPr>
                <w:rFonts w:hint="eastAsia" w:ascii="宋体" w:hAnsi="宋体" w:eastAsia="宋体" w:cs="宋体"/>
                <w:color w:val="000000" w:themeColor="text1"/>
                <w:szCs w:val="24"/>
                <w:highlight w:val="none"/>
                <w14:textFill>
                  <w14:solidFill>
                    <w14:schemeClr w14:val="tx1"/>
                  </w14:solidFill>
                </w14:textFill>
              </w:rPr>
            </w:pPr>
          </w:p>
        </w:tc>
        <w:tc>
          <w:tcPr>
            <w:tcW w:w="1091" w:type="dxa"/>
            <w:gridSpan w:val="2"/>
            <w:vMerge w:val="continue"/>
            <w:tcBorders>
              <w:top w:val="single" w:color="auto" w:sz="4" w:space="0"/>
              <w:left w:val="single" w:color="auto" w:sz="4" w:space="0"/>
              <w:bottom w:val="single" w:color="auto" w:sz="4" w:space="0"/>
              <w:right w:val="single" w:color="auto" w:sz="4" w:space="0"/>
            </w:tcBorders>
            <w:vAlign w:val="center"/>
          </w:tcPr>
          <w:p w14:paraId="032629D3">
            <w:pPr>
              <w:widowControl/>
              <w:jc w:val="left"/>
              <w:rPr>
                <w:rFonts w:hint="eastAsia" w:ascii="宋体" w:hAnsi="宋体" w:eastAsia="宋体" w:cs="宋体"/>
                <w:color w:val="000000" w:themeColor="text1"/>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73088228">
            <w:p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.服务设备、物资投入方案（0-</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23F28899">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结合服务内容制定</w:t>
            </w:r>
            <w:r>
              <w:rPr>
                <w:rFonts w:hint="eastAsia" w:ascii="宋体" w:hAnsi="宋体" w:eastAsia="宋体" w:cs="宋体"/>
                <w:color w:val="000000" w:themeColor="text1"/>
                <w:highlight w:val="none"/>
                <w14:textFill>
                  <w14:solidFill>
                    <w14:schemeClr w14:val="tx1"/>
                  </w14:solidFill>
                </w14:textFill>
              </w:rPr>
              <w:t>拟投入设备、物资、机械用品、劳保用品配备方案。</w:t>
            </w:r>
          </w:p>
          <w:p w14:paraId="66697C2D">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针对性强、内容完善、数量详实、设备先进，体现绿色、环保、节能的得</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分；</w:t>
            </w:r>
          </w:p>
          <w:p w14:paraId="0B9843BC">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内容基本完善、数量基本满足要求、设备较为先进的得</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分；</w:t>
            </w:r>
          </w:p>
          <w:p w14:paraId="73F14A39">
            <w:pPr>
              <w:spacing w:line="312"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服务设备、物资投入方案内容简单，不符合项目实际的得</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w:t>
            </w:r>
            <w:r>
              <w:rPr>
                <w:rFonts w:hint="eastAsia" w:ascii="宋体" w:hAnsi="宋体" w:eastAsia="宋体" w:cs="宋体"/>
                <w:color w:val="000000" w:themeColor="text1"/>
                <w:highlight w:val="none"/>
                <w:lang w:eastAsia="zh-CN"/>
                <w14:textFill>
                  <w14:solidFill>
                    <w14:schemeClr w14:val="tx1"/>
                  </w14:solidFill>
                </w14:textFill>
              </w:rPr>
              <w:t>；</w:t>
            </w:r>
          </w:p>
          <w:p w14:paraId="646C4EBE">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缺项不得分。</w:t>
            </w:r>
          </w:p>
        </w:tc>
      </w:tr>
      <w:tr w14:paraId="5A02849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62" w:hRule="atLeast"/>
        </w:trPr>
        <w:tc>
          <w:tcPr>
            <w:tcW w:w="851" w:type="dxa"/>
            <w:vMerge w:val="continue"/>
            <w:tcBorders>
              <w:top w:val="outset" w:color="auto" w:sz="6" w:space="0"/>
              <w:left w:val="single" w:color="auto" w:sz="4" w:space="0"/>
              <w:bottom w:val="single" w:color="auto" w:sz="4" w:space="0"/>
              <w:right w:val="single" w:color="auto" w:sz="4" w:space="0"/>
            </w:tcBorders>
            <w:vAlign w:val="center"/>
          </w:tcPr>
          <w:p w14:paraId="3BE9BB08">
            <w:pPr>
              <w:widowControl/>
              <w:jc w:val="left"/>
              <w:rPr>
                <w:rFonts w:hint="eastAsia" w:ascii="宋体" w:hAnsi="宋体" w:eastAsia="宋体" w:cs="宋体"/>
                <w:color w:val="000000" w:themeColor="text1"/>
                <w:szCs w:val="24"/>
                <w:highlight w:val="none"/>
                <w14:textFill>
                  <w14:solidFill>
                    <w14:schemeClr w14:val="tx1"/>
                  </w14:solidFill>
                </w14:textFill>
              </w:rPr>
            </w:pPr>
          </w:p>
        </w:tc>
        <w:tc>
          <w:tcPr>
            <w:tcW w:w="1091" w:type="dxa"/>
            <w:gridSpan w:val="2"/>
            <w:vMerge w:val="continue"/>
            <w:tcBorders>
              <w:top w:val="single" w:color="auto" w:sz="4" w:space="0"/>
              <w:left w:val="single" w:color="auto" w:sz="4" w:space="0"/>
              <w:bottom w:val="single" w:color="auto" w:sz="4" w:space="0"/>
              <w:right w:val="single" w:color="auto" w:sz="4" w:space="0"/>
            </w:tcBorders>
            <w:vAlign w:val="center"/>
          </w:tcPr>
          <w:p w14:paraId="518B0337">
            <w:pPr>
              <w:widowControl/>
              <w:jc w:val="left"/>
              <w:rPr>
                <w:rFonts w:hint="eastAsia" w:ascii="宋体" w:hAnsi="宋体" w:eastAsia="宋体" w:cs="宋体"/>
                <w:color w:val="000000" w:themeColor="text1"/>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6ABB0C90">
            <w:pPr>
              <w:numPr>
                <w:ilvl w:val="0"/>
                <w:numId w:val="0"/>
              </w:num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突发事件应急保障</w:t>
            </w:r>
          </w:p>
          <w:p w14:paraId="4DF0F217">
            <w:pPr>
              <w:numPr>
                <w:ilvl w:val="0"/>
                <w:numId w:val="0"/>
              </w:numPr>
              <w:spacing w:line="312" w:lineRule="auto"/>
              <w:ind w:firstLine="630" w:firstLineChars="3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（0-</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20553AFD">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结合采购人单位特点</w:t>
            </w:r>
            <w:r>
              <w:rPr>
                <w:rFonts w:hint="eastAsia" w:ascii="宋体" w:hAnsi="宋体" w:eastAsia="宋体" w:cs="宋体"/>
                <w:color w:val="000000" w:themeColor="text1"/>
                <w:highlight w:val="none"/>
                <w14:textFill>
                  <w14:solidFill>
                    <w14:schemeClr w14:val="tx1"/>
                  </w14:solidFill>
                </w14:textFill>
              </w:rPr>
              <w:t>制订突发事件应急预案及处置措施，如</w:t>
            </w:r>
            <w:r>
              <w:rPr>
                <w:rFonts w:hint="eastAsia" w:ascii="宋体" w:hAnsi="宋体" w:eastAsia="宋体" w:cs="宋体"/>
                <w:color w:val="000000" w:themeColor="text1"/>
                <w:highlight w:val="none"/>
                <w:lang w:val="en-US" w:eastAsia="zh-CN"/>
                <w14:textFill>
                  <w14:solidFill>
                    <w14:schemeClr w14:val="tx1"/>
                  </w14:solidFill>
                </w14:textFill>
              </w:rPr>
              <w:t>疫情</w:t>
            </w:r>
            <w:r>
              <w:rPr>
                <w:rFonts w:hint="eastAsia" w:ascii="宋体" w:hAnsi="宋体" w:eastAsia="宋体" w:cs="宋体"/>
                <w:color w:val="000000" w:themeColor="text1"/>
                <w:highlight w:val="none"/>
                <w14:textFill>
                  <w14:solidFill>
                    <w14:schemeClr w14:val="tx1"/>
                  </w14:solidFill>
                </w14:textFill>
              </w:rPr>
              <w:t>、防洪、停水停电、电梯故障、消防应急预案和自然灾害应急预案及处置措施。</w:t>
            </w:r>
          </w:p>
          <w:p w14:paraId="6248707E">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预案及处置措施针对性强、内容完善、详实且可操作性强的得</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分；</w:t>
            </w:r>
          </w:p>
          <w:p w14:paraId="7DE16B18">
            <w:pPr>
              <w:spacing w:line="312" w:lineRule="auto"/>
              <w:ind w:firstLine="42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预案及处置措施有一定针对性、可操作性较强的得</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分；</w:t>
            </w:r>
          </w:p>
          <w:p w14:paraId="76058AD3">
            <w:pPr>
              <w:spacing w:line="312"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预案及处置措施不符合项目实际，存在较多问题，可操作性较差的得</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分</w:t>
            </w:r>
            <w:r>
              <w:rPr>
                <w:rFonts w:hint="eastAsia" w:ascii="宋体" w:hAnsi="宋体" w:eastAsia="宋体" w:cs="宋体"/>
                <w:color w:val="000000" w:themeColor="text1"/>
                <w:highlight w:val="none"/>
                <w:lang w:eastAsia="zh-CN"/>
                <w14:textFill>
                  <w14:solidFill>
                    <w14:schemeClr w14:val="tx1"/>
                  </w14:solidFill>
                </w14:textFill>
              </w:rPr>
              <w:t>；</w:t>
            </w:r>
          </w:p>
          <w:p w14:paraId="724E1C06">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缺项不得分。</w:t>
            </w:r>
          </w:p>
        </w:tc>
      </w:tr>
      <w:tr w14:paraId="2953062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73" w:hRule="atLeast"/>
        </w:trPr>
        <w:tc>
          <w:tcPr>
            <w:tcW w:w="851" w:type="dxa"/>
            <w:vMerge w:val="continue"/>
            <w:tcBorders>
              <w:top w:val="outset" w:color="auto" w:sz="6" w:space="0"/>
              <w:left w:val="single" w:color="auto" w:sz="4" w:space="0"/>
              <w:bottom w:val="outset" w:color="auto" w:sz="6" w:space="0"/>
              <w:right w:val="single" w:color="auto" w:sz="4" w:space="0"/>
            </w:tcBorders>
            <w:vAlign w:val="center"/>
          </w:tcPr>
          <w:p w14:paraId="3302B580">
            <w:pPr>
              <w:widowControl/>
              <w:jc w:val="left"/>
              <w:rPr>
                <w:rFonts w:hint="eastAsia" w:ascii="宋体" w:hAnsi="宋体" w:eastAsia="宋体" w:cs="宋体"/>
                <w:color w:val="000000" w:themeColor="text1"/>
                <w:szCs w:val="24"/>
                <w:highlight w:val="none"/>
                <w14:textFill>
                  <w14:solidFill>
                    <w14:schemeClr w14:val="tx1"/>
                  </w14:solidFill>
                </w14:textFill>
              </w:rPr>
            </w:pPr>
          </w:p>
        </w:tc>
        <w:tc>
          <w:tcPr>
            <w:tcW w:w="1091" w:type="dxa"/>
            <w:gridSpan w:val="2"/>
            <w:vMerge w:val="continue"/>
            <w:tcBorders>
              <w:top w:val="single" w:color="auto" w:sz="4" w:space="0"/>
              <w:left w:val="single" w:color="auto" w:sz="4" w:space="0"/>
              <w:bottom w:val="single" w:color="auto" w:sz="4" w:space="0"/>
              <w:right w:val="single" w:color="auto" w:sz="4" w:space="0"/>
            </w:tcBorders>
            <w:vAlign w:val="center"/>
          </w:tcPr>
          <w:p w14:paraId="1CFF58E0">
            <w:pPr>
              <w:widowControl/>
              <w:jc w:val="left"/>
              <w:rPr>
                <w:rFonts w:hint="eastAsia" w:ascii="宋体" w:hAnsi="宋体" w:eastAsia="宋体" w:cs="宋体"/>
                <w:color w:val="000000" w:themeColor="text1"/>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0C42678C">
            <w:pPr>
              <w:spacing w:line="312"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.档案管理（0-</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分）</w:t>
            </w:r>
          </w:p>
        </w:tc>
        <w:tc>
          <w:tcPr>
            <w:tcW w:w="4756" w:type="dxa"/>
            <w:tcBorders>
              <w:top w:val="single" w:color="auto" w:sz="4" w:space="0"/>
              <w:left w:val="single" w:color="auto" w:sz="4" w:space="0"/>
              <w:bottom w:val="single" w:color="auto" w:sz="4" w:space="0"/>
              <w:right w:val="single" w:color="auto" w:sz="4" w:space="0"/>
            </w:tcBorders>
            <w:vAlign w:val="center"/>
          </w:tcPr>
          <w:p w14:paraId="28E46BD1">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制定有物业</w:t>
            </w:r>
            <w:r>
              <w:rPr>
                <w:rFonts w:hint="eastAsia" w:ascii="宋体" w:hAnsi="宋体" w:eastAsia="宋体" w:cs="宋体"/>
                <w:color w:val="000000" w:themeColor="text1"/>
                <w:highlight w:val="none"/>
                <w14:textFill>
                  <w14:solidFill>
                    <w14:schemeClr w14:val="tx1"/>
                  </w14:solidFill>
                </w14:textFill>
              </w:rPr>
              <w:t>档案资料管理制度，</w:t>
            </w:r>
            <w:r>
              <w:rPr>
                <w:rFonts w:hint="eastAsia" w:ascii="宋体" w:hAnsi="宋体" w:eastAsia="宋体" w:cs="宋体"/>
                <w:color w:val="000000" w:themeColor="text1"/>
                <w:highlight w:val="none"/>
                <w:lang w:val="en-US" w:eastAsia="zh-CN"/>
                <w14:textFill>
                  <w14:solidFill>
                    <w14:schemeClr w14:val="tx1"/>
                  </w14:solidFill>
                </w14:textFill>
              </w:rPr>
              <w:t>至少包括档案</w:t>
            </w:r>
            <w:r>
              <w:rPr>
                <w:rFonts w:hint="eastAsia" w:ascii="宋体" w:hAnsi="宋体" w:eastAsia="宋体" w:cs="宋体"/>
                <w:color w:val="000000" w:themeColor="text1"/>
                <w:highlight w:val="none"/>
                <w14:textFill>
                  <w14:solidFill>
                    <w14:schemeClr w14:val="tx1"/>
                  </w14:solidFill>
                </w14:textFill>
              </w:rPr>
              <w:t>建立、收集、保存</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移交等管理内容。</w:t>
            </w:r>
          </w:p>
          <w:p w14:paraId="7E84F0A3">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制度健全、规范，符合物业档案管理要求的得</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分；</w:t>
            </w:r>
          </w:p>
          <w:p w14:paraId="7E610158">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制度基本健全、规范，基本符合物业档案管理要求的得</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分；</w:t>
            </w:r>
          </w:p>
          <w:p w14:paraId="7C3BEE14">
            <w:pPr>
              <w:spacing w:line="312"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缺项不得分。</w:t>
            </w:r>
          </w:p>
        </w:tc>
      </w:tr>
      <w:tr w14:paraId="0A2E9DC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62" w:hRule="atLeast"/>
        </w:trPr>
        <w:tc>
          <w:tcPr>
            <w:tcW w:w="851" w:type="dxa"/>
            <w:tcBorders>
              <w:top w:val="outset" w:color="auto" w:sz="6" w:space="0"/>
              <w:left w:val="single" w:color="auto" w:sz="4" w:space="0"/>
              <w:bottom w:val="single" w:color="auto" w:sz="4" w:space="0"/>
              <w:right w:val="single" w:color="auto" w:sz="4" w:space="0"/>
            </w:tcBorders>
            <w:vAlign w:val="center"/>
          </w:tcPr>
          <w:p w14:paraId="4EF44C07">
            <w:pPr>
              <w:widowControl/>
              <w:jc w:val="left"/>
              <w:rPr>
                <w:rFonts w:hint="eastAsia" w:ascii="宋体" w:hAnsi="宋体" w:eastAsia="宋体" w:cs="宋体"/>
                <w:color w:val="000000" w:themeColor="text1"/>
                <w:szCs w:val="24"/>
                <w:highlight w:val="none"/>
                <w14:textFill>
                  <w14:solidFill>
                    <w14:schemeClr w14:val="tx1"/>
                  </w14:solidFill>
                </w14:textFill>
              </w:rPr>
            </w:pPr>
          </w:p>
        </w:tc>
        <w:tc>
          <w:tcPr>
            <w:tcW w:w="1091" w:type="dxa"/>
            <w:gridSpan w:val="2"/>
            <w:tcBorders>
              <w:top w:val="single" w:color="auto" w:sz="4" w:space="0"/>
              <w:left w:val="single" w:color="auto" w:sz="4" w:space="0"/>
              <w:bottom w:val="single" w:color="auto" w:sz="4" w:space="0"/>
              <w:right w:val="single" w:color="auto" w:sz="4" w:space="0"/>
            </w:tcBorders>
            <w:vAlign w:val="center"/>
          </w:tcPr>
          <w:p w14:paraId="07A29F33">
            <w:pPr>
              <w:widowControl/>
              <w:jc w:val="left"/>
              <w:rPr>
                <w:rFonts w:hint="eastAsia" w:ascii="宋体" w:hAnsi="宋体" w:eastAsia="宋体" w:cs="宋体"/>
                <w:color w:val="000000" w:themeColor="text1"/>
                <w:highlight w:val="none"/>
                <w14:textFill>
                  <w14:solidFill>
                    <w14:schemeClr w14:val="tx1"/>
                  </w14:solidFill>
                </w14:textFill>
              </w:rPr>
            </w:pPr>
          </w:p>
        </w:tc>
        <w:tc>
          <w:tcPr>
            <w:tcW w:w="2624" w:type="dxa"/>
            <w:gridSpan w:val="2"/>
            <w:tcBorders>
              <w:top w:val="single" w:color="auto" w:sz="4" w:space="0"/>
              <w:left w:val="single" w:color="auto" w:sz="4" w:space="0"/>
              <w:bottom w:val="single" w:color="auto" w:sz="4" w:space="0"/>
              <w:right w:val="single" w:color="auto" w:sz="4" w:space="0"/>
            </w:tcBorders>
            <w:vAlign w:val="center"/>
          </w:tcPr>
          <w:p w14:paraId="75D7605A">
            <w:pPr>
              <w:spacing w:line="312" w:lineRule="auto"/>
              <w:ind w:firstLine="420" w:firstLineChars="200"/>
              <w:rPr>
                <w:rFonts w:hint="eastAsia" w:ascii="宋体" w:hAnsi="宋体" w:eastAsia="宋体" w:cs="宋体"/>
                <w:color w:val="000000" w:themeColor="text1"/>
                <w:highlight w:val="none"/>
                <w:lang w:val="zh-TW"/>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lang w:val="zh-TW"/>
                <w14:textFill>
                  <w14:solidFill>
                    <w14:schemeClr w14:val="tx1"/>
                  </w14:solidFill>
                </w14:textFill>
              </w:rPr>
              <w:t>信息化服务水平</w:t>
            </w:r>
          </w:p>
          <w:p w14:paraId="005CC58B">
            <w:pPr>
              <w:spacing w:line="312" w:lineRule="auto"/>
              <w:ind w:firstLine="420" w:firstLineChars="20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分</w:t>
            </w:r>
            <w:r>
              <w:rPr>
                <w:rFonts w:hint="eastAsia" w:ascii="宋体" w:hAnsi="宋体" w:eastAsia="宋体" w:cs="宋体"/>
                <w:color w:val="000000" w:themeColor="text1"/>
                <w:highlight w:val="none"/>
                <w:lang w:eastAsia="zh-CN"/>
                <w14:textFill>
                  <w14:solidFill>
                    <w14:schemeClr w14:val="tx1"/>
                  </w14:solidFill>
                </w14:textFill>
              </w:rPr>
              <w:t>）</w:t>
            </w:r>
          </w:p>
        </w:tc>
        <w:tc>
          <w:tcPr>
            <w:tcW w:w="4756" w:type="dxa"/>
            <w:tcBorders>
              <w:top w:val="single" w:color="auto" w:sz="4" w:space="0"/>
              <w:left w:val="single" w:color="auto" w:sz="4" w:space="0"/>
              <w:bottom w:val="single" w:color="auto" w:sz="4" w:space="0"/>
              <w:right w:val="single" w:color="auto" w:sz="4" w:space="0"/>
            </w:tcBorders>
            <w:vAlign w:val="center"/>
          </w:tcPr>
          <w:p w14:paraId="76F3A4E9">
            <w:pPr>
              <w:spacing w:line="312" w:lineRule="auto"/>
              <w:ind w:firstLine="420" w:firstLineChars="200"/>
              <w:rPr>
                <w:rFonts w:hint="eastAsia" w:ascii="宋体" w:hAnsi="宋体" w:eastAsia="宋体" w:cs="宋体"/>
                <w:color w:val="000000" w:themeColor="text1"/>
                <w:highlight w:val="none"/>
                <w:lang w:val="zh-TW"/>
                <w14:textFill>
                  <w14:solidFill>
                    <w14:schemeClr w14:val="tx1"/>
                  </w14:solidFill>
                </w14:textFill>
              </w:rPr>
            </w:pPr>
            <w:r>
              <w:rPr>
                <w:rFonts w:hint="eastAsia" w:ascii="宋体" w:hAnsi="宋体" w:eastAsia="宋体" w:cs="宋体"/>
                <w:color w:val="000000" w:themeColor="text1"/>
                <w:highlight w:val="none"/>
                <w:lang w:val="zh-TW"/>
                <w14:textFill>
                  <w14:solidFill>
                    <w14:schemeClr w14:val="tx1"/>
                  </w14:solidFill>
                </w14:textFill>
              </w:rPr>
              <w:t>投标人应有物业管理服务信息化手段的开发或运用能力（软件功能包括但不限于：智能办公系统、智能考勤系统、智能维修报修管理、智能巡更系统、设施设备智能管理系统等），每具备 1 项信息化管理能力得 1分，最多得4分。</w:t>
            </w:r>
          </w:p>
          <w:p w14:paraId="6F923DE7">
            <w:pPr>
              <w:spacing w:line="312"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TW"/>
                <w14:textFill>
                  <w14:solidFill>
                    <w14:schemeClr w14:val="tx1"/>
                  </w14:solidFill>
                </w14:textFill>
              </w:rPr>
              <w:t>注：须提供有效期内的物业软件租用（或购买）合同或自主研发物业软件相关证明，提供的证明材料均不得遮挡涂黑，否则不得分</w:t>
            </w:r>
            <w:r>
              <w:rPr>
                <w:rFonts w:hint="eastAsia" w:ascii="宋体" w:hAnsi="宋体" w:cs="宋体"/>
                <w:color w:val="000000" w:themeColor="text1"/>
                <w:highlight w:val="none"/>
                <w:lang w:val="zh-TW" w:eastAsia="zh-CN"/>
                <w14:textFill>
                  <w14:solidFill>
                    <w14:schemeClr w14:val="tx1"/>
                  </w14:solidFill>
                </w14:textFill>
              </w:rPr>
              <w:t>。</w:t>
            </w:r>
          </w:p>
        </w:tc>
      </w:tr>
    </w:tbl>
    <w:p w14:paraId="4DA574E4">
      <w:pPr>
        <w:spacing w:line="312" w:lineRule="auto"/>
        <w:ind w:firstLine="420" w:firstLineChars="200"/>
        <w:rPr>
          <w:rFonts w:hint="eastAsia" w:ascii="宋体" w:hAnsi="宋体" w:eastAsia="宋体" w:cs="宋体"/>
          <w:color w:val="000000" w:themeColor="text1"/>
          <w:highlight w:val="none"/>
          <w14:textFill>
            <w14:solidFill>
              <w14:schemeClr w14:val="tx1"/>
            </w14:solidFill>
          </w14:textFill>
        </w:rPr>
      </w:pPr>
    </w:p>
    <w:p w14:paraId="4A651D34">
      <w:pPr>
        <w:spacing w:line="360" w:lineRule="auto"/>
        <w:rPr>
          <w:rFonts w:hint="eastAsia" w:ascii="宋体" w:hAnsi="宋体" w:eastAsia="宋体" w:cs="宋体"/>
          <w:b/>
          <w:bCs/>
          <w:color w:val="000000" w:themeColor="text1"/>
          <w:kern w:val="0"/>
          <w:highlight w:val="none"/>
          <w:u w:val="single"/>
          <w14:textFill>
            <w14:solidFill>
              <w14:schemeClr w14:val="tx1"/>
            </w14:solidFill>
          </w14:textFill>
        </w:rPr>
      </w:pPr>
      <w:r>
        <w:rPr>
          <w:rFonts w:hint="eastAsia" w:ascii="宋体" w:hAnsi="宋体" w:eastAsia="宋体" w:cs="宋体"/>
          <w:b/>
          <w:bCs/>
          <w:color w:val="000000" w:themeColor="text1"/>
          <w:kern w:val="0"/>
          <w:highlight w:val="none"/>
          <w:u w:val="single"/>
          <w14:textFill>
            <w14:solidFill>
              <w14:schemeClr w14:val="tx1"/>
            </w14:solidFill>
          </w14:textFill>
        </w:rPr>
        <w:t>说明：以上项目若有缺项的，该项为0分；不缺项的，不低于该项最低分。投标文件中所附证明材料应清晰可辨，模糊不清无法辨别的评标专家有权不予认可，造成的后果，由投标人自己负责。任何时候发现投标资料弄虚作假者,将取消投标或中标资格并保留随时追究其相应经济和法律责任的权利。</w:t>
      </w:r>
    </w:p>
    <w:p w14:paraId="5249156A">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109AFDCE">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49EDDF74">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5069B47E">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7E4AB457">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7C79CA29">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3DCF7E81">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3C6A0E0B">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74DD5C25">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15DFE0A3">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7F8E1231">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0A6163BD">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3AE53439">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38B01A97">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77EBCE8C">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3D6701F4">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6D54BEB2">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5A09D05C">
      <w:pPr>
        <w:spacing w:line="360" w:lineRule="auto"/>
        <w:rPr>
          <w:rFonts w:hint="eastAsia" w:ascii="宋体" w:hAnsi="宋体" w:eastAsia="宋体" w:cs="宋体"/>
          <w:color w:val="000000" w:themeColor="text1"/>
          <w:kern w:val="0"/>
          <w:highlight w:val="none"/>
          <w14:textFill>
            <w14:solidFill>
              <w14:schemeClr w14:val="tx1"/>
            </w14:solidFill>
          </w14:textFill>
        </w:rPr>
      </w:pPr>
    </w:p>
    <w:p w14:paraId="31F4933F">
      <w:pPr>
        <w:pStyle w:val="4"/>
        <w:widowControl/>
        <w:rPr>
          <w:rFonts w:hint="eastAsia" w:ascii="宋体" w:hAnsi="宋体" w:eastAsia="宋体" w:cs="宋体"/>
          <w:color w:val="000000" w:themeColor="text1"/>
          <w:highlight w:val="none"/>
          <w14:textFill>
            <w14:solidFill>
              <w14:schemeClr w14:val="tx1"/>
            </w14:solidFill>
          </w14:textFill>
        </w:rPr>
      </w:pPr>
      <w:bookmarkStart w:id="738" w:name="_Toc135648931"/>
      <w:r>
        <w:rPr>
          <w:rFonts w:hint="eastAsia" w:ascii="宋体" w:hAnsi="宋体" w:eastAsia="宋体" w:cs="宋体"/>
          <w:color w:val="000000" w:themeColor="text1"/>
          <w:highlight w:val="none"/>
          <w14:textFill>
            <w14:solidFill>
              <w14:schemeClr w14:val="tx1"/>
            </w14:solidFill>
          </w14:textFill>
        </w:rPr>
        <w:t>1. 评标方法</w:t>
      </w:r>
      <w:bookmarkEnd w:id="738"/>
    </w:p>
    <w:p w14:paraId="66B37394">
      <w:pPr>
        <w:adjustRightInd w:val="0"/>
        <w:snapToGrid w:val="0"/>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4588431">
      <w:pPr>
        <w:pStyle w:val="4"/>
        <w:widowControl/>
        <w:rPr>
          <w:rFonts w:hint="eastAsia" w:ascii="宋体" w:hAnsi="宋体" w:eastAsia="宋体" w:cs="宋体"/>
          <w:color w:val="000000" w:themeColor="text1"/>
          <w:highlight w:val="none"/>
          <w14:textFill>
            <w14:solidFill>
              <w14:schemeClr w14:val="tx1"/>
            </w14:solidFill>
          </w14:textFill>
        </w:rPr>
      </w:pPr>
      <w:bookmarkStart w:id="739" w:name="_Toc135648932"/>
      <w:r>
        <w:rPr>
          <w:rFonts w:hint="eastAsia" w:ascii="宋体" w:hAnsi="宋体" w:eastAsia="宋体" w:cs="宋体"/>
          <w:color w:val="000000" w:themeColor="text1"/>
          <w:highlight w:val="none"/>
          <w14:textFill>
            <w14:solidFill>
              <w14:schemeClr w14:val="tx1"/>
            </w14:solidFill>
          </w14:textFill>
        </w:rPr>
        <w:t>2. 评审标准</w:t>
      </w:r>
      <w:bookmarkEnd w:id="739"/>
    </w:p>
    <w:p w14:paraId="23B18A6F">
      <w:pPr>
        <w:pStyle w:val="5"/>
        <w:widowControl/>
        <w:rPr>
          <w:rFonts w:hint="eastAsia" w:ascii="宋体" w:hAnsi="宋体" w:eastAsia="宋体" w:cs="宋体"/>
          <w:color w:val="000000" w:themeColor="text1"/>
          <w:highlight w:val="none"/>
          <w14:textFill>
            <w14:solidFill>
              <w14:schemeClr w14:val="tx1"/>
            </w14:solidFill>
          </w14:textFill>
        </w:rPr>
      </w:pPr>
      <w:bookmarkStart w:id="740" w:name="_Toc135922572"/>
      <w:bookmarkStart w:id="741" w:name="_Toc135648933"/>
      <w:r>
        <w:rPr>
          <w:rFonts w:hint="eastAsia" w:ascii="宋体" w:hAnsi="宋体" w:eastAsia="宋体" w:cs="宋体"/>
          <w:color w:val="000000" w:themeColor="text1"/>
          <w:highlight w:val="none"/>
          <w14:textFill>
            <w14:solidFill>
              <w14:schemeClr w14:val="tx1"/>
            </w14:solidFill>
          </w14:textFill>
        </w:rPr>
        <w:t>2.1 初步评审标准</w:t>
      </w:r>
      <w:bookmarkEnd w:id="740"/>
      <w:bookmarkEnd w:id="741"/>
    </w:p>
    <w:p w14:paraId="3DB11DE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2.1.1资格评审标准：见评标办法前附表</w:t>
      </w:r>
    </w:p>
    <w:p w14:paraId="5E0F0329">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2.1.2符合性评审标准：见评标办法前附表</w:t>
      </w:r>
    </w:p>
    <w:p w14:paraId="4515CE75">
      <w:pPr>
        <w:pStyle w:val="5"/>
        <w:widowControl/>
        <w:rPr>
          <w:rFonts w:hint="eastAsia" w:ascii="宋体" w:hAnsi="宋体" w:eastAsia="宋体" w:cs="宋体"/>
          <w:color w:val="000000" w:themeColor="text1"/>
          <w:highlight w:val="none"/>
          <w14:textFill>
            <w14:solidFill>
              <w14:schemeClr w14:val="tx1"/>
            </w14:solidFill>
          </w14:textFill>
        </w:rPr>
      </w:pPr>
      <w:bookmarkStart w:id="742" w:name="_Toc135648934"/>
      <w:bookmarkStart w:id="743" w:name="_Toc135922573"/>
      <w:r>
        <w:rPr>
          <w:rFonts w:hint="eastAsia" w:ascii="宋体" w:hAnsi="宋体" w:eastAsia="宋体" w:cs="宋体"/>
          <w:color w:val="000000" w:themeColor="text1"/>
          <w:highlight w:val="none"/>
          <w14:textFill>
            <w14:solidFill>
              <w14:schemeClr w14:val="tx1"/>
            </w14:solidFill>
          </w14:textFill>
        </w:rPr>
        <w:t>2.2 分值构成与评分标准</w:t>
      </w:r>
      <w:bookmarkEnd w:id="742"/>
      <w:bookmarkEnd w:id="743"/>
    </w:p>
    <w:p w14:paraId="69BCC6D5">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2.2.1 分值构成</w:t>
      </w:r>
    </w:p>
    <w:p w14:paraId="536BCDF5">
      <w:pPr>
        <w:spacing w:line="400" w:lineRule="exact"/>
        <w:ind w:firstLine="630" w:firstLineChars="3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（1）投标报价：见评标办法前附表；</w:t>
      </w:r>
    </w:p>
    <w:p w14:paraId="4F9EAEE2">
      <w:pPr>
        <w:spacing w:line="400" w:lineRule="exact"/>
        <w:ind w:firstLine="630" w:firstLineChars="3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（2）商务标：见评标办法前附表；</w:t>
      </w:r>
    </w:p>
    <w:p w14:paraId="3DB56837">
      <w:pPr>
        <w:spacing w:line="400" w:lineRule="exact"/>
        <w:ind w:firstLine="630" w:firstLineChars="3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（3）技术标：见评标办法前附表；</w:t>
      </w:r>
    </w:p>
    <w:p w14:paraId="6D2B37C9">
      <w:pPr>
        <w:spacing w:line="400"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2.2.2评标基准价计算</w:t>
      </w:r>
    </w:p>
    <w:p w14:paraId="4D46BD5D">
      <w:pPr>
        <w:spacing w:line="400" w:lineRule="exact"/>
        <w:ind w:firstLine="840" w:firstLineChars="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评标基准价计算方法：见评标办法前附表。</w:t>
      </w:r>
    </w:p>
    <w:p w14:paraId="034A128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2.2.3 评分标准</w:t>
      </w:r>
    </w:p>
    <w:p w14:paraId="1BA8819A">
      <w:pPr>
        <w:spacing w:line="40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（1）投标报价评分标准：见评标办法前附表；</w:t>
      </w:r>
    </w:p>
    <w:p w14:paraId="206C2A6C">
      <w:pPr>
        <w:spacing w:line="40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（2）商务标评分标准：见评标办法前附表；</w:t>
      </w:r>
    </w:p>
    <w:p w14:paraId="5E8516B6">
      <w:pPr>
        <w:spacing w:line="400" w:lineRule="exact"/>
        <w:ind w:firstLine="735" w:firstLineChars="3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（3）技术标评分标准：见评标办法前附表；</w:t>
      </w:r>
    </w:p>
    <w:p w14:paraId="281941B0">
      <w:pPr>
        <w:pStyle w:val="4"/>
        <w:widowControl/>
        <w:rPr>
          <w:rFonts w:hint="eastAsia" w:ascii="宋体" w:hAnsi="宋体" w:eastAsia="宋体" w:cs="宋体"/>
          <w:color w:val="000000" w:themeColor="text1"/>
          <w:highlight w:val="none"/>
          <w14:textFill>
            <w14:solidFill>
              <w14:schemeClr w14:val="tx1"/>
            </w14:solidFill>
          </w14:textFill>
        </w:rPr>
      </w:pPr>
      <w:bookmarkStart w:id="744" w:name="_Toc135648935"/>
      <w:r>
        <w:rPr>
          <w:rFonts w:hint="eastAsia" w:ascii="宋体" w:hAnsi="宋体" w:eastAsia="宋体" w:cs="宋体"/>
          <w:color w:val="000000" w:themeColor="text1"/>
          <w:highlight w:val="none"/>
          <w14:textFill>
            <w14:solidFill>
              <w14:schemeClr w14:val="tx1"/>
            </w14:solidFill>
          </w14:textFill>
        </w:rPr>
        <w:t>3. 评标程序</w:t>
      </w:r>
      <w:bookmarkEnd w:id="744"/>
    </w:p>
    <w:p w14:paraId="72108E59">
      <w:pPr>
        <w:pStyle w:val="5"/>
        <w:widowControl/>
        <w:rPr>
          <w:rFonts w:hint="eastAsia" w:ascii="宋体" w:hAnsi="宋体" w:eastAsia="宋体" w:cs="宋体"/>
          <w:color w:val="000000" w:themeColor="text1"/>
          <w:highlight w:val="none"/>
          <w14:textFill>
            <w14:solidFill>
              <w14:schemeClr w14:val="tx1"/>
            </w14:solidFill>
          </w14:textFill>
        </w:rPr>
      </w:pPr>
      <w:bookmarkStart w:id="745" w:name="_Toc135648936"/>
      <w:bookmarkStart w:id="746" w:name="_Toc135922574"/>
      <w:r>
        <w:rPr>
          <w:rFonts w:hint="eastAsia" w:ascii="宋体" w:hAnsi="宋体" w:eastAsia="宋体" w:cs="宋体"/>
          <w:color w:val="000000" w:themeColor="text1"/>
          <w:highlight w:val="none"/>
          <w14:textFill>
            <w14:solidFill>
              <w14:schemeClr w14:val="tx1"/>
            </w14:solidFill>
          </w14:textFill>
        </w:rPr>
        <w:t>3.1 初步评审</w:t>
      </w:r>
      <w:bookmarkEnd w:id="745"/>
      <w:bookmarkEnd w:id="746"/>
    </w:p>
    <w:p w14:paraId="7C1F9FB3">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3.1.1评标委员会依据符合性评审规定的标准对投标文件进行评审。有一项不符合评审标准的，评标委员会应当否决其投标。</w:t>
      </w:r>
    </w:p>
    <w:p w14:paraId="040A821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3.1.2投标文件报价出现前后不一致的， 按照下列规定修正：</w:t>
      </w:r>
    </w:p>
    <w:p w14:paraId="540839A6">
      <w:pPr>
        <w:spacing w:line="360" w:lineRule="auto"/>
        <w:ind w:firstLine="420" w:firstLineChars="200"/>
        <w:textAlignment w:val="baseline"/>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（1）投标文件中开标一览表（报价表）内容与投标文件中相应内容不一致的，以开标一览表（报价表）为准；</w:t>
      </w:r>
    </w:p>
    <w:p w14:paraId="3E930167">
      <w:pPr>
        <w:spacing w:line="360" w:lineRule="auto"/>
        <w:ind w:firstLine="420" w:firstLineChars="200"/>
        <w:textAlignment w:val="baseline"/>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（2）大写金额和小写金额不一致的，以大写金额为准；</w:t>
      </w:r>
    </w:p>
    <w:p w14:paraId="68B7ACBD">
      <w:pPr>
        <w:spacing w:line="360" w:lineRule="auto"/>
        <w:ind w:firstLine="420" w:firstLineChars="200"/>
        <w:textAlignment w:val="baseline"/>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（3）单价金额小数点或者百分比有明显错位的，以开标一览表的总价为准，并修改单价；</w:t>
      </w:r>
    </w:p>
    <w:p w14:paraId="727B5E8C">
      <w:pPr>
        <w:spacing w:line="360" w:lineRule="auto"/>
        <w:ind w:firstLine="420" w:firstLineChars="200"/>
        <w:textAlignment w:val="baseline"/>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（4）总价金额与按单价汇总金额不一致的，以单价金额计算结果为准。</w:t>
      </w:r>
    </w:p>
    <w:p w14:paraId="236ABAAE">
      <w:pPr>
        <w:spacing w:line="360" w:lineRule="auto"/>
        <w:ind w:firstLine="529" w:firstLineChars="25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同时出现两种以上不一致的，按照前款规定的顺序修正。修正后的报价经投标人确认后产生约束力，投标人不确认的，其投标无效。对不同文字文本投标文件的解释发生异议的，以中文文本为准。</w:t>
      </w:r>
    </w:p>
    <w:p w14:paraId="0F61E2F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3.1.3　投标人存在下列情况之一的，投标无效: </w:t>
      </w:r>
    </w:p>
    <w:p w14:paraId="11F49B2B">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（一）未按照招标文件的规定提交投标保证金的；</w:t>
      </w:r>
    </w:p>
    <w:p w14:paraId="1022BED3">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（二）投标文件未按招标文件要求签署、盖章的； </w:t>
      </w:r>
    </w:p>
    <w:p w14:paraId="1009399E">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（三）不具备招标文件中规定的资格要求的； </w:t>
      </w:r>
    </w:p>
    <w:p w14:paraId="26672192">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（四）报价超过招标文件中规定的预算金额或者最高限价的；</w:t>
      </w:r>
    </w:p>
    <w:p w14:paraId="3618A3B0">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（五）投标文件含有采购人不能接受的附加条件的； </w:t>
      </w:r>
    </w:p>
    <w:p w14:paraId="219D4C97">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（六）法律、法规和招标文件规定的其他无效情形。</w:t>
      </w:r>
    </w:p>
    <w:p w14:paraId="0338E4D7">
      <w:pPr>
        <w:spacing w:line="360" w:lineRule="auto"/>
        <w:ind w:firstLine="567" w:firstLineChars="27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3.1.4其他投标（响应）文件无效情形</w:t>
      </w:r>
    </w:p>
    <w:p w14:paraId="6AB12C5C">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依据《河南省财政厅关于防范供应商串通投标促进政府采购公平竞争的通知》豫财购﹝2021﹞6号文件，参与同一个标段（包）的供应商存在下列情形之一的，其投标（响应）文件无效：</w:t>
      </w:r>
    </w:p>
    <w:p w14:paraId="5E629A28">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（1）不同供应商的电子投标（响应）文件上传计算机的网卡MAC地址、CPU序列号和硬盘序列号等硬件信息相同的；</w:t>
      </w:r>
    </w:p>
    <w:p w14:paraId="66BCB757">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（2）不同供应商的投标（响应）文件由同一电子设备编制、打印加密或者上传：</w:t>
      </w:r>
    </w:p>
    <w:p w14:paraId="3C96D20B">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（3）不同供应商的投标（响应）文件由同一电子设备打印、复印；</w:t>
      </w:r>
    </w:p>
    <w:p w14:paraId="2B7FA9B9">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（4）不同供应商的投标（响应）文件由同一人送达或者分发，或者不同供应商联系人为同一人或不同联系人的联系电话一致的；</w:t>
      </w:r>
    </w:p>
    <w:p w14:paraId="4BB03E6D">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（5）不同供应商的投标（响应）文件的内容存在两处以上细节错误一致：</w:t>
      </w:r>
    </w:p>
    <w:p w14:paraId="02C5E166">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（6）不同供应商的法定代表人、委托代理人、项目经理、项目负责人等由同一个单位缴纳社会保险或者领取报酬的；</w:t>
      </w:r>
    </w:p>
    <w:p w14:paraId="23CC5F27">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（7）不同供应商投标（响应）文件中法定代表人或者负责人签字出自同一人之手；</w:t>
      </w:r>
    </w:p>
    <w:p w14:paraId="07B0DBAC">
      <w:pPr>
        <w:spacing w:line="360" w:lineRule="auto"/>
        <w:ind w:firstLine="850" w:firstLineChars="4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（8）其它涉嫌串通的情形。</w:t>
      </w:r>
    </w:p>
    <w:p w14:paraId="3063204D">
      <w:pPr>
        <w:pStyle w:val="5"/>
        <w:widowControl/>
        <w:rPr>
          <w:rFonts w:hint="eastAsia" w:ascii="宋体" w:hAnsi="宋体" w:eastAsia="宋体" w:cs="宋体"/>
          <w:color w:val="000000" w:themeColor="text1"/>
          <w:highlight w:val="none"/>
          <w14:textFill>
            <w14:solidFill>
              <w14:schemeClr w14:val="tx1"/>
            </w14:solidFill>
          </w14:textFill>
        </w:rPr>
      </w:pPr>
      <w:bookmarkStart w:id="747" w:name="_Toc135648937"/>
      <w:bookmarkStart w:id="748" w:name="_Toc135922575"/>
      <w:r>
        <w:rPr>
          <w:rFonts w:hint="eastAsia" w:ascii="宋体" w:hAnsi="宋体" w:eastAsia="宋体" w:cs="宋体"/>
          <w:color w:val="000000" w:themeColor="text1"/>
          <w:highlight w:val="none"/>
          <w14:textFill>
            <w14:solidFill>
              <w14:schemeClr w14:val="tx1"/>
            </w14:solidFill>
          </w14:textFill>
        </w:rPr>
        <w:t>3.2 详细评审</w:t>
      </w:r>
      <w:bookmarkEnd w:id="747"/>
      <w:bookmarkEnd w:id="748"/>
    </w:p>
    <w:p w14:paraId="41223C6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3.2.1 评标委员会按本章第3款规定的量化因素和分值进行打分，并计算出综合评审得分。</w:t>
      </w:r>
    </w:p>
    <w:p w14:paraId="75AC7F4D">
      <w:pPr>
        <w:spacing w:line="40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（1）按本章第3.1目规定的评审因素和分值对投标报价计算出得分A；</w:t>
      </w:r>
    </w:p>
    <w:p w14:paraId="39A5A7DF">
      <w:pPr>
        <w:spacing w:line="40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（2）按本章第3.2目规定的评审因素和分值对商务标计算出得分B；</w:t>
      </w:r>
    </w:p>
    <w:p w14:paraId="2EB5B1B2">
      <w:pPr>
        <w:spacing w:line="40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（3）按本章第3.3目规定的评审因素和分值对技术标计算出得分C；</w:t>
      </w:r>
    </w:p>
    <w:p w14:paraId="015A79B6">
      <w:pPr>
        <w:spacing w:line="400" w:lineRule="exact"/>
        <w:ind w:firstLine="424" w:firstLineChars="202"/>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3.2.2 评分分值计算保留小数点后两位，小数点后第三位“四舍五入”。</w:t>
      </w:r>
    </w:p>
    <w:p w14:paraId="387CE65C">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3.2.3 投标人得分=A+B+C；投标人最终得分为所有评委打分汇总之后的算术平均值。</w:t>
      </w:r>
    </w:p>
    <w:p w14:paraId="11FD7892">
      <w:pPr>
        <w:pStyle w:val="5"/>
        <w:widowControl/>
        <w:rPr>
          <w:rFonts w:hint="eastAsia" w:ascii="宋体" w:hAnsi="宋体" w:eastAsia="宋体" w:cs="宋体"/>
          <w:color w:val="000000" w:themeColor="text1"/>
          <w:highlight w:val="none"/>
          <w14:textFill>
            <w14:solidFill>
              <w14:schemeClr w14:val="tx1"/>
            </w14:solidFill>
          </w14:textFill>
        </w:rPr>
      </w:pPr>
      <w:bookmarkStart w:id="749" w:name="_Toc135648938"/>
      <w:bookmarkStart w:id="750" w:name="_Toc135922576"/>
      <w:r>
        <w:rPr>
          <w:rFonts w:hint="eastAsia" w:ascii="宋体" w:hAnsi="宋体" w:eastAsia="宋体" w:cs="宋体"/>
          <w:color w:val="000000" w:themeColor="text1"/>
          <w:highlight w:val="none"/>
          <w14:textFill>
            <w14:solidFill>
              <w14:schemeClr w14:val="tx1"/>
            </w14:solidFill>
          </w14:textFill>
        </w:rPr>
        <w:t>3.3 投标文件的澄清和补正</w:t>
      </w:r>
      <w:bookmarkEnd w:id="749"/>
      <w:bookmarkEnd w:id="750"/>
    </w:p>
    <w:p w14:paraId="5289DCD4">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3.3.1在评标过程中，评标委员会可以要求投标人对所提交投标文件中不明确的内容进行澄清或说明，或者对细微偏差进行补正。评标委员会不接受投标人主动提出的澄清、说明或补正。</w:t>
      </w:r>
    </w:p>
    <w:p w14:paraId="7A0D864E">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3.3.2 澄清、说明和补正不得改变投标文件的实质性内容。投标人的澄清、说明和补正属于投标文件的组成部分。</w:t>
      </w:r>
    </w:p>
    <w:p w14:paraId="2DDB2D25">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3.3.3 评标委员会对投标人提交的澄清、说明或补正有疑问的，可以要求投标人进一步澄清、说明或补正，直至满足评标委员会的要求。</w:t>
      </w:r>
    </w:p>
    <w:p w14:paraId="07F5DE4B">
      <w:pPr>
        <w:pStyle w:val="5"/>
        <w:widowControl/>
        <w:rPr>
          <w:rFonts w:hint="eastAsia" w:ascii="宋体" w:hAnsi="宋体" w:eastAsia="宋体" w:cs="宋体"/>
          <w:color w:val="000000" w:themeColor="text1"/>
          <w:highlight w:val="none"/>
          <w14:textFill>
            <w14:solidFill>
              <w14:schemeClr w14:val="tx1"/>
            </w14:solidFill>
          </w14:textFill>
        </w:rPr>
      </w:pPr>
      <w:bookmarkStart w:id="751" w:name="_Toc135922577"/>
      <w:bookmarkStart w:id="752" w:name="_Toc135648939"/>
      <w:r>
        <w:rPr>
          <w:rFonts w:hint="eastAsia" w:ascii="宋体" w:hAnsi="宋体" w:eastAsia="宋体" w:cs="宋体"/>
          <w:color w:val="000000" w:themeColor="text1"/>
          <w:highlight w:val="none"/>
          <w14:textFill>
            <w14:solidFill>
              <w14:schemeClr w14:val="tx1"/>
            </w14:solidFill>
          </w14:textFill>
        </w:rPr>
        <w:t>3.4 评标结果</w:t>
      </w:r>
      <w:bookmarkEnd w:id="751"/>
      <w:bookmarkEnd w:id="752"/>
    </w:p>
    <w:p w14:paraId="5BB484A1">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3.4.1除第二章“投标人须知”前附表授权直接确定中标人外，评标委员会按照得分由高到低的顺序推荐中标候选人。</w:t>
      </w:r>
    </w:p>
    <w:p w14:paraId="135D18EA">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3.4.2 评标委员会完成评标后，应当向采购人提交书面评标报告。评标委员会成员对需要共同认定的事项存在争议的，应当按照少数服从多数的原则作出结论。持不同意见的评标委员会成员应当在评标报告上签署不同意见及理由，否则视为同意评标报告。</w:t>
      </w:r>
    </w:p>
    <w:p w14:paraId="59CD6063">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3.4.3 在招标采购中，出现下列情形之一的，应予废标:</w:t>
      </w:r>
    </w:p>
    <w:p w14:paraId="643D9D92">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（一）符合专业条件的供应商或者对招标文件作实质响应的供应商不足三家的；</w:t>
      </w:r>
    </w:p>
    <w:p w14:paraId="7A4DBA3A">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（二）出现影响采购公正的违法、违规行为的；</w:t>
      </w:r>
    </w:p>
    <w:p w14:paraId="24E97B05">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（三）投标人的报价均超过了采购预算，采购人不能支付的；</w:t>
      </w:r>
    </w:p>
    <w:p w14:paraId="49475C7A">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（四）因重大变故，采购任务取消的。</w:t>
      </w:r>
    </w:p>
    <w:p w14:paraId="2BF12B41">
      <w:pPr>
        <w:widowControl/>
        <w:jc w:val="left"/>
        <w:rPr>
          <w:rFonts w:hint="eastAsia" w:ascii="宋体" w:hAnsi="宋体" w:eastAsia="宋体" w:cs="宋体"/>
          <w:color w:val="000000" w:themeColor="text1"/>
          <w:highlight w:val="none"/>
          <w14:textFill>
            <w14:solidFill>
              <w14:schemeClr w14:val="tx1"/>
            </w14:solidFill>
          </w14:textFill>
        </w:rPr>
        <w:sectPr>
          <w:footerReference r:id="rId3" w:type="default"/>
          <w:pgSz w:w="11906" w:h="16838"/>
          <w:pgMar w:top="1135" w:right="1135" w:bottom="1417" w:left="1417" w:header="851" w:footer="992" w:gutter="0"/>
          <w:pgNumType w:start="1"/>
          <w:cols w:space="720" w:num="1"/>
          <w:titlePg/>
          <w:docGrid w:type="lines" w:linePitch="312" w:charSpace="0"/>
        </w:sectPr>
      </w:pPr>
    </w:p>
    <w:p w14:paraId="009A5457">
      <w:pPr>
        <w:adjustRightInd w:val="0"/>
        <w:spacing w:before="240" w:after="60" w:line="360" w:lineRule="auto"/>
        <w:jc w:val="center"/>
        <w:outlineLvl w:val="0"/>
        <w:rPr>
          <w:rFonts w:hint="eastAsia" w:ascii="宋体" w:hAnsi="宋体" w:eastAsia="宋体" w:cs="宋体"/>
          <w:color w:val="000000" w:themeColor="text1"/>
          <w:sz w:val="40"/>
          <w:szCs w:val="40"/>
          <w:highlight w:val="none"/>
          <w14:textFill>
            <w14:solidFill>
              <w14:schemeClr w14:val="tx1"/>
            </w14:solidFill>
          </w14:textFill>
        </w:rPr>
      </w:pPr>
      <w:bookmarkStart w:id="753" w:name="_Toc28998"/>
      <w:bookmarkStart w:id="754" w:name="_Toc135922578"/>
      <w:r>
        <w:rPr>
          <w:rStyle w:val="26"/>
          <w:rFonts w:hint="eastAsia" w:ascii="宋体" w:hAnsi="宋体" w:eastAsia="宋体" w:cs="宋体"/>
          <w:color w:val="000000" w:themeColor="text1"/>
          <w:sz w:val="40"/>
          <w:szCs w:val="40"/>
          <w:highlight w:val="none"/>
          <w14:textFill>
            <w14:solidFill>
              <w14:schemeClr w14:val="tx1"/>
            </w14:solidFill>
          </w14:textFill>
        </w:rPr>
        <w:t>第四章  采购内容及要求</w:t>
      </w:r>
      <w:bookmarkEnd w:id="729"/>
      <w:bookmarkEnd w:id="730"/>
      <w:bookmarkEnd w:id="731"/>
      <w:bookmarkEnd w:id="732"/>
      <w:bookmarkEnd w:id="733"/>
      <w:bookmarkEnd w:id="734"/>
      <w:bookmarkEnd w:id="735"/>
      <w:bookmarkEnd w:id="753"/>
      <w:bookmarkEnd w:id="754"/>
    </w:p>
    <w:p w14:paraId="57E8C07F">
      <w:pPr>
        <w:keepNext w:val="0"/>
        <w:keepLines w:val="0"/>
        <w:widowControl w:val="0"/>
        <w:suppressLineNumbers w:val="0"/>
        <w:snapToGrid w:val="0"/>
        <w:spacing w:before="0" w:beforeAutospacing="0" w:after="0" w:afterAutospacing="0" w:line="360" w:lineRule="auto"/>
        <w:ind w:left="0" w:right="0"/>
        <w:jc w:val="left"/>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pPr>
      <w:bookmarkStart w:id="755" w:name="_Toc20384570"/>
    </w:p>
    <w:p w14:paraId="3AB9FEEF">
      <w:pPr>
        <w:keepNext/>
        <w:keepLines/>
        <w:widowControl w:val="0"/>
        <w:suppressLineNumbers w:val="0"/>
        <w:snapToGrid w:val="0"/>
        <w:spacing w:before="0" w:beforeAutospacing="0" w:after="0" w:afterAutospacing="0" w:line="360" w:lineRule="auto"/>
        <w:ind w:left="0" w:right="0" w:firstLine="422" w:firstLineChars="200"/>
        <w:jc w:val="both"/>
        <w:outlineLvl w:val="1"/>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1.项目基本情况</w:t>
      </w:r>
    </w:p>
    <w:p w14:paraId="1879861B">
      <w:pPr>
        <w:keepNext w:val="0"/>
        <w:keepLines w:val="0"/>
        <w:widowControl/>
        <w:suppressLineNumbers w:val="0"/>
        <w:autoSpaceDE w:val="0"/>
        <w:autoSpaceDN w:val="0"/>
        <w:snapToGrid w:val="0"/>
        <w:spacing w:before="0" w:beforeAutospacing="0" w:after="0" w:afterAutospacing="0" w:line="360" w:lineRule="auto"/>
        <w:ind w:left="0" w:right="0" w:firstLine="422" w:firstLineChars="200"/>
        <w:jc w:val="both"/>
        <w:outlineLvl w:val="2"/>
        <w:rPr>
          <w:rFonts w:hint="eastAsia" w:ascii="宋体" w:hAnsi="宋体" w:eastAsia="宋体" w:cs="宋体"/>
          <w:b/>
          <w:bCs w:val="0"/>
          <w:color w:val="000000" w:themeColor="text1"/>
          <w:sz w:val="21"/>
          <w:szCs w:val="21"/>
          <w:highlight w:val="none"/>
          <w:lang w:val="en-US"/>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1.1 物业情况</w:t>
      </w:r>
    </w:p>
    <w:tbl>
      <w:tblPr>
        <w:tblStyle w:val="21"/>
        <w:tblW w:w="9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88"/>
        <w:gridCol w:w="5836"/>
      </w:tblGrid>
      <w:tr w14:paraId="358F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988" w:type="dxa"/>
            <w:tcBorders>
              <w:top w:val="single" w:color="auto" w:sz="4" w:space="0"/>
              <w:left w:val="single" w:color="auto" w:sz="4" w:space="0"/>
              <w:bottom w:val="single" w:color="auto" w:sz="4" w:space="0"/>
              <w:right w:val="single" w:color="auto" w:sz="4" w:space="0"/>
            </w:tcBorders>
            <w:shd w:val="clear" w:color="auto" w:fill="auto"/>
            <w:vAlign w:val="center"/>
          </w:tcPr>
          <w:p w14:paraId="138C341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物业名称</w:t>
            </w:r>
          </w:p>
        </w:tc>
        <w:tc>
          <w:tcPr>
            <w:tcW w:w="5836" w:type="dxa"/>
            <w:tcBorders>
              <w:top w:val="single" w:color="auto" w:sz="4" w:space="0"/>
              <w:left w:val="single" w:color="auto" w:sz="4" w:space="0"/>
              <w:bottom w:val="single" w:color="auto" w:sz="4" w:space="0"/>
              <w:right w:val="single" w:color="auto" w:sz="4" w:space="0"/>
            </w:tcBorders>
            <w:shd w:val="clear" w:color="auto" w:fill="auto"/>
            <w:vAlign w:val="center"/>
          </w:tcPr>
          <w:p w14:paraId="56CC9A68">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物业地址</w:t>
            </w:r>
          </w:p>
        </w:tc>
      </w:tr>
      <w:tr w14:paraId="5BFE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988" w:type="dxa"/>
            <w:tcBorders>
              <w:top w:val="single" w:color="auto" w:sz="4" w:space="0"/>
              <w:left w:val="single" w:color="auto" w:sz="4" w:space="0"/>
              <w:bottom w:val="single" w:color="auto" w:sz="4" w:space="0"/>
              <w:right w:val="single" w:color="auto" w:sz="4" w:space="0"/>
            </w:tcBorders>
            <w:shd w:val="clear" w:color="auto" w:fill="auto"/>
            <w:vAlign w:val="center"/>
          </w:tcPr>
          <w:p w14:paraId="1B338CF6">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平顶山市第一人民医院优越路院区物业管理服务项目</w:t>
            </w:r>
          </w:p>
        </w:tc>
        <w:tc>
          <w:tcPr>
            <w:tcW w:w="5836" w:type="dxa"/>
            <w:tcBorders>
              <w:top w:val="single" w:color="auto" w:sz="4" w:space="0"/>
              <w:left w:val="single" w:color="auto" w:sz="4" w:space="0"/>
              <w:bottom w:val="single" w:color="auto" w:sz="4" w:space="0"/>
              <w:right w:val="single" w:color="auto" w:sz="4" w:space="0"/>
            </w:tcBorders>
            <w:shd w:val="clear" w:color="auto" w:fill="auto"/>
            <w:vAlign w:val="center"/>
          </w:tcPr>
          <w:p w14:paraId="2A6CE49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平顶山市第一人民医院优越路院区</w:t>
            </w:r>
          </w:p>
        </w:tc>
      </w:tr>
    </w:tbl>
    <w:p w14:paraId="6524A030">
      <w:pPr>
        <w:keepNext w:val="0"/>
        <w:keepLines w:val="0"/>
        <w:widowControl/>
        <w:suppressLineNumbers w:val="0"/>
        <w:autoSpaceDE w:val="0"/>
        <w:autoSpaceDN w:val="0"/>
        <w:snapToGrid w:val="0"/>
        <w:spacing w:before="0" w:beforeAutospacing="0" w:after="0" w:afterAutospacing="0" w:line="360" w:lineRule="auto"/>
        <w:ind w:left="0" w:right="0" w:firstLine="422" w:firstLineChars="200"/>
        <w:jc w:val="both"/>
        <w:outlineLvl w:val="2"/>
        <w:rPr>
          <w:rFonts w:hint="eastAsia" w:ascii="宋体" w:hAnsi="宋体" w:eastAsia="宋体" w:cs="宋体"/>
          <w:b/>
          <w:bCs w:val="0"/>
          <w:color w:val="000000" w:themeColor="text1"/>
          <w:sz w:val="21"/>
          <w:szCs w:val="21"/>
          <w:highlight w:val="none"/>
          <w:lang w:val="en-US"/>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1.2 保洁面积</w:t>
      </w:r>
    </w:p>
    <w:tbl>
      <w:tblPr>
        <w:tblStyle w:val="21"/>
        <w:tblW w:w="9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97"/>
        <w:gridCol w:w="2354"/>
        <w:gridCol w:w="3473"/>
      </w:tblGrid>
      <w:tr w14:paraId="3E2A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trPr>
        <w:tc>
          <w:tcPr>
            <w:tcW w:w="3997" w:type="dxa"/>
            <w:tcBorders>
              <w:top w:val="single" w:color="auto" w:sz="4" w:space="0"/>
              <w:left w:val="single" w:color="auto" w:sz="4" w:space="0"/>
              <w:bottom w:val="single" w:color="auto" w:sz="4" w:space="0"/>
              <w:right w:val="single" w:color="auto" w:sz="4" w:space="0"/>
            </w:tcBorders>
            <w:shd w:val="clear" w:color="auto" w:fill="auto"/>
            <w:vAlign w:val="center"/>
          </w:tcPr>
          <w:p w14:paraId="23C8B3A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名称</w:t>
            </w:r>
          </w:p>
        </w:tc>
        <w:tc>
          <w:tcPr>
            <w:tcW w:w="2354" w:type="dxa"/>
            <w:tcBorders>
              <w:top w:val="single" w:color="auto" w:sz="4" w:space="0"/>
              <w:left w:val="single" w:color="auto" w:sz="4" w:space="0"/>
              <w:bottom w:val="single" w:color="auto" w:sz="4" w:space="0"/>
              <w:right w:val="single" w:color="auto" w:sz="4" w:space="0"/>
            </w:tcBorders>
            <w:shd w:val="clear" w:color="auto" w:fill="auto"/>
            <w:vAlign w:val="center"/>
          </w:tcPr>
          <w:p w14:paraId="554ADE21">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明细</w:t>
            </w:r>
          </w:p>
        </w:tc>
        <w:tc>
          <w:tcPr>
            <w:tcW w:w="3473" w:type="dxa"/>
            <w:tcBorders>
              <w:top w:val="single" w:color="auto" w:sz="4" w:space="0"/>
              <w:left w:val="single" w:color="auto" w:sz="4" w:space="0"/>
              <w:bottom w:val="single" w:color="auto" w:sz="4" w:space="0"/>
              <w:right w:val="single" w:color="auto" w:sz="4" w:space="0"/>
            </w:tcBorders>
            <w:shd w:val="clear" w:color="auto" w:fill="auto"/>
            <w:vAlign w:val="center"/>
          </w:tcPr>
          <w:p w14:paraId="11E438D2">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服务内容及标准</w:t>
            </w:r>
          </w:p>
        </w:tc>
      </w:tr>
      <w:tr w14:paraId="1FC6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3997" w:type="dxa"/>
            <w:tcBorders>
              <w:top w:val="single" w:color="auto" w:sz="4" w:space="0"/>
              <w:left w:val="single" w:color="auto" w:sz="4" w:space="0"/>
              <w:bottom w:val="single" w:color="auto" w:sz="4" w:space="0"/>
              <w:right w:val="single" w:color="auto" w:sz="4" w:space="0"/>
            </w:tcBorders>
            <w:shd w:val="clear" w:color="auto" w:fill="auto"/>
            <w:vAlign w:val="center"/>
          </w:tcPr>
          <w:p w14:paraId="6721F100">
            <w:pPr>
              <w:spacing w:line="240" w:lineRule="auto"/>
              <w:ind w:left="0" w:leftChars="0" w:firstLine="0" w:firstLineChars="0"/>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医院所有正常工作区域，包括1#门、急诊楼；2#、3#病房楼；</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门急诊医技楼</w:t>
            </w:r>
            <w:r>
              <w:rPr>
                <w:rFonts w:hint="eastAsia" w:ascii="宋体" w:hAnsi="宋体" w:eastAsia="宋体" w:cs="宋体"/>
                <w:color w:val="000000" w:themeColor="text1"/>
                <w:spacing w:val="20"/>
                <w:sz w:val="21"/>
                <w:szCs w:val="21"/>
                <w:highlight w:val="none"/>
                <w14:textFill>
                  <w14:solidFill>
                    <w14:schemeClr w14:val="tx1"/>
                  </w14:solidFill>
                </w14:textFill>
              </w:rPr>
              <w:t>；7#办公楼；发热门诊；健康体检中心等。</w:t>
            </w:r>
          </w:p>
        </w:tc>
        <w:tc>
          <w:tcPr>
            <w:tcW w:w="2354" w:type="dxa"/>
            <w:tcBorders>
              <w:top w:val="single" w:color="auto" w:sz="4" w:space="0"/>
              <w:left w:val="single" w:color="auto" w:sz="4" w:space="0"/>
              <w:right w:val="single" w:color="auto" w:sz="4" w:space="0"/>
            </w:tcBorders>
            <w:shd w:val="clear" w:color="auto" w:fill="auto"/>
            <w:vAlign w:val="center"/>
          </w:tcPr>
          <w:p w14:paraId="6713861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总建筑面积约132271平方米</w:t>
            </w:r>
          </w:p>
        </w:tc>
        <w:tc>
          <w:tcPr>
            <w:tcW w:w="3473" w:type="dxa"/>
            <w:tcBorders>
              <w:top w:val="single" w:color="auto" w:sz="4" w:space="0"/>
              <w:left w:val="single" w:color="auto" w:sz="4" w:space="0"/>
              <w:bottom w:val="single" w:color="auto" w:sz="4" w:space="0"/>
              <w:right w:val="single" w:color="auto" w:sz="4" w:space="0"/>
            </w:tcBorders>
            <w:shd w:val="clear" w:color="auto" w:fill="auto"/>
            <w:vAlign w:val="center"/>
          </w:tcPr>
          <w:p w14:paraId="5D2BBB73">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见“1.4服务内容及标准”</w:t>
            </w:r>
          </w:p>
        </w:tc>
      </w:tr>
    </w:tbl>
    <w:p w14:paraId="4AB94E4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themeColor="text1"/>
          <w:sz w:val="21"/>
          <w:szCs w:val="21"/>
          <w:highlight w:val="none"/>
          <w:lang w:val="en-US"/>
          <w14:textFill>
            <w14:solidFill>
              <w14:schemeClr w14:val="tx1"/>
            </w14:solidFill>
          </w14:textFill>
        </w:rPr>
      </w:pPr>
    </w:p>
    <w:p w14:paraId="495105FF">
      <w:pPr>
        <w:keepNext w:val="0"/>
        <w:keepLines w:val="0"/>
        <w:widowControl/>
        <w:suppressLineNumbers w:val="0"/>
        <w:autoSpaceDE w:val="0"/>
        <w:autoSpaceDN w:val="0"/>
        <w:snapToGrid w:val="0"/>
        <w:spacing w:before="0" w:beforeAutospacing="0" w:after="0" w:afterAutospacing="0" w:line="360" w:lineRule="auto"/>
        <w:ind w:left="0" w:right="0" w:firstLine="422" w:firstLineChars="200"/>
        <w:jc w:val="both"/>
        <w:outlineLvl w:val="2"/>
        <w:rPr>
          <w:rFonts w:hint="eastAsia" w:ascii="宋体" w:hAnsi="宋体" w:eastAsia="宋体" w:cs="宋体"/>
          <w:b/>
          <w:bCs w:val="0"/>
          <w:color w:val="000000" w:themeColor="text1"/>
          <w:sz w:val="21"/>
          <w:szCs w:val="21"/>
          <w:highlight w:val="none"/>
          <w:lang w:val="en-US"/>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1.3 人员配备要求</w:t>
      </w:r>
    </w:p>
    <w:p w14:paraId="6E3545E5">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cs="宋体"/>
          <w:color w:val="000000" w:themeColor="text1"/>
          <w:kern w:val="2"/>
          <w:sz w:val="21"/>
          <w:szCs w:val="21"/>
          <w:highlight w:val="none"/>
          <w:lang w:val="en-US" w:eastAsia="zh-CN" w:bidi="ar"/>
          <w14:textFill>
            <w14:solidFill>
              <w14:schemeClr w14:val="tx1"/>
            </w14:solidFill>
          </w14:textFill>
        </w:rPr>
        <w:t>（一）卫生清洁人员+管理层，共计135人；</w:t>
      </w:r>
    </w:p>
    <w:p w14:paraId="412B36B2">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cs="宋体"/>
          <w:color w:val="000000" w:themeColor="text1"/>
          <w:kern w:val="2"/>
          <w:sz w:val="21"/>
          <w:szCs w:val="21"/>
          <w:highlight w:val="none"/>
          <w:lang w:val="en-US" w:eastAsia="zh-CN" w:bidi="ar"/>
          <w14:textFill>
            <w14:solidFill>
              <w14:schemeClr w14:val="tx1"/>
            </w14:solidFill>
          </w14:textFill>
        </w:rPr>
        <w:t>（二）保洁员：身体健康，五官端正，精神面貌好，初中及以上文化程度，18岁以上55岁以下（原清洁工岗位应聘者年龄需在55岁至70岁之间），一年以上清洁服务工作经验，动手能力强，业务熟练，肯吃苦耐劳；</w:t>
      </w:r>
    </w:p>
    <w:p w14:paraId="04F23FFD">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cs="宋体"/>
          <w:color w:val="000000" w:themeColor="text1"/>
          <w:kern w:val="2"/>
          <w:sz w:val="21"/>
          <w:szCs w:val="21"/>
          <w:highlight w:val="none"/>
          <w:lang w:val="en-US" w:eastAsia="zh-CN" w:bidi="ar"/>
          <w14:textFill>
            <w14:solidFill>
              <w14:schemeClr w14:val="tx1"/>
            </w14:solidFill>
          </w14:textFill>
        </w:rPr>
        <w:t>（三）项目经理：身体健康，五官端正，精神面貌好，具备大专及以上文化程度， 18岁以上55岁以下，经过物业管理相关专业培训，相关岗位3年以上工作经验，持证上岗，爱岗敬业，政治觉悟高，责任心强，保密意识强，具有较强的语言表达和沟通协调能力，工作时间内做到随叫随到，保持全天候通讯畅通。</w:t>
      </w:r>
    </w:p>
    <w:p w14:paraId="2B4008BE">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4C9ED7EA">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1702671D">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30091C6D">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4B3770B6">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10E08C8F">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73FEE83E">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07EC98ED">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20C48864">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5F5FDF9B">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239FFDA3">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24C99ED3">
      <w:pPr>
        <w:jc w:val="center"/>
        <w:rPr>
          <w:rFonts w:hint="eastAsia" w:ascii="宋体" w:hAnsi="宋体" w:eastAsia="宋体" w:cs="宋体"/>
          <w:color w:val="000000" w:themeColor="text1"/>
          <w:sz w:val="21"/>
          <w:szCs w:val="21"/>
          <w:highlight w:val="none"/>
          <w14:textFill>
            <w14:solidFill>
              <w14:schemeClr w14:val="tx1"/>
            </w14:solidFill>
          </w14:textFill>
        </w:rPr>
      </w:pPr>
      <w:bookmarkStart w:id="756" w:name="_Toc167131843"/>
      <w:r>
        <w:rPr>
          <w:rFonts w:hint="eastAsia" w:ascii="宋体" w:hAnsi="宋体" w:eastAsia="宋体" w:cs="宋体"/>
          <w:color w:val="000000" w:themeColor="text1"/>
          <w:sz w:val="21"/>
          <w:szCs w:val="21"/>
          <w:highlight w:val="none"/>
          <w14:textFill>
            <w14:solidFill>
              <w14:schemeClr w14:val="tx1"/>
            </w14:solidFill>
          </w14:textFill>
        </w:rPr>
        <w:t>物业服务项目、范围及岗位人员配置</w:t>
      </w:r>
      <w:bookmarkEnd w:id="756"/>
    </w:p>
    <w:tbl>
      <w:tblPr>
        <w:tblStyle w:val="20"/>
        <w:tblpPr w:leftFromText="180" w:rightFromText="180" w:vertAnchor="text" w:horzAnchor="page" w:tblpX="1280" w:tblpY="341"/>
        <w:tblOverlap w:val="never"/>
        <w:tblW w:w="9838" w:type="dxa"/>
        <w:tblInd w:w="0" w:type="dxa"/>
        <w:tblLayout w:type="fixed"/>
        <w:tblCellMar>
          <w:top w:w="0" w:type="dxa"/>
          <w:left w:w="108" w:type="dxa"/>
          <w:bottom w:w="0" w:type="dxa"/>
          <w:right w:w="108" w:type="dxa"/>
        </w:tblCellMar>
      </w:tblPr>
      <w:tblGrid>
        <w:gridCol w:w="1522"/>
        <w:gridCol w:w="3073"/>
        <w:gridCol w:w="1380"/>
        <w:gridCol w:w="930"/>
        <w:gridCol w:w="2933"/>
      </w:tblGrid>
      <w:tr w14:paraId="3876CFAA">
        <w:tblPrEx>
          <w:tblCellMar>
            <w:top w:w="0" w:type="dxa"/>
            <w:left w:w="108" w:type="dxa"/>
            <w:bottom w:w="0" w:type="dxa"/>
            <w:right w:w="108" w:type="dxa"/>
          </w:tblCellMar>
        </w:tblPrEx>
        <w:trPr>
          <w:trHeight w:val="455" w:hRule="atLeast"/>
        </w:trPr>
        <w:tc>
          <w:tcPr>
            <w:tcW w:w="1522" w:type="dxa"/>
            <w:tcBorders>
              <w:top w:val="single" w:color="auto" w:sz="4" w:space="0"/>
              <w:left w:val="single" w:color="auto" w:sz="4" w:space="0"/>
              <w:bottom w:val="single" w:color="auto" w:sz="4" w:space="0"/>
              <w:right w:val="single" w:color="auto" w:sz="4" w:space="0"/>
            </w:tcBorders>
            <w:noWrap/>
            <w:vAlign w:val="center"/>
          </w:tcPr>
          <w:p w14:paraId="257B0D33">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服务项目</w:t>
            </w:r>
          </w:p>
        </w:tc>
        <w:tc>
          <w:tcPr>
            <w:tcW w:w="3073" w:type="dxa"/>
            <w:tcBorders>
              <w:top w:val="single" w:color="auto" w:sz="4" w:space="0"/>
              <w:left w:val="nil"/>
              <w:bottom w:val="single" w:color="auto" w:sz="4" w:space="0"/>
              <w:right w:val="single" w:color="auto" w:sz="4" w:space="0"/>
            </w:tcBorders>
            <w:noWrap/>
            <w:vAlign w:val="center"/>
          </w:tcPr>
          <w:p w14:paraId="1AF6F63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服务范围</w:t>
            </w:r>
          </w:p>
        </w:tc>
        <w:tc>
          <w:tcPr>
            <w:tcW w:w="1380" w:type="dxa"/>
            <w:tcBorders>
              <w:top w:val="single" w:color="auto" w:sz="4" w:space="0"/>
              <w:left w:val="nil"/>
              <w:bottom w:val="single" w:color="auto" w:sz="4" w:space="0"/>
              <w:right w:val="single" w:color="auto" w:sz="4" w:space="0"/>
            </w:tcBorders>
            <w:noWrap w:val="0"/>
            <w:vAlign w:val="center"/>
          </w:tcPr>
          <w:p w14:paraId="120769F6">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岗位配置</w:t>
            </w:r>
          </w:p>
        </w:tc>
        <w:tc>
          <w:tcPr>
            <w:tcW w:w="930" w:type="dxa"/>
            <w:tcBorders>
              <w:top w:val="single" w:color="auto" w:sz="4" w:space="0"/>
              <w:left w:val="nil"/>
              <w:bottom w:val="single" w:color="auto" w:sz="4" w:space="0"/>
              <w:right w:val="single" w:color="auto" w:sz="4" w:space="0"/>
            </w:tcBorders>
            <w:noWrap w:val="0"/>
            <w:vAlign w:val="center"/>
          </w:tcPr>
          <w:p w14:paraId="742294BC">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总人数</w:t>
            </w:r>
          </w:p>
        </w:tc>
        <w:tc>
          <w:tcPr>
            <w:tcW w:w="2933" w:type="dxa"/>
            <w:tcBorders>
              <w:top w:val="single" w:color="auto" w:sz="4" w:space="0"/>
              <w:left w:val="nil"/>
              <w:bottom w:val="single" w:color="auto" w:sz="4" w:space="0"/>
              <w:right w:val="single" w:color="auto" w:sz="4" w:space="0"/>
            </w:tcBorders>
            <w:noWrap w:val="0"/>
            <w:vAlign w:val="center"/>
          </w:tcPr>
          <w:p w14:paraId="5CE3C771">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tc>
      </w:tr>
      <w:tr w14:paraId="4F9B67EA">
        <w:tblPrEx>
          <w:tblCellMar>
            <w:top w:w="0" w:type="dxa"/>
            <w:left w:w="108" w:type="dxa"/>
            <w:bottom w:w="0" w:type="dxa"/>
            <w:right w:w="108" w:type="dxa"/>
          </w:tblCellMar>
        </w:tblPrEx>
        <w:trPr>
          <w:trHeight w:val="292" w:hRule="atLeast"/>
        </w:trPr>
        <w:tc>
          <w:tcPr>
            <w:tcW w:w="1522" w:type="dxa"/>
            <w:vMerge w:val="restart"/>
            <w:tcBorders>
              <w:top w:val="nil"/>
              <w:left w:val="single" w:color="auto" w:sz="4" w:space="0"/>
              <w:bottom w:val="single" w:color="auto" w:sz="4" w:space="0"/>
              <w:right w:val="single" w:color="auto" w:sz="4" w:space="0"/>
            </w:tcBorders>
            <w:noWrap/>
            <w:vAlign w:val="center"/>
          </w:tcPr>
          <w:p w14:paraId="170DBBC0">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老门诊楼</w:t>
            </w:r>
          </w:p>
        </w:tc>
        <w:tc>
          <w:tcPr>
            <w:tcW w:w="3073" w:type="dxa"/>
            <w:tcBorders>
              <w:top w:val="nil"/>
              <w:left w:val="nil"/>
              <w:bottom w:val="single" w:color="auto" w:sz="4" w:space="0"/>
              <w:right w:val="single" w:color="auto" w:sz="4" w:space="0"/>
            </w:tcBorders>
            <w:noWrap/>
            <w:vAlign w:val="center"/>
          </w:tcPr>
          <w:p w14:paraId="2F2127C2">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1层、2层3200㎡</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57F8935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30" w:type="dxa"/>
            <w:vMerge w:val="restart"/>
            <w:tcBorders>
              <w:top w:val="nil"/>
              <w:left w:val="nil"/>
              <w:right w:val="single" w:color="auto" w:sz="4" w:space="0"/>
            </w:tcBorders>
            <w:noWrap/>
            <w:vAlign w:val="center"/>
          </w:tcPr>
          <w:p w14:paraId="4CABE4C5">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2933" w:type="dxa"/>
            <w:vMerge w:val="restart"/>
            <w:tcBorders>
              <w:top w:val="nil"/>
              <w:left w:val="nil"/>
              <w:right w:val="single" w:color="auto" w:sz="4" w:space="0"/>
            </w:tcBorders>
            <w:noWrap/>
            <w:vAlign w:val="center"/>
          </w:tcPr>
          <w:p w14:paraId="21B3008A">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每层1人</w:t>
            </w:r>
          </w:p>
        </w:tc>
      </w:tr>
      <w:tr w14:paraId="3F720C87">
        <w:tblPrEx>
          <w:tblCellMar>
            <w:top w:w="0" w:type="dxa"/>
            <w:left w:w="108" w:type="dxa"/>
            <w:bottom w:w="0" w:type="dxa"/>
            <w:right w:w="108" w:type="dxa"/>
          </w:tblCellMar>
        </w:tblPrEx>
        <w:trPr>
          <w:trHeight w:val="292" w:hRule="atLeast"/>
        </w:trPr>
        <w:tc>
          <w:tcPr>
            <w:tcW w:w="1522" w:type="dxa"/>
            <w:vMerge w:val="continue"/>
            <w:tcBorders>
              <w:left w:val="single" w:color="auto" w:sz="4" w:space="0"/>
              <w:right w:val="single" w:color="auto" w:sz="4" w:space="0"/>
            </w:tcBorders>
            <w:noWrap/>
            <w:vAlign w:val="center"/>
          </w:tcPr>
          <w:p w14:paraId="27BBB93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073" w:type="dxa"/>
            <w:tcBorders>
              <w:top w:val="nil"/>
              <w:left w:val="nil"/>
              <w:bottom w:val="single" w:color="auto" w:sz="4" w:space="0"/>
              <w:right w:val="single" w:color="auto" w:sz="4" w:space="0"/>
            </w:tcBorders>
            <w:shd w:val="clear" w:color="auto" w:fill="auto"/>
            <w:noWrap/>
            <w:vAlign w:val="center"/>
          </w:tcPr>
          <w:p w14:paraId="17C57B43">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3层1900㎡</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5825B5">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left w:val="nil"/>
              <w:right w:val="single" w:color="auto" w:sz="4" w:space="0"/>
            </w:tcBorders>
            <w:noWrap/>
            <w:vAlign w:val="center"/>
          </w:tcPr>
          <w:p w14:paraId="67F9286D">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933" w:type="dxa"/>
            <w:vMerge w:val="continue"/>
            <w:tcBorders>
              <w:left w:val="nil"/>
              <w:right w:val="single" w:color="auto" w:sz="4" w:space="0"/>
            </w:tcBorders>
            <w:noWrap/>
            <w:vAlign w:val="center"/>
          </w:tcPr>
          <w:p w14:paraId="6C1312DE">
            <w:pP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63DD572">
        <w:tblPrEx>
          <w:tblCellMar>
            <w:top w:w="0" w:type="dxa"/>
            <w:left w:w="108" w:type="dxa"/>
            <w:bottom w:w="0" w:type="dxa"/>
            <w:right w:w="108" w:type="dxa"/>
          </w:tblCellMar>
        </w:tblPrEx>
        <w:trPr>
          <w:trHeight w:val="292" w:hRule="atLeast"/>
        </w:trPr>
        <w:tc>
          <w:tcPr>
            <w:tcW w:w="1522" w:type="dxa"/>
            <w:vMerge w:val="continue"/>
            <w:tcBorders>
              <w:top w:val="nil"/>
              <w:left w:val="single" w:color="auto" w:sz="4" w:space="0"/>
              <w:bottom w:val="single" w:color="auto" w:sz="4" w:space="0"/>
              <w:right w:val="single" w:color="auto" w:sz="4" w:space="0"/>
            </w:tcBorders>
            <w:noWrap w:val="0"/>
            <w:vAlign w:val="center"/>
          </w:tcPr>
          <w:p w14:paraId="05AD289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nil"/>
              <w:left w:val="nil"/>
              <w:bottom w:val="single" w:color="auto" w:sz="4" w:space="0"/>
              <w:right w:val="single" w:color="auto" w:sz="4" w:space="0"/>
            </w:tcBorders>
            <w:shd w:val="clear" w:color="auto" w:fill="auto"/>
            <w:noWrap/>
            <w:vAlign w:val="center"/>
          </w:tcPr>
          <w:p w14:paraId="610C7898">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4层1410㎡</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A02A9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left w:val="nil"/>
              <w:right w:val="single" w:color="auto" w:sz="4" w:space="0"/>
            </w:tcBorders>
            <w:noWrap/>
            <w:vAlign w:val="center"/>
          </w:tcPr>
          <w:p w14:paraId="2B630262">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nil"/>
              <w:right w:val="single" w:color="auto" w:sz="4" w:space="0"/>
            </w:tcBorders>
            <w:noWrap/>
            <w:vAlign w:val="center"/>
          </w:tcPr>
          <w:p w14:paraId="4E10120E">
            <w:pPr>
              <w:rPr>
                <w:rFonts w:hint="eastAsia" w:ascii="宋体" w:hAnsi="宋体" w:eastAsia="宋体" w:cs="宋体"/>
                <w:color w:val="000000" w:themeColor="text1"/>
                <w:sz w:val="21"/>
                <w:szCs w:val="21"/>
                <w:highlight w:val="none"/>
                <w14:textFill>
                  <w14:solidFill>
                    <w14:schemeClr w14:val="tx1"/>
                  </w14:solidFill>
                </w14:textFill>
              </w:rPr>
            </w:pPr>
          </w:p>
        </w:tc>
      </w:tr>
      <w:tr w14:paraId="1504093E">
        <w:tblPrEx>
          <w:tblCellMar>
            <w:top w:w="0" w:type="dxa"/>
            <w:left w:w="108" w:type="dxa"/>
            <w:bottom w:w="0" w:type="dxa"/>
            <w:right w:w="108" w:type="dxa"/>
          </w:tblCellMar>
        </w:tblPrEx>
        <w:trPr>
          <w:trHeight w:val="292" w:hRule="atLeast"/>
        </w:trPr>
        <w:tc>
          <w:tcPr>
            <w:tcW w:w="1522" w:type="dxa"/>
            <w:vMerge w:val="continue"/>
            <w:tcBorders>
              <w:top w:val="nil"/>
              <w:left w:val="single" w:color="auto" w:sz="4" w:space="0"/>
              <w:bottom w:val="single" w:color="auto" w:sz="4" w:space="0"/>
              <w:right w:val="single" w:color="auto" w:sz="4" w:space="0"/>
            </w:tcBorders>
            <w:noWrap w:val="0"/>
            <w:vAlign w:val="center"/>
          </w:tcPr>
          <w:p w14:paraId="5D82C249">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nil"/>
              <w:left w:val="nil"/>
              <w:bottom w:val="single" w:color="auto" w:sz="4" w:space="0"/>
              <w:right w:val="single" w:color="auto" w:sz="4" w:space="0"/>
            </w:tcBorders>
            <w:shd w:val="clear" w:color="auto" w:fill="auto"/>
            <w:noWrap/>
            <w:vAlign w:val="center"/>
          </w:tcPr>
          <w:p w14:paraId="4524BADF">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5层1410㎡</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FF28FD">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left w:val="nil"/>
              <w:right w:val="single" w:color="auto" w:sz="4" w:space="0"/>
            </w:tcBorders>
            <w:noWrap/>
            <w:vAlign w:val="center"/>
          </w:tcPr>
          <w:p w14:paraId="7ACD063C">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2933" w:type="dxa"/>
            <w:vMerge w:val="continue"/>
            <w:tcBorders>
              <w:left w:val="nil"/>
              <w:right w:val="single" w:color="auto" w:sz="4" w:space="0"/>
            </w:tcBorders>
            <w:noWrap/>
            <w:vAlign w:val="center"/>
          </w:tcPr>
          <w:p w14:paraId="0C170C31">
            <w:pPr>
              <w:rPr>
                <w:rFonts w:hint="eastAsia" w:ascii="宋体" w:hAnsi="宋体" w:eastAsia="宋体" w:cs="宋体"/>
                <w:color w:val="000000" w:themeColor="text1"/>
                <w:sz w:val="21"/>
                <w:szCs w:val="21"/>
                <w:highlight w:val="none"/>
                <w:lang w:eastAsia="zh-CN"/>
                <w14:textFill>
                  <w14:solidFill>
                    <w14:schemeClr w14:val="tx1"/>
                  </w14:solidFill>
                </w14:textFill>
              </w:rPr>
            </w:pPr>
          </w:p>
        </w:tc>
      </w:tr>
      <w:tr w14:paraId="7E5A08F1">
        <w:tblPrEx>
          <w:tblCellMar>
            <w:top w:w="0" w:type="dxa"/>
            <w:left w:w="108" w:type="dxa"/>
            <w:bottom w:w="0" w:type="dxa"/>
            <w:right w:w="108" w:type="dxa"/>
          </w:tblCellMar>
        </w:tblPrEx>
        <w:trPr>
          <w:trHeight w:val="292" w:hRule="atLeast"/>
        </w:trPr>
        <w:tc>
          <w:tcPr>
            <w:tcW w:w="1522" w:type="dxa"/>
            <w:vMerge w:val="continue"/>
            <w:tcBorders>
              <w:top w:val="nil"/>
              <w:left w:val="single" w:color="auto" w:sz="4" w:space="0"/>
              <w:bottom w:val="single" w:color="auto" w:sz="4" w:space="0"/>
              <w:right w:val="single" w:color="auto" w:sz="4" w:space="0"/>
            </w:tcBorders>
            <w:noWrap w:val="0"/>
            <w:vAlign w:val="center"/>
          </w:tcPr>
          <w:p w14:paraId="2C2DAC0F">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nil"/>
              <w:left w:val="nil"/>
              <w:bottom w:val="single" w:color="auto" w:sz="4" w:space="0"/>
              <w:right w:val="single" w:color="auto" w:sz="4" w:space="0"/>
            </w:tcBorders>
            <w:shd w:val="clear" w:color="auto" w:fill="auto"/>
            <w:noWrap/>
            <w:vAlign w:val="center"/>
          </w:tcPr>
          <w:p w14:paraId="1EDBC518">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6层890㎡</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DDCA90">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left w:val="nil"/>
              <w:right w:val="single" w:color="auto" w:sz="4" w:space="0"/>
            </w:tcBorders>
            <w:noWrap w:val="0"/>
            <w:vAlign w:val="center"/>
          </w:tcPr>
          <w:p w14:paraId="3397E2D3">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nil"/>
              <w:right w:val="single" w:color="auto" w:sz="4" w:space="0"/>
            </w:tcBorders>
            <w:noWrap w:val="0"/>
            <w:vAlign w:val="center"/>
          </w:tcPr>
          <w:p w14:paraId="304BD0B6">
            <w:pPr>
              <w:rPr>
                <w:rFonts w:hint="eastAsia" w:ascii="宋体" w:hAnsi="宋体" w:eastAsia="宋体" w:cs="宋体"/>
                <w:color w:val="000000" w:themeColor="text1"/>
                <w:sz w:val="21"/>
                <w:szCs w:val="21"/>
                <w:highlight w:val="none"/>
                <w14:textFill>
                  <w14:solidFill>
                    <w14:schemeClr w14:val="tx1"/>
                  </w14:solidFill>
                </w14:textFill>
              </w:rPr>
            </w:pPr>
          </w:p>
        </w:tc>
      </w:tr>
      <w:tr w14:paraId="0F1464C8">
        <w:tblPrEx>
          <w:tblCellMar>
            <w:top w:w="0" w:type="dxa"/>
            <w:left w:w="108" w:type="dxa"/>
            <w:bottom w:w="0" w:type="dxa"/>
            <w:right w:w="108" w:type="dxa"/>
          </w:tblCellMar>
        </w:tblPrEx>
        <w:trPr>
          <w:trHeight w:val="292" w:hRule="atLeast"/>
        </w:trPr>
        <w:tc>
          <w:tcPr>
            <w:tcW w:w="1522" w:type="dxa"/>
            <w:vMerge w:val="continue"/>
            <w:tcBorders>
              <w:top w:val="nil"/>
              <w:left w:val="single" w:color="auto" w:sz="4" w:space="0"/>
              <w:bottom w:val="single" w:color="auto" w:sz="4" w:space="0"/>
              <w:right w:val="single" w:color="auto" w:sz="4" w:space="0"/>
            </w:tcBorders>
            <w:noWrap w:val="0"/>
            <w:vAlign w:val="center"/>
          </w:tcPr>
          <w:p w14:paraId="6B6111E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nil"/>
              <w:left w:val="nil"/>
              <w:bottom w:val="single" w:color="auto" w:sz="4" w:space="0"/>
              <w:right w:val="single" w:color="auto" w:sz="4" w:space="0"/>
            </w:tcBorders>
            <w:shd w:val="clear" w:color="auto" w:fill="auto"/>
            <w:noWrap/>
            <w:vAlign w:val="center"/>
          </w:tcPr>
          <w:p w14:paraId="67100B15">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7层800㎡</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CB350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left w:val="nil"/>
              <w:bottom w:val="single" w:color="auto" w:sz="4" w:space="0"/>
              <w:right w:val="single" w:color="auto" w:sz="4" w:space="0"/>
            </w:tcBorders>
            <w:noWrap/>
            <w:vAlign w:val="center"/>
          </w:tcPr>
          <w:p w14:paraId="3A268BB2">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nil"/>
              <w:bottom w:val="single" w:color="auto" w:sz="4" w:space="0"/>
              <w:right w:val="single" w:color="auto" w:sz="4" w:space="0"/>
            </w:tcBorders>
            <w:noWrap/>
            <w:vAlign w:val="center"/>
          </w:tcPr>
          <w:p w14:paraId="266D030E">
            <w:pPr>
              <w:rPr>
                <w:rFonts w:hint="eastAsia" w:ascii="宋体" w:hAnsi="宋体" w:eastAsia="宋体" w:cs="宋体"/>
                <w:color w:val="000000" w:themeColor="text1"/>
                <w:sz w:val="21"/>
                <w:szCs w:val="21"/>
                <w:highlight w:val="none"/>
                <w14:textFill>
                  <w14:solidFill>
                    <w14:schemeClr w14:val="tx1"/>
                  </w14:solidFill>
                </w14:textFill>
              </w:rPr>
            </w:pPr>
          </w:p>
        </w:tc>
      </w:tr>
      <w:tr w14:paraId="1069548E">
        <w:tblPrEx>
          <w:tblCellMar>
            <w:top w:w="0" w:type="dxa"/>
            <w:left w:w="108" w:type="dxa"/>
            <w:bottom w:w="0" w:type="dxa"/>
            <w:right w:w="108" w:type="dxa"/>
          </w:tblCellMar>
        </w:tblPrEx>
        <w:trPr>
          <w:trHeight w:val="319" w:hRule="atLeast"/>
        </w:trPr>
        <w:tc>
          <w:tcPr>
            <w:tcW w:w="1522" w:type="dxa"/>
            <w:vMerge w:val="restart"/>
            <w:tcBorders>
              <w:top w:val="nil"/>
              <w:left w:val="single" w:color="auto" w:sz="4" w:space="0"/>
              <w:bottom w:val="single" w:color="auto" w:sz="4" w:space="0"/>
              <w:right w:val="single" w:color="auto" w:sz="4" w:space="0"/>
            </w:tcBorders>
            <w:noWrap w:val="0"/>
            <w:vAlign w:val="center"/>
          </w:tcPr>
          <w:p w14:paraId="2618D64E">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7号楼</w:t>
            </w:r>
          </w:p>
        </w:tc>
        <w:tc>
          <w:tcPr>
            <w:tcW w:w="3073" w:type="dxa"/>
            <w:tcBorders>
              <w:top w:val="nil"/>
              <w:left w:val="nil"/>
              <w:bottom w:val="single" w:color="auto" w:sz="4" w:space="0"/>
              <w:right w:val="single" w:color="auto" w:sz="4" w:space="0"/>
            </w:tcBorders>
            <w:noWrap w:val="0"/>
            <w:vAlign w:val="center"/>
          </w:tcPr>
          <w:p w14:paraId="7FA39FE4">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1层、2层952㎡</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3C7BF7CB">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restart"/>
            <w:tcBorders>
              <w:top w:val="single" w:color="auto" w:sz="4" w:space="0"/>
              <w:left w:val="nil"/>
              <w:bottom w:val="single" w:color="auto" w:sz="4" w:space="0"/>
              <w:right w:val="single" w:color="auto" w:sz="4" w:space="0"/>
            </w:tcBorders>
            <w:noWrap w:val="0"/>
            <w:vAlign w:val="center"/>
          </w:tcPr>
          <w:p w14:paraId="50A34500">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933" w:type="dxa"/>
            <w:vMerge w:val="restart"/>
            <w:tcBorders>
              <w:top w:val="single" w:color="auto" w:sz="4" w:space="0"/>
              <w:left w:val="nil"/>
              <w:right w:val="single" w:color="auto" w:sz="4" w:space="0"/>
            </w:tcBorders>
            <w:noWrap w:val="0"/>
            <w:vAlign w:val="center"/>
          </w:tcPr>
          <w:p w14:paraId="037F5F9C">
            <w:pPr>
              <w:rPr>
                <w:rFonts w:hint="eastAsia" w:ascii="宋体" w:hAnsi="宋体" w:eastAsia="宋体" w:cs="宋体"/>
                <w:color w:val="000000" w:themeColor="text1"/>
                <w:sz w:val="21"/>
                <w:szCs w:val="21"/>
                <w:highlight w:val="none"/>
                <w14:textFill>
                  <w14:solidFill>
                    <w14:schemeClr w14:val="tx1"/>
                  </w14:solidFill>
                </w14:textFill>
              </w:rPr>
            </w:pPr>
          </w:p>
        </w:tc>
      </w:tr>
      <w:tr w14:paraId="1D47004F">
        <w:tblPrEx>
          <w:tblCellMar>
            <w:top w:w="0" w:type="dxa"/>
            <w:left w:w="108" w:type="dxa"/>
            <w:bottom w:w="0" w:type="dxa"/>
            <w:right w:w="108" w:type="dxa"/>
          </w:tblCellMar>
        </w:tblPrEx>
        <w:trPr>
          <w:trHeight w:val="292" w:hRule="atLeast"/>
        </w:trPr>
        <w:tc>
          <w:tcPr>
            <w:tcW w:w="1522" w:type="dxa"/>
            <w:vMerge w:val="continue"/>
            <w:tcBorders>
              <w:top w:val="nil"/>
              <w:left w:val="single" w:color="auto" w:sz="4" w:space="0"/>
              <w:bottom w:val="single" w:color="auto" w:sz="4" w:space="0"/>
              <w:right w:val="single" w:color="auto" w:sz="4" w:space="0"/>
            </w:tcBorders>
            <w:noWrap w:val="0"/>
            <w:vAlign w:val="center"/>
          </w:tcPr>
          <w:p w14:paraId="578A8FBE">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nil"/>
              <w:left w:val="nil"/>
              <w:bottom w:val="single" w:color="auto" w:sz="4" w:space="0"/>
              <w:right w:val="single" w:color="auto" w:sz="4" w:space="0"/>
            </w:tcBorders>
            <w:noWrap/>
            <w:vAlign w:val="center"/>
          </w:tcPr>
          <w:p w14:paraId="4B28555E">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3层---6层分别682㎡</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0C84B918">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top w:val="single" w:color="auto" w:sz="4" w:space="0"/>
              <w:left w:val="nil"/>
              <w:bottom w:val="single" w:color="auto" w:sz="4" w:space="0"/>
              <w:right w:val="single" w:color="auto" w:sz="4" w:space="0"/>
            </w:tcBorders>
            <w:noWrap/>
            <w:vAlign w:val="center"/>
          </w:tcPr>
          <w:p w14:paraId="32DC5B7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nil"/>
              <w:bottom w:val="single" w:color="auto" w:sz="4" w:space="0"/>
              <w:right w:val="single" w:color="auto" w:sz="4" w:space="0"/>
            </w:tcBorders>
            <w:noWrap/>
            <w:vAlign w:val="center"/>
          </w:tcPr>
          <w:p w14:paraId="530D8591">
            <w:pPr>
              <w:rPr>
                <w:rFonts w:hint="eastAsia" w:ascii="宋体" w:hAnsi="宋体" w:eastAsia="宋体" w:cs="宋体"/>
                <w:color w:val="000000" w:themeColor="text1"/>
                <w:sz w:val="21"/>
                <w:szCs w:val="21"/>
                <w:highlight w:val="none"/>
                <w14:textFill>
                  <w14:solidFill>
                    <w14:schemeClr w14:val="tx1"/>
                  </w14:solidFill>
                </w14:textFill>
              </w:rPr>
            </w:pPr>
          </w:p>
        </w:tc>
      </w:tr>
      <w:tr w14:paraId="4F2DE34C">
        <w:tblPrEx>
          <w:tblCellMar>
            <w:top w:w="0" w:type="dxa"/>
            <w:left w:w="108" w:type="dxa"/>
            <w:bottom w:w="0" w:type="dxa"/>
            <w:right w:w="108" w:type="dxa"/>
          </w:tblCellMar>
        </w:tblPrEx>
        <w:trPr>
          <w:trHeight w:val="331" w:hRule="atLeast"/>
        </w:trPr>
        <w:tc>
          <w:tcPr>
            <w:tcW w:w="1522" w:type="dxa"/>
            <w:vMerge w:val="restart"/>
            <w:tcBorders>
              <w:top w:val="single" w:color="auto" w:sz="4" w:space="0"/>
              <w:left w:val="single" w:color="auto" w:sz="4" w:space="0"/>
              <w:right w:val="single" w:color="auto" w:sz="4" w:space="0"/>
            </w:tcBorders>
            <w:noWrap w:val="0"/>
            <w:vAlign w:val="center"/>
          </w:tcPr>
          <w:p w14:paraId="3FFA3D9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2号楼</w:t>
            </w:r>
          </w:p>
        </w:tc>
        <w:tc>
          <w:tcPr>
            <w:tcW w:w="30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FA84B5">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1层---16层30975㎡</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4BAA5D">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930" w:type="dxa"/>
            <w:vMerge w:val="restart"/>
            <w:tcBorders>
              <w:top w:val="single" w:color="auto" w:sz="4" w:space="0"/>
              <w:left w:val="single" w:color="auto" w:sz="4" w:space="0"/>
              <w:bottom w:val="single" w:color="auto" w:sz="4" w:space="0"/>
              <w:right w:val="single" w:color="auto" w:sz="4" w:space="0"/>
            </w:tcBorders>
            <w:noWrap/>
            <w:vAlign w:val="center"/>
          </w:tcPr>
          <w:p w14:paraId="4B5EBEC5">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26</w:t>
            </w:r>
          </w:p>
        </w:tc>
        <w:tc>
          <w:tcPr>
            <w:tcW w:w="2933" w:type="dxa"/>
            <w:vMerge w:val="restart"/>
            <w:tcBorders>
              <w:top w:val="single" w:color="auto" w:sz="4" w:space="0"/>
              <w:left w:val="single" w:color="auto" w:sz="4" w:space="0"/>
              <w:right w:val="single" w:color="auto" w:sz="4" w:space="0"/>
            </w:tcBorders>
            <w:noWrap/>
            <w:vAlign w:val="center"/>
          </w:tcPr>
          <w:p w14:paraId="00223007">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介入科2人；1、6、7、9、11层各层2人，其他楼层各1人；</w:t>
            </w:r>
          </w:p>
        </w:tc>
      </w:tr>
      <w:tr w14:paraId="7B7843FB">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noWrap w:val="0"/>
            <w:vAlign w:val="center"/>
          </w:tcPr>
          <w:p w14:paraId="6411F895">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EB4E79">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负1层</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59B328">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157E2DDD">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64D47407">
            <w:pP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3E86BEC">
        <w:tblPrEx>
          <w:tblCellMar>
            <w:top w:w="0" w:type="dxa"/>
            <w:left w:w="108" w:type="dxa"/>
            <w:bottom w:w="0" w:type="dxa"/>
            <w:right w:w="108" w:type="dxa"/>
          </w:tblCellMar>
        </w:tblPrEx>
        <w:trPr>
          <w:trHeight w:val="331" w:hRule="atLeast"/>
        </w:trPr>
        <w:tc>
          <w:tcPr>
            <w:tcW w:w="1522" w:type="dxa"/>
            <w:vMerge w:val="continue"/>
            <w:tcBorders>
              <w:left w:val="single" w:color="auto" w:sz="4" w:space="0"/>
              <w:bottom w:val="single" w:color="auto" w:sz="4" w:space="0"/>
              <w:right w:val="single" w:color="auto" w:sz="4" w:space="0"/>
            </w:tcBorders>
            <w:noWrap w:val="0"/>
            <w:vAlign w:val="center"/>
          </w:tcPr>
          <w:p w14:paraId="6444987F">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0643DDD2">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洗地工</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63A92143">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27497C31">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933" w:type="dxa"/>
            <w:vMerge w:val="continue"/>
            <w:tcBorders>
              <w:left w:val="single" w:color="auto" w:sz="4" w:space="0"/>
              <w:bottom w:val="single" w:color="auto" w:sz="4" w:space="0"/>
              <w:right w:val="single" w:color="auto" w:sz="4" w:space="0"/>
            </w:tcBorders>
            <w:noWrap/>
            <w:vAlign w:val="center"/>
          </w:tcPr>
          <w:p w14:paraId="3426595C">
            <w:pPr>
              <w:rPr>
                <w:rFonts w:hint="eastAsia" w:ascii="宋体" w:hAnsi="宋体" w:eastAsia="宋体" w:cs="宋体"/>
                <w:color w:val="000000" w:themeColor="text1"/>
                <w:sz w:val="21"/>
                <w:szCs w:val="21"/>
                <w:highlight w:val="none"/>
                <w14:textFill>
                  <w14:solidFill>
                    <w14:schemeClr w14:val="tx1"/>
                  </w14:solidFill>
                </w14:textFill>
              </w:rPr>
            </w:pPr>
          </w:p>
        </w:tc>
      </w:tr>
      <w:tr w14:paraId="4FC9CCA0">
        <w:tblPrEx>
          <w:tblCellMar>
            <w:top w:w="0" w:type="dxa"/>
            <w:left w:w="108" w:type="dxa"/>
            <w:bottom w:w="0" w:type="dxa"/>
            <w:right w:w="108" w:type="dxa"/>
          </w:tblCellMar>
        </w:tblPrEx>
        <w:trPr>
          <w:trHeight w:val="331" w:hRule="atLeast"/>
        </w:trPr>
        <w:tc>
          <w:tcPr>
            <w:tcW w:w="1522" w:type="dxa"/>
            <w:vMerge w:val="restart"/>
            <w:tcBorders>
              <w:top w:val="single" w:color="auto" w:sz="4" w:space="0"/>
              <w:left w:val="single" w:color="auto" w:sz="4" w:space="0"/>
              <w:right w:val="single" w:color="auto" w:sz="4" w:space="0"/>
            </w:tcBorders>
            <w:noWrap w:val="0"/>
            <w:vAlign w:val="center"/>
          </w:tcPr>
          <w:p w14:paraId="2ACEDAB5">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新门诊医技楼</w:t>
            </w:r>
          </w:p>
        </w:tc>
        <w:tc>
          <w:tcPr>
            <w:tcW w:w="3073" w:type="dxa"/>
            <w:tcBorders>
              <w:top w:val="single" w:color="auto" w:sz="4" w:space="0"/>
              <w:left w:val="single" w:color="auto" w:sz="4" w:space="0"/>
              <w:bottom w:val="single" w:color="auto" w:sz="4" w:space="0"/>
              <w:right w:val="single" w:color="auto" w:sz="4" w:space="0"/>
            </w:tcBorders>
            <w:noWrap/>
            <w:vAlign w:val="center"/>
          </w:tcPr>
          <w:p w14:paraId="21BCDD9B">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1层---6层17867㎡</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12E3E86E">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p>
        </w:tc>
        <w:tc>
          <w:tcPr>
            <w:tcW w:w="930" w:type="dxa"/>
            <w:vMerge w:val="restart"/>
            <w:tcBorders>
              <w:top w:val="single" w:color="auto" w:sz="4" w:space="0"/>
              <w:left w:val="single" w:color="auto" w:sz="4" w:space="0"/>
              <w:bottom w:val="single" w:color="auto" w:sz="4" w:space="0"/>
              <w:right w:val="single" w:color="auto" w:sz="4" w:space="0"/>
            </w:tcBorders>
            <w:noWrap/>
            <w:vAlign w:val="center"/>
          </w:tcPr>
          <w:p w14:paraId="4E35A99D">
            <w:pPr>
              <w:jc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2933" w:type="dxa"/>
            <w:vMerge w:val="restart"/>
            <w:tcBorders>
              <w:top w:val="single" w:color="auto" w:sz="4" w:space="0"/>
              <w:left w:val="single" w:color="auto" w:sz="4" w:space="0"/>
              <w:right w:val="single" w:color="auto" w:sz="4" w:space="0"/>
            </w:tcBorders>
            <w:noWrap/>
            <w:vAlign w:val="center"/>
          </w:tcPr>
          <w:p w14:paraId="1306DD6F">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1层、2层各4人；3层---6层每层2人</w:t>
            </w:r>
          </w:p>
        </w:tc>
      </w:tr>
      <w:tr w14:paraId="2B655E2D">
        <w:tblPrEx>
          <w:tblCellMar>
            <w:top w:w="0" w:type="dxa"/>
            <w:left w:w="108" w:type="dxa"/>
            <w:bottom w:w="0" w:type="dxa"/>
            <w:right w:w="108" w:type="dxa"/>
          </w:tblCellMar>
        </w:tblPrEx>
        <w:trPr>
          <w:trHeight w:val="331" w:hRule="atLeast"/>
        </w:trPr>
        <w:tc>
          <w:tcPr>
            <w:tcW w:w="1522" w:type="dxa"/>
            <w:vMerge w:val="continue"/>
            <w:tcBorders>
              <w:left w:val="single" w:color="auto" w:sz="4" w:space="0"/>
              <w:bottom w:val="single" w:color="auto" w:sz="4" w:space="0"/>
              <w:right w:val="single" w:color="auto" w:sz="4" w:space="0"/>
            </w:tcBorders>
            <w:noWrap w:val="0"/>
            <w:vAlign w:val="center"/>
          </w:tcPr>
          <w:p w14:paraId="1A679249">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341B3">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负1---负2层11594㎡</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C01E39">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175B5AA5">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bottom w:val="single" w:color="auto" w:sz="4" w:space="0"/>
              <w:right w:val="single" w:color="auto" w:sz="4" w:space="0"/>
            </w:tcBorders>
            <w:noWrap/>
            <w:vAlign w:val="center"/>
          </w:tcPr>
          <w:p w14:paraId="296C1848">
            <w:pPr>
              <w:rPr>
                <w:rFonts w:hint="eastAsia" w:ascii="宋体" w:hAnsi="宋体" w:eastAsia="宋体" w:cs="宋体"/>
                <w:color w:val="000000" w:themeColor="text1"/>
                <w:sz w:val="21"/>
                <w:szCs w:val="21"/>
                <w:highlight w:val="none"/>
                <w14:textFill>
                  <w14:solidFill>
                    <w14:schemeClr w14:val="tx1"/>
                  </w14:solidFill>
                </w14:textFill>
              </w:rPr>
            </w:pPr>
          </w:p>
        </w:tc>
      </w:tr>
      <w:tr w14:paraId="5304CA59">
        <w:tblPrEx>
          <w:tblCellMar>
            <w:top w:w="0" w:type="dxa"/>
            <w:left w:w="108" w:type="dxa"/>
            <w:bottom w:w="0" w:type="dxa"/>
            <w:right w:w="108" w:type="dxa"/>
          </w:tblCellMar>
        </w:tblPrEx>
        <w:trPr>
          <w:trHeight w:val="331" w:hRule="atLeast"/>
        </w:trPr>
        <w:tc>
          <w:tcPr>
            <w:tcW w:w="1522" w:type="dxa"/>
            <w:vMerge w:val="continue"/>
            <w:tcBorders>
              <w:left w:val="single" w:color="auto" w:sz="4" w:space="0"/>
              <w:bottom w:val="single" w:color="auto" w:sz="4" w:space="0"/>
              <w:right w:val="single" w:color="auto" w:sz="4" w:space="0"/>
            </w:tcBorders>
            <w:noWrap w:val="0"/>
            <w:vAlign w:val="center"/>
          </w:tcPr>
          <w:p w14:paraId="799C75D2">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651B4E61">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洗地工</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04C3C41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28262B2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bottom w:val="single" w:color="auto" w:sz="4" w:space="0"/>
              <w:right w:val="single" w:color="auto" w:sz="4" w:space="0"/>
            </w:tcBorders>
            <w:noWrap/>
            <w:vAlign w:val="center"/>
          </w:tcPr>
          <w:p w14:paraId="4263E32A">
            <w:pPr>
              <w:rPr>
                <w:rFonts w:hint="eastAsia" w:ascii="宋体" w:hAnsi="宋体" w:eastAsia="宋体" w:cs="宋体"/>
                <w:color w:val="000000" w:themeColor="text1"/>
                <w:sz w:val="21"/>
                <w:szCs w:val="21"/>
                <w:highlight w:val="none"/>
                <w14:textFill>
                  <w14:solidFill>
                    <w14:schemeClr w14:val="tx1"/>
                  </w14:solidFill>
                </w14:textFill>
              </w:rPr>
            </w:pPr>
          </w:p>
        </w:tc>
      </w:tr>
      <w:tr w14:paraId="00CB8318">
        <w:tblPrEx>
          <w:tblCellMar>
            <w:top w:w="0" w:type="dxa"/>
            <w:left w:w="108" w:type="dxa"/>
            <w:bottom w:w="0" w:type="dxa"/>
            <w:right w:w="108" w:type="dxa"/>
          </w:tblCellMar>
        </w:tblPrEx>
        <w:trPr>
          <w:trHeight w:val="331" w:hRule="atLeast"/>
        </w:trPr>
        <w:tc>
          <w:tcPr>
            <w:tcW w:w="1522" w:type="dxa"/>
            <w:vMerge w:val="restart"/>
            <w:tcBorders>
              <w:top w:val="single" w:color="auto" w:sz="4" w:space="0"/>
              <w:left w:val="single" w:color="auto" w:sz="4" w:space="0"/>
              <w:right w:val="single" w:color="auto" w:sz="4" w:space="0"/>
            </w:tcBorders>
            <w:noWrap w:val="0"/>
            <w:vAlign w:val="center"/>
          </w:tcPr>
          <w:p w14:paraId="707F5276">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3号楼</w:t>
            </w:r>
          </w:p>
        </w:tc>
        <w:tc>
          <w:tcPr>
            <w:tcW w:w="30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3E6C6F">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地下室3740</w:t>
            </w:r>
            <w:r>
              <w:rPr>
                <w:rFonts w:hint="eastAsia" w:ascii="宋体" w:hAnsi="宋体" w:eastAsia="宋体" w:cs="宋体"/>
                <w:color w:val="000000" w:themeColor="text1"/>
                <w:sz w:val="21"/>
                <w:szCs w:val="21"/>
                <w:highlight w:val="none"/>
                <w14:textFill>
                  <w14:solidFill>
                    <w14:schemeClr w14:val="tx1"/>
                  </w14:solidFill>
                </w14:textFill>
              </w:rPr>
              <w:t>㎡</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05F187D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restart"/>
            <w:tcBorders>
              <w:top w:val="single" w:color="auto" w:sz="4" w:space="0"/>
              <w:left w:val="single" w:color="auto" w:sz="4" w:space="0"/>
              <w:bottom w:val="single" w:color="auto" w:sz="4" w:space="0"/>
              <w:right w:val="single" w:color="auto" w:sz="4" w:space="0"/>
            </w:tcBorders>
            <w:noWrap/>
            <w:vAlign w:val="center"/>
          </w:tcPr>
          <w:p w14:paraId="1733FBA0">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43</w:t>
            </w:r>
          </w:p>
        </w:tc>
        <w:tc>
          <w:tcPr>
            <w:tcW w:w="2933" w:type="dxa"/>
            <w:vMerge w:val="restart"/>
            <w:tcBorders>
              <w:top w:val="single" w:color="auto" w:sz="4" w:space="0"/>
              <w:left w:val="single" w:color="auto" w:sz="4" w:space="0"/>
              <w:right w:val="single" w:color="auto" w:sz="4" w:space="0"/>
            </w:tcBorders>
            <w:noWrap/>
            <w:vAlign w:val="center"/>
          </w:tcPr>
          <w:p w14:paraId="2A95C7E7">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每层2人；手术室内4人，供应室内6人</w:t>
            </w:r>
          </w:p>
        </w:tc>
      </w:tr>
      <w:tr w14:paraId="6574EB9D">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noWrap w:val="0"/>
            <w:vAlign w:val="center"/>
          </w:tcPr>
          <w:p w14:paraId="01F133B2">
            <w:pP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FC8E01">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一层3750</w:t>
            </w:r>
            <w:r>
              <w:rPr>
                <w:rFonts w:hint="eastAsia" w:ascii="宋体" w:hAnsi="宋体" w:eastAsia="宋体" w:cs="宋体"/>
                <w:color w:val="000000" w:themeColor="text1"/>
                <w:sz w:val="21"/>
                <w:szCs w:val="21"/>
                <w:highlight w:val="none"/>
                <w14:textFill>
                  <w14:solidFill>
                    <w14:schemeClr w14:val="tx1"/>
                  </w14:solidFill>
                </w14:textFill>
              </w:rPr>
              <w:t>㎡</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353C9BD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7942B064">
            <w:pP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0D526A13">
            <w:pPr>
              <w:rPr>
                <w:rFonts w:hint="eastAsia" w:ascii="宋体" w:hAnsi="宋体" w:eastAsia="宋体" w:cs="宋体"/>
                <w:color w:val="000000" w:themeColor="text1"/>
                <w:sz w:val="21"/>
                <w:szCs w:val="21"/>
                <w:highlight w:val="none"/>
                <w14:textFill>
                  <w14:solidFill>
                    <w14:schemeClr w14:val="tx1"/>
                  </w14:solidFill>
                </w14:textFill>
              </w:rPr>
            </w:pPr>
          </w:p>
        </w:tc>
      </w:tr>
      <w:tr w14:paraId="0B9C2F3A">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noWrap w:val="0"/>
            <w:vAlign w:val="center"/>
          </w:tcPr>
          <w:p w14:paraId="66931A13">
            <w:pP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4FCDC401">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二层3750㎡</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197A0C40">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7C2312AD">
            <w:pP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292CF393">
            <w:pPr>
              <w:rPr>
                <w:rFonts w:hint="eastAsia" w:ascii="宋体" w:hAnsi="宋体" w:eastAsia="宋体" w:cs="宋体"/>
                <w:color w:val="000000" w:themeColor="text1"/>
                <w:sz w:val="21"/>
                <w:szCs w:val="21"/>
                <w:highlight w:val="none"/>
                <w14:textFill>
                  <w14:solidFill>
                    <w14:schemeClr w14:val="tx1"/>
                  </w14:solidFill>
                </w14:textFill>
              </w:rPr>
            </w:pPr>
          </w:p>
        </w:tc>
      </w:tr>
      <w:tr w14:paraId="745E121A">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noWrap w:val="0"/>
            <w:vAlign w:val="center"/>
          </w:tcPr>
          <w:p w14:paraId="5F040400">
            <w:pP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713B7433">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三层3750㎡</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49354B7F">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4C5B9C89">
            <w:pP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71472C97">
            <w:pPr>
              <w:rPr>
                <w:rFonts w:hint="eastAsia" w:ascii="宋体" w:hAnsi="宋体" w:eastAsia="宋体" w:cs="宋体"/>
                <w:color w:val="000000" w:themeColor="text1"/>
                <w:sz w:val="21"/>
                <w:szCs w:val="21"/>
                <w:highlight w:val="none"/>
                <w14:textFill>
                  <w14:solidFill>
                    <w14:schemeClr w14:val="tx1"/>
                  </w14:solidFill>
                </w14:textFill>
              </w:rPr>
            </w:pPr>
          </w:p>
        </w:tc>
      </w:tr>
      <w:tr w14:paraId="365927D1">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noWrap w:val="0"/>
            <w:vAlign w:val="center"/>
          </w:tcPr>
          <w:p w14:paraId="2BA66B9E">
            <w:pP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786D4232">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四层---十五层2850</w:t>
            </w:r>
            <w:r>
              <w:rPr>
                <w:rFonts w:hint="eastAsia" w:ascii="宋体" w:hAnsi="宋体" w:eastAsia="宋体" w:cs="宋体"/>
                <w:color w:val="000000" w:themeColor="text1"/>
                <w:sz w:val="21"/>
                <w:szCs w:val="21"/>
                <w:highlight w:val="none"/>
                <w14:textFill>
                  <w14:solidFill>
                    <w14:schemeClr w14:val="tx1"/>
                  </w14:solidFill>
                </w14:textFill>
              </w:rPr>
              <w:t>㎡</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32CB5B17">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0F86BBD9">
            <w:pP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5801D0ED">
            <w:pPr>
              <w:rPr>
                <w:rFonts w:hint="eastAsia" w:ascii="宋体" w:hAnsi="宋体" w:eastAsia="宋体" w:cs="宋体"/>
                <w:color w:val="000000" w:themeColor="text1"/>
                <w:sz w:val="21"/>
                <w:szCs w:val="21"/>
                <w:highlight w:val="none"/>
                <w14:textFill>
                  <w14:solidFill>
                    <w14:schemeClr w14:val="tx1"/>
                  </w14:solidFill>
                </w14:textFill>
              </w:rPr>
            </w:pPr>
          </w:p>
        </w:tc>
      </w:tr>
      <w:tr w14:paraId="7A2F9584">
        <w:tblPrEx>
          <w:tblCellMar>
            <w:top w:w="0" w:type="dxa"/>
            <w:left w:w="108" w:type="dxa"/>
            <w:bottom w:w="0" w:type="dxa"/>
            <w:right w:w="108" w:type="dxa"/>
          </w:tblCellMar>
        </w:tblPrEx>
        <w:trPr>
          <w:trHeight w:val="331" w:hRule="atLeast"/>
        </w:trPr>
        <w:tc>
          <w:tcPr>
            <w:tcW w:w="1522" w:type="dxa"/>
            <w:vMerge w:val="continue"/>
            <w:tcBorders>
              <w:left w:val="single" w:color="auto" w:sz="4" w:space="0"/>
              <w:bottom w:val="single" w:color="auto" w:sz="4" w:space="0"/>
              <w:right w:val="single" w:color="auto" w:sz="4" w:space="0"/>
            </w:tcBorders>
            <w:noWrap w:val="0"/>
            <w:vAlign w:val="center"/>
          </w:tcPr>
          <w:p w14:paraId="42CE96EB">
            <w:pPr>
              <w:rPr>
                <w:rFonts w:hint="eastAsia" w:ascii="宋体" w:hAnsi="宋体" w:eastAsia="宋体" w:cs="宋体"/>
                <w:color w:val="000000" w:themeColor="text1"/>
                <w:sz w:val="21"/>
                <w:szCs w:val="21"/>
                <w:highlight w:val="none"/>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1C448CC0">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洗地工</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1A18B151">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1EBD0294">
            <w:pP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bottom w:val="single" w:color="auto" w:sz="4" w:space="0"/>
              <w:right w:val="single" w:color="auto" w:sz="4" w:space="0"/>
            </w:tcBorders>
            <w:noWrap/>
            <w:vAlign w:val="center"/>
          </w:tcPr>
          <w:p w14:paraId="3761D8CE">
            <w:pPr>
              <w:rPr>
                <w:rFonts w:hint="eastAsia" w:ascii="宋体" w:hAnsi="宋体" w:eastAsia="宋体" w:cs="宋体"/>
                <w:color w:val="000000" w:themeColor="text1"/>
                <w:sz w:val="21"/>
                <w:szCs w:val="21"/>
                <w:highlight w:val="none"/>
                <w14:textFill>
                  <w14:solidFill>
                    <w14:schemeClr w14:val="tx1"/>
                  </w14:solidFill>
                </w14:textFill>
              </w:rPr>
            </w:pPr>
          </w:p>
        </w:tc>
      </w:tr>
      <w:tr w14:paraId="5D640A42">
        <w:tblPrEx>
          <w:tblCellMar>
            <w:top w:w="0" w:type="dxa"/>
            <w:left w:w="108" w:type="dxa"/>
            <w:bottom w:w="0" w:type="dxa"/>
            <w:right w:w="108" w:type="dxa"/>
          </w:tblCellMar>
        </w:tblPrEx>
        <w:trPr>
          <w:trHeight w:val="331" w:hRule="atLeast"/>
        </w:trPr>
        <w:tc>
          <w:tcPr>
            <w:tcW w:w="1522" w:type="dxa"/>
            <w:vMerge w:val="restart"/>
            <w:tcBorders>
              <w:top w:val="single" w:color="auto" w:sz="4" w:space="0"/>
              <w:left w:val="single" w:color="auto" w:sz="4" w:space="0"/>
              <w:right w:val="single" w:color="auto" w:sz="4" w:space="0"/>
            </w:tcBorders>
            <w:shd w:val="clear" w:color="auto" w:fill="auto"/>
            <w:noWrap w:val="0"/>
            <w:vAlign w:val="center"/>
          </w:tcPr>
          <w:p w14:paraId="358385E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其他</w:t>
            </w:r>
          </w:p>
        </w:tc>
        <w:tc>
          <w:tcPr>
            <w:tcW w:w="30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E973FF">
            <w:pPr>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体检中心3200㎡</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5BE2BF">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D84E04B">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37</w:t>
            </w:r>
          </w:p>
        </w:tc>
        <w:tc>
          <w:tcPr>
            <w:tcW w:w="2933" w:type="dxa"/>
            <w:vMerge w:val="restart"/>
            <w:tcBorders>
              <w:top w:val="single" w:color="auto" w:sz="4" w:space="0"/>
              <w:left w:val="single" w:color="auto" w:sz="4" w:space="0"/>
              <w:right w:val="single" w:color="auto" w:sz="4" w:space="0"/>
            </w:tcBorders>
            <w:shd w:val="clear" w:color="auto" w:fill="auto"/>
            <w:noWrap/>
            <w:vAlign w:val="center"/>
          </w:tcPr>
          <w:p w14:paraId="60470136">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r>
      <w:tr w14:paraId="01CCD7EC">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shd w:val="clear" w:color="auto" w:fill="auto"/>
            <w:noWrap w:val="0"/>
            <w:vAlign w:val="center"/>
          </w:tcPr>
          <w:p w14:paraId="593A127F">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6A9C924B">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垃圾清运+管道疏通+外围</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32204178">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5D8E9135">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3C53EF73">
            <w:pPr>
              <w:rPr>
                <w:rFonts w:hint="eastAsia" w:ascii="宋体" w:hAnsi="宋体" w:eastAsia="宋体" w:cs="宋体"/>
                <w:color w:val="000000" w:themeColor="text1"/>
                <w:sz w:val="21"/>
                <w:szCs w:val="21"/>
                <w:highlight w:val="none"/>
                <w14:textFill>
                  <w14:solidFill>
                    <w14:schemeClr w14:val="tx1"/>
                  </w14:solidFill>
                </w14:textFill>
              </w:rPr>
            </w:pPr>
          </w:p>
        </w:tc>
      </w:tr>
      <w:tr w14:paraId="022020F2">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shd w:val="clear" w:color="auto" w:fill="auto"/>
            <w:noWrap w:val="0"/>
            <w:vAlign w:val="center"/>
          </w:tcPr>
          <w:p w14:paraId="31571C6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256C735C">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夜班</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5C69842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31D541C8">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5EFAECF9">
            <w:pPr>
              <w:rPr>
                <w:rFonts w:hint="eastAsia" w:ascii="宋体" w:hAnsi="宋体" w:eastAsia="宋体" w:cs="宋体"/>
                <w:color w:val="000000" w:themeColor="text1"/>
                <w:sz w:val="21"/>
                <w:szCs w:val="21"/>
                <w:highlight w:val="none"/>
                <w14:textFill>
                  <w14:solidFill>
                    <w14:schemeClr w14:val="tx1"/>
                  </w14:solidFill>
                </w14:textFill>
              </w:rPr>
            </w:pPr>
          </w:p>
        </w:tc>
      </w:tr>
      <w:tr w14:paraId="554F4A22">
        <w:tblPrEx>
          <w:tblCellMar>
            <w:top w:w="0" w:type="dxa"/>
            <w:left w:w="108" w:type="dxa"/>
            <w:bottom w:w="0" w:type="dxa"/>
            <w:right w:w="108" w:type="dxa"/>
          </w:tblCellMar>
        </w:tblPrEx>
        <w:trPr>
          <w:trHeight w:val="331" w:hRule="atLeast"/>
        </w:trPr>
        <w:tc>
          <w:tcPr>
            <w:tcW w:w="1522" w:type="dxa"/>
            <w:vMerge w:val="continue"/>
            <w:tcBorders>
              <w:left w:val="single" w:color="auto" w:sz="4" w:space="0"/>
              <w:right w:val="single" w:color="auto" w:sz="4" w:space="0"/>
            </w:tcBorders>
            <w:shd w:val="clear" w:color="auto" w:fill="auto"/>
            <w:noWrap w:val="0"/>
            <w:vAlign w:val="center"/>
          </w:tcPr>
          <w:p w14:paraId="2A288D9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0C72DF38">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机动人员</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424F701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7C061E2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right w:val="single" w:color="auto" w:sz="4" w:space="0"/>
            </w:tcBorders>
            <w:noWrap/>
            <w:vAlign w:val="center"/>
          </w:tcPr>
          <w:p w14:paraId="1B7060C5">
            <w:pPr>
              <w:rPr>
                <w:rFonts w:hint="eastAsia" w:ascii="宋体" w:hAnsi="宋体" w:eastAsia="宋体" w:cs="宋体"/>
                <w:color w:val="000000" w:themeColor="text1"/>
                <w:sz w:val="21"/>
                <w:szCs w:val="21"/>
                <w:highlight w:val="none"/>
                <w14:textFill>
                  <w14:solidFill>
                    <w14:schemeClr w14:val="tx1"/>
                  </w14:solidFill>
                </w14:textFill>
              </w:rPr>
            </w:pPr>
          </w:p>
        </w:tc>
      </w:tr>
      <w:tr w14:paraId="4BC87161">
        <w:tblPrEx>
          <w:tblCellMar>
            <w:top w:w="0" w:type="dxa"/>
            <w:left w:w="108" w:type="dxa"/>
            <w:bottom w:w="0" w:type="dxa"/>
            <w:right w:w="108" w:type="dxa"/>
          </w:tblCellMar>
        </w:tblPrEx>
        <w:trPr>
          <w:trHeight w:val="331" w:hRule="atLeast"/>
        </w:trPr>
        <w:tc>
          <w:tcPr>
            <w:tcW w:w="1522" w:type="dxa"/>
            <w:vMerge w:val="continue"/>
            <w:tcBorders>
              <w:left w:val="single" w:color="auto" w:sz="4" w:space="0"/>
              <w:bottom w:val="single" w:color="auto" w:sz="4" w:space="0"/>
              <w:right w:val="single" w:color="auto" w:sz="4" w:space="0"/>
            </w:tcBorders>
            <w:noWrap w:val="0"/>
            <w:vAlign w:val="center"/>
          </w:tcPr>
          <w:p w14:paraId="1A80348C">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3073" w:type="dxa"/>
            <w:tcBorders>
              <w:top w:val="single" w:color="auto" w:sz="4" w:space="0"/>
              <w:left w:val="single" w:color="auto" w:sz="4" w:space="0"/>
              <w:bottom w:val="single" w:color="auto" w:sz="4" w:space="0"/>
              <w:right w:val="single" w:color="auto" w:sz="4" w:space="0"/>
            </w:tcBorders>
            <w:noWrap/>
            <w:vAlign w:val="center"/>
          </w:tcPr>
          <w:p w14:paraId="0F3BBFFF">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管理层</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62DD9BED">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15F52687">
            <w:pPr>
              <w:rPr>
                <w:rFonts w:hint="eastAsia" w:ascii="宋体" w:hAnsi="宋体" w:eastAsia="宋体" w:cs="宋体"/>
                <w:color w:val="000000" w:themeColor="text1"/>
                <w:sz w:val="21"/>
                <w:szCs w:val="21"/>
                <w:highlight w:val="none"/>
                <w14:textFill>
                  <w14:solidFill>
                    <w14:schemeClr w14:val="tx1"/>
                  </w14:solidFill>
                </w14:textFill>
              </w:rPr>
            </w:pPr>
          </w:p>
        </w:tc>
        <w:tc>
          <w:tcPr>
            <w:tcW w:w="2933" w:type="dxa"/>
            <w:vMerge w:val="continue"/>
            <w:tcBorders>
              <w:left w:val="single" w:color="auto" w:sz="4" w:space="0"/>
              <w:bottom w:val="single" w:color="auto" w:sz="4" w:space="0"/>
              <w:right w:val="single" w:color="auto" w:sz="4" w:space="0"/>
            </w:tcBorders>
            <w:noWrap/>
            <w:vAlign w:val="center"/>
          </w:tcPr>
          <w:p w14:paraId="622D38CA">
            <w:pPr>
              <w:rPr>
                <w:rFonts w:hint="eastAsia" w:ascii="宋体" w:hAnsi="宋体" w:eastAsia="宋体" w:cs="宋体"/>
                <w:color w:val="000000" w:themeColor="text1"/>
                <w:sz w:val="21"/>
                <w:szCs w:val="21"/>
                <w:highlight w:val="none"/>
                <w14:textFill>
                  <w14:solidFill>
                    <w14:schemeClr w14:val="tx1"/>
                  </w14:solidFill>
                </w14:textFill>
              </w:rPr>
            </w:pPr>
          </w:p>
        </w:tc>
      </w:tr>
      <w:tr w14:paraId="0D0A68CA">
        <w:tblPrEx>
          <w:tblCellMar>
            <w:top w:w="0" w:type="dxa"/>
            <w:left w:w="108" w:type="dxa"/>
            <w:bottom w:w="0" w:type="dxa"/>
            <w:right w:w="108" w:type="dxa"/>
          </w:tblCellMar>
        </w:tblPrEx>
        <w:trPr>
          <w:trHeight w:val="331" w:hRule="atLeast"/>
        </w:trPr>
        <w:tc>
          <w:tcPr>
            <w:tcW w:w="4595" w:type="dxa"/>
            <w:gridSpan w:val="2"/>
            <w:tcBorders>
              <w:top w:val="single" w:color="auto" w:sz="4" w:space="0"/>
              <w:left w:val="single" w:color="auto" w:sz="4" w:space="0"/>
              <w:bottom w:val="single" w:color="auto" w:sz="4" w:space="0"/>
              <w:right w:val="single" w:color="auto" w:sz="4" w:space="0"/>
            </w:tcBorders>
            <w:noWrap w:val="0"/>
            <w:vAlign w:val="center"/>
          </w:tcPr>
          <w:p w14:paraId="75FBEC88">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合计</w:t>
            </w:r>
          </w:p>
        </w:tc>
        <w:tc>
          <w:tcPr>
            <w:tcW w:w="2310" w:type="dxa"/>
            <w:gridSpan w:val="2"/>
            <w:tcBorders>
              <w:top w:val="single" w:color="auto" w:sz="4" w:space="0"/>
              <w:left w:val="single" w:color="auto" w:sz="4" w:space="0"/>
              <w:bottom w:val="single" w:color="auto" w:sz="4" w:space="0"/>
              <w:right w:val="single" w:color="auto" w:sz="4" w:space="0"/>
            </w:tcBorders>
            <w:noWrap w:val="0"/>
            <w:vAlign w:val="center"/>
          </w:tcPr>
          <w:p w14:paraId="0B1BC9B3">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 sum(C2:C26) \* MERGEFORMAT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135</w:t>
            </w:r>
            <w:r>
              <w:rPr>
                <w:rFonts w:hint="eastAsia" w:ascii="宋体" w:hAnsi="宋体" w:eastAsia="宋体" w:cs="宋体"/>
                <w:color w:val="000000" w:themeColor="text1"/>
                <w:sz w:val="21"/>
                <w:szCs w:val="21"/>
                <w:highlight w:val="none"/>
                <w14:textFill>
                  <w14:solidFill>
                    <w14:schemeClr w14:val="tx1"/>
                  </w14:solidFill>
                </w14:textFill>
              </w:rPr>
              <w:fldChar w:fldCharType="end"/>
            </w:r>
          </w:p>
        </w:tc>
        <w:tc>
          <w:tcPr>
            <w:tcW w:w="2933" w:type="dxa"/>
            <w:tcBorders>
              <w:top w:val="single" w:color="auto" w:sz="4" w:space="0"/>
              <w:left w:val="single" w:color="auto" w:sz="4" w:space="0"/>
              <w:bottom w:val="single" w:color="auto" w:sz="4" w:space="0"/>
              <w:right w:val="single" w:color="auto" w:sz="4" w:space="0"/>
            </w:tcBorders>
            <w:noWrap/>
            <w:vAlign w:val="center"/>
          </w:tcPr>
          <w:p w14:paraId="52BDD8DA">
            <w:pPr>
              <w:rPr>
                <w:rFonts w:hint="eastAsia" w:ascii="宋体" w:hAnsi="宋体" w:eastAsia="宋体" w:cs="宋体"/>
                <w:color w:val="000000" w:themeColor="text1"/>
                <w:sz w:val="21"/>
                <w:szCs w:val="21"/>
                <w:highlight w:val="none"/>
                <w14:textFill>
                  <w14:solidFill>
                    <w14:schemeClr w14:val="tx1"/>
                  </w14:solidFill>
                </w14:textFill>
              </w:rPr>
            </w:pPr>
          </w:p>
        </w:tc>
      </w:tr>
    </w:tbl>
    <w:p w14:paraId="774494E5">
      <w:pPr>
        <w:keepNext w:val="0"/>
        <w:keepLines w:val="0"/>
        <w:widowControl/>
        <w:suppressLineNumbers w:val="0"/>
        <w:snapToGrid w:val="0"/>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p>
    <w:p w14:paraId="2BA9ABE4">
      <w:pPr>
        <w:keepNext w:val="0"/>
        <w:keepLines w:val="0"/>
        <w:widowControl/>
        <w:suppressLineNumbers w:val="0"/>
        <w:autoSpaceDE w:val="0"/>
        <w:autoSpaceDN w:val="0"/>
        <w:snapToGrid w:val="0"/>
        <w:spacing w:before="0" w:beforeAutospacing="0" w:after="0" w:afterAutospacing="0" w:line="360" w:lineRule="auto"/>
        <w:ind w:left="0" w:right="0" w:firstLine="422" w:firstLineChars="200"/>
        <w:jc w:val="both"/>
        <w:outlineLvl w:val="2"/>
        <w:rPr>
          <w:rFonts w:hint="eastAsia" w:ascii="宋体" w:hAnsi="宋体" w:eastAsia="宋体" w:cs="宋体"/>
          <w:b/>
          <w:bCs w:val="0"/>
          <w:color w:val="000000" w:themeColor="text1"/>
          <w:sz w:val="21"/>
          <w:szCs w:val="21"/>
          <w:highlight w:val="none"/>
          <w:lang w:val="en-US"/>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1.4 服务内容及标准</w:t>
      </w:r>
    </w:p>
    <w:p w14:paraId="061B6B04">
      <w:pPr>
        <w:spacing w:line="360" w:lineRule="auto"/>
        <w:ind w:firstLine="422" w:firstLineChars="200"/>
        <w:jc w:val="left"/>
        <w:rPr>
          <w:rFonts w:hint="eastAsia" w:ascii="宋体" w:hAnsi="宋体" w:eastAsia="宋体" w:cs="宋体"/>
          <w:b/>
          <w:bCs/>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sz w:val="21"/>
          <w:szCs w:val="21"/>
          <w:highlight w:val="none"/>
          <w:u w:val="none"/>
          <w:lang w:val="en-US" w:eastAsia="zh-CN"/>
          <w14:textFill>
            <w14:solidFill>
              <w14:schemeClr w14:val="tx1"/>
            </w14:solidFill>
          </w14:textFill>
        </w:rPr>
        <w:t>1.4.1</w:t>
      </w:r>
      <w:r>
        <w:rPr>
          <w:rFonts w:hint="eastAsia" w:ascii="宋体" w:hAnsi="宋体" w:eastAsia="宋体" w:cs="宋体"/>
          <w:b/>
          <w:bCs/>
          <w:color w:val="000000" w:themeColor="text1"/>
          <w:sz w:val="21"/>
          <w:szCs w:val="21"/>
          <w:highlight w:val="none"/>
          <w:u w:val="none"/>
          <w14:textFill>
            <w14:solidFill>
              <w14:schemeClr w14:val="tx1"/>
            </w14:solidFill>
          </w14:textFill>
        </w:rPr>
        <w:t>服务内容</w:t>
      </w:r>
    </w:p>
    <w:p w14:paraId="09DD8891">
      <w:pPr>
        <w:spacing w:line="360" w:lineRule="auto"/>
        <w:ind w:firstLine="420" w:firstLineChars="200"/>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优越路院区所有正常工作区域的室内外卫生保洁及控烟服务，院内交通路面下水道抽排，暗沟的疏通，化粪池清理，生活垃圾的外运处置，宣传橱窗等的保洁以及突发事件的应急保洁，院区绿化养护，办公室、会议室、重大节日、大型活动期间楼前广场花卉购买及摆放。</w:t>
      </w:r>
    </w:p>
    <w:p w14:paraId="642D099A">
      <w:pPr>
        <w:spacing w:line="360" w:lineRule="auto"/>
        <w:ind w:firstLine="422" w:firstLineChars="200"/>
        <w:jc w:val="left"/>
        <w:rPr>
          <w:rFonts w:hint="eastAsia" w:ascii="宋体" w:hAnsi="宋体" w:eastAsia="宋体" w:cs="宋体"/>
          <w:b/>
          <w:bCs/>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sz w:val="21"/>
          <w:szCs w:val="21"/>
          <w:highlight w:val="none"/>
          <w:u w:val="none"/>
          <w:lang w:val="en-US" w:eastAsia="zh-CN"/>
          <w14:textFill>
            <w14:solidFill>
              <w14:schemeClr w14:val="tx1"/>
            </w14:solidFill>
          </w14:textFill>
        </w:rPr>
        <w:t>1.4.2</w:t>
      </w:r>
      <w:r>
        <w:rPr>
          <w:rFonts w:hint="eastAsia" w:ascii="宋体" w:hAnsi="宋体" w:eastAsia="宋体" w:cs="宋体"/>
          <w:b/>
          <w:bCs/>
          <w:color w:val="000000" w:themeColor="text1"/>
          <w:sz w:val="21"/>
          <w:szCs w:val="21"/>
          <w:highlight w:val="none"/>
          <w:u w:val="none"/>
          <w14:textFill>
            <w14:solidFill>
              <w14:schemeClr w14:val="tx1"/>
            </w14:solidFill>
          </w14:textFill>
        </w:rPr>
        <w:t>服务要求</w:t>
      </w:r>
    </w:p>
    <w:p w14:paraId="4C44F034">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1、医院所有工作区域的室内外卫生保洁及生活垃圾的收集、存放、运送（运至院方指定位置）；</w:t>
      </w:r>
    </w:p>
    <w:p w14:paraId="00449001">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2、保洁人员的工作时间段：白班早6:30-11:00,13:30-17:00，夜班时间晚上17:00-次日早6:30；管理人员则按照节假日工作时间安排；急诊部、特定科室保洁员则执行全天24小时的值班制度；</w:t>
      </w:r>
    </w:p>
    <w:p w14:paraId="0674DEDC">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3、控烟服务，保持常态化机制，配置专职及兼职控烟员，时间随保洁员工作时间；</w:t>
      </w:r>
    </w:p>
    <w:p w14:paraId="53B0C594">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4、公共卫生间，配置专职人员，6:30--22:00保持干净无异味；</w:t>
      </w:r>
    </w:p>
    <w:p w14:paraId="25E7C60B">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5、保洁人员职数按甲方岗位要求配置到位，保持人员相对稳定，不允许缺岗、空岗；做好岗位培训，提高员工素质；</w:t>
      </w:r>
    </w:p>
    <w:p w14:paraId="3B03ADD8">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6、配置医用毛巾、地巾清洗消毒的设备（隔离式洗衣机和烘干机），对毛巾、地巾等进行集中消毒处理；</w:t>
      </w:r>
    </w:p>
    <w:p w14:paraId="284B164C">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7、所有保洁用设备、物料、药剂、垃圾（桶）篓、垃圾袋等由乙方负责免费提供，并且符合国家技术监督部门检测合格；</w:t>
      </w:r>
    </w:p>
    <w:p w14:paraId="4946C24A">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8、具体清洁卫生管理要求见附件。</w:t>
      </w:r>
    </w:p>
    <w:p w14:paraId="708BA4C4">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注：1、卫生保洁工作符合附件一的要求；</w:t>
      </w:r>
    </w:p>
    <w:p w14:paraId="05E0B067">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 保洁管理工作符合附件二的要求；</w:t>
      </w:r>
    </w:p>
    <w:p w14:paraId="2ED9D473">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3、 保洁服务频率符合附件三的要求；</w:t>
      </w:r>
    </w:p>
    <w:p w14:paraId="5A18E73E">
      <w:pPr>
        <w:spacing w:line="360" w:lineRule="auto"/>
        <w:ind w:firstLine="422" w:firstLineChars="200"/>
        <w:jc w:val="left"/>
        <w:rPr>
          <w:rFonts w:hint="eastAsia" w:ascii="宋体" w:hAnsi="宋体" w:eastAsia="宋体" w:cs="宋体"/>
          <w:b/>
          <w:bCs/>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u w:val="none"/>
          <w:lang w:val="en-US" w:eastAsia="zh-CN"/>
          <w14:textFill>
            <w14:solidFill>
              <w14:schemeClr w14:val="tx1"/>
            </w14:solidFill>
          </w14:textFill>
        </w:rPr>
        <w:t>1.4.3其他要求：</w:t>
      </w:r>
    </w:p>
    <w:p w14:paraId="4400B790">
      <w:pPr>
        <w:spacing w:line="360" w:lineRule="auto"/>
        <w:ind w:firstLine="420" w:firstLineChars="200"/>
        <w:jc w:val="left"/>
        <w:rPr>
          <w:rFonts w:hint="eastAsia" w:ascii="宋体" w:hAnsi="宋体" w:eastAsia="宋体" w:cs="宋体"/>
          <w:color w:val="000000" w:themeColor="text1"/>
          <w:sz w:val="21"/>
          <w:szCs w:val="21"/>
          <w:highlight w:val="none"/>
          <w:u w:val="none"/>
          <w:lang w:val="en-US"/>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1、针对医院提出的各项物业相关问题，将迅速作出回应；</w:t>
      </w:r>
    </w:p>
    <w:p w14:paraId="0494DE67">
      <w:pPr>
        <w:spacing w:line="360" w:lineRule="auto"/>
        <w:ind w:firstLine="420" w:firstLineChars="200"/>
        <w:jc w:val="left"/>
        <w:rPr>
          <w:rFonts w:hint="eastAsia" w:ascii="宋体" w:hAnsi="宋体" w:eastAsia="宋体" w:cs="宋体"/>
          <w:color w:val="000000" w:themeColor="text1"/>
          <w:sz w:val="21"/>
          <w:szCs w:val="21"/>
          <w:highlight w:val="none"/>
          <w:u w:val="none"/>
          <w:lang w:val="en-US"/>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2、依据医院的反馈，持续对服务流程进行调整与优化，以提升服务质量；</w:t>
      </w:r>
    </w:p>
    <w:p w14:paraId="797AF3C5">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3、为物业工作人员提供持续的培训，确保保洁人员充分理解最新的医疗环境要求及安全标准；</w:t>
      </w:r>
    </w:p>
    <w:p w14:paraId="37C5613F">
      <w:pPr>
        <w:spacing w:line="360" w:lineRule="auto"/>
        <w:ind w:firstLine="420" w:firstLineChars="200"/>
        <w:jc w:val="left"/>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4、制定紧急事件应急预案及处理方案，确保医院的正常运营不受影响。</w:t>
      </w:r>
    </w:p>
    <w:p w14:paraId="33767A68">
      <w:pPr>
        <w:keepNext/>
        <w:keepLines/>
        <w:widowControl w:val="0"/>
        <w:suppressLineNumbers w:val="0"/>
        <w:snapToGrid w:val="0"/>
        <w:spacing w:before="0" w:beforeAutospacing="0" w:after="0" w:afterAutospacing="0" w:line="360" w:lineRule="auto"/>
        <w:ind w:left="0" w:right="0" w:firstLine="422" w:firstLineChars="200"/>
        <w:jc w:val="both"/>
        <w:outlineLvl w:val="1"/>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2.商务要求</w:t>
      </w:r>
      <w:bookmarkEnd w:id="755"/>
    </w:p>
    <w:p w14:paraId="491975D7">
      <w:pPr>
        <w:keepNext w:val="0"/>
        <w:keepLines w:val="0"/>
        <w:widowControl/>
        <w:suppressLineNumbers w:val="0"/>
        <w:autoSpaceDE w:val="0"/>
        <w:autoSpaceDN w:val="0"/>
        <w:snapToGrid w:val="0"/>
        <w:spacing w:before="0" w:beforeAutospacing="0" w:after="0" w:afterAutospacing="0" w:line="360" w:lineRule="auto"/>
        <w:ind w:left="0" w:leftChars="0" w:right="0" w:firstLine="316" w:firstLineChars="150"/>
        <w:jc w:val="both"/>
        <w:outlineLvl w:val="2"/>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2.1 服务期限</w:t>
      </w:r>
    </w:p>
    <w:p w14:paraId="30655234">
      <w:pPr>
        <w:numPr>
          <w:ilvl w:val="0"/>
          <w:numId w:val="0"/>
        </w:numPr>
        <w:spacing w:line="360" w:lineRule="auto"/>
        <w:ind w:left="0" w:leftChars="0" w:firstLine="315" w:firstLineChars="150"/>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3 年（合同一年一签订，达到采购人要求后续签）。</w:t>
      </w:r>
    </w:p>
    <w:p w14:paraId="3504ED1C">
      <w:pPr>
        <w:keepNext w:val="0"/>
        <w:keepLines w:val="0"/>
        <w:widowControl/>
        <w:suppressLineNumbers w:val="0"/>
        <w:autoSpaceDE w:val="0"/>
        <w:autoSpaceDN w:val="0"/>
        <w:snapToGrid w:val="0"/>
        <w:spacing w:before="0" w:beforeAutospacing="0" w:after="0" w:afterAutospacing="0" w:line="360" w:lineRule="auto"/>
        <w:ind w:left="0" w:leftChars="0" w:right="0" w:firstLine="316" w:firstLineChars="150"/>
        <w:jc w:val="both"/>
        <w:outlineLvl w:val="2"/>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2.2 付款方式</w:t>
      </w:r>
    </w:p>
    <w:p w14:paraId="36BEDCA3">
      <w:pPr>
        <w:numPr>
          <w:ilvl w:val="0"/>
          <w:numId w:val="0"/>
        </w:numPr>
        <w:spacing w:line="360" w:lineRule="auto"/>
        <w:ind w:left="0" w:leftChars="0" w:firstLine="315" w:firstLineChars="150"/>
        <w:jc w:val="left"/>
        <w:rPr>
          <w:rFonts w:hint="eastAsia" w:ascii="宋体" w:hAnsi="宋体" w:eastAsia="宋体" w:cs="宋体"/>
          <w:color w:val="000000" w:themeColor="text1"/>
          <w:sz w:val="21"/>
          <w:szCs w:val="21"/>
          <w:highlight w:val="none"/>
          <w:u w:val="none"/>
          <w:lang w:eastAsia="zh-CN"/>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以每年物业管理服务费总额的1%作为绩效考核金。每月5日为上月管理服务费结算日，每月付款前甲方应对乙方的各项服务内容进行考核，满分100分，每扣一分按20</w:t>
      </w:r>
      <w:r>
        <w:rPr>
          <w:rFonts w:hint="eastAsia" w:ascii="宋体" w:hAnsi="宋体" w:cs="宋体"/>
          <w:color w:val="000000" w:themeColor="text1"/>
          <w:sz w:val="21"/>
          <w:szCs w:val="21"/>
          <w:highlight w:val="none"/>
          <w:u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u w:val="none"/>
          <w14:textFill>
            <w14:solidFill>
              <w14:schemeClr w14:val="tx1"/>
            </w14:solidFill>
          </w14:textFill>
        </w:rPr>
        <w:t>元进行罚款，从当月管理服务费中扣除。甲方每月进行满意度考核，基本满意度低于90%时，每下降1%，</w:t>
      </w:r>
      <w:r>
        <w:rPr>
          <w:rFonts w:hint="eastAsia" w:ascii="宋体" w:hAnsi="宋体" w:cs="宋体"/>
          <w:color w:val="000000" w:themeColor="text1"/>
          <w:sz w:val="21"/>
          <w:szCs w:val="21"/>
          <w:highlight w:val="none"/>
          <w:u w:val="none"/>
          <w:lang w:val="en-US" w:eastAsia="zh-CN"/>
          <w14:textFill>
            <w14:solidFill>
              <w14:schemeClr w14:val="tx1"/>
            </w14:solidFill>
          </w14:textFill>
        </w:rPr>
        <w:t>按</w:t>
      </w:r>
      <w:r>
        <w:rPr>
          <w:rFonts w:hint="eastAsia" w:ascii="宋体" w:hAnsi="宋体" w:eastAsia="宋体" w:cs="宋体"/>
          <w:color w:val="000000" w:themeColor="text1"/>
          <w:sz w:val="21"/>
          <w:szCs w:val="21"/>
          <w:highlight w:val="none"/>
          <w:u w:val="none"/>
          <w14:textFill>
            <w14:solidFill>
              <w14:schemeClr w14:val="tx1"/>
            </w14:solidFill>
          </w14:textFill>
        </w:rPr>
        <w:t>200元进行罚款。考核达标后，乙方</w:t>
      </w:r>
      <w:r>
        <w:rPr>
          <w:rFonts w:hint="eastAsia" w:ascii="宋体" w:hAnsi="宋体" w:cs="宋体"/>
          <w:color w:val="000000" w:themeColor="text1"/>
          <w:sz w:val="21"/>
          <w:szCs w:val="21"/>
          <w:highlight w:val="none"/>
          <w:u w:val="none"/>
          <w:lang w:val="en-US" w:eastAsia="zh-CN"/>
          <w14:textFill>
            <w14:solidFill>
              <w14:schemeClr w14:val="tx1"/>
            </w14:solidFill>
          </w14:textFill>
        </w:rPr>
        <w:t>提供</w:t>
      </w:r>
      <w:r>
        <w:rPr>
          <w:rFonts w:hint="eastAsia" w:ascii="宋体" w:hAnsi="宋体" w:eastAsia="宋体" w:cs="宋体"/>
          <w:color w:val="000000" w:themeColor="text1"/>
          <w:sz w:val="21"/>
          <w:szCs w:val="21"/>
          <w:highlight w:val="none"/>
          <w:u w:val="none"/>
          <w14:textFill>
            <w14:solidFill>
              <w14:schemeClr w14:val="tx1"/>
            </w14:solidFill>
          </w14:textFill>
        </w:rPr>
        <w:t>完税发票，甲方按月结算金额支付费用到乙方指定的银行账号，支付时间为当月10日前（考核评定标准详见附件四）</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p>
    <w:p w14:paraId="18708D02">
      <w:pPr>
        <w:keepNext w:val="0"/>
        <w:keepLines w:val="0"/>
        <w:widowControl/>
        <w:suppressLineNumbers w:val="0"/>
        <w:autoSpaceDE w:val="0"/>
        <w:autoSpaceDN w:val="0"/>
        <w:snapToGrid w:val="0"/>
        <w:spacing w:before="0" w:beforeAutospacing="0" w:after="0" w:afterAutospacing="0" w:line="360" w:lineRule="auto"/>
        <w:ind w:left="0" w:leftChars="0" w:right="0" w:firstLine="316" w:firstLineChars="150"/>
        <w:jc w:val="both"/>
        <w:outlineLvl w:val="2"/>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2.3 验收标准与要求</w:t>
      </w:r>
    </w:p>
    <w:p w14:paraId="41E29705">
      <w:pPr>
        <w:numPr>
          <w:ilvl w:val="0"/>
          <w:numId w:val="0"/>
        </w:numPr>
        <w:spacing w:line="360" w:lineRule="auto"/>
        <w:ind w:left="0" w:leftChars="0" w:firstLine="276" w:firstLineChars="131"/>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（1）履约验收主体</w:t>
      </w:r>
    </w:p>
    <w:p w14:paraId="7BD043E6">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平顶山市第一人民医院</w:t>
      </w:r>
    </w:p>
    <w:p w14:paraId="51594FBD">
      <w:pPr>
        <w:numPr>
          <w:ilvl w:val="0"/>
          <w:numId w:val="0"/>
        </w:numPr>
        <w:spacing w:line="360" w:lineRule="auto"/>
        <w:ind w:left="0" w:leftChars="0" w:firstLine="276" w:firstLineChars="131"/>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（2）履约验收时间</w:t>
      </w:r>
    </w:p>
    <w:p w14:paraId="1BC1C222">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项目符合以下验收条件时进行验收：①中标人已完成采购合同约定的各项服务内容；②验收所需的技术、管理等资料齐全；③具备采购合同约定的其他考核、验收条件。</w:t>
      </w:r>
    </w:p>
    <w:p w14:paraId="3D6A8495">
      <w:pPr>
        <w:numPr>
          <w:ilvl w:val="0"/>
          <w:numId w:val="0"/>
        </w:numPr>
        <w:spacing w:line="360" w:lineRule="auto"/>
        <w:ind w:left="0" w:leftChars="0" w:firstLine="276" w:firstLineChars="131"/>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（3）履约验收方式</w:t>
      </w:r>
    </w:p>
    <w:p w14:paraId="0E0D9181">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①验收方法：采购人考核验收。</w:t>
      </w:r>
    </w:p>
    <w:p w14:paraId="1A377246">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②采购人组织验收小组对采购合同要求的所有采购内容</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按月</w:t>
      </w:r>
      <w:r>
        <w:rPr>
          <w:rFonts w:hint="eastAsia" w:ascii="宋体" w:hAnsi="宋体" w:eastAsia="宋体" w:cs="宋体"/>
          <w:color w:val="000000" w:themeColor="text1"/>
          <w:sz w:val="21"/>
          <w:szCs w:val="21"/>
          <w:highlight w:val="none"/>
          <w:u w:val="none"/>
          <w14:textFill>
            <w14:solidFill>
              <w14:schemeClr w14:val="tx1"/>
            </w14:solidFill>
          </w14:textFill>
        </w:rPr>
        <w:t>考核验收，考核验收合格的按合同约定进行资金支付。</w:t>
      </w:r>
    </w:p>
    <w:p w14:paraId="5A238563">
      <w:pPr>
        <w:numPr>
          <w:ilvl w:val="0"/>
          <w:numId w:val="0"/>
        </w:numPr>
        <w:spacing w:line="360" w:lineRule="auto"/>
        <w:ind w:left="0" w:leftChars="0" w:firstLine="276" w:firstLineChars="131"/>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（4）履约验收程序</w:t>
      </w:r>
    </w:p>
    <w:p w14:paraId="0D8D6E8D">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①提起验收申请。经采购人确认，采购合同的实施符合合同约定的履约验收条件，且中标人自验合格的，中标人应及时向采购人书面提起验收申请。</w:t>
      </w:r>
    </w:p>
    <w:p w14:paraId="08A301B8">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②成立验收小组。采购人成立验收小组负责具体验收事宜，出具验收报告。</w:t>
      </w:r>
    </w:p>
    <w:p w14:paraId="654E58B5">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③编写验收计划。按照采购项目的履约验收方案编写验收计划。由中标人编写验收计划的，应提交采购人确认。</w:t>
      </w:r>
    </w:p>
    <w:p w14:paraId="6D97896C">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④组织验收。验收小组按照采购项目的履约验收方案进行验收。中标人应提供项目验收相关技术、管理等资料，并协助验收小组开展验收。</w:t>
      </w:r>
    </w:p>
    <w:p w14:paraId="3FEC2E61">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⑤提交验收报告。采购项目验收完毕，验收小组出具验收报告。</w:t>
      </w:r>
    </w:p>
    <w:p w14:paraId="00616992">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⑥验收结果公告。</w:t>
      </w:r>
    </w:p>
    <w:p w14:paraId="0B12EF8A">
      <w:pPr>
        <w:numPr>
          <w:ilvl w:val="0"/>
          <w:numId w:val="0"/>
        </w:numPr>
        <w:spacing w:line="360" w:lineRule="auto"/>
        <w:ind w:left="0" w:leftChars="0" w:firstLine="276" w:firstLineChars="131"/>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（5）履约验收内容</w:t>
      </w:r>
    </w:p>
    <w:p w14:paraId="5378FAFE">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采购需求中的每一项技术、服务、安全等指标。</w:t>
      </w:r>
    </w:p>
    <w:p w14:paraId="43D71B56">
      <w:pPr>
        <w:numPr>
          <w:ilvl w:val="0"/>
          <w:numId w:val="0"/>
        </w:numPr>
        <w:spacing w:line="360" w:lineRule="auto"/>
        <w:ind w:left="0" w:leftChars="0" w:firstLine="276" w:firstLineChars="131"/>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（6）履约验收标准</w:t>
      </w:r>
    </w:p>
    <w:p w14:paraId="08E669CC">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符合国家现行法律法规、相关行业标准规范，满足采购人要求。</w:t>
      </w:r>
    </w:p>
    <w:p w14:paraId="27E354C8">
      <w:pPr>
        <w:numPr>
          <w:ilvl w:val="0"/>
          <w:numId w:val="0"/>
        </w:numPr>
        <w:spacing w:line="360" w:lineRule="auto"/>
        <w:ind w:left="0" w:leftChars="0" w:firstLine="276" w:firstLineChars="131"/>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（7）履约验收其他事项</w:t>
      </w:r>
    </w:p>
    <w:p w14:paraId="49C09A63">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①验收过程中应保持客观公正的态度，严格按照合同和验收标准执行。②验收过程中发现的问题应及时记录并通知中标人进行整改。③验收报告应详细记录验收过程、结果和整改情况，并作为项目结算的依据。④若中标人在验收过程中存在严重违约行为或无法按时整改问题，采购方有权要求解除合同并追究其法律责任。</w:t>
      </w:r>
    </w:p>
    <w:p w14:paraId="25085309">
      <w:pPr>
        <w:keepNext/>
        <w:keepLines/>
        <w:widowControl w:val="0"/>
        <w:suppressLineNumbers w:val="0"/>
        <w:snapToGrid w:val="0"/>
        <w:spacing w:before="0" w:beforeAutospacing="0" w:after="0" w:afterAutospacing="0" w:line="360" w:lineRule="auto"/>
        <w:ind w:left="0" w:right="0" w:firstLine="422" w:firstLineChars="200"/>
        <w:jc w:val="both"/>
        <w:outlineLvl w:val="1"/>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3.需要说明的其他事项</w:t>
      </w:r>
    </w:p>
    <w:p w14:paraId="6982EEA4">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（1）用人单位支付劳动者的工资不得低于当地最低工资标准。物业公司自行负责招聘职工，且按照国家法规签订劳动合同，并按规定为其交纳相关保险。</w:t>
      </w:r>
    </w:p>
    <w:p w14:paraId="00022280">
      <w:pPr>
        <w:numPr>
          <w:ilvl w:val="0"/>
          <w:numId w:val="0"/>
        </w:numPr>
        <w:spacing w:line="360" w:lineRule="auto"/>
        <w:ind w:left="0" w:leftChars="0" w:firstLine="275" w:firstLineChars="131"/>
        <w:jc w:val="left"/>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（2）中标人必须加强员工的管理，在服务过程中员工出现的一切问题（如员工的安全、纠纷等）由中标人自行负责解决。</w:t>
      </w:r>
    </w:p>
    <w:p w14:paraId="56BF03EF">
      <w:pPr>
        <w:numPr>
          <w:ilvl w:val="0"/>
          <w:numId w:val="0"/>
        </w:numPr>
        <w:spacing w:line="560" w:lineRule="exact"/>
        <w:ind w:left="0" w:leftChars="0" w:firstLine="275" w:firstLineChars="131"/>
        <w:jc w:val="left"/>
        <w:rPr>
          <w:rFonts w:hint="eastAsia" w:ascii="宋体" w:hAnsi="宋体" w:eastAsia="宋体" w:cs="宋体"/>
          <w:color w:val="000000" w:themeColor="text1"/>
          <w:sz w:val="21"/>
          <w:szCs w:val="21"/>
          <w:highlight w:val="none"/>
          <w14:textFill>
            <w14:solidFill>
              <w14:schemeClr w14:val="tx1"/>
            </w14:solidFill>
          </w14:textFill>
        </w:rPr>
      </w:pPr>
    </w:p>
    <w:p w14:paraId="677FDCD1">
      <w:pPr>
        <w:numPr>
          <w:ilvl w:val="0"/>
          <w:numId w:val="0"/>
        </w:numPr>
        <w:spacing w:line="560" w:lineRule="exact"/>
        <w:ind w:left="0" w:leftChars="0" w:firstLine="275" w:firstLineChars="131"/>
        <w:jc w:val="left"/>
        <w:rPr>
          <w:rFonts w:hint="eastAsia" w:ascii="宋体" w:hAnsi="宋体" w:eastAsia="宋体" w:cs="宋体"/>
          <w:color w:val="000000" w:themeColor="text1"/>
          <w:sz w:val="21"/>
          <w:szCs w:val="21"/>
          <w:highlight w:val="none"/>
          <w14:textFill>
            <w14:solidFill>
              <w14:schemeClr w14:val="tx1"/>
            </w14:solidFill>
          </w14:textFill>
        </w:rPr>
      </w:pPr>
    </w:p>
    <w:p w14:paraId="205B5B30">
      <w:pPr>
        <w:numPr>
          <w:ilvl w:val="0"/>
          <w:numId w:val="0"/>
        </w:numPr>
        <w:spacing w:line="560" w:lineRule="exact"/>
        <w:ind w:left="0" w:leftChars="0" w:firstLine="275" w:firstLineChars="131"/>
        <w:jc w:val="left"/>
        <w:rPr>
          <w:rFonts w:hint="eastAsia" w:ascii="宋体" w:hAnsi="宋体" w:eastAsia="宋体" w:cs="宋体"/>
          <w:color w:val="000000" w:themeColor="text1"/>
          <w:sz w:val="21"/>
          <w:szCs w:val="21"/>
          <w:highlight w:val="none"/>
          <w14:textFill>
            <w14:solidFill>
              <w14:schemeClr w14:val="tx1"/>
            </w14:solidFill>
          </w14:textFill>
        </w:rPr>
      </w:pPr>
    </w:p>
    <w:p w14:paraId="1CAFEC29">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41F0A91E">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2C711327">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6CAB6464">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65A9A4A7">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20F9B364">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5953F971">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50AE3D04">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71B54810">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137BE205">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3A6AD22D">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31CA668F">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5EE471F5">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0BF47032">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10A30191">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74C878FE">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22EEDCA4">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13E85914">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7B17530E">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3CFF1C04">
      <w:pPr>
        <w:numPr>
          <w:ilvl w:val="0"/>
          <w:numId w:val="0"/>
        </w:numPr>
        <w:spacing w:line="560" w:lineRule="exact"/>
        <w:ind w:left="0" w:leftChars="0" w:firstLine="314" w:firstLineChars="131"/>
        <w:jc w:val="left"/>
        <w:rPr>
          <w:rFonts w:hint="eastAsia" w:ascii="宋体" w:hAnsi="宋体" w:eastAsia="宋体" w:cs="宋体"/>
          <w:color w:val="000000" w:themeColor="text1"/>
          <w:sz w:val="24"/>
          <w:szCs w:val="24"/>
          <w:highlight w:val="none"/>
          <w14:textFill>
            <w14:solidFill>
              <w14:schemeClr w14:val="tx1"/>
            </w14:solidFill>
          </w14:textFill>
        </w:rPr>
      </w:pPr>
    </w:p>
    <w:p w14:paraId="495C570F">
      <w:pPr>
        <w:adjustRightInd w:val="0"/>
        <w:spacing w:before="240" w:after="60" w:line="420" w:lineRule="atLeast"/>
        <w:jc w:val="center"/>
        <w:outlineLvl w:val="0"/>
        <w:rPr>
          <w:rStyle w:val="26"/>
          <w:rFonts w:hint="eastAsia" w:ascii="宋体" w:hAnsi="宋体" w:eastAsia="宋体" w:cs="宋体"/>
          <w:color w:val="000000" w:themeColor="text1"/>
          <w:sz w:val="40"/>
          <w:szCs w:val="40"/>
          <w:highlight w:val="none"/>
          <w14:textFill>
            <w14:solidFill>
              <w14:schemeClr w14:val="tx1"/>
            </w14:solidFill>
          </w14:textFill>
        </w:rPr>
      </w:pPr>
      <w:bookmarkStart w:id="757" w:name="_Toc179632806"/>
      <w:bookmarkStart w:id="758" w:name="_Toc152042575"/>
      <w:bookmarkStart w:id="759" w:name="_Toc144974855"/>
      <w:bookmarkStart w:id="760" w:name="_Toc247085872"/>
      <w:bookmarkStart w:id="761" w:name="_Toc9815"/>
      <w:bookmarkStart w:id="762" w:name="_Toc11416"/>
      <w:bookmarkStart w:id="763" w:name="_Toc13442"/>
      <w:bookmarkStart w:id="764" w:name="_Toc246997097"/>
      <w:bookmarkStart w:id="765" w:name="_Toc152045786"/>
      <w:bookmarkStart w:id="766" w:name="_Toc246996354"/>
      <w:r>
        <w:rPr>
          <w:rStyle w:val="26"/>
          <w:rFonts w:hint="eastAsia" w:ascii="宋体" w:hAnsi="宋体" w:eastAsia="宋体" w:cs="宋体"/>
          <w:color w:val="000000" w:themeColor="text1"/>
          <w:sz w:val="40"/>
          <w:szCs w:val="40"/>
          <w:highlight w:val="none"/>
          <w14:textFill>
            <w14:solidFill>
              <w14:schemeClr w14:val="tx1"/>
            </w14:solidFill>
          </w14:textFill>
        </w:rPr>
        <w:t xml:space="preserve"> </w:t>
      </w:r>
      <w:bookmarkStart w:id="767" w:name="_Toc19317"/>
      <w:r>
        <w:rPr>
          <w:rStyle w:val="26"/>
          <w:rFonts w:hint="eastAsia" w:ascii="宋体" w:hAnsi="宋体" w:eastAsia="宋体" w:cs="宋体"/>
          <w:color w:val="000000" w:themeColor="text1"/>
          <w:sz w:val="40"/>
          <w:szCs w:val="40"/>
          <w:highlight w:val="none"/>
          <w:lang w:val="en-US" w:eastAsia="zh-CN"/>
          <w14:textFill>
            <w14:solidFill>
              <w14:schemeClr w14:val="tx1"/>
            </w14:solidFill>
          </w14:textFill>
        </w:rPr>
        <w:t xml:space="preserve">第五章  </w:t>
      </w:r>
      <w:r>
        <w:rPr>
          <w:rStyle w:val="26"/>
          <w:rFonts w:hint="eastAsia" w:ascii="宋体" w:hAnsi="宋体" w:eastAsia="宋体" w:cs="宋体"/>
          <w:color w:val="000000" w:themeColor="text1"/>
          <w:sz w:val="40"/>
          <w:szCs w:val="40"/>
          <w:highlight w:val="none"/>
          <w14:textFill>
            <w14:solidFill>
              <w14:schemeClr w14:val="tx1"/>
            </w14:solidFill>
          </w14:textFill>
        </w:rPr>
        <w:t>合同条款</w:t>
      </w:r>
      <w:bookmarkEnd w:id="767"/>
    </w:p>
    <w:p w14:paraId="3315C613">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34ED9B96">
      <w:pPr>
        <w:spacing w:line="360" w:lineRule="auto"/>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平顶山市第一人民医院物业管理服务合同</w:t>
      </w:r>
    </w:p>
    <w:p w14:paraId="5F6C9458">
      <w:pPr>
        <w:spacing w:line="360" w:lineRule="auto"/>
        <w:jc w:val="center"/>
        <w:rPr>
          <w:rFonts w:hint="eastAsia"/>
          <w:color w:val="000000" w:themeColor="text1"/>
          <w:highlight w:val="none"/>
          <w:lang w:val="en-US" w:eastAsia="zh-CN"/>
          <w14:textFill>
            <w14:solidFill>
              <w14:schemeClr w14:val="tx1"/>
            </w14:solidFill>
          </w14:textFill>
        </w:rPr>
      </w:pPr>
    </w:p>
    <w:p w14:paraId="5460D2AE">
      <w:pPr>
        <w:spacing w:line="360" w:lineRule="auto"/>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pPr>
      <w:r>
        <w:rPr>
          <w:rFonts w:hint="eastAsia" w:ascii="宋体" w:hAnsi="宋体" w:eastAsia="宋体" w:cs="宋体"/>
          <w:b/>
          <w:bCs/>
          <w:color w:val="000000" w:themeColor="text1"/>
          <w:spacing w:val="20"/>
          <w:sz w:val="21"/>
          <w:szCs w:val="21"/>
          <w:highlight w:val="none"/>
          <w14:textFill>
            <w14:solidFill>
              <w14:schemeClr w14:val="tx1"/>
            </w14:solidFill>
          </w14:textFill>
        </w:rPr>
        <w:t>甲方</w:t>
      </w:r>
      <w:r>
        <w:rPr>
          <w:rFonts w:hint="eastAsia" w:ascii="宋体" w:hAnsi="宋体" w:eastAsia="宋体" w:cs="宋体"/>
          <w:color w:val="000000" w:themeColor="text1"/>
          <w:spacing w:val="20"/>
          <w:sz w:val="21"/>
          <w:szCs w:val="21"/>
          <w:highlight w:val="none"/>
          <w14:textFill>
            <w14:solidFill>
              <w14:schemeClr w14:val="tx1"/>
            </w14:solidFill>
          </w14:textFill>
        </w:rPr>
        <w:t>：</w:t>
      </w:r>
      <w:r>
        <w:rPr>
          <w:rFonts w:hint="eastAsia" w:ascii="宋体" w:hAnsi="宋体" w:eastAsia="宋体" w:cs="宋体"/>
          <w:color w:val="000000" w:themeColor="text1"/>
          <w:spacing w:val="20"/>
          <w:sz w:val="21"/>
          <w:szCs w:val="21"/>
          <w:highlight w:val="none"/>
          <w:u w:val="single"/>
          <w14:textFill>
            <w14:solidFill>
              <w14:schemeClr w14:val="tx1"/>
            </w14:solidFill>
          </w14:textFill>
        </w:rPr>
        <w:t>平顶山市第一人民医院</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p>
    <w:p w14:paraId="22B8942A">
      <w:pPr>
        <w:spacing w:line="360" w:lineRule="auto"/>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b/>
          <w:bCs/>
          <w:color w:val="000000" w:themeColor="text1"/>
          <w:spacing w:val="20"/>
          <w:sz w:val="21"/>
          <w:szCs w:val="21"/>
          <w:highlight w:val="none"/>
          <w14:textFill>
            <w14:solidFill>
              <w14:schemeClr w14:val="tx1"/>
            </w14:solidFill>
          </w14:textFill>
        </w:rPr>
        <w:t>地址：</w:t>
      </w:r>
      <w:r>
        <w:rPr>
          <w:rFonts w:hint="eastAsia" w:ascii="宋体" w:hAnsi="宋体" w:eastAsia="宋体" w:cs="宋体"/>
          <w:color w:val="000000" w:themeColor="text1"/>
          <w:spacing w:val="20"/>
          <w:sz w:val="21"/>
          <w:szCs w:val="21"/>
          <w:highlight w:val="none"/>
          <w:u w:val="single"/>
          <w14:textFill>
            <w14:solidFill>
              <w14:schemeClr w14:val="tx1"/>
            </w14:solidFill>
          </w14:textFill>
        </w:rPr>
        <w:t>平顶山市卫东区优越路117号院</w:t>
      </w:r>
    </w:p>
    <w:p w14:paraId="79C9A9B3">
      <w:pPr>
        <w:spacing w:line="360" w:lineRule="auto"/>
        <w:rPr>
          <w:rFonts w:hint="eastAsia" w:ascii="宋体" w:hAnsi="宋体" w:eastAsia="宋体" w:cs="宋体"/>
          <w:color w:val="000000" w:themeColor="text1"/>
          <w:spacing w:val="20"/>
          <w:sz w:val="21"/>
          <w:szCs w:val="21"/>
          <w:highlight w:val="none"/>
          <w14:textFill>
            <w14:solidFill>
              <w14:schemeClr w14:val="tx1"/>
            </w14:solidFill>
          </w14:textFill>
        </w:rPr>
      </w:pPr>
    </w:p>
    <w:p w14:paraId="6B48C1DE">
      <w:pPr>
        <w:spacing w:line="360" w:lineRule="auto"/>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pPr>
      <w:r>
        <w:rPr>
          <w:rFonts w:hint="eastAsia" w:ascii="宋体" w:hAnsi="宋体" w:eastAsia="宋体" w:cs="宋体"/>
          <w:b/>
          <w:bCs/>
          <w:color w:val="000000" w:themeColor="text1"/>
          <w:spacing w:val="20"/>
          <w:sz w:val="21"/>
          <w:szCs w:val="21"/>
          <w:highlight w:val="none"/>
          <w14:textFill>
            <w14:solidFill>
              <w14:schemeClr w14:val="tx1"/>
            </w14:solidFill>
          </w14:textFill>
        </w:rPr>
        <w:t>乙方：</w:t>
      </w:r>
      <w:r>
        <w:rPr>
          <w:rFonts w:hint="eastAsia" w:ascii="宋体" w:hAnsi="宋体" w:eastAsia="宋体" w:cs="宋体"/>
          <w:b/>
          <w:bCs/>
          <w:color w:val="000000" w:themeColor="text1"/>
          <w:spacing w:val="20"/>
          <w:sz w:val="21"/>
          <w:szCs w:val="21"/>
          <w:highlight w:val="none"/>
          <w:u w:val="single"/>
          <w:lang w:val="en-US" w:eastAsia="zh-CN"/>
          <w14:textFill>
            <w14:solidFill>
              <w14:schemeClr w14:val="tx1"/>
            </w14:solidFill>
          </w14:textFill>
        </w:rPr>
        <w:t xml:space="preserve">                        </w:t>
      </w:r>
    </w:p>
    <w:p w14:paraId="7143C22D">
      <w:pPr>
        <w:spacing w:line="360" w:lineRule="auto"/>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pPr>
      <w:r>
        <w:rPr>
          <w:rFonts w:hint="eastAsia" w:ascii="宋体" w:hAnsi="宋体" w:eastAsia="宋体" w:cs="宋体"/>
          <w:b/>
          <w:bCs/>
          <w:color w:val="000000" w:themeColor="text1"/>
          <w:spacing w:val="20"/>
          <w:sz w:val="21"/>
          <w:szCs w:val="21"/>
          <w:highlight w:val="none"/>
          <w14:textFill>
            <w14:solidFill>
              <w14:schemeClr w14:val="tx1"/>
            </w14:solidFill>
          </w14:textFill>
        </w:rPr>
        <w:t>地址：</w:t>
      </w:r>
      <w:r>
        <w:rPr>
          <w:rFonts w:hint="eastAsia" w:ascii="宋体" w:hAnsi="宋体" w:eastAsia="宋体" w:cs="宋体"/>
          <w:b/>
          <w:bCs/>
          <w:color w:val="000000" w:themeColor="text1"/>
          <w:spacing w:val="20"/>
          <w:sz w:val="21"/>
          <w:szCs w:val="21"/>
          <w:highlight w:val="none"/>
          <w:u w:val="single"/>
          <w:lang w:val="en-US" w:eastAsia="zh-CN"/>
          <w14:textFill>
            <w14:solidFill>
              <w14:schemeClr w14:val="tx1"/>
            </w14:solidFill>
          </w14:textFill>
        </w:rPr>
        <w:t xml:space="preserve">                        </w:t>
      </w:r>
    </w:p>
    <w:p w14:paraId="09F00B0C">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第一条 项目概况</w:t>
      </w:r>
    </w:p>
    <w:p w14:paraId="15088BB1">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平顶山市第一人民医院是集医疗、教学、科研、预防、保健、康复为一体的三级甲等综合性医院，占地面积40亩，建筑面积10万余平方米，电梯23部，开放床位1500张。</w:t>
      </w:r>
    </w:p>
    <w:p w14:paraId="2B8FEEDF">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第二条 服务范围</w:t>
      </w:r>
    </w:p>
    <w:p w14:paraId="0F986EB6">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医院所有正常工作区域，包括1#门、急诊楼；2#、3#病房楼；</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门急诊医技楼</w:t>
      </w:r>
      <w:r>
        <w:rPr>
          <w:rFonts w:hint="eastAsia" w:ascii="宋体" w:hAnsi="宋体" w:eastAsia="宋体" w:cs="宋体"/>
          <w:color w:val="000000" w:themeColor="text1"/>
          <w:spacing w:val="20"/>
          <w:sz w:val="21"/>
          <w:szCs w:val="21"/>
          <w:highlight w:val="none"/>
          <w14:textFill>
            <w14:solidFill>
              <w14:schemeClr w14:val="tx1"/>
            </w14:solidFill>
          </w14:textFill>
        </w:rPr>
        <w:t>；7#办公楼；发热门诊；健康体检中心等。</w:t>
      </w:r>
    </w:p>
    <w:p w14:paraId="67E7FE75">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第三条 服务内容</w:t>
      </w:r>
    </w:p>
    <w:p w14:paraId="10C1CCC8">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医院所有正常工作区域的室内外卫生保洁及控烟服务；院内交通路面，下水道抽排，暗沟的疏通，化粪池清理，生活垃圾的外运处置，宣传橱窗等的保洁，以及突发事件的应急保洁；院区绿化养护，办公室、会议室、重大节日、大型活动期间楼前广场花卉购买及摆放。</w:t>
      </w:r>
    </w:p>
    <w:p w14:paraId="5B8C3FF5">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第四条 服务要求</w:t>
      </w:r>
    </w:p>
    <w:p w14:paraId="550F412C">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bookmarkStart w:id="768" w:name="_Hlk90408445"/>
      <w:r>
        <w:rPr>
          <w:rFonts w:hint="eastAsia" w:ascii="宋体" w:hAnsi="宋体" w:eastAsia="宋体" w:cs="宋体"/>
          <w:color w:val="000000" w:themeColor="text1"/>
          <w:spacing w:val="20"/>
          <w:sz w:val="21"/>
          <w:szCs w:val="21"/>
          <w:highlight w:val="none"/>
          <w14:textFill>
            <w14:solidFill>
              <w14:schemeClr w14:val="tx1"/>
            </w14:solidFill>
          </w14:textFill>
        </w:rPr>
        <w:t>1、医院所有工作区域的室内外卫生保洁及生活垃圾的收集、存放、运送（运至院方指定位置）；</w:t>
      </w:r>
    </w:p>
    <w:p w14:paraId="586ABF7A">
      <w:pPr>
        <w:widowControl w:val="0"/>
        <w:spacing w:line="360" w:lineRule="auto"/>
        <w:ind w:left="0" w:leftChars="0" w:firstLine="417" w:firstLineChars="167"/>
        <w:jc w:val="both"/>
        <w:rPr>
          <w:rFonts w:hint="eastAsia" w:ascii="宋体" w:hAnsi="宋体" w:eastAsia="宋体" w:cs="宋体"/>
          <w:color w:val="000000" w:themeColor="text1"/>
          <w:spacing w:val="20"/>
          <w:sz w:val="21"/>
          <w:szCs w:val="21"/>
          <w:highlight w:val="none"/>
          <w:lang w:eastAsia="zh-CN"/>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2、</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保洁人员的工作时间</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段：白班</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早6:30</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-11:00,13:30-17</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:00，夜班时间晚上</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17</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:00</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次日早6:30</w:t>
      </w:r>
      <w:r>
        <w:rPr>
          <w:rFonts w:hint="eastAsia" w:ascii="宋体" w:hAnsi="宋体" w:eastAsia="宋体" w:cs="宋体"/>
          <w:color w:val="000000" w:themeColor="text1"/>
          <w:spacing w:val="20"/>
          <w:kern w:val="2"/>
          <w:sz w:val="21"/>
          <w:szCs w:val="21"/>
          <w:highlight w:val="none"/>
          <w:lang w:eastAsia="zh-CN" w:bidi="ar-SA"/>
          <w14:textFill>
            <w14:solidFill>
              <w14:schemeClr w14:val="tx1"/>
            </w14:solidFill>
          </w14:textFill>
        </w:rPr>
        <w:t>；</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管理</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人员则</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按照</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节假日工作时间安排</w:t>
      </w:r>
      <w:r>
        <w:rPr>
          <w:rFonts w:hint="eastAsia" w:ascii="宋体" w:hAnsi="宋体" w:eastAsia="宋体" w:cs="宋体"/>
          <w:color w:val="000000" w:themeColor="text1"/>
          <w:spacing w:val="20"/>
          <w:kern w:val="2"/>
          <w:sz w:val="21"/>
          <w:szCs w:val="21"/>
          <w:highlight w:val="none"/>
          <w:lang w:eastAsia="zh-CN" w:bidi="ar-SA"/>
          <w14:textFill>
            <w14:solidFill>
              <w14:schemeClr w14:val="tx1"/>
            </w14:solidFill>
          </w14:textFill>
        </w:rPr>
        <w:t>；</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急诊部、特定科室</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保洁员</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则执行全天24小时的值班制度</w:t>
      </w:r>
      <w:r>
        <w:rPr>
          <w:rFonts w:hint="eastAsia" w:ascii="宋体" w:hAnsi="宋体" w:eastAsia="宋体" w:cs="宋体"/>
          <w:color w:val="000000" w:themeColor="text1"/>
          <w:spacing w:val="20"/>
          <w:kern w:val="2"/>
          <w:sz w:val="21"/>
          <w:szCs w:val="21"/>
          <w:highlight w:val="none"/>
          <w:lang w:eastAsia="zh-CN" w:bidi="ar-SA"/>
          <w14:textFill>
            <w14:solidFill>
              <w14:schemeClr w14:val="tx1"/>
            </w14:solidFill>
          </w14:textFill>
        </w:rPr>
        <w:t>；</w:t>
      </w:r>
    </w:p>
    <w:p w14:paraId="53117B36">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3、控烟服务，保持常态化机制，配置专职及兼职控烟员，时间随保洁员工作时间；</w:t>
      </w:r>
    </w:p>
    <w:p w14:paraId="1DC4827A">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4、公共卫生间，配置专职人员，6:</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pacing w:val="20"/>
          <w:sz w:val="21"/>
          <w:szCs w:val="21"/>
          <w:highlight w:val="none"/>
          <w14:textFill>
            <w14:solidFill>
              <w14:schemeClr w14:val="tx1"/>
            </w14:solidFill>
          </w14:textFill>
        </w:rPr>
        <w:t>0--22:00保持干净无异味；</w:t>
      </w:r>
    </w:p>
    <w:p w14:paraId="09F7C5A6">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pacing w:val="20"/>
          <w:sz w:val="21"/>
          <w:szCs w:val="21"/>
          <w:highlight w:val="none"/>
          <w14:textFill>
            <w14:solidFill>
              <w14:schemeClr w14:val="tx1"/>
            </w14:solidFill>
          </w14:textFill>
        </w:rPr>
        <w:t>、保洁人员职数按甲方岗位要求配置到位，</w:t>
      </w:r>
      <w:r>
        <w:rPr>
          <w:rFonts w:hint="eastAsia" w:ascii="宋体" w:hAnsi="宋体" w:eastAsia="宋体" w:cs="宋体"/>
          <w:color w:val="000000" w:themeColor="text1"/>
          <w:sz w:val="21"/>
          <w:szCs w:val="21"/>
          <w:highlight w:val="none"/>
          <w14:textFill>
            <w14:solidFill>
              <w14:schemeClr w14:val="tx1"/>
            </w14:solidFill>
          </w14:textFill>
        </w:rPr>
        <w:t>保持人员相对稳定，</w:t>
      </w:r>
      <w:r>
        <w:rPr>
          <w:rFonts w:hint="eastAsia" w:ascii="宋体" w:hAnsi="宋体" w:eastAsia="宋体" w:cs="宋体"/>
          <w:color w:val="000000" w:themeColor="text1"/>
          <w:spacing w:val="20"/>
          <w:sz w:val="21"/>
          <w:szCs w:val="21"/>
          <w:highlight w:val="none"/>
          <w14:textFill>
            <w14:solidFill>
              <w14:schemeClr w14:val="tx1"/>
            </w14:solidFill>
          </w14:textFill>
        </w:rPr>
        <w:t>不允许缺岗</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空岗</w:t>
      </w:r>
      <w:r>
        <w:rPr>
          <w:rFonts w:hint="eastAsia" w:ascii="宋体" w:hAnsi="宋体" w:eastAsia="宋体" w:cs="宋体"/>
          <w:color w:val="000000" w:themeColor="text1"/>
          <w:spacing w:val="20"/>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做好岗位培训，提高员工素质；</w:t>
      </w:r>
    </w:p>
    <w:p w14:paraId="4EBB06CB">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pacing w:val="20"/>
          <w:sz w:val="21"/>
          <w:szCs w:val="21"/>
          <w:highlight w:val="none"/>
          <w14:textFill>
            <w14:solidFill>
              <w14:schemeClr w14:val="tx1"/>
            </w14:solidFill>
          </w14:textFill>
        </w:rPr>
        <w:t>、配置医用毛巾、地巾清洗消毒的设备（隔离式洗衣机和烘干机），对毛巾、地巾等进行集中消毒处理；</w:t>
      </w:r>
    </w:p>
    <w:p w14:paraId="777F3CE2">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20"/>
          <w:sz w:val="21"/>
          <w:szCs w:val="21"/>
          <w:highlight w:val="none"/>
          <w14:textFill>
            <w14:solidFill>
              <w14:schemeClr w14:val="tx1"/>
            </w14:solidFill>
          </w14:textFill>
        </w:rPr>
        <w:t>、所有保洁用设备、物料、药剂、垃圾</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桶</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篓</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垃圾袋</w:t>
      </w:r>
      <w:r>
        <w:rPr>
          <w:rFonts w:hint="eastAsia" w:ascii="宋体" w:hAnsi="宋体" w:eastAsia="宋体" w:cs="宋体"/>
          <w:color w:val="000000" w:themeColor="text1"/>
          <w:spacing w:val="20"/>
          <w:sz w:val="21"/>
          <w:szCs w:val="21"/>
          <w:highlight w:val="none"/>
          <w14:textFill>
            <w14:solidFill>
              <w14:schemeClr w14:val="tx1"/>
            </w14:solidFill>
          </w14:textFill>
        </w:rPr>
        <w:t>等由乙方负责免费提供，并且符合国家技术监督部门检测合格；</w:t>
      </w:r>
    </w:p>
    <w:p w14:paraId="5F28A421">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pacing w:val="20"/>
          <w:sz w:val="21"/>
          <w:szCs w:val="21"/>
          <w:highlight w:val="none"/>
          <w14:textFill>
            <w14:solidFill>
              <w14:schemeClr w14:val="tx1"/>
            </w14:solidFill>
          </w14:textFill>
        </w:rPr>
        <w:t>、具体清洁卫生管理要求见附件。</w:t>
      </w:r>
    </w:p>
    <w:p w14:paraId="3D85D444">
      <w:pPr>
        <w:spacing w:line="360" w:lineRule="auto"/>
        <w:ind w:left="0" w:leftChars="0" w:firstLine="417" w:firstLineChars="1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注：1、</w:t>
      </w:r>
      <w:r>
        <w:rPr>
          <w:rFonts w:hint="eastAsia" w:ascii="宋体" w:hAnsi="宋体" w:eastAsia="宋体" w:cs="宋体"/>
          <w:color w:val="000000" w:themeColor="text1"/>
          <w:sz w:val="21"/>
          <w:szCs w:val="21"/>
          <w:highlight w:val="none"/>
          <w14:textFill>
            <w14:solidFill>
              <w14:schemeClr w14:val="tx1"/>
            </w14:solidFill>
          </w14:textFill>
        </w:rPr>
        <w:t>卫生保洁工作符合</w:t>
      </w:r>
      <w:r>
        <w:rPr>
          <w:rFonts w:hint="eastAsia" w:ascii="宋体" w:hAnsi="宋体" w:eastAsia="宋体" w:cs="宋体"/>
          <w:color w:val="000000" w:themeColor="text1"/>
          <w:sz w:val="21"/>
          <w:szCs w:val="21"/>
          <w:highlight w:val="none"/>
          <w:u w:val="single"/>
          <w14:textFill>
            <w14:solidFill>
              <w14:schemeClr w14:val="tx1"/>
            </w14:solidFill>
          </w14:textFill>
        </w:rPr>
        <w:t>附件一</w:t>
      </w:r>
      <w:r>
        <w:rPr>
          <w:rFonts w:hint="eastAsia" w:ascii="宋体" w:hAnsi="宋体" w:eastAsia="宋体" w:cs="宋体"/>
          <w:color w:val="000000" w:themeColor="text1"/>
          <w:sz w:val="21"/>
          <w:szCs w:val="21"/>
          <w:highlight w:val="none"/>
          <w14:textFill>
            <w14:solidFill>
              <w14:schemeClr w14:val="tx1"/>
            </w14:solidFill>
          </w14:textFill>
        </w:rPr>
        <w:t>的要求；</w:t>
      </w:r>
    </w:p>
    <w:p w14:paraId="61473CEC">
      <w:pPr>
        <w:spacing w:line="360" w:lineRule="auto"/>
        <w:ind w:left="0" w:leftChars="0" w:firstLine="350" w:firstLineChars="1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 保洁管理工作符合</w:t>
      </w:r>
      <w:r>
        <w:rPr>
          <w:rFonts w:hint="eastAsia" w:ascii="宋体" w:hAnsi="宋体" w:eastAsia="宋体" w:cs="宋体"/>
          <w:color w:val="000000" w:themeColor="text1"/>
          <w:sz w:val="21"/>
          <w:szCs w:val="21"/>
          <w:highlight w:val="none"/>
          <w:u w:val="single"/>
          <w14:textFill>
            <w14:solidFill>
              <w14:schemeClr w14:val="tx1"/>
            </w14:solidFill>
          </w14:textFill>
        </w:rPr>
        <w:t>附件二</w:t>
      </w:r>
      <w:r>
        <w:rPr>
          <w:rFonts w:hint="eastAsia" w:ascii="宋体" w:hAnsi="宋体" w:eastAsia="宋体" w:cs="宋体"/>
          <w:color w:val="000000" w:themeColor="text1"/>
          <w:sz w:val="21"/>
          <w:szCs w:val="21"/>
          <w:highlight w:val="none"/>
          <w14:textFill>
            <w14:solidFill>
              <w14:schemeClr w14:val="tx1"/>
            </w14:solidFill>
          </w14:textFill>
        </w:rPr>
        <w:t>的要求；</w:t>
      </w:r>
    </w:p>
    <w:p w14:paraId="35D3313A">
      <w:pPr>
        <w:spacing w:line="360" w:lineRule="auto"/>
        <w:ind w:left="0" w:leftChars="0" w:firstLine="350" w:firstLineChars="1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 保洁服务频率符合</w:t>
      </w:r>
      <w:r>
        <w:rPr>
          <w:rFonts w:hint="eastAsia" w:ascii="宋体" w:hAnsi="宋体" w:eastAsia="宋体" w:cs="宋体"/>
          <w:color w:val="000000" w:themeColor="text1"/>
          <w:sz w:val="21"/>
          <w:szCs w:val="21"/>
          <w:highlight w:val="none"/>
          <w:u w:val="single"/>
          <w14:textFill>
            <w14:solidFill>
              <w14:schemeClr w14:val="tx1"/>
            </w14:solidFill>
          </w14:textFill>
        </w:rPr>
        <w:t>附件三</w:t>
      </w:r>
      <w:r>
        <w:rPr>
          <w:rFonts w:hint="eastAsia" w:ascii="宋体" w:hAnsi="宋体" w:eastAsia="宋体" w:cs="宋体"/>
          <w:color w:val="000000" w:themeColor="text1"/>
          <w:sz w:val="21"/>
          <w:szCs w:val="21"/>
          <w:highlight w:val="none"/>
          <w14:textFill>
            <w14:solidFill>
              <w14:schemeClr w14:val="tx1"/>
            </w14:solidFill>
          </w14:textFill>
        </w:rPr>
        <w:t>的要求；</w:t>
      </w:r>
    </w:p>
    <w:bookmarkEnd w:id="768"/>
    <w:p w14:paraId="35483A86">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第五条 人员要求</w:t>
      </w:r>
    </w:p>
    <w:p w14:paraId="704D34F5">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（一）卫生清洁人员+管理</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层</w:t>
      </w:r>
      <w:r>
        <w:rPr>
          <w:rFonts w:hint="eastAsia" w:ascii="宋体" w:hAnsi="宋体" w:eastAsia="宋体" w:cs="宋体"/>
          <w:color w:val="000000" w:themeColor="text1"/>
          <w:spacing w:val="20"/>
          <w:sz w:val="21"/>
          <w:szCs w:val="21"/>
          <w:highlight w:val="none"/>
          <w14:textFill>
            <w14:solidFill>
              <w14:schemeClr w14:val="tx1"/>
            </w14:solidFill>
          </w14:textFill>
        </w:rPr>
        <w:t>，共计135人；</w:t>
      </w:r>
    </w:p>
    <w:p w14:paraId="40978022">
      <w:pPr>
        <w:widowControl w:val="0"/>
        <w:spacing w:line="360" w:lineRule="auto"/>
        <w:ind w:left="0" w:leftChars="0" w:firstLine="417" w:firstLineChars="167"/>
        <w:jc w:val="both"/>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（二）保洁员：身体健康，五官端正，精神面貌好，初中及以上文化程度，18岁以上55岁以下（</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原</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清洁工岗位应聘者年龄需在55岁至</w:t>
      </w:r>
      <w:r>
        <w:rPr>
          <w:rFonts w:hint="eastAsia" w:ascii="宋体" w:hAnsi="宋体" w:eastAsia="宋体" w:cs="宋体"/>
          <w:color w:val="000000" w:themeColor="text1"/>
          <w:spacing w:val="20"/>
          <w:kern w:val="2"/>
          <w:sz w:val="21"/>
          <w:szCs w:val="21"/>
          <w:highlight w:val="none"/>
          <w:lang w:val="en-US" w:eastAsia="zh-CN" w:bidi="ar-SA"/>
          <w14:textFill>
            <w14:solidFill>
              <w14:schemeClr w14:val="tx1"/>
            </w14:solidFill>
          </w14:textFill>
        </w:rPr>
        <w:t>70</w:t>
      </w:r>
      <w:r>
        <w:rPr>
          <w:rFonts w:hint="eastAsia" w:ascii="宋体" w:hAnsi="宋体" w:eastAsia="宋体" w:cs="宋体"/>
          <w:color w:val="000000" w:themeColor="text1"/>
          <w:spacing w:val="20"/>
          <w:kern w:val="2"/>
          <w:sz w:val="21"/>
          <w:szCs w:val="21"/>
          <w:highlight w:val="none"/>
          <w:lang w:bidi="ar-SA"/>
          <w14:textFill>
            <w14:solidFill>
              <w14:schemeClr w14:val="tx1"/>
            </w14:solidFill>
          </w14:textFill>
        </w:rPr>
        <w:t>岁之间</w:t>
      </w:r>
      <w:r>
        <w:rPr>
          <w:rFonts w:hint="eastAsia" w:ascii="宋体" w:hAnsi="宋体" w:eastAsia="宋体" w:cs="宋体"/>
          <w:color w:val="000000" w:themeColor="text1"/>
          <w:spacing w:val="20"/>
          <w:sz w:val="21"/>
          <w:szCs w:val="21"/>
          <w:highlight w:val="none"/>
          <w14:textFill>
            <w14:solidFill>
              <w14:schemeClr w14:val="tx1"/>
            </w14:solidFill>
          </w14:textFill>
        </w:rPr>
        <w:t>），一年以上清洁服务工作经验，动手能力强，业务熟练，肯吃苦耐劳；</w:t>
      </w:r>
    </w:p>
    <w:p w14:paraId="446A43A6">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（三）项目经理：身体健康，五官端正，精神面貌好，具备大专及以上文化程度， 18岁以上55岁以下，经过物业管理相关专业培训，相关岗位3年以上工作经验，持证上岗，爱岗敬业，政治觉悟高，责任心强，保密意识强，具有较强的语言表达和沟通协调能力，工作时间内做到随叫随到，保持全天候通讯畅通。</w:t>
      </w:r>
    </w:p>
    <w:p w14:paraId="6BFA4FAE">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第六条 服务期限</w:t>
      </w:r>
    </w:p>
    <w:p w14:paraId="4507BA7C">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pacing w:val="20"/>
          <w:sz w:val="21"/>
          <w:szCs w:val="21"/>
          <w:highlight w:val="none"/>
          <w14:textFill>
            <w14:solidFill>
              <w14:schemeClr w14:val="tx1"/>
            </w14:solidFill>
          </w14:textFill>
        </w:rPr>
        <w:t>本合同期限为</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年</w:t>
      </w:r>
      <w:r>
        <w:rPr>
          <w:rFonts w:hint="eastAsia" w:ascii="宋体" w:hAnsi="宋体" w:eastAsia="宋体" w:cs="宋体"/>
          <w:color w:val="000000" w:themeColor="text1"/>
          <w:spacing w:val="20"/>
          <w:sz w:val="21"/>
          <w:szCs w:val="21"/>
          <w:highlight w:val="none"/>
          <w14:textFill>
            <w14:solidFill>
              <w14:schemeClr w14:val="tx1"/>
            </w14:solidFill>
          </w14:textFill>
        </w:rPr>
        <w:t>，自</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年</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月</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日起至</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年</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月</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日止。</w:t>
      </w:r>
    </w:p>
    <w:p w14:paraId="28DF3F63">
      <w:pPr>
        <w:spacing w:line="360" w:lineRule="auto"/>
        <w:ind w:left="0" w:leftChars="0" w:firstLine="420" w:firstLineChars="20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2、合同一年一签订，达到采购人要求后续签。</w:t>
      </w:r>
    </w:p>
    <w:p w14:paraId="313D51CA">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第七条 管理服务费用</w:t>
      </w:r>
    </w:p>
    <w:p w14:paraId="4620D121">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（一）本物业项目的管理服务费采用包干制，三年物业管理服务费</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含增值税</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元</w:t>
      </w:r>
      <w:r>
        <w:rPr>
          <w:rFonts w:hint="eastAsia" w:ascii="宋体" w:hAnsi="宋体" w:eastAsia="宋体" w:cs="宋体"/>
          <w:color w:val="000000" w:themeColor="text1"/>
          <w:spacing w:val="20"/>
          <w:sz w:val="21"/>
          <w:szCs w:val="21"/>
          <w:highlight w:val="none"/>
          <w14:textFill>
            <w14:solidFill>
              <w14:schemeClr w14:val="tx1"/>
            </w14:solidFill>
          </w14:textFill>
        </w:rPr>
        <w:t>（大写：</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）。一年物业管理服务费</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含增值税</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元</w:t>
      </w:r>
      <w:r>
        <w:rPr>
          <w:rFonts w:hint="eastAsia" w:ascii="宋体" w:hAnsi="宋体" w:eastAsia="宋体" w:cs="宋体"/>
          <w:color w:val="000000" w:themeColor="text1"/>
          <w:spacing w:val="20"/>
          <w:sz w:val="21"/>
          <w:szCs w:val="21"/>
          <w:highlight w:val="none"/>
          <w14:textFill>
            <w14:solidFill>
              <w14:schemeClr w14:val="tx1"/>
            </w14:solidFill>
          </w14:textFill>
        </w:rPr>
        <w:t>（大写：</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）。每月物业管理服务费</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含增值税</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元</w:t>
      </w:r>
      <w:r>
        <w:rPr>
          <w:rFonts w:hint="eastAsia" w:ascii="宋体" w:hAnsi="宋体" w:eastAsia="宋体" w:cs="宋体"/>
          <w:color w:val="000000" w:themeColor="text1"/>
          <w:spacing w:val="20"/>
          <w:sz w:val="21"/>
          <w:szCs w:val="21"/>
          <w:highlight w:val="none"/>
          <w14:textFill>
            <w14:solidFill>
              <w14:schemeClr w14:val="tx1"/>
            </w14:solidFill>
          </w14:textFill>
        </w:rPr>
        <w:t>（大写：</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w:t>
      </w:r>
    </w:p>
    <w:p w14:paraId="552F4E09">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（二）以每年物业管理服务费总额的1%，即</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元作为绩效考核金。每月5日为上月管理服务费结算日，每月付款前甲方应对乙方的各项服务内容进行考核，满分100分，</w:t>
      </w:r>
      <w:r>
        <w:rPr>
          <w:rFonts w:hint="eastAsia" w:ascii="宋体" w:hAnsi="宋体" w:eastAsia="宋体" w:cs="宋体"/>
          <w:color w:val="000000" w:themeColor="text1"/>
          <w:sz w:val="21"/>
          <w:szCs w:val="21"/>
          <w:highlight w:val="none"/>
          <w14:textFill>
            <w14:solidFill>
              <w14:schemeClr w14:val="tx1"/>
            </w14:solidFill>
          </w14:textFill>
        </w:rPr>
        <w:t>每扣一分按20</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元进行罚款，从当月</w:t>
      </w:r>
      <w:r>
        <w:rPr>
          <w:rFonts w:hint="eastAsia" w:ascii="宋体" w:hAnsi="宋体" w:eastAsia="宋体" w:cs="宋体"/>
          <w:color w:val="000000" w:themeColor="text1"/>
          <w:spacing w:val="20"/>
          <w:sz w:val="21"/>
          <w:szCs w:val="21"/>
          <w:highlight w:val="none"/>
          <w14:textFill>
            <w14:solidFill>
              <w14:schemeClr w14:val="tx1"/>
            </w14:solidFill>
          </w14:textFill>
        </w:rPr>
        <w:t>管理服务费</w:t>
      </w:r>
      <w:r>
        <w:rPr>
          <w:rFonts w:hint="eastAsia" w:ascii="宋体" w:hAnsi="宋体" w:eastAsia="宋体" w:cs="宋体"/>
          <w:color w:val="000000" w:themeColor="text1"/>
          <w:sz w:val="21"/>
          <w:szCs w:val="21"/>
          <w:highlight w:val="none"/>
          <w14:textFill>
            <w14:solidFill>
              <w14:schemeClr w14:val="tx1"/>
            </w14:solidFill>
          </w14:textFill>
        </w:rPr>
        <w:t>中扣除。甲方每月进行满意度考核，基本满意度低于90%时，每下降1%，</w:t>
      </w:r>
      <w:r>
        <w:rPr>
          <w:rFonts w:hint="eastAsia" w:ascii="宋体" w:hAnsi="宋体" w:eastAsia="宋体" w:cs="宋体"/>
          <w:color w:val="000000" w:themeColor="text1"/>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sz w:val="21"/>
          <w:szCs w:val="21"/>
          <w:highlight w:val="none"/>
          <w14:textFill>
            <w14:solidFill>
              <w14:schemeClr w14:val="tx1"/>
            </w14:solidFill>
          </w14:textFill>
        </w:rPr>
        <w:t>200元进行罚款。</w:t>
      </w:r>
      <w:r>
        <w:rPr>
          <w:rFonts w:hint="eastAsia" w:ascii="宋体" w:hAnsi="宋体" w:eastAsia="宋体" w:cs="宋体"/>
          <w:color w:val="000000" w:themeColor="text1"/>
          <w:spacing w:val="20"/>
          <w:sz w:val="21"/>
          <w:szCs w:val="21"/>
          <w:highlight w:val="none"/>
          <w14:textFill>
            <w14:solidFill>
              <w14:schemeClr w14:val="tx1"/>
            </w14:solidFill>
          </w14:textFill>
        </w:rPr>
        <w:t>考核达标后，乙方</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提供</w:t>
      </w:r>
      <w:r>
        <w:rPr>
          <w:rFonts w:hint="eastAsia" w:ascii="宋体" w:hAnsi="宋体" w:eastAsia="宋体" w:cs="宋体"/>
          <w:color w:val="000000" w:themeColor="text1"/>
          <w:spacing w:val="20"/>
          <w:sz w:val="21"/>
          <w:szCs w:val="21"/>
          <w:highlight w:val="none"/>
          <w14:textFill>
            <w14:solidFill>
              <w14:schemeClr w14:val="tx1"/>
            </w14:solidFill>
          </w14:textFill>
        </w:rPr>
        <w:t>完税发票，甲方按月结算金额支付费用到乙方指定的银行账号，支付时间为当月10日前（考核评定标准详见</w:t>
      </w:r>
      <w:r>
        <w:rPr>
          <w:rFonts w:hint="eastAsia" w:ascii="宋体" w:hAnsi="宋体" w:eastAsia="宋体" w:cs="宋体"/>
          <w:color w:val="000000" w:themeColor="text1"/>
          <w:spacing w:val="20"/>
          <w:sz w:val="21"/>
          <w:szCs w:val="21"/>
          <w:highlight w:val="none"/>
          <w:u w:val="single"/>
          <w14:textFill>
            <w14:solidFill>
              <w14:schemeClr w14:val="tx1"/>
            </w14:solidFill>
          </w14:textFill>
        </w:rPr>
        <w:t>附件四</w:t>
      </w:r>
      <w:r>
        <w:rPr>
          <w:rFonts w:hint="eastAsia" w:ascii="宋体" w:hAnsi="宋体" w:eastAsia="宋体" w:cs="宋体"/>
          <w:color w:val="000000" w:themeColor="text1"/>
          <w:spacing w:val="20"/>
          <w:sz w:val="21"/>
          <w:szCs w:val="21"/>
          <w:highlight w:val="none"/>
          <w14:textFill>
            <w14:solidFill>
              <w14:schemeClr w14:val="tx1"/>
            </w14:solidFill>
          </w14:textFill>
        </w:rPr>
        <w:t>）；</w:t>
      </w:r>
    </w:p>
    <w:p w14:paraId="65CD6E35">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（三）如在本合同期内平顶山市最低工资标准上调的，本合同的服务费不予调整；</w:t>
      </w:r>
    </w:p>
    <w:p w14:paraId="5A8DE88D">
      <w:pPr>
        <w:spacing w:line="360" w:lineRule="auto"/>
        <w:ind w:left="0" w:leftChars="0" w:firstLine="350"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乙方收款信息如下：</w:t>
      </w:r>
    </w:p>
    <w:p w14:paraId="49CBEEDD">
      <w:pPr>
        <w:spacing w:line="360" w:lineRule="auto"/>
        <w:ind w:left="0" w:leftChars="0" w:right="-651" w:rightChars="-310" w:firstLine="417" w:firstLineChars="167"/>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单位名称：</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p>
    <w:p w14:paraId="4F1CFFE8">
      <w:pPr>
        <w:spacing w:line="360" w:lineRule="auto"/>
        <w:ind w:left="0" w:leftChars="0" w:firstLine="417" w:firstLineChars="167"/>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账</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14:textFill>
            <w14:solidFill>
              <w14:schemeClr w14:val="tx1"/>
            </w14:solidFill>
          </w14:textFill>
        </w:rPr>
        <w:t>号：</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 xml:space="preserve">   </w:t>
      </w:r>
    </w:p>
    <w:p w14:paraId="51D30C74">
      <w:pPr>
        <w:spacing w:line="360" w:lineRule="auto"/>
        <w:ind w:left="0" w:leftChars="0" w:firstLine="417" w:firstLineChars="167"/>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开户银行：</w:t>
      </w:r>
      <w:r>
        <w:rPr>
          <w:rFonts w:hint="eastAsia" w:ascii="宋体" w:hAnsi="宋体" w:eastAsia="宋体" w:cs="宋体"/>
          <w:color w:val="000000" w:themeColor="text1"/>
          <w:spacing w:val="20"/>
          <w:sz w:val="21"/>
          <w:szCs w:val="21"/>
          <w:highlight w:val="none"/>
          <w:u w:val="single"/>
          <w:lang w:val="en-US" w:eastAsia="zh-CN"/>
          <w14:textFill>
            <w14:solidFill>
              <w14:schemeClr w14:val="tx1"/>
            </w14:solidFill>
          </w14:textFill>
        </w:rPr>
        <w:t xml:space="preserve">                        </w:t>
      </w:r>
    </w:p>
    <w:p w14:paraId="086EB872">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第八条 服务质量的考核评定标准</w:t>
      </w:r>
    </w:p>
    <w:p w14:paraId="4327A61A">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乙方应严格按照招标文件的要求和投标文件的承诺，履行本合同约定的各项义务，接受并配合甲方相关部门的定期和不定期的检查。</w:t>
      </w:r>
    </w:p>
    <w:p w14:paraId="09A5DA49">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甲方每月对乙方的服务质量和服务水平等进行测评，具体考核要求按附件四《平顶山市第一人民医院保洁工作质量考核表》执行，乙方应积极配合开展考核工作。附件四在保持主体框架不变的情况下，甲乙双方协商一致后，可对某项考核指标进行优化调整，调整后标准不能低于原有标准，具体按招标文件要求执行。</w:t>
      </w:r>
    </w:p>
    <w:p w14:paraId="2709A153">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每项评分标准中的服务项目，未达到服务要求，给甲方或第三方造成人身、财产损失的，由乙方承担赔偿责任。</w:t>
      </w:r>
    </w:p>
    <w:p w14:paraId="1DC044A8">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第九条 甲方的权利和义务</w:t>
      </w:r>
    </w:p>
    <w:p w14:paraId="1634B518">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（一）与乙方议定年度管理计划；</w:t>
      </w:r>
    </w:p>
    <w:p w14:paraId="7AAC6D7F">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（二）对乙方管理实施监督检查。有权要求乙方对违反服务承诺的事项进行限期整改；有权要求采纳甲方提出的合理要求；有权对乙方不称职的人员提出撤换的建议，有权要求乙方撤换违规人员；</w:t>
      </w:r>
    </w:p>
    <w:p w14:paraId="52DB8F84">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（三）有权要求乙方每月按双方约定的管理标准提供物业管理报告等管理信息；</w:t>
      </w:r>
    </w:p>
    <w:p w14:paraId="1CB41D68">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（四）甲方每月对物业管理服务进行检查、考核和评分，如果对乙方所提供的物业管理服务质量不满意时，甲方有权及时指出并要求整改，同时乙方应采取有效措施按期给予纠正、预防</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并改进；</w:t>
      </w:r>
    </w:p>
    <w:p w14:paraId="48483D94">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（五）甲方在本合同期内</w:t>
      </w:r>
      <w:r>
        <w:rPr>
          <w:rFonts w:hint="eastAsia" w:ascii="宋体" w:hAnsi="宋体" w:eastAsia="宋体" w:cs="宋体"/>
          <w:color w:val="000000" w:themeColor="text1"/>
          <w:sz w:val="21"/>
          <w:szCs w:val="21"/>
          <w:highlight w:val="none"/>
          <w14:textFill>
            <w14:solidFill>
              <w14:schemeClr w14:val="tx1"/>
            </w14:solidFill>
          </w14:textFill>
        </w:rPr>
        <w:t>为乙方无偿提供工作用水、用电，库房、办公室各一间</w:t>
      </w:r>
      <w:r>
        <w:rPr>
          <w:rFonts w:hint="eastAsia" w:ascii="宋体" w:hAnsi="宋体" w:eastAsia="宋体" w:cs="宋体"/>
          <w:color w:val="000000" w:themeColor="text1"/>
          <w:spacing w:val="20"/>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甲方不给乙方员工提供食宿场所，任何乙方员工不得在甲方区域内生火做饭或使用大功率电磁炉、热得快等电器，因此造成的不良后果，乙方承担全部责任；</w:t>
      </w:r>
    </w:p>
    <w:p w14:paraId="052BABE9">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 xml:space="preserve">（六）协助乙方做好物业管理工作，监督乙方做好健康体检和岗位培训工作； </w:t>
      </w:r>
    </w:p>
    <w:p w14:paraId="61A882A7">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（七）乙方按合同完成工作，并达到物业管理要求的标准及双方约定的细则要求，甲方按时签署付款凭证；</w:t>
      </w:r>
    </w:p>
    <w:p w14:paraId="0F3D3A97">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（八）法规政策规定由甲方承担的</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其他</w:t>
      </w:r>
      <w:r>
        <w:rPr>
          <w:rFonts w:hint="eastAsia" w:ascii="宋体" w:hAnsi="宋体" w:eastAsia="宋体" w:cs="宋体"/>
          <w:color w:val="000000" w:themeColor="text1"/>
          <w:spacing w:val="20"/>
          <w:sz w:val="21"/>
          <w:szCs w:val="21"/>
          <w:highlight w:val="none"/>
          <w14:textFill>
            <w14:solidFill>
              <w14:schemeClr w14:val="tx1"/>
            </w14:solidFill>
          </w14:textFill>
        </w:rPr>
        <w:t>权利及义务。</w:t>
      </w:r>
    </w:p>
    <w:p w14:paraId="2C7CB6EF">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第十条 乙方的权利和义务</w:t>
      </w:r>
    </w:p>
    <w:p w14:paraId="67C26E0B">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（一）根据有关</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法律法规</w:t>
      </w:r>
      <w:r>
        <w:rPr>
          <w:rFonts w:hint="eastAsia" w:ascii="宋体" w:hAnsi="宋体" w:eastAsia="宋体" w:cs="宋体"/>
          <w:color w:val="000000" w:themeColor="text1"/>
          <w:spacing w:val="20"/>
          <w:sz w:val="21"/>
          <w:szCs w:val="21"/>
          <w:highlight w:val="none"/>
          <w14:textFill>
            <w14:solidFill>
              <w14:schemeClr w14:val="tx1"/>
            </w14:solidFill>
          </w14:textFill>
        </w:rPr>
        <w:t>政策及本合同规定，制定物业和各项管理办法、规章制度、实施细节，对该物业实行统一管理，综合服务，自主经营，自负盈亏，但不得损害甲方的合法权益，获取不当利益；</w:t>
      </w:r>
    </w:p>
    <w:p w14:paraId="40DB53D8">
      <w:pPr>
        <w:spacing w:line="360" w:lineRule="auto"/>
        <w:ind w:left="0" w:leftChars="0" w:firstLine="350" w:firstLineChars="1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 乙方协助专业病媒生物防制公司做好保洁区域内蚊、蝇、蚂蚁、蟑螂消杀及灭鼠工作；</w:t>
      </w:r>
    </w:p>
    <w:p w14:paraId="4A428508">
      <w:pPr>
        <w:spacing w:line="360" w:lineRule="auto"/>
        <w:ind w:left="0" w:leftChars="0" w:firstLine="350" w:firstLineChars="1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乙方负责向保洁人员做好医疗废弃物管理的宣教工作。严禁保洁人员拿、卖医疗废弃物，否则甲方将给予经济处罚，第一次罚一千元，第二次罚三千元，第三次终止合同，若给医院造成严重后果（影响医院信誉或被有关单位罚款等），一切损失由乙方承担；</w:t>
      </w:r>
    </w:p>
    <w:p w14:paraId="5AE2BE17">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（四）有权依照法规政策、本合同和甲方公约的规定对违反甲方公约和物业管理法规政策的行为进行处理；</w:t>
      </w:r>
    </w:p>
    <w:p w14:paraId="23CE9323">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（五）有权要求甲方医护人员遵守有关物业管理制度；</w:t>
      </w:r>
    </w:p>
    <w:p w14:paraId="44F556D3">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（六）接受甲方及物业管理主管部门、有关政府部门的监督、指导；</w:t>
      </w:r>
    </w:p>
    <w:p w14:paraId="03E5B355">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（七）乙方须本着高效、精干的原则在“甲方及直属单位”设置管理机构和指派人员。乙方指派的人员由乙方自行安排，但须报甲方审查与备案，离职、调岗需征求甲方意见；</w:t>
      </w:r>
    </w:p>
    <w:p w14:paraId="618D2067">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（八）向甲方提交年度工作总结和计划报告；</w:t>
      </w:r>
    </w:p>
    <w:p w14:paraId="64C25F2F">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（九）乙方自行负责乙方员工的薪资、福利及五险一金等与劳动关系有关的所有事宜，因上述法律关系发生的法律责任，由乙方承担；</w:t>
      </w:r>
    </w:p>
    <w:p w14:paraId="61726194">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（十）加强乙方员工职业道德和法制教育，严格遵守甲方的相关管理制度；</w:t>
      </w:r>
    </w:p>
    <w:p w14:paraId="569D5569">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（十一）本合同终止时，乙方必须从合同终止日起十天内向甲方移交原委托管理的全部物业、管理用房</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及</w:t>
      </w:r>
      <w:r>
        <w:rPr>
          <w:rFonts w:hint="eastAsia" w:ascii="宋体" w:hAnsi="宋体" w:eastAsia="宋体" w:cs="宋体"/>
          <w:color w:val="000000" w:themeColor="text1"/>
          <w:spacing w:val="20"/>
          <w:sz w:val="21"/>
          <w:szCs w:val="21"/>
          <w:highlight w:val="none"/>
          <w14:textFill>
            <w14:solidFill>
              <w14:schemeClr w14:val="tx1"/>
            </w14:solidFill>
          </w14:textFill>
        </w:rPr>
        <w:t>各类管理档案、财务等资料。</w:t>
      </w:r>
    </w:p>
    <w:p w14:paraId="7E75AE23">
      <w:pPr>
        <w:spacing w:line="360" w:lineRule="auto"/>
        <w:ind w:left="0" w:leftChars="0" w:firstLine="417" w:firstLineChars="1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十二</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乙方负责</w:t>
      </w:r>
      <w:r>
        <w:rPr>
          <w:rFonts w:hint="eastAsia" w:ascii="宋体" w:hAnsi="宋体" w:eastAsia="宋体" w:cs="宋体"/>
          <w:color w:val="000000" w:themeColor="text1"/>
          <w:sz w:val="21"/>
          <w:szCs w:val="21"/>
          <w:highlight w:val="none"/>
          <w14:textFill>
            <w14:solidFill>
              <w14:schemeClr w14:val="tx1"/>
            </w14:solidFill>
          </w14:textFill>
        </w:rPr>
        <w:t>甲方突发事件的加班保洁工作，费用由乙方承担；</w:t>
      </w:r>
    </w:p>
    <w:p w14:paraId="61CD681C">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十三</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乙方负责提供甲方办公室、会议室等指定区域的花卉植物摆放和养护；</w:t>
      </w:r>
    </w:p>
    <w:p w14:paraId="491846AF">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（十四）法规政策规定由乙方承担的</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其他</w:t>
      </w:r>
      <w:r>
        <w:rPr>
          <w:rFonts w:hint="eastAsia" w:ascii="宋体" w:hAnsi="宋体" w:eastAsia="宋体" w:cs="宋体"/>
          <w:color w:val="000000" w:themeColor="text1"/>
          <w:spacing w:val="20"/>
          <w:sz w:val="21"/>
          <w:szCs w:val="21"/>
          <w:highlight w:val="none"/>
          <w14:textFill>
            <w14:solidFill>
              <w14:schemeClr w14:val="tx1"/>
            </w14:solidFill>
          </w14:textFill>
        </w:rPr>
        <w:t>权利及义务。</w:t>
      </w:r>
    </w:p>
    <w:p w14:paraId="53AE84E2">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第十一条 违约责任</w:t>
      </w:r>
    </w:p>
    <w:p w14:paraId="78D77206">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一）如因乙方原因（不可抗力因素除外），造成不能完成规定管理目标或直接造成甲方经济损失的，乙方应给予甲方相应赔偿。甲方有权要求乙方限期整改，乙方逾期未进行整改且未提供合理说明，经双方协商未解决问题，则甲方有权终止合同；</w:t>
      </w:r>
    </w:p>
    <w:p w14:paraId="251FECA7">
      <w:pPr>
        <w:spacing w:line="360" w:lineRule="auto"/>
        <w:ind w:left="0" w:leftChars="0" w:firstLine="350"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（二）乙方员工非甲方原因发生的集体停工、罢工（30%以上），甲方有权扣除相关费用，并给乙方每日3000元罚款，连续超过二天，甲方有权解除合同；</w:t>
      </w:r>
    </w:p>
    <w:p w14:paraId="7AD53F21">
      <w:pPr>
        <w:spacing w:line="360" w:lineRule="auto"/>
        <w:ind w:left="0" w:leftChars="0" w:firstLine="417" w:firstLineChars="167"/>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（三）合同期未满，乙方擅自提前停止物业管理服务的；乙方不按时交接、撤离的，均应向甲方赔偿实际损失；</w:t>
      </w:r>
    </w:p>
    <w:p w14:paraId="789F41FB">
      <w:pPr>
        <w:spacing w:line="360" w:lineRule="auto"/>
        <w:ind w:left="0" w:leftChars="0" w:firstLine="417" w:firstLineChars="167"/>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（四）因乙方工作失误、管理疏忽，经甲方认定，造成重大物业管理责任事故，甲方可终止本合同，并追究相关责任。</w:t>
      </w:r>
    </w:p>
    <w:p w14:paraId="0600392C">
      <w:pPr>
        <w:keepNext/>
        <w:keepLines/>
        <w:widowControl w:val="0"/>
        <w:spacing w:before="260" w:after="78" w:afterLines="25" w:line="360" w:lineRule="auto"/>
        <w:jc w:val="both"/>
        <w:outlineLvl w:val="1"/>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第十二条 其他事项</w:t>
      </w:r>
    </w:p>
    <w:p w14:paraId="6FDD787C">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（一）本合同未尽事宜，双方另行协商解决；</w:t>
      </w:r>
    </w:p>
    <w:p w14:paraId="5695509E">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（二）合同附件1-4经双方同意，可实时更新完善，并作为本合同的一部分，与本合同具有同等的法律效力；</w:t>
      </w:r>
    </w:p>
    <w:p w14:paraId="306E0D7A">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（三）本合同期内承包费用不予调整，增加或减少管理面积的服务双方协商签订补充协议；</w:t>
      </w:r>
    </w:p>
    <w:p w14:paraId="6D119A21">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四）乙方以工料全包的方式承包，卫生清洁工作中所需的各种设备设施、工具、耗材（包括清洁剂、杀虫剂、空气清新剂、垃圾袋、垃圾篓、果皮箱、大垃圾桶、各种消毒剂、清洁车辆等）及各种低值易耗品、一次性用品、劳保用品等均</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由</w:t>
      </w:r>
      <w:r>
        <w:rPr>
          <w:rFonts w:hint="eastAsia" w:ascii="宋体" w:hAnsi="宋体" w:eastAsia="宋体" w:cs="宋体"/>
          <w:color w:val="000000" w:themeColor="text1"/>
          <w:spacing w:val="20"/>
          <w:sz w:val="21"/>
          <w:szCs w:val="21"/>
          <w:highlight w:val="none"/>
          <w14:textFill>
            <w14:solidFill>
              <w14:schemeClr w14:val="tx1"/>
            </w14:solidFill>
          </w14:textFill>
        </w:rPr>
        <w:t>乙方承担。</w:t>
      </w:r>
    </w:p>
    <w:p w14:paraId="46559DA8">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（五）双方可对本合同的其他条款进行修订更改或补充，以书面签订补充协议，补充协议作为附件与本合同具有同等效力，在双方完成签署后，即时生效；</w:t>
      </w:r>
    </w:p>
    <w:p w14:paraId="02214C43">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（六）本合同执行期间，如遇不可抗力，致使合同无法履行时，双方均不承担违约责任并按有关法</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规和</w:t>
      </w:r>
      <w:r>
        <w:rPr>
          <w:rFonts w:hint="eastAsia" w:ascii="宋体" w:hAnsi="宋体" w:eastAsia="宋体" w:cs="宋体"/>
          <w:color w:val="000000" w:themeColor="text1"/>
          <w:spacing w:val="20"/>
          <w:sz w:val="21"/>
          <w:szCs w:val="21"/>
          <w:highlight w:val="none"/>
          <w14:textFill>
            <w14:solidFill>
              <w14:schemeClr w14:val="tx1"/>
            </w14:solidFill>
          </w14:textFill>
        </w:rPr>
        <w:t>政策规定及时协商处理；</w:t>
      </w:r>
    </w:p>
    <w:p w14:paraId="2E388612">
      <w:pPr>
        <w:spacing w:line="360" w:lineRule="auto"/>
        <w:ind w:left="0" w:leftChars="0" w:firstLine="420" w:firstLineChars="0"/>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（七）</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为保证乙方服务质量和达到甲方要求的各项标准，乙方在甲方工作的员工不得兼职，否则，甲方将取消该岗位工资，并对乙方进行相应处罚；</w:t>
      </w:r>
    </w:p>
    <w:p w14:paraId="2AF197E1">
      <w:pPr>
        <w:spacing w:line="360" w:lineRule="auto"/>
        <w:ind w:left="0" w:leftChars="0" w:firstLine="420" w:firstLineChars="0"/>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八</w:t>
      </w:r>
      <w:r>
        <w:rPr>
          <w:rFonts w:hint="eastAsia" w:ascii="宋体" w:hAnsi="宋体" w:eastAsia="宋体" w:cs="宋体"/>
          <w:color w:val="000000" w:themeColor="text1"/>
          <w:spacing w:val="20"/>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20"/>
          <w:sz w:val="21"/>
          <w:szCs w:val="21"/>
          <w:highlight w:val="none"/>
          <w14:textFill>
            <w14:solidFill>
              <w14:schemeClr w14:val="tx1"/>
            </w14:solidFill>
          </w14:textFill>
        </w:rPr>
        <w:t>本合同一式玖份，甲方执柒份，乙方执两份，具有同等法律效力。</w:t>
      </w:r>
    </w:p>
    <w:p w14:paraId="6991F77D">
      <w:pPr>
        <w:spacing w:line="360" w:lineRule="auto"/>
        <w:rPr>
          <w:rFonts w:hint="eastAsia" w:ascii="宋体" w:hAnsi="宋体" w:eastAsia="宋体" w:cs="宋体"/>
          <w:color w:val="000000" w:themeColor="text1"/>
          <w:spacing w:val="20"/>
          <w:sz w:val="21"/>
          <w:szCs w:val="21"/>
          <w:highlight w:val="none"/>
          <w14:textFill>
            <w14:solidFill>
              <w14:schemeClr w14:val="tx1"/>
            </w14:solidFill>
          </w14:textFill>
        </w:rPr>
      </w:pPr>
      <w:r>
        <w:rPr>
          <w:rFonts w:hint="eastAsia" w:ascii="宋体" w:hAnsi="宋体" w:eastAsia="宋体" w:cs="宋体"/>
          <w:color w:val="000000" w:themeColor="text1"/>
          <w:spacing w:val="20"/>
          <w:sz w:val="21"/>
          <w:szCs w:val="21"/>
          <w:highlight w:val="none"/>
          <w14:textFill>
            <w14:solidFill>
              <w14:schemeClr w14:val="tx1"/>
            </w14:solidFill>
          </w14:textFill>
        </w:rPr>
        <w:t>附：附件1-4</w:t>
      </w:r>
    </w:p>
    <w:p w14:paraId="1E17BF2F">
      <w:pPr>
        <w:spacing w:line="360" w:lineRule="auto"/>
        <w:rPr>
          <w:rFonts w:hint="eastAsia" w:ascii="宋体" w:hAnsi="宋体" w:eastAsia="宋体" w:cs="宋体"/>
          <w:color w:val="000000" w:themeColor="text1"/>
          <w:spacing w:val="20"/>
          <w:sz w:val="21"/>
          <w:szCs w:val="21"/>
          <w:highlight w:val="none"/>
          <w14:textFill>
            <w14:solidFill>
              <w14:schemeClr w14:val="tx1"/>
            </w14:solidFill>
          </w14:textFill>
        </w:rPr>
      </w:pPr>
    </w:p>
    <w:p w14:paraId="0CBC65F9">
      <w:pPr>
        <w:spacing w:line="360" w:lineRule="auto"/>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（以下为签字盖章页）</w:t>
      </w:r>
    </w:p>
    <w:p w14:paraId="6BBA8273">
      <w:pPr>
        <w:spacing w:line="360" w:lineRule="auto"/>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pPr>
    </w:p>
    <w:p w14:paraId="30DBBBDC">
      <w:pPr>
        <w:spacing w:line="360" w:lineRule="auto"/>
        <w:ind w:left="418" w:leftChars="199" w:right="-934" w:rightChars="-445" w:firstLine="0" w:firstLineChars="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 xml:space="preserve">平顶山市第一人民医院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t>乙方：</w:t>
      </w:r>
    </w:p>
    <w:p w14:paraId="59F421E8">
      <w:pPr>
        <w:spacing w:line="360" w:lineRule="auto"/>
        <w:ind w:left="418" w:leftChars="199" w:right="-934" w:rightChars="-445" w:firstLine="0" w:firstLineChars="0"/>
        <w:jc w:val="left"/>
        <w:rPr>
          <w:rFonts w:hint="eastAsia" w:ascii="宋体" w:hAnsi="宋体" w:eastAsia="宋体" w:cs="宋体"/>
          <w:b/>
          <w:bCs/>
          <w:color w:val="000000" w:themeColor="text1"/>
          <w:spacing w:val="20"/>
          <w:sz w:val="21"/>
          <w:szCs w:val="21"/>
          <w:highlight w:val="none"/>
          <w14:textFill>
            <w14:solidFill>
              <w14:schemeClr w14:val="tx1"/>
            </w14:solidFill>
          </w14:textFill>
        </w:rPr>
      </w:pPr>
    </w:p>
    <w:p w14:paraId="2B65B54A">
      <w:pPr>
        <w:spacing w:line="360" w:lineRule="auto"/>
        <w:ind w:left="418" w:leftChars="199" w:right="-934" w:rightChars="-445" w:firstLine="0" w:firstLineChars="0"/>
        <w:jc w:val="left"/>
        <w:rPr>
          <w:rFonts w:hint="eastAsia" w:ascii="宋体" w:hAnsi="宋体" w:eastAsia="宋体" w:cs="宋体"/>
          <w:b/>
          <w:bCs/>
          <w:color w:val="000000" w:themeColor="text1"/>
          <w:spacing w:val="20"/>
          <w:sz w:val="21"/>
          <w:szCs w:val="21"/>
          <w:highlight w:val="none"/>
          <w14:textFill>
            <w14:solidFill>
              <w14:schemeClr w14:val="tx1"/>
            </w14:solidFill>
          </w14:textFill>
        </w:rPr>
      </w:pPr>
      <w:r>
        <w:rPr>
          <w:rFonts w:hint="eastAsia" w:ascii="宋体" w:hAnsi="宋体" w:eastAsia="宋体" w:cs="宋体"/>
          <w:b/>
          <w:bCs/>
          <w:color w:val="000000" w:themeColor="text1"/>
          <w:spacing w:val="20"/>
          <w:sz w:val="21"/>
          <w:szCs w:val="21"/>
          <w:highlight w:val="none"/>
          <w14:textFill>
            <w14:solidFill>
              <w14:schemeClr w14:val="tx1"/>
            </w14:solidFill>
          </w14:textFill>
        </w:rPr>
        <w:t xml:space="preserve">法定代表人： </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pacing w:val="20"/>
          <w:sz w:val="21"/>
          <w:szCs w:val="21"/>
          <w:highlight w:val="none"/>
          <w14:textFill>
            <w14:solidFill>
              <w14:schemeClr w14:val="tx1"/>
            </w14:solidFill>
          </w14:textFill>
        </w:rPr>
        <w:t xml:space="preserve">法定代表人： </w:t>
      </w:r>
    </w:p>
    <w:p w14:paraId="60412888">
      <w:pPr>
        <w:spacing w:line="360" w:lineRule="auto"/>
        <w:ind w:left="418" w:leftChars="199" w:right="-934" w:rightChars="-445" w:firstLine="0" w:firstLineChars="0"/>
        <w:jc w:val="left"/>
        <w:rPr>
          <w:rFonts w:hint="eastAsia" w:ascii="宋体" w:hAnsi="宋体" w:eastAsia="宋体" w:cs="宋体"/>
          <w:color w:val="000000" w:themeColor="text1"/>
          <w:spacing w:val="20"/>
          <w:sz w:val="21"/>
          <w:szCs w:val="21"/>
          <w:highlight w:val="none"/>
          <w14:textFill>
            <w14:solidFill>
              <w14:schemeClr w14:val="tx1"/>
            </w14:solidFill>
          </w14:textFill>
        </w:rPr>
      </w:pPr>
    </w:p>
    <w:p w14:paraId="40368E72">
      <w:pPr>
        <w:spacing w:line="360" w:lineRule="auto"/>
        <w:ind w:left="418" w:leftChars="199" w:right="-934" w:rightChars="-445" w:firstLine="0" w:firstLineChars="0"/>
        <w:jc w:val="left"/>
        <w:rPr>
          <w:rFonts w:hint="eastAsia" w:ascii="宋体" w:hAnsi="宋体" w:eastAsia="宋体" w:cs="宋体"/>
          <w:b/>
          <w:bCs/>
          <w:color w:val="000000" w:themeColor="text1"/>
          <w:spacing w:val="20"/>
          <w:sz w:val="21"/>
          <w:szCs w:val="21"/>
          <w:highlight w:val="none"/>
          <w14:textFill>
            <w14:solidFill>
              <w14:schemeClr w14:val="tx1"/>
            </w14:solidFill>
          </w14:textFill>
        </w:rPr>
      </w:pPr>
      <w:r>
        <w:rPr>
          <w:rFonts w:hint="eastAsia" w:ascii="宋体" w:hAnsi="宋体" w:eastAsia="宋体" w:cs="宋体"/>
          <w:b/>
          <w:bCs/>
          <w:color w:val="000000" w:themeColor="text1"/>
          <w:spacing w:val="20"/>
          <w:sz w:val="21"/>
          <w:szCs w:val="21"/>
          <w:highlight w:val="none"/>
          <w14:textFill>
            <w14:solidFill>
              <w14:schemeClr w14:val="tx1"/>
            </w14:solidFill>
          </w14:textFill>
        </w:rPr>
        <w:t>委托代理人：</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pacing w:val="20"/>
          <w:sz w:val="21"/>
          <w:szCs w:val="21"/>
          <w:highlight w:val="none"/>
          <w14:textFill>
            <w14:solidFill>
              <w14:schemeClr w14:val="tx1"/>
            </w14:solidFill>
          </w14:textFill>
        </w:rPr>
        <w:t>委托代理人：</w:t>
      </w:r>
    </w:p>
    <w:p w14:paraId="55EA1C66">
      <w:pPr>
        <w:spacing w:line="360" w:lineRule="auto"/>
        <w:ind w:left="418" w:leftChars="199" w:right="-934" w:rightChars="-445" w:firstLine="0" w:firstLineChars="0"/>
        <w:jc w:val="left"/>
        <w:rPr>
          <w:rFonts w:hint="eastAsia" w:ascii="宋体" w:hAnsi="宋体" w:eastAsia="宋体" w:cs="宋体"/>
          <w:color w:val="000000" w:themeColor="text1"/>
          <w:spacing w:val="20"/>
          <w:sz w:val="21"/>
          <w:szCs w:val="21"/>
          <w:highlight w:val="none"/>
          <w14:textFill>
            <w14:solidFill>
              <w14:schemeClr w14:val="tx1"/>
            </w14:solidFill>
          </w14:textFill>
        </w:rPr>
      </w:pPr>
    </w:p>
    <w:p w14:paraId="5F281810">
      <w:pPr>
        <w:spacing w:line="360" w:lineRule="auto"/>
        <w:ind w:left="418" w:leftChars="199" w:right="-934" w:rightChars="-445" w:firstLine="0" w:firstLineChars="0"/>
        <w:jc w:val="left"/>
        <w:rPr>
          <w:rFonts w:hint="eastAsia" w:ascii="宋体" w:hAnsi="宋体" w:eastAsia="宋体" w:cs="宋体"/>
          <w:color w:val="000000" w:themeColor="text1"/>
          <w:spacing w:val="20"/>
          <w:sz w:val="28"/>
          <w:szCs w:val="28"/>
          <w:highlight w:val="none"/>
          <w14:textFill>
            <w14:solidFill>
              <w14:schemeClr w14:val="tx1"/>
            </w14:solidFill>
          </w14:textFill>
        </w:rPr>
      </w:pPr>
      <w:r>
        <w:rPr>
          <w:rFonts w:hint="eastAsia" w:ascii="宋体" w:hAnsi="宋体" w:eastAsia="宋体" w:cs="宋体"/>
          <w:b/>
          <w:bCs/>
          <w:color w:val="000000" w:themeColor="text1"/>
          <w:spacing w:val="20"/>
          <w:sz w:val="21"/>
          <w:szCs w:val="21"/>
          <w:highlight w:val="none"/>
          <w14:textFill>
            <w14:solidFill>
              <w14:schemeClr w14:val="tx1"/>
            </w14:solidFill>
          </w14:textFill>
        </w:rPr>
        <w:t>日期：</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年   月   日       </w:t>
      </w:r>
      <w:r>
        <w:rPr>
          <w:rFonts w:hint="eastAsia" w:ascii="宋体" w:hAnsi="宋体" w:eastAsia="宋体" w:cs="宋体"/>
          <w:color w:val="000000" w:themeColor="text1"/>
          <w:spacing w:val="20"/>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pacing w:val="20"/>
          <w:sz w:val="21"/>
          <w:szCs w:val="21"/>
          <w:highlight w:val="none"/>
          <w14:textFill>
            <w14:solidFill>
              <w14:schemeClr w14:val="tx1"/>
            </w14:solidFill>
          </w14:textFill>
        </w:rPr>
        <w:t>日期</w:t>
      </w:r>
      <w:r>
        <w:rPr>
          <w:rFonts w:hint="eastAsia" w:ascii="宋体" w:hAnsi="宋体" w:eastAsia="宋体" w:cs="宋体"/>
          <w:color w:val="000000" w:themeColor="text1"/>
          <w:spacing w:val="20"/>
          <w:sz w:val="21"/>
          <w:szCs w:val="21"/>
          <w:highlight w:val="none"/>
          <w14:textFill>
            <w14:solidFill>
              <w14:schemeClr w14:val="tx1"/>
            </w14:solidFill>
          </w14:textFill>
        </w:rPr>
        <w:t>：   年   月   日</w:t>
      </w:r>
    </w:p>
    <w:p w14:paraId="4C03FA9C">
      <w:pPr>
        <w:widowControl/>
        <w:spacing w:line="360" w:lineRule="auto"/>
        <w:jc w:val="left"/>
        <w:rPr>
          <w:rFonts w:ascii="宋体" w:hAnsi="宋体"/>
          <w:color w:val="000000" w:themeColor="text1"/>
          <w:spacing w:val="20"/>
          <w:sz w:val="28"/>
          <w:szCs w:val="28"/>
          <w:highlight w:val="none"/>
          <w14:textFill>
            <w14:solidFill>
              <w14:schemeClr w14:val="tx1"/>
            </w14:solidFill>
          </w14:textFill>
        </w:rPr>
      </w:pPr>
    </w:p>
    <w:p w14:paraId="6FBE9984">
      <w:pPr>
        <w:spacing w:line="360" w:lineRule="auto"/>
        <w:ind w:left="418" w:leftChars="199" w:right="-934" w:rightChars="-445" w:firstLine="0" w:firstLineChars="0"/>
        <w:jc w:val="left"/>
        <w:rPr>
          <w:rFonts w:hint="eastAsia" w:ascii="宋体" w:hAnsi="宋体" w:eastAsia="宋体" w:cs="宋体"/>
          <w:color w:val="000000" w:themeColor="text1"/>
          <w:spacing w:val="20"/>
          <w:sz w:val="21"/>
          <w:szCs w:val="21"/>
          <w:highlight w:val="none"/>
          <w14:textFill>
            <w14:solidFill>
              <w14:schemeClr w14:val="tx1"/>
            </w14:solidFill>
          </w14:textFill>
        </w:rPr>
      </w:pPr>
    </w:p>
    <w:p w14:paraId="35760199">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03CA782D">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4FED38EC">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676A71E2">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3D3A7232">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3262C639">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07E04BE8">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326EE77C">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466F6FB2">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22966669">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0EC87E86">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4D7650B2">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54348AF3">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0F2F8698">
      <w:pPr>
        <w:pStyle w:val="4"/>
        <w:widowControl/>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附件一</w:t>
      </w:r>
    </w:p>
    <w:p w14:paraId="634A49CB">
      <w:pPr>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卫生保洁质量标准</w:t>
      </w:r>
    </w:p>
    <w:p w14:paraId="10E085F8">
      <w:pPr>
        <w:widowControl w:val="0"/>
        <w:spacing w:line="360" w:lineRule="auto"/>
        <w:jc w:val="both"/>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绿化：摆放、修剪、浇水、施肥、杀虫以及去除尘土等维护、</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养护</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w:t>
      </w:r>
    </w:p>
    <w:p w14:paraId="7DE4BDA1">
      <w:pPr>
        <w:spacing w:line="360" w:lineRule="auto"/>
        <w:ind w:left="332" w:leftChars="-142" w:hanging="630" w:hangingChars="300"/>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14:textFill>
            <w14:solidFill>
              <w14:schemeClr w14:val="tx1"/>
            </w14:solidFill>
          </w14:textFill>
        </w:rPr>
        <w:t>花卉、植物：保持新鲜美</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观</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并根据季节变化进行更换</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18128574">
      <w:pPr>
        <w:widowControl w:val="0"/>
        <w:spacing w:line="360" w:lineRule="auto"/>
        <w:ind w:left="420" w:leftChars="200" w:firstLine="105" w:firstLineChars="50"/>
        <w:jc w:val="both"/>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绿地、盆栽：保持清洁，</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无</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纸屑、烟头、粪便等废弃物；同时，不得存在明显的石块及其他杂物；</w:t>
      </w:r>
    </w:p>
    <w:p w14:paraId="00F208CD">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二、清洁、保洁：</w:t>
      </w:r>
    </w:p>
    <w:p w14:paraId="50DD3545">
      <w:pPr>
        <w:spacing w:line="360" w:lineRule="auto"/>
        <w:ind w:firstLine="210" w:firstLineChars="1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1、标准：</w:t>
      </w:r>
    </w:p>
    <w:p w14:paraId="3C757A6E">
      <w:pPr>
        <w:spacing w:line="360" w:lineRule="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（1）地面：干净</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无污迹、</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水渍、</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杂物、</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无果皮、无纸屑、无烟头</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30C17A9D">
      <w:pPr>
        <w:spacing w:line="360" w:lineRule="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（2）天花板：干净，无</w:t>
      </w:r>
      <w:r>
        <w:rPr>
          <w:rFonts w:hint="eastAsia" w:ascii="宋体" w:hAnsi="宋体" w:eastAsia="宋体" w:cs="宋体"/>
          <w:color w:val="000000" w:themeColor="text1"/>
          <w:kern w:val="0"/>
          <w:sz w:val="21"/>
          <w:szCs w:val="21"/>
          <w:highlight w:val="none"/>
          <w:lang w:eastAsia="zh-CN"/>
          <w14:textFill>
            <w14:solidFill>
              <w14:schemeClr w14:val="tx1"/>
            </w14:solidFill>
          </w14:textFill>
        </w:rPr>
        <w:t>蜘</w:t>
      </w:r>
      <w:r>
        <w:rPr>
          <w:rFonts w:hint="eastAsia" w:ascii="宋体" w:hAnsi="宋体" w:eastAsia="宋体" w:cs="宋体"/>
          <w:color w:val="000000" w:themeColor="text1"/>
          <w:kern w:val="0"/>
          <w:sz w:val="21"/>
          <w:szCs w:val="21"/>
          <w:highlight w:val="none"/>
          <w14:textFill>
            <w14:solidFill>
              <w14:schemeClr w14:val="tx1"/>
            </w14:solidFill>
          </w14:textFill>
        </w:rPr>
        <w:t>蛛网、</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霉</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斑</w:t>
      </w:r>
      <w:r>
        <w:rPr>
          <w:rFonts w:hint="eastAsia" w:ascii="宋体" w:hAnsi="宋体" w:eastAsia="宋体" w:cs="宋体"/>
          <w:color w:val="000000" w:themeColor="text1"/>
          <w:kern w:val="0"/>
          <w:sz w:val="21"/>
          <w:szCs w:val="21"/>
          <w:highlight w:val="none"/>
          <w14:textFill>
            <w14:solidFill>
              <w14:schemeClr w14:val="tx1"/>
            </w14:solidFill>
          </w14:textFill>
        </w:rPr>
        <w:t>点、</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积灰；</w:t>
      </w:r>
    </w:p>
    <w:p w14:paraId="64773A05">
      <w:pPr>
        <w:widowControl w:val="0"/>
        <w:spacing w:line="360" w:lineRule="auto"/>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（3）墙面：无灰尘、</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无蜘</w:t>
      </w:r>
      <w:r>
        <w:rPr>
          <w:rFonts w:hint="eastAsia" w:ascii="宋体" w:hAnsi="宋体" w:eastAsia="宋体" w:cs="宋体"/>
          <w:color w:val="000000" w:themeColor="text1"/>
          <w:kern w:val="0"/>
          <w:sz w:val="21"/>
          <w:szCs w:val="21"/>
          <w:highlight w:val="none"/>
          <w14:textFill>
            <w14:solidFill>
              <w14:schemeClr w14:val="tx1"/>
            </w14:solidFill>
          </w14:textFill>
        </w:rPr>
        <w:t>蛛网、无乱贴乱画；</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（4）地毯：定期吸尘，无污迹、</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杂物、</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死角，铺设平整美观；</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（5）墙饰、宣传板面：无灰尘，</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无蜘</w:t>
      </w:r>
      <w:r>
        <w:rPr>
          <w:rFonts w:hint="eastAsia" w:ascii="宋体" w:hAnsi="宋体" w:eastAsia="宋体" w:cs="宋体"/>
          <w:color w:val="000000" w:themeColor="text1"/>
          <w:kern w:val="0"/>
          <w:sz w:val="21"/>
          <w:szCs w:val="21"/>
          <w:highlight w:val="none"/>
          <w14:textFill>
            <w14:solidFill>
              <w14:schemeClr w14:val="tx1"/>
            </w14:solidFill>
          </w14:textFill>
        </w:rPr>
        <w:t>蛛网；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（6）灯具：定期循环擦拭，干净无灰尘；</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（7）门窗：每天擦拭，无灰尘、</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污迹、</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水迹；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玻璃：</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玻璃幕墙每</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半</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年进行一次清洁，门、窗、镜面、触摸屏及楼梯玻璃确保每次清洁后均达到洁净状态；日常擦拭工作保持其无污迹、无水渍、无尘埃；</w:t>
      </w:r>
    </w:p>
    <w:p w14:paraId="25AAF1AE">
      <w:pPr>
        <w:widowControl w:val="0"/>
        <w:spacing w:line="360" w:lineRule="auto"/>
        <w:jc w:val="both"/>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（9）</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不锈钢制品：无尘、无指纹、无污渍、无水痕，</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每月</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定期进行保养。</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（10）标识、标志牌：无灰尘、</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污迹；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垃圾桶：乙方自行配备符合规定标准的垃圾桶及垃圾袋；垃圾按照分类标准进行投放，垃圾桶内</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存</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垃圾不外露；垃圾袋应规范套放，不得有破损现象；垃圾桶外表保持清洁，无灰尘、无污迹，</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每日</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清洗和消毒，喷洒灭蚊、蝇药剂，以防止异味产生；痰盂外露的烟头数量不得超过三个；</w:t>
      </w:r>
    </w:p>
    <w:p w14:paraId="0166737B">
      <w:pPr>
        <w:widowControl w:val="0"/>
        <w:spacing w:line="360" w:lineRule="auto"/>
        <w:jc w:val="both"/>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（12）消防设施设备</w:t>
      </w:r>
      <w:r>
        <w:rPr>
          <w:rFonts w:hint="eastAsia" w:ascii="宋体" w:hAnsi="宋体" w:eastAsia="宋体" w:cs="宋体"/>
          <w:color w:val="000000" w:themeColor="text1"/>
          <w:w w:val="90"/>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每日擦拭，无灰尘、</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污迹、无蜘蛛网；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（13）空调：风口无积灰，室内机、过滤网无灰尘；</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扶</w:t>
      </w:r>
      <w:r>
        <w:rPr>
          <w:rFonts w:hint="eastAsia" w:ascii="宋体" w:hAnsi="宋体" w:eastAsia="宋体" w:cs="宋体"/>
          <w:color w:val="000000" w:themeColor="text1"/>
          <w:kern w:val="0"/>
          <w:sz w:val="21"/>
          <w:szCs w:val="21"/>
          <w:highlight w:val="none"/>
          <w14:textFill>
            <w14:solidFill>
              <w14:schemeClr w14:val="tx1"/>
            </w14:solidFill>
          </w14:textFill>
        </w:rPr>
        <w:t>梯及电梯轿箱</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、各层轨槽无杂物；</w:t>
      </w:r>
      <w:r>
        <w:rPr>
          <w:rFonts w:hint="eastAsia" w:ascii="宋体" w:hAnsi="宋体" w:eastAsia="宋体" w:cs="宋体"/>
          <w:color w:val="000000" w:themeColor="text1"/>
          <w:kern w:val="0"/>
          <w:sz w:val="21"/>
          <w:szCs w:val="21"/>
          <w:highlight w:val="none"/>
          <w14:textFill>
            <w14:solidFill>
              <w14:schemeClr w14:val="tx1"/>
            </w14:solidFill>
          </w14:textFill>
        </w:rPr>
        <w:t>内外门、墙壁：干净、无灰尘、无手印、</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水迹、</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污迹，除尘垫保持完好清洁，电梯内无异味；</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（15）走廊、楼梯、通道：畅通无杂物、</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积灰</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每日清洁循环保持卫生；扶手每日清洁，无灰尘；</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（16）死角：窗台高处、地角线、床脚、家具下面等，定期清洁无积灰</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、无蜘蛛网</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卫生间：无异味、无臭味；每日消毒，一旦脏污即刻清洁；地面、水池、便池（</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含</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小便器）无尿垢、无污渍、无残留干便、无积水；纸篓内垃圾量不得超过其容量的</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2/3；</w:t>
      </w:r>
    </w:p>
    <w:p w14:paraId="66D1ABE1">
      <w:pPr>
        <w:spacing w:line="360" w:lineRule="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（18）镜面、台面、水笼头：洁清</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光亮、</w:t>
      </w:r>
      <w:r>
        <w:rPr>
          <w:rFonts w:hint="eastAsia" w:ascii="宋体" w:hAnsi="宋体" w:eastAsia="宋体" w:cs="宋体"/>
          <w:color w:val="000000" w:themeColor="text1"/>
          <w:kern w:val="0"/>
          <w:sz w:val="21"/>
          <w:szCs w:val="21"/>
          <w:highlight w:val="none"/>
          <w14:textFill>
            <w14:solidFill>
              <w14:schemeClr w14:val="tx1"/>
            </w14:solidFill>
          </w14:textFill>
        </w:rPr>
        <w:t>无污迹；</w:t>
      </w:r>
    </w:p>
    <w:p w14:paraId="2ED707A6">
      <w:pPr>
        <w:spacing w:line="360" w:lineRule="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（19）楼宇3米以下外墙：</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每季度</w:t>
      </w:r>
      <w:r>
        <w:rPr>
          <w:rFonts w:hint="eastAsia" w:ascii="宋体" w:hAnsi="宋体" w:eastAsia="宋体" w:cs="宋体"/>
          <w:color w:val="000000" w:themeColor="text1"/>
          <w:kern w:val="0"/>
          <w:sz w:val="21"/>
          <w:szCs w:val="21"/>
          <w:highlight w:val="none"/>
          <w14:textFill>
            <w14:solidFill>
              <w14:schemeClr w14:val="tx1"/>
            </w14:solidFill>
          </w14:textFill>
        </w:rPr>
        <w:t>定期清洁</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p>
    <w:p w14:paraId="2EABCC6C">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（20）桌（台）面：无灰尘、水迹、污迹；每日</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消毒、</w:t>
      </w:r>
      <w:r>
        <w:rPr>
          <w:rFonts w:hint="eastAsia" w:ascii="宋体" w:hAnsi="宋体" w:eastAsia="宋体" w:cs="宋体"/>
          <w:color w:val="000000" w:themeColor="text1"/>
          <w:kern w:val="0"/>
          <w:sz w:val="21"/>
          <w:szCs w:val="21"/>
          <w:highlight w:val="none"/>
          <w14:textFill>
            <w14:solidFill>
              <w14:schemeClr w14:val="tx1"/>
            </w14:solidFill>
          </w14:textFill>
        </w:rPr>
        <w:t>擦拭；</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（21）室外道路保持干净整洁，无垃圾、无烟头、无泥沙、无石块、无粪便、无</w:t>
      </w:r>
      <w:r>
        <w:rPr>
          <w:rFonts w:hint="eastAsia" w:ascii="宋体" w:hAnsi="宋体" w:eastAsia="宋体" w:cs="宋体"/>
          <w:color w:val="000000" w:themeColor="text1"/>
          <w:kern w:val="0"/>
          <w:sz w:val="21"/>
          <w:szCs w:val="21"/>
          <w:highlight w:val="none"/>
          <w:lang w:eastAsia="zh-CN"/>
          <w14:textFill>
            <w14:solidFill>
              <w14:schemeClr w14:val="tx1"/>
            </w14:solidFill>
          </w14:textFill>
        </w:rPr>
        <w:t>瓜皮果壳、</w:t>
      </w:r>
      <w:r>
        <w:rPr>
          <w:rFonts w:hint="eastAsia" w:ascii="宋体" w:hAnsi="宋体" w:eastAsia="宋体" w:cs="宋体"/>
          <w:color w:val="000000" w:themeColor="text1"/>
          <w:kern w:val="0"/>
          <w:sz w:val="21"/>
          <w:szCs w:val="21"/>
          <w:highlight w:val="none"/>
          <w14:textFill>
            <w14:solidFill>
              <w14:schemeClr w14:val="tx1"/>
            </w14:solidFill>
          </w14:textFill>
        </w:rPr>
        <w:t>无</w:t>
      </w:r>
      <w:r>
        <w:rPr>
          <w:rFonts w:hint="eastAsia" w:ascii="宋体" w:hAnsi="宋体" w:eastAsia="宋体" w:cs="宋体"/>
          <w:color w:val="000000" w:themeColor="text1"/>
          <w:kern w:val="0"/>
          <w:sz w:val="21"/>
          <w:szCs w:val="21"/>
          <w:highlight w:val="none"/>
          <w:lang w:eastAsia="zh-CN"/>
          <w14:textFill>
            <w14:solidFill>
              <w14:schemeClr w14:val="tx1"/>
            </w14:solidFill>
          </w14:textFill>
        </w:rPr>
        <w:t>痰迹、</w:t>
      </w:r>
      <w:r>
        <w:rPr>
          <w:rFonts w:hint="eastAsia" w:ascii="宋体" w:hAnsi="宋体" w:eastAsia="宋体" w:cs="宋体"/>
          <w:color w:val="000000" w:themeColor="text1"/>
          <w:kern w:val="0"/>
          <w:sz w:val="21"/>
          <w:szCs w:val="21"/>
          <w:highlight w:val="none"/>
          <w14:textFill>
            <w14:solidFill>
              <w14:schemeClr w14:val="tx1"/>
            </w14:solidFill>
          </w14:textFill>
        </w:rPr>
        <w:t>无积水积雪，清扫及时</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3A213BA7">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（22）大型、特殊设备：</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每周</w:t>
      </w:r>
      <w:r>
        <w:rPr>
          <w:rFonts w:hint="eastAsia" w:ascii="宋体" w:hAnsi="宋体" w:eastAsia="宋体" w:cs="宋体"/>
          <w:color w:val="000000" w:themeColor="text1"/>
          <w:kern w:val="0"/>
          <w:sz w:val="21"/>
          <w:szCs w:val="21"/>
          <w:highlight w:val="none"/>
          <w14:textFill>
            <w14:solidFill>
              <w14:schemeClr w14:val="tx1"/>
            </w14:solidFill>
          </w14:textFill>
        </w:rPr>
        <w:t>定期清洁</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1570AF80">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2、清洁细则</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A、清洁范围：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（1）清洁楼内、外的所有生活垃圾，随产随清</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（2）收集并及时清理所有垃圾箱内的垃圾，垃圾桶至少1小时检查</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分类</w:t>
      </w:r>
      <w:r>
        <w:rPr>
          <w:rFonts w:hint="eastAsia" w:ascii="宋体" w:hAnsi="宋体" w:eastAsia="宋体" w:cs="宋体"/>
          <w:color w:val="000000" w:themeColor="text1"/>
          <w:kern w:val="0"/>
          <w:sz w:val="21"/>
          <w:szCs w:val="21"/>
          <w:highlight w:val="none"/>
          <w14:textFill>
            <w14:solidFill>
              <w14:schemeClr w14:val="tx1"/>
            </w14:solidFill>
          </w14:textFill>
        </w:rPr>
        <w:t>清理一次，垃圾密封运送，及时清理</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（3）清洁告示牌、窗户、指示灯及所有花盆和植物</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（4）清洁所有楼梯、墙壁、防火门的污渍</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（5）清洁所有的扶手栏杆及玻璃表面</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（6）清洁、拖擦地面、台阶楼梯表面</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5348A444">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（7）抹净楼梯、病区扶手</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0EFFBE71">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（8）洁净所有的电器开关及各安全通道门</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17F37B26">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（9）高处设施无积灰、无蛛网、无死角</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61F50D5A">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（10）病床、床头柜及病房内墙面的氧气管道、开关等附属设备：无灰尘、无污迹；</w:t>
      </w:r>
      <w:r>
        <w:rPr>
          <w:rFonts w:hint="eastAsia" w:ascii="宋体" w:hAnsi="宋体" w:eastAsia="宋体" w:cs="宋体"/>
          <w:color w:val="000000" w:themeColor="text1"/>
          <w:sz w:val="21"/>
          <w:szCs w:val="21"/>
          <w:highlight w:val="none"/>
          <w14:textFill>
            <w14:solidFill>
              <w14:schemeClr w14:val="tx1"/>
            </w14:solidFill>
          </w14:textFill>
        </w:rPr>
        <w:t>床头柜每天一柜一巾一消毒，柜面保持整洁无杂物，病房一室一拖一消毒</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DF8A8FA">
      <w:pPr>
        <w:spacing w:line="36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（11）保洁人员的储物间：摆放整齐，不能堆积杂物，及时清理</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581847BC">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（12）保洁工具严格区分清洁区、污染区，不乱放、乱用、混用</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631C99FB">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（13）楼宇外墙3米以下基本保持洁净</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07FD92E5">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（14）大型、特殊设备：包括病理科、检验科、CT室、磁共振、手术室等区域的清洁</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72654840">
      <w:pPr>
        <w:spacing w:line="360" w:lineRule="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B、清理卫生间：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（1）台面无污渍、无水迹、无杂物</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（2）镜面干净无污渍、无水迹、无灰尘</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（3）地面、墙面干净、无杂物、无水迹、无灰尘</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（4）便池干净、无污渍、无污垢、无异味</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、无干便；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（5）开关、照明灯无灰尘，隔板无尘、无污迹</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（6）纸篓、卫生桶无污渍、无异味，及时清理，内存物不外冒</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（7）定期进行消毒</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6578E9F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C、绿地： </w:t>
      </w:r>
    </w:p>
    <w:p w14:paraId="193630D5">
      <w:pPr>
        <w:tabs>
          <w:tab w:val="left" w:pos="108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（1）清洁：无明显大片树叶、</w:t>
      </w:r>
      <w:r>
        <w:rPr>
          <w:rFonts w:hint="eastAsia" w:ascii="宋体" w:hAnsi="宋体" w:eastAsia="宋体" w:cs="宋体"/>
          <w:color w:val="000000" w:themeColor="text1"/>
          <w:kern w:val="0"/>
          <w:sz w:val="21"/>
          <w:szCs w:val="21"/>
          <w:highlight w:val="none"/>
          <w14:textFill>
            <w14:solidFill>
              <w14:schemeClr w14:val="tx1"/>
            </w14:solidFill>
          </w14:textFill>
        </w:rPr>
        <w:t>无</w:t>
      </w:r>
      <w:r>
        <w:rPr>
          <w:rFonts w:hint="eastAsia" w:ascii="宋体" w:hAnsi="宋体" w:eastAsia="宋体" w:cs="宋体"/>
          <w:color w:val="000000" w:themeColor="text1"/>
          <w:sz w:val="21"/>
          <w:szCs w:val="21"/>
          <w:highlight w:val="none"/>
          <w14:textFill>
            <w14:solidFill>
              <w14:schemeClr w14:val="tx1"/>
            </w14:solidFill>
          </w14:textFill>
        </w:rPr>
        <w:t>纸屑、</w:t>
      </w:r>
      <w:r>
        <w:rPr>
          <w:rFonts w:hint="eastAsia" w:ascii="宋体" w:hAnsi="宋体" w:eastAsia="宋体" w:cs="宋体"/>
          <w:color w:val="000000" w:themeColor="text1"/>
          <w:kern w:val="0"/>
          <w:sz w:val="21"/>
          <w:szCs w:val="21"/>
          <w:highlight w:val="none"/>
          <w14:textFill>
            <w14:solidFill>
              <w14:schemeClr w14:val="tx1"/>
            </w14:solidFill>
          </w14:textFill>
        </w:rPr>
        <w:t>无</w:t>
      </w:r>
      <w:r>
        <w:rPr>
          <w:rFonts w:hint="eastAsia" w:ascii="宋体" w:hAnsi="宋体" w:eastAsia="宋体" w:cs="宋体"/>
          <w:color w:val="000000" w:themeColor="text1"/>
          <w:sz w:val="21"/>
          <w:szCs w:val="21"/>
          <w:highlight w:val="none"/>
          <w14:textFill>
            <w14:solidFill>
              <w14:schemeClr w14:val="tx1"/>
            </w14:solidFill>
          </w14:textFill>
        </w:rPr>
        <w:t>垃圾、</w:t>
      </w:r>
      <w:r>
        <w:rPr>
          <w:rFonts w:hint="eastAsia" w:ascii="宋体" w:hAnsi="宋体" w:eastAsia="宋体" w:cs="宋体"/>
          <w:color w:val="000000" w:themeColor="text1"/>
          <w:kern w:val="0"/>
          <w:sz w:val="21"/>
          <w:szCs w:val="21"/>
          <w:highlight w:val="none"/>
          <w14:textFill>
            <w14:solidFill>
              <w14:schemeClr w14:val="tx1"/>
            </w14:solidFill>
          </w14:textFill>
        </w:rPr>
        <w:t>无</w:t>
      </w:r>
      <w:r>
        <w:rPr>
          <w:rFonts w:hint="eastAsia" w:ascii="宋体" w:hAnsi="宋体" w:eastAsia="宋体" w:cs="宋体"/>
          <w:color w:val="000000" w:themeColor="text1"/>
          <w:sz w:val="21"/>
          <w:szCs w:val="21"/>
          <w:highlight w:val="none"/>
          <w14:textFill>
            <w14:solidFill>
              <w14:schemeClr w14:val="tx1"/>
            </w14:solidFill>
          </w14:textFill>
        </w:rPr>
        <w:t>粪便等杂物，地上无3厘米直径以上石子，房屋阳台下、草坪中每100平方米内的烟头不超过2个；</w:t>
      </w:r>
    </w:p>
    <w:p w14:paraId="1E6D64F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（2）花卉树木的养护：要定期修剪、施肥，防虫抗旱，无枯枝；</w:t>
      </w:r>
    </w:p>
    <w:p w14:paraId="303F3656">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（3）树木：不阻挡车辆和行人通过；灌木、绿篱成型、美观，新长枝不超过30cm；</w:t>
      </w:r>
    </w:p>
    <w:p w14:paraId="22B2486D">
      <w:pPr>
        <w:spacing w:line="36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（4）草坪：路牙、井口、坡地整齐，目视平整；施肥要不伤花草，肥料不露出土面</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4C3D2801">
      <w:pPr>
        <w:spacing w:line="36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（5）花草树木的补缺：在日常养护中无明显杂草，无明显黄土裸露，防风排涝巡视看管，暴风雨过后12小时，草地无1平方米以上的积水，树木无倒斜，断枝落叶在半天内处理</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52BCCEB">
      <w:pPr>
        <w:spacing w:line="360" w:lineRule="auto"/>
        <w:ind w:left="2" w:leftChars="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D、宣传栏：</w:t>
      </w:r>
    </w:p>
    <w:p w14:paraId="4D11F99F">
      <w:pPr>
        <w:spacing w:line="360" w:lineRule="auto"/>
        <w:ind w:left="2" w:leftChars="1" w:firstLine="315" w:firstLineChars="15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及时清理过期的资料和通知，保持洁净；及时清理家属区内及外围门柱张贴的小广告</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133DFA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三、消毒工作：</w:t>
      </w:r>
    </w:p>
    <w:p w14:paraId="619B5845">
      <w:pPr>
        <w:spacing w:line="36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A、要求每月对楼宇内外、绿化带进行一次彻底消杀活动，每季对化粪池进行一次消杀，化粪池要定期抽排（每年至少2次）。由院方管理负责人跟踪记录</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46310DE5">
      <w:pPr>
        <w:spacing w:line="36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B、每周对垃圾桶、卫生间、排水沟、室内病床、桌、椅、地面、墙面、窗户等承包区域内进行一次消毒活动；每周对开水器进行清洁、消毒一次；每周对病区室内和公共卫生间打药一次</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6809CB4">
      <w:pPr>
        <w:spacing w:line="360" w:lineRule="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C、消毒时要及时清除害虫尸体：室内不得有苍蝇，室外一处孽生地不多于3只</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16F2D36E">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四、排水管及附属设施： </w:t>
      </w:r>
    </w:p>
    <w:p w14:paraId="158CC8D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及时排除故障，清除下水口的杂物使雨水管道通畅，确保窨井完好；清除天沟的积灰、杂物，屋面及泛水部位的青苔杂草及时清理；排水管道无堵塞、杂物、蚊蝇繁殖、鼠害等。管道疏通、窨井暗沟清理等工作。乙方负责</w:t>
      </w:r>
      <w:r>
        <w:rPr>
          <w:rFonts w:hint="eastAsia" w:ascii="宋体" w:hAnsi="宋体" w:eastAsia="宋体" w:cs="宋体"/>
          <w:color w:val="000000" w:themeColor="text1"/>
          <w:sz w:val="21"/>
          <w:szCs w:val="21"/>
          <w:highlight w:val="none"/>
          <w:lang w:eastAsia="zh-CN"/>
          <w14:textFill>
            <w14:solidFill>
              <w14:schemeClr w14:val="tx1"/>
            </w14:solidFill>
          </w14:textFill>
        </w:rPr>
        <w:t>招标范围内水龙头、水管、管道的养护、拆装、维修与更换，</w:t>
      </w:r>
      <w:r>
        <w:rPr>
          <w:rFonts w:hint="eastAsia" w:ascii="宋体" w:hAnsi="宋体" w:eastAsia="宋体" w:cs="宋体"/>
          <w:color w:val="000000" w:themeColor="text1"/>
          <w:sz w:val="21"/>
          <w:szCs w:val="21"/>
          <w:highlight w:val="none"/>
          <w14:textFill>
            <w14:solidFill>
              <w14:schemeClr w14:val="tx1"/>
            </w14:solidFill>
          </w14:textFill>
        </w:rPr>
        <w:t>保证正常使用</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如果窨井塌方、天气原因造成不疏通发生工程费用材料费由甲方承担。</w:t>
      </w:r>
    </w:p>
    <w:p w14:paraId="53361CBC">
      <w:pPr>
        <w:spacing w:line="360" w:lineRule="auto"/>
        <w:rPr>
          <w:rFonts w:hint="eastAsia" w:ascii="宋体" w:hAnsi="宋体" w:eastAsia="宋体" w:cs="宋体"/>
          <w:color w:val="000000" w:themeColor="text1"/>
          <w:spacing w:val="20"/>
          <w:sz w:val="21"/>
          <w:szCs w:val="21"/>
          <w:highlight w:val="none"/>
          <w14:textFill>
            <w14:solidFill>
              <w14:schemeClr w14:val="tx1"/>
            </w14:solidFill>
          </w14:textFill>
        </w:rPr>
      </w:pPr>
    </w:p>
    <w:p w14:paraId="07D89418">
      <w:pPr>
        <w:spacing w:line="360" w:lineRule="auto"/>
        <w:rPr>
          <w:rFonts w:hint="eastAsia" w:ascii="宋体" w:hAnsi="宋体" w:eastAsia="宋体" w:cs="宋体"/>
          <w:color w:val="000000" w:themeColor="text1"/>
          <w:spacing w:val="20"/>
          <w:sz w:val="21"/>
          <w:szCs w:val="21"/>
          <w:highlight w:val="none"/>
          <w14:textFill>
            <w14:solidFill>
              <w14:schemeClr w14:val="tx1"/>
            </w14:solidFill>
          </w14:textFill>
        </w:rPr>
      </w:pPr>
    </w:p>
    <w:p w14:paraId="3B6AE1A2">
      <w:pPr>
        <w:spacing w:line="360" w:lineRule="auto"/>
        <w:rPr>
          <w:rFonts w:hint="eastAsia" w:ascii="宋体" w:hAnsi="宋体" w:eastAsia="宋体" w:cs="宋体"/>
          <w:color w:val="000000" w:themeColor="text1"/>
          <w:spacing w:val="20"/>
          <w:sz w:val="21"/>
          <w:szCs w:val="21"/>
          <w:highlight w:val="none"/>
          <w14:textFill>
            <w14:solidFill>
              <w14:schemeClr w14:val="tx1"/>
            </w14:solidFill>
          </w14:textFill>
        </w:rPr>
      </w:pPr>
    </w:p>
    <w:p w14:paraId="715D7193">
      <w:pPr>
        <w:pStyle w:val="4"/>
        <w:widowControl/>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附件二</w:t>
      </w:r>
    </w:p>
    <w:p w14:paraId="549BE42F">
      <w:pPr>
        <w:spacing w:line="36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平顶山市第一人民医院保洁管理要求</w:t>
      </w:r>
    </w:p>
    <w:p w14:paraId="1A095A31">
      <w:pPr>
        <w:spacing w:line="360" w:lineRule="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遵守政府法令和医院规章制度，熟知医院科室分布情况，不得在医院范围内从事与保洁无关的活动；</w:t>
      </w:r>
    </w:p>
    <w:p w14:paraId="235A386B">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（2）保洁人员在工作中的安全问题由保洁公司全面负责；</w:t>
      </w:r>
    </w:p>
    <w:p w14:paraId="75A0022B">
      <w:pPr>
        <w:widowControl w:val="0"/>
        <w:spacing w:line="360" w:lineRule="auto"/>
        <w:jc w:val="both"/>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保</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洁机械与设备、保洁工具、洗涤剂、消毒剂、</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垃圾桶、垃圾袋</w:t>
      </w:r>
      <w:r>
        <w:rPr>
          <w:rFonts w:hint="eastAsia" w:ascii="宋体" w:hAnsi="宋体" w:eastAsia="宋体" w:cs="宋体"/>
          <w:color w:val="000000" w:themeColor="text1"/>
          <w:kern w:val="0"/>
          <w:sz w:val="21"/>
          <w:szCs w:val="21"/>
          <w:highlight w:val="none"/>
          <w:lang w:eastAsia="zh-CN" w:bidi="ar-SA"/>
          <w14:textFill>
            <w14:solidFill>
              <w14:schemeClr w14:val="tx1"/>
            </w14:solidFill>
          </w14:textFill>
        </w:rPr>
        <w:t>等物资配备完善，实行分类定点存储，并妥善保管。各类擦拭布专用于指定用途，及时消毒，维持其清洁状态，严禁挪用或混用，以避免任何短缺、损坏或不当放置的情况，满足卫生清扫与保洁的需求；</w:t>
      </w:r>
    </w:p>
    <w:p w14:paraId="382B4CB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（4）应急事物处理及时率100%；</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（5）服务有效投诉少于3%，处理率100%；</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（6）测评保洁服务基本满意率9</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w:t>
      </w:r>
    </w:p>
    <w:p w14:paraId="708DF418">
      <w:pPr>
        <w:tabs>
          <w:tab w:val="left" w:pos="900"/>
        </w:tabs>
        <w:spacing w:line="360" w:lineRule="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（7）杜绝火灾责任事故；</w:t>
      </w:r>
    </w:p>
    <w:p w14:paraId="041B9623">
      <w:pPr>
        <w:widowControl w:val="0"/>
        <w:autoSpaceDE w:val="0"/>
        <w:autoSpaceDN w:val="0"/>
        <w:adjustRightInd w:val="0"/>
        <w:spacing w:line="360" w:lineRule="auto"/>
        <w:jc w:val="both"/>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（8）</w:t>
      </w:r>
      <w:r>
        <w:rPr>
          <w:rFonts w:hint="eastAsia" w:ascii="宋体" w:hAnsi="宋体" w:eastAsia="宋体" w:cs="宋体"/>
          <w:color w:val="000000" w:themeColor="text1"/>
          <w:kern w:val="2"/>
          <w:sz w:val="21"/>
          <w:szCs w:val="21"/>
          <w:highlight w:val="none"/>
          <w:lang w:val="zh-CN" w:bidi="ar-SA"/>
          <w14:textFill>
            <w14:solidFill>
              <w14:schemeClr w14:val="tx1"/>
            </w14:solidFill>
          </w14:textFill>
        </w:rPr>
        <w:t>雨天、雪天以及室内、外的积水、积雪及时进行清理，若因上述原因或楼内地面的水迹、污迹导致摔伤等意外伤害事件发生，乙方承担全部责任；</w:t>
      </w:r>
    </w:p>
    <w:p w14:paraId="6DC8D77B">
      <w:pPr>
        <w:widowControl w:val="0"/>
        <w:autoSpaceDE w:val="0"/>
        <w:autoSpaceDN w:val="0"/>
        <w:adjustRightInd w:val="0"/>
        <w:spacing w:line="360" w:lineRule="auto"/>
        <w:jc w:val="both"/>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（9）</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当</w:t>
      </w:r>
      <w:r>
        <w:rPr>
          <w:rFonts w:hint="eastAsia" w:ascii="宋体" w:hAnsi="宋体" w:eastAsia="宋体" w:cs="宋体"/>
          <w:color w:val="000000" w:themeColor="text1"/>
          <w:kern w:val="2"/>
          <w:sz w:val="21"/>
          <w:szCs w:val="21"/>
          <w:highlight w:val="none"/>
          <w:lang w:val="zh-CN" w:bidi="ar-SA"/>
          <w14:textFill>
            <w14:solidFill>
              <w14:schemeClr w14:val="tx1"/>
            </w14:solidFill>
          </w14:textFill>
        </w:rPr>
        <w:t>医院遇特殊情况或突发事件，例如组织活动、检查或庆典等情况下，乙方应当在指定范围内无偿且无条件地提供额外的清洁服务；</w:t>
      </w:r>
    </w:p>
    <w:p w14:paraId="7F9ABAF0">
      <w:pPr>
        <w:widowControl w:val="0"/>
        <w:autoSpaceDE w:val="0"/>
        <w:autoSpaceDN w:val="0"/>
        <w:adjustRightInd w:val="0"/>
        <w:spacing w:line="360" w:lineRule="auto"/>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r>
        <w:rPr>
          <w:rFonts w:hint="eastAsia" w:ascii="宋体" w:hAnsi="宋体" w:eastAsia="宋体" w:cs="宋体"/>
          <w:bCs/>
          <w:color w:val="000000" w:themeColor="text1"/>
          <w:kern w:val="2"/>
          <w:sz w:val="21"/>
          <w:szCs w:val="21"/>
          <w:highlight w:val="none"/>
          <w:lang w:eastAsia="zh-CN" w:bidi="ar-SA"/>
          <w14:textFill>
            <w14:solidFill>
              <w14:schemeClr w14:val="tx1"/>
            </w14:solidFill>
          </w14:textFill>
        </w:rPr>
        <w:t>办公室、会议室、重大节日以及大型活动期间，楼前广场花卉的采购、摆放、布置以及相关管理费用，均由乙方负责并承担；</w:t>
      </w:r>
    </w:p>
    <w:p w14:paraId="3DB729A9">
      <w:pPr>
        <w:spacing w:line="36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（11）严格执行消毒隔离规范，预防交叉感染。了解掌握常用消毒液的配制方法、浓度、浸泡时间和使用注意事项；</w:t>
      </w:r>
    </w:p>
    <w:p w14:paraId="43FF4EBB">
      <w:pPr>
        <w:tabs>
          <w:tab w:val="left" w:pos="90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（12）教育员工树立节水、节电意识，杜绝资源浪费；</w:t>
      </w:r>
    </w:p>
    <w:p w14:paraId="76F8C1B3">
      <w:pPr>
        <w:tabs>
          <w:tab w:val="left" w:pos="90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w:t>
      </w:r>
      <w:r>
        <w:rPr>
          <w:rFonts w:hint="eastAsia" w:ascii="宋体" w:hAnsi="宋体" w:eastAsia="宋体" w:cs="宋体"/>
          <w:color w:val="000000" w:themeColor="text1"/>
          <w:sz w:val="21"/>
          <w:szCs w:val="21"/>
          <w:highlight w:val="none"/>
          <w:lang w:eastAsia="zh-CN"/>
          <w14:textFill>
            <w14:solidFill>
              <w14:schemeClr w14:val="tx1"/>
            </w14:solidFill>
          </w14:textFill>
        </w:rPr>
        <w:t>乙</w:t>
      </w:r>
      <w:r>
        <w:rPr>
          <w:rFonts w:hint="eastAsia" w:ascii="宋体" w:hAnsi="宋体" w:eastAsia="宋体" w:cs="宋体"/>
          <w:color w:val="000000" w:themeColor="text1"/>
          <w:sz w:val="21"/>
          <w:szCs w:val="21"/>
          <w:highlight w:val="none"/>
          <w14:textFill>
            <w14:solidFill>
              <w14:schemeClr w14:val="tx1"/>
            </w14:solidFill>
          </w14:textFill>
        </w:rPr>
        <w:t>方应制定各种应急预案：如防水，防火，停电，天气变化等引起的雨雪、风沙等；</w:t>
      </w:r>
    </w:p>
    <w:p w14:paraId="191CE3B8">
      <w:pPr>
        <w:tabs>
          <w:tab w:val="left" w:pos="90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（14）执行保洁员操作规程，确保达到卫生标准；如果服务频率不能达到院方的服务要求，院方有权利要求调整；</w:t>
      </w:r>
    </w:p>
    <w:p w14:paraId="236C58C6">
      <w:pPr>
        <w:widowControl w:val="0"/>
        <w:spacing w:line="360" w:lineRule="auto"/>
        <w:jc w:val="both"/>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楼顶天台的清洁工作时，保洁人员应当在进入工作区域及完成清理工作后立即锁闭出入口，以避免非工作人员进入并防止发生意外；</w:t>
      </w:r>
    </w:p>
    <w:p w14:paraId="40812B7F">
      <w:pPr>
        <w:widowControl w:val="0"/>
        <w:spacing w:line="360" w:lineRule="auto"/>
        <w:jc w:val="both"/>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积极</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配合</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病媒生物防制（除四害）相关工作，并确保有详细的文字记录；</w:t>
      </w:r>
    </w:p>
    <w:p w14:paraId="0DEF097D">
      <w:pPr>
        <w:widowControl w:val="0"/>
        <w:spacing w:line="360" w:lineRule="auto"/>
        <w:ind w:right="25" w:rightChars="12"/>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w:t>
      </w:r>
      <w:r>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t>面对突发状况（如水灾、火灾、雪灾、急性传染病等），院内物业公司应无偿且无条件地提供相互支持与合作，以确保医院的正常运作。</w:t>
      </w:r>
    </w:p>
    <w:p w14:paraId="2A6E2B90">
      <w:pPr>
        <w:widowControl w:val="0"/>
        <w:spacing w:line="360" w:lineRule="auto"/>
        <w:ind w:right="25" w:rightChars="12"/>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p>
    <w:p w14:paraId="49A570D6">
      <w:pPr>
        <w:widowControl w:val="0"/>
        <w:spacing w:line="360" w:lineRule="auto"/>
        <w:ind w:right="25" w:rightChars="12"/>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p>
    <w:p w14:paraId="28ECDFB1">
      <w:pPr>
        <w:widowControl w:val="0"/>
        <w:spacing w:line="360" w:lineRule="auto"/>
        <w:ind w:right="25" w:rightChars="12"/>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p>
    <w:p w14:paraId="1599C08A">
      <w:pPr>
        <w:widowControl w:val="0"/>
        <w:spacing w:line="360" w:lineRule="auto"/>
        <w:ind w:right="25" w:rightChars="12"/>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p>
    <w:p w14:paraId="1BBF5B16">
      <w:pPr>
        <w:widowControl w:val="0"/>
        <w:spacing w:line="360" w:lineRule="auto"/>
        <w:ind w:right="25" w:rightChars="12"/>
        <w:jc w:val="both"/>
        <w:rPr>
          <w:rFonts w:hint="eastAsia" w:ascii="宋体" w:hAnsi="宋体" w:eastAsia="宋体" w:cs="宋体"/>
          <w:color w:val="000000" w:themeColor="text1"/>
          <w:kern w:val="2"/>
          <w:sz w:val="21"/>
          <w:szCs w:val="21"/>
          <w:highlight w:val="none"/>
          <w:lang w:eastAsia="zh-CN" w:bidi="ar-SA"/>
          <w14:textFill>
            <w14:solidFill>
              <w14:schemeClr w14:val="tx1"/>
            </w14:solidFill>
          </w14:textFill>
        </w:rPr>
      </w:pPr>
    </w:p>
    <w:p w14:paraId="21AC7C9E">
      <w:pPr>
        <w:spacing w:line="360" w:lineRule="exact"/>
        <w:rPr>
          <w:rFonts w:hint="eastAsia" w:ascii="宋体" w:hAnsi="宋体" w:eastAsia="宋体" w:cs="宋体"/>
          <w:color w:val="000000" w:themeColor="text1"/>
          <w:spacing w:val="20"/>
          <w:sz w:val="28"/>
          <w:szCs w:val="28"/>
          <w:highlight w:val="none"/>
          <w14:textFill>
            <w14:solidFill>
              <w14:schemeClr w14:val="tx1"/>
            </w14:solidFill>
          </w14:textFill>
        </w:rPr>
      </w:pPr>
    </w:p>
    <w:p w14:paraId="51E1919F">
      <w:pPr>
        <w:pStyle w:val="4"/>
        <w:widowControl/>
        <w:rPr>
          <w:rFonts w:hint="eastAsia" w:ascii="宋体" w:hAnsi="宋体" w:eastAsia="宋体" w:cs="宋体"/>
          <w:color w:val="000000" w:themeColor="text1"/>
          <w:spacing w:val="20"/>
          <w:sz w:val="28"/>
          <w:szCs w:val="28"/>
          <w:highlight w:val="none"/>
          <w:lang w:val="en-US" w:eastAsia="zh-CN"/>
          <w14:textFill>
            <w14:solidFill>
              <w14:schemeClr w14:val="tx1"/>
            </w14:solidFill>
          </w14:textFill>
        </w:rPr>
      </w:pPr>
      <w:r>
        <w:rPr>
          <w:rFonts w:hint="eastAsia" w:ascii="宋体" w:hAnsi="宋体" w:cs="宋体"/>
          <w:color w:val="000000" w:themeColor="text1"/>
          <w:spacing w:val="20"/>
          <w:sz w:val="28"/>
          <w:szCs w:val="28"/>
          <w:highlight w:val="none"/>
          <w:lang w:val="en-US" w:eastAsia="zh-CN"/>
          <w14:textFill>
            <w14:solidFill>
              <w14:schemeClr w14:val="tx1"/>
            </w14:solidFill>
          </w14:textFill>
        </w:rPr>
        <w:t>附件三</w:t>
      </w:r>
    </w:p>
    <w:p w14:paraId="18100801">
      <w:pPr>
        <w:widowControl w:val="0"/>
        <w:numPr>
          <w:ilvl w:val="0"/>
          <w:numId w:val="0"/>
        </w:numPr>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372100" cy="738187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5372100" cy="7381875"/>
                    </a:xfrm>
                    <a:prstGeom prst="rect">
                      <a:avLst/>
                    </a:prstGeom>
                    <a:noFill/>
                    <a:ln>
                      <a:noFill/>
                    </a:ln>
                  </pic:spPr>
                </pic:pic>
              </a:graphicData>
            </a:graphic>
          </wp:inline>
        </w:drawing>
      </w:r>
    </w:p>
    <w:p w14:paraId="699876D7">
      <w:pPr>
        <w:widowControl w:val="0"/>
        <w:numPr>
          <w:ilvl w:val="0"/>
          <w:numId w:val="0"/>
        </w:numPr>
        <w:jc w:val="both"/>
        <w:rPr>
          <w:color w:val="000000" w:themeColor="text1"/>
          <w:highlight w:val="none"/>
          <w14:textFill>
            <w14:solidFill>
              <w14:schemeClr w14:val="tx1"/>
            </w14:solidFill>
          </w14:textFill>
        </w:rPr>
      </w:pPr>
    </w:p>
    <w:p w14:paraId="2C2EE9C6">
      <w:pPr>
        <w:widowControl w:val="0"/>
        <w:numPr>
          <w:ilvl w:val="0"/>
          <w:numId w:val="0"/>
        </w:numPr>
        <w:jc w:val="both"/>
        <w:rPr>
          <w:color w:val="000000" w:themeColor="text1"/>
          <w:highlight w:val="none"/>
          <w14:textFill>
            <w14:solidFill>
              <w14:schemeClr w14:val="tx1"/>
            </w14:solidFill>
          </w14:textFill>
        </w:rPr>
      </w:pPr>
    </w:p>
    <w:p w14:paraId="5C6EAC71">
      <w:pPr>
        <w:widowControl w:val="0"/>
        <w:numPr>
          <w:ilvl w:val="0"/>
          <w:numId w:val="0"/>
        </w:numPr>
        <w:jc w:val="both"/>
        <w:rPr>
          <w:color w:val="000000" w:themeColor="text1"/>
          <w:highlight w:val="none"/>
          <w14:textFill>
            <w14:solidFill>
              <w14:schemeClr w14:val="tx1"/>
            </w14:solidFill>
          </w14:textFill>
        </w:rPr>
      </w:pPr>
    </w:p>
    <w:p w14:paraId="6B96B3F0">
      <w:pPr>
        <w:widowControl w:val="0"/>
        <w:numPr>
          <w:ilvl w:val="0"/>
          <w:numId w:val="0"/>
        </w:numPr>
        <w:jc w:val="both"/>
        <w:rPr>
          <w:color w:val="000000" w:themeColor="text1"/>
          <w:highlight w:val="none"/>
          <w14:textFill>
            <w14:solidFill>
              <w14:schemeClr w14:val="tx1"/>
            </w14:solidFill>
          </w14:textFill>
        </w:rPr>
      </w:pPr>
    </w:p>
    <w:p w14:paraId="07530AF2">
      <w:pPr>
        <w:widowControl w:val="0"/>
        <w:numPr>
          <w:ilvl w:val="0"/>
          <w:numId w:val="0"/>
        </w:numPr>
        <w:jc w:val="both"/>
        <w:rPr>
          <w:color w:val="000000" w:themeColor="text1"/>
          <w:highlight w:val="none"/>
          <w14:textFill>
            <w14:solidFill>
              <w14:schemeClr w14:val="tx1"/>
            </w14:solidFill>
          </w14:textFill>
        </w:rPr>
      </w:pPr>
    </w:p>
    <w:p w14:paraId="5E33E49A">
      <w:pPr>
        <w:widowControl w:val="0"/>
        <w:numPr>
          <w:ilvl w:val="0"/>
          <w:numId w:val="0"/>
        </w:numPr>
        <w:jc w:val="both"/>
        <w:rPr>
          <w:color w:val="000000" w:themeColor="text1"/>
          <w:highlight w:val="none"/>
          <w14:textFill>
            <w14:solidFill>
              <w14:schemeClr w14:val="tx1"/>
            </w14:solidFill>
          </w14:textFill>
        </w:rPr>
      </w:pPr>
    </w:p>
    <w:p w14:paraId="667F7476">
      <w:pPr>
        <w:widowControl w:val="0"/>
        <w:numPr>
          <w:ilvl w:val="0"/>
          <w:numId w:val="0"/>
        </w:numPr>
        <w:jc w:val="both"/>
        <w:rPr>
          <w:color w:val="000000" w:themeColor="text1"/>
          <w:highlight w:val="none"/>
          <w14:textFill>
            <w14:solidFill>
              <w14:schemeClr w14:val="tx1"/>
            </w14:solidFill>
          </w14:textFill>
        </w:rPr>
      </w:pPr>
    </w:p>
    <w:p w14:paraId="3E415CC1">
      <w:pPr>
        <w:widowControl w:val="0"/>
        <w:numPr>
          <w:ilvl w:val="0"/>
          <w:numId w:val="0"/>
        </w:numPr>
        <w:jc w:val="both"/>
        <w:rPr>
          <w:color w:val="000000" w:themeColor="text1"/>
          <w:highlight w:val="none"/>
          <w14:textFill>
            <w14:solidFill>
              <w14:schemeClr w14:val="tx1"/>
            </w14:solidFill>
          </w14:textFill>
        </w:rPr>
      </w:pPr>
    </w:p>
    <w:p w14:paraId="598BEE48">
      <w:pPr>
        <w:widowControl w:val="0"/>
        <w:numPr>
          <w:ilvl w:val="0"/>
          <w:numId w:val="0"/>
        </w:numPr>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534025" cy="725805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
                    <a:stretch>
                      <a:fillRect/>
                    </a:stretch>
                  </pic:blipFill>
                  <pic:spPr>
                    <a:xfrm>
                      <a:off x="0" y="0"/>
                      <a:ext cx="5534025" cy="7258050"/>
                    </a:xfrm>
                    <a:prstGeom prst="rect">
                      <a:avLst/>
                    </a:prstGeom>
                    <a:noFill/>
                    <a:ln>
                      <a:noFill/>
                    </a:ln>
                  </pic:spPr>
                </pic:pic>
              </a:graphicData>
            </a:graphic>
          </wp:inline>
        </w:drawing>
      </w:r>
    </w:p>
    <w:p w14:paraId="3F4EA98C">
      <w:pPr>
        <w:widowControl w:val="0"/>
        <w:numPr>
          <w:ilvl w:val="0"/>
          <w:numId w:val="0"/>
        </w:numPr>
        <w:jc w:val="both"/>
        <w:rPr>
          <w:color w:val="000000" w:themeColor="text1"/>
          <w:highlight w:val="none"/>
          <w14:textFill>
            <w14:solidFill>
              <w14:schemeClr w14:val="tx1"/>
            </w14:solidFill>
          </w14:textFill>
        </w:rPr>
      </w:pPr>
    </w:p>
    <w:p w14:paraId="4FFEDA7D">
      <w:pPr>
        <w:widowControl w:val="0"/>
        <w:numPr>
          <w:ilvl w:val="0"/>
          <w:numId w:val="0"/>
        </w:numPr>
        <w:jc w:val="both"/>
        <w:rPr>
          <w:color w:val="000000" w:themeColor="text1"/>
          <w:highlight w:val="none"/>
          <w14:textFill>
            <w14:solidFill>
              <w14:schemeClr w14:val="tx1"/>
            </w14:solidFill>
          </w14:textFill>
        </w:rPr>
      </w:pPr>
    </w:p>
    <w:p w14:paraId="6643DC8F">
      <w:pPr>
        <w:widowControl w:val="0"/>
        <w:numPr>
          <w:ilvl w:val="0"/>
          <w:numId w:val="0"/>
        </w:numPr>
        <w:jc w:val="both"/>
        <w:rPr>
          <w:color w:val="000000" w:themeColor="text1"/>
          <w:highlight w:val="none"/>
          <w14:textFill>
            <w14:solidFill>
              <w14:schemeClr w14:val="tx1"/>
            </w14:solidFill>
          </w14:textFill>
        </w:rPr>
      </w:pPr>
    </w:p>
    <w:p w14:paraId="653896B1">
      <w:pPr>
        <w:widowControl w:val="0"/>
        <w:numPr>
          <w:ilvl w:val="0"/>
          <w:numId w:val="0"/>
        </w:numPr>
        <w:jc w:val="both"/>
        <w:rPr>
          <w:color w:val="000000" w:themeColor="text1"/>
          <w:highlight w:val="none"/>
          <w14:textFill>
            <w14:solidFill>
              <w14:schemeClr w14:val="tx1"/>
            </w14:solidFill>
          </w14:textFill>
        </w:rPr>
      </w:pPr>
    </w:p>
    <w:p w14:paraId="60B44122">
      <w:pPr>
        <w:widowControl w:val="0"/>
        <w:numPr>
          <w:ilvl w:val="0"/>
          <w:numId w:val="0"/>
        </w:numPr>
        <w:jc w:val="both"/>
        <w:rPr>
          <w:color w:val="000000" w:themeColor="text1"/>
          <w:highlight w:val="none"/>
          <w14:textFill>
            <w14:solidFill>
              <w14:schemeClr w14:val="tx1"/>
            </w14:solidFill>
          </w14:textFill>
        </w:rPr>
      </w:pPr>
    </w:p>
    <w:p w14:paraId="6ACECEB5">
      <w:pPr>
        <w:widowControl w:val="0"/>
        <w:numPr>
          <w:ilvl w:val="0"/>
          <w:numId w:val="0"/>
        </w:numPr>
        <w:jc w:val="both"/>
        <w:rPr>
          <w:color w:val="000000" w:themeColor="text1"/>
          <w:highlight w:val="none"/>
          <w14:textFill>
            <w14:solidFill>
              <w14:schemeClr w14:val="tx1"/>
            </w14:solidFill>
          </w14:textFill>
        </w:rPr>
      </w:pPr>
    </w:p>
    <w:p w14:paraId="586E7DCF">
      <w:pPr>
        <w:widowControl w:val="0"/>
        <w:numPr>
          <w:ilvl w:val="0"/>
          <w:numId w:val="0"/>
        </w:numPr>
        <w:jc w:val="both"/>
        <w:rPr>
          <w:color w:val="000000" w:themeColor="text1"/>
          <w:highlight w:val="none"/>
          <w14:textFill>
            <w14:solidFill>
              <w14:schemeClr w14:val="tx1"/>
            </w14:solidFill>
          </w14:textFill>
        </w:rPr>
      </w:pPr>
    </w:p>
    <w:p w14:paraId="2AC9A25B">
      <w:pPr>
        <w:widowControl w:val="0"/>
        <w:numPr>
          <w:ilvl w:val="0"/>
          <w:numId w:val="0"/>
        </w:numPr>
        <w:jc w:val="both"/>
        <w:rPr>
          <w:color w:val="000000" w:themeColor="text1"/>
          <w:highlight w:val="none"/>
          <w14:textFill>
            <w14:solidFill>
              <w14:schemeClr w14:val="tx1"/>
            </w14:solidFill>
          </w14:textFill>
        </w:rPr>
      </w:pPr>
    </w:p>
    <w:p w14:paraId="7AEBA1A2">
      <w:pPr>
        <w:widowControl w:val="0"/>
        <w:numPr>
          <w:ilvl w:val="0"/>
          <w:numId w:val="0"/>
        </w:numPr>
        <w:jc w:val="both"/>
        <w:rPr>
          <w:color w:val="000000" w:themeColor="text1"/>
          <w:highlight w:val="none"/>
          <w14:textFill>
            <w14:solidFill>
              <w14:schemeClr w14:val="tx1"/>
            </w14:solidFill>
          </w14:textFill>
        </w:rPr>
      </w:pPr>
    </w:p>
    <w:p w14:paraId="7BD72183">
      <w:pPr>
        <w:widowControl w:val="0"/>
        <w:numPr>
          <w:ilvl w:val="0"/>
          <w:numId w:val="0"/>
        </w:numPr>
        <w:jc w:val="both"/>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610225" cy="7019925"/>
            <wp:effectExtent l="0" t="0" r="9525" b="95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610225" cy="7019925"/>
                    </a:xfrm>
                    <a:prstGeom prst="rect">
                      <a:avLst/>
                    </a:prstGeom>
                    <a:noFill/>
                    <a:ln>
                      <a:noFill/>
                    </a:ln>
                  </pic:spPr>
                </pic:pic>
              </a:graphicData>
            </a:graphic>
          </wp:inline>
        </w:drawing>
      </w:r>
    </w:p>
    <w:p w14:paraId="0467AAB4">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11E3B6D0">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3C0DE0A7">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568D98B6">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4DF9B054">
      <w:pPr>
        <w:pStyle w:val="4"/>
        <w:widowControl/>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附件四</w:t>
      </w:r>
    </w:p>
    <w:p w14:paraId="73A57176">
      <w:pPr>
        <w:spacing w:line="36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平顶山市第一人民医院保洁工作质量考核表</w:t>
      </w:r>
      <w:r>
        <w:rPr>
          <w:rFonts w:hint="eastAsia" w:ascii="宋体" w:hAnsi="宋体" w:eastAsia="宋体" w:cs="宋体"/>
          <w:b/>
          <w:bCs/>
          <w:color w:val="000000" w:themeColor="text1"/>
          <w:sz w:val="21"/>
          <w:szCs w:val="21"/>
          <w:highlight w:val="none"/>
          <w:lang w:eastAsia="zh-CN"/>
          <w14:textFill>
            <w14:solidFill>
              <w14:schemeClr w14:val="tx1"/>
            </w14:solidFill>
          </w14:textFill>
        </w:rPr>
        <w:t>（门诊、医技）</w:t>
      </w:r>
    </w:p>
    <w:p w14:paraId="5F46744D">
      <w:pPr>
        <w:spacing w:line="360" w:lineRule="auto"/>
        <w:jc w:val="left"/>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科室：                                    日期：                  分值：</w:t>
      </w:r>
    </w:p>
    <w:tbl>
      <w:tblPr>
        <w:tblStyle w:val="20"/>
        <w:tblW w:w="10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765"/>
        <w:gridCol w:w="4959"/>
        <w:gridCol w:w="635"/>
        <w:gridCol w:w="2653"/>
        <w:gridCol w:w="753"/>
      </w:tblGrid>
      <w:tr w14:paraId="18AF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7F5D25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765" w:type="dxa"/>
            <w:vAlign w:val="center"/>
          </w:tcPr>
          <w:p w14:paraId="5034ED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类别</w:t>
            </w:r>
          </w:p>
        </w:tc>
        <w:tc>
          <w:tcPr>
            <w:tcW w:w="4959" w:type="dxa"/>
            <w:vAlign w:val="center"/>
          </w:tcPr>
          <w:p w14:paraId="39E828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考核项目质量标准</w:t>
            </w:r>
          </w:p>
        </w:tc>
        <w:tc>
          <w:tcPr>
            <w:tcW w:w="635" w:type="dxa"/>
            <w:vAlign w:val="center"/>
          </w:tcPr>
          <w:p w14:paraId="5921A7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分值</w:t>
            </w:r>
          </w:p>
        </w:tc>
        <w:tc>
          <w:tcPr>
            <w:tcW w:w="2653" w:type="dxa"/>
            <w:vAlign w:val="center"/>
          </w:tcPr>
          <w:p w14:paraId="4804EB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评分方法</w:t>
            </w:r>
          </w:p>
        </w:tc>
        <w:tc>
          <w:tcPr>
            <w:tcW w:w="753" w:type="dxa"/>
            <w:vAlign w:val="center"/>
          </w:tcPr>
          <w:p w14:paraId="0B94ED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扣分</w:t>
            </w:r>
          </w:p>
        </w:tc>
      </w:tr>
      <w:tr w14:paraId="3EED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43191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765" w:type="dxa"/>
            <w:vMerge w:val="restart"/>
            <w:vAlign w:val="center"/>
          </w:tcPr>
          <w:p w14:paraId="51C40B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基本项目</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4959" w:type="dxa"/>
            <w:vAlign w:val="center"/>
          </w:tcPr>
          <w:p w14:paraId="76A5FF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遵守劳动纪律按时上下班</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不得做与工作无关的事</w:t>
            </w:r>
          </w:p>
          <w:p w14:paraId="2261D7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休息及提前离岗与病区护士长请假，无迟到早退</w:t>
            </w:r>
          </w:p>
        </w:tc>
        <w:tc>
          <w:tcPr>
            <w:tcW w:w="635" w:type="dxa"/>
            <w:vAlign w:val="center"/>
          </w:tcPr>
          <w:p w14:paraId="017AF2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1411EF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349EE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8A5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2352A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765" w:type="dxa"/>
            <w:vMerge w:val="continue"/>
            <w:vAlign w:val="center"/>
          </w:tcPr>
          <w:p w14:paraId="53DD11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280C91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工作时间穿着干净、整齐</w:t>
            </w:r>
          </w:p>
          <w:p w14:paraId="401F22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按规定要求着工作服</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佩戴禁烟标识</w:t>
            </w:r>
          </w:p>
        </w:tc>
        <w:tc>
          <w:tcPr>
            <w:tcW w:w="635" w:type="dxa"/>
            <w:vAlign w:val="center"/>
          </w:tcPr>
          <w:p w14:paraId="73313F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18EC0C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F256C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15F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F4A6D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765" w:type="dxa"/>
            <w:vMerge w:val="continue"/>
            <w:vAlign w:val="center"/>
          </w:tcPr>
          <w:p w14:paraId="787162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57F002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服务认真、热情、有礼貌，不得与患者、家属及工作人员发生争执</w:t>
            </w:r>
          </w:p>
        </w:tc>
        <w:tc>
          <w:tcPr>
            <w:tcW w:w="635" w:type="dxa"/>
            <w:vAlign w:val="center"/>
          </w:tcPr>
          <w:p w14:paraId="6CF884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556690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504F9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F90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74C153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765" w:type="dxa"/>
            <w:vMerge w:val="continue"/>
            <w:vAlign w:val="center"/>
          </w:tcPr>
          <w:p w14:paraId="31B0C5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13514A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不得损坏私拿公物及他人财物及医疗废品</w:t>
            </w:r>
          </w:p>
        </w:tc>
        <w:tc>
          <w:tcPr>
            <w:tcW w:w="635" w:type="dxa"/>
            <w:vAlign w:val="center"/>
          </w:tcPr>
          <w:p w14:paraId="5A71C1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16CC0F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发现一次扣5分</w:t>
            </w:r>
          </w:p>
          <w:p w14:paraId="274AEA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并视情节处罚</w:t>
            </w:r>
          </w:p>
        </w:tc>
        <w:tc>
          <w:tcPr>
            <w:tcW w:w="753" w:type="dxa"/>
            <w:vAlign w:val="center"/>
          </w:tcPr>
          <w:p w14:paraId="46DC96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639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32653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765" w:type="dxa"/>
            <w:vMerge w:val="restart"/>
            <w:vAlign w:val="center"/>
          </w:tcPr>
          <w:p w14:paraId="7BA8CC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公共区域</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0分</w:t>
            </w:r>
          </w:p>
        </w:tc>
        <w:tc>
          <w:tcPr>
            <w:tcW w:w="4959" w:type="dxa"/>
            <w:vAlign w:val="center"/>
          </w:tcPr>
          <w:p w14:paraId="7DD9A1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楼梯、大厅、中厅、走廊、墙面、窗户、墙角线、扶手、栏杆、顶灯等无灰尘、无污迹、无水迹、无积尘、无铁锈、无张贴物、无蜘蛛网、无口香糖胶迹、无烟头等杂物</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地面湿拖、干拖</w:t>
            </w:r>
          </w:p>
        </w:tc>
        <w:tc>
          <w:tcPr>
            <w:tcW w:w="635" w:type="dxa"/>
            <w:vAlign w:val="center"/>
          </w:tcPr>
          <w:p w14:paraId="34C5F5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6分</w:t>
            </w:r>
          </w:p>
        </w:tc>
        <w:tc>
          <w:tcPr>
            <w:tcW w:w="2653" w:type="dxa"/>
            <w:vAlign w:val="center"/>
          </w:tcPr>
          <w:p w14:paraId="042A65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13DBAC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2E35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A10A0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765" w:type="dxa"/>
            <w:vMerge w:val="continue"/>
            <w:vAlign w:val="center"/>
          </w:tcPr>
          <w:p w14:paraId="3C138E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174962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窗户明亮、窗框、窗沟、纱窗无污迹</w:t>
            </w:r>
          </w:p>
        </w:tc>
        <w:tc>
          <w:tcPr>
            <w:tcW w:w="635" w:type="dxa"/>
            <w:vAlign w:val="center"/>
          </w:tcPr>
          <w:p w14:paraId="49777D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2B7019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A1C09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49B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93EDA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765" w:type="dxa"/>
            <w:vMerge w:val="continue"/>
            <w:vAlign w:val="center"/>
          </w:tcPr>
          <w:p w14:paraId="1006D6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124488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标识、开关、广告牌、指示牌、悬挂牌、各种门牌标志物，灭火器、消防栓无污迹、无积尘、无蜘蛛网，清洁光亮</w:t>
            </w:r>
          </w:p>
        </w:tc>
        <w:tc>
          <w:tcPr>
            <w:tcW w:w="635" w:type="dxa"/>
            <w:vAlign w:val="center"/>
          </w:tcPr>
          <w:p w14:paraId="0E87F9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C5439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CFE3B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553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6554AF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765" w:type="dxa"/>
            <w:vMerge w:val="continue"/>
            <w:vAlign w:val="center"/>
          </w:tcPr>
          <w:p w14:paraId="260A8F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016C11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各大厅内服务台、侯诊椅、轮椅擦拭</w:t>
            </w:r>
          </w:p>
          <w:p w14:paraId="59834D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无污迹，无积尘</w:t>
            </w:r>
          </w:p>
        </w:tc>
        <w:tc>
          <w:tcPr>
            <w:tcW w:w="635" w:type="dxa"/>
            <w:vAlign w:val="center"/>
          </w:tcPr>
          <w:p w14:paraId="07876E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FA451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3CCFF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4C0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E9646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765" w:type="dxa"/>
            <w:vMerge w:val="continue"/>
            <w:vAlign w:val="center"/>
          </w:tcPr>
          <w:p w14:paraId="79108A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42A5EF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各门厅内外门、地面、通道梯口、阶梯擦拭无积尘</w:t>
            </w:r>
          </w:p>
          <w:p w14:paraId="53FB6E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无污迹、玻璃光洁，无锈迹</w:t>
            </w:r>
          </w:p>
          <w:p w14:paraId="0915D8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无口香糖胶迹、烟头、纸屑等</w:t>
            </w:r>
          </w:p>
        </w:tc>
        <w:tc>
          <w:tcPr>
            <w:tcW w:w="635" w:type="dxa"/>
            <w:vAlign w:val="center"/>
          </w:tcPr>
          <w:p w14:paraId="7DAB0A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5436D1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494CFF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F88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4CF59C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765" w:type="dxa"/>
            <w:vMerge w:val="continue"/>
            <w:vAlign w:val="center"/>
          </w:tcPr>
          <w:p w14:paraId="70475D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51C17B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门旁绿化带、草坪清理无烟头</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纸屑等杂物</w:t>
            </w:r>
          </w:p>
        </w:tc>
        <w:tc>
          <w:tcPr>
            <w:tcW w:w="635" w:type="dxa"/>
            <w:vAlign w:val="center"/>
          </w:tcPr>
          <w:p w14:paraId="021FC2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427819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1C6DF5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52F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87AF4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p>
        </w:tc>
        <w:tc>
          <w:tcPr>
            <w:tcW w:w="765" w:type="dxa"/>
            <w:vMerge w:val="continue"/>
            <w:vAlign w:val="center"/>
          </w:tcPr>
          <w:p w14:paraId="435782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7ED91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垃圾桶未清洁、数量不足，未套垃圾袋</w:t>
            </w:r>
          </w:p>
          <w:p w14:paraId="7614E6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垃圾不超出3/4</w:t>
            </w:r>
          </w:p>
        </w:tc>
        <w:tc>
          <w:tcPr>
            <w:tcW w:w="635" w:type="dxa"/>
            <w:vAlign w:val="center"/>
          </w:tcPr>
          <w:p w14:paraId="7C3E23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99164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3B96F9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B0F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95876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p>
        </w:tc>
        <w:tc>
          <w:tcPr>
            <w:tcW w:w="765" w:type="dxa"/>
            <w:vMerge w:val="restart"/>
            <w:vAlign w:val="center"/>
          </w:tcPr>
          <w:p w14:paraId="117DEF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诊室</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4959" w:type="dxa"/>
            <w:vAlign w:val="center"/>
          </w:tcPr>
          <w:p w14:paraId="601E73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地面、门、墙壁、地脚线、暖气片</w:t>
            </w:r>
          </w:p>
          <w:p w14:paraId="364565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清洁光亮，无污渍、无积尘</w:t>
            </w:r>
          </w:p>
        </w:tc>
        <w:tc>
          <w:tcPr>
            <w:tcW w:w="635" w:type="dxa"/>
            <w:vAlign w:val="center"/>
          </w:tcPr>
          <w:p w14:paraId="7781A7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5A3794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F72D8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1A9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50E10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765" w:type="dxa"/>
            <w:vMerge w:val="continue"/>
            <w:vAlign w:val="center"/>
          </w:tcPr>
          <w:p w14:paraId="71E24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1E8D90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照明灯具、各种标志牌</w:t>
            </w:r>
          </w:p>
          <w:p w14:paraId="0C3548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无污渍、无积尘，清洁光亮</w:t>
            </w:r>
          </w:p>
        </w:tc>
        <w:tc>
          <w:tcPr>
            <w:tcW w:w="635" w:type="dxa"/>
            <w:vAlign w:val="center"/>
          </w:tcPr>
          <w:p w14:paraId="61FAD5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14C402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3FC4D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A0B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C8E70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w:t>
            </w:r>
          </w:p>
        </w:tc>
        <w:tc>
          <w:tcPr>
            <w:tcW w:w="765" w:type="dxa"/>
            <w:vMerge w:val="continue"/>
            <w:vAlign w:val="center"/>
          </w:tcPr>
          <w:p w14:paraId="39C4A9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557CDC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纸篓、洗手池、镜面</w:t>
            </w:r>
          </w:p>
          <w:p w14:paraId="22D6FB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清洁光亮，无污渍、无积尘，无烟头</w:t>
            </w:r>
          </w:p>
        </w:tc>
        <w:tc>
          <w:tcPr>
            <w:tcW w:w="635" w:type="dxa"/>
            <w:vAlign w:val="center"/>
          </w:tcPr>
          <w:p w14:paraId="0A32A3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00289F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2801A6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4F21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A7B88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c>
          <w:tcPr>
            <w:tcW w:w="765" w:type="dxa"/>
            <w:vMerge w:val="continue"/>
            <w:vAlign w:val="center"/>
          </w:tcPr>
          <w:p w14:paraId="0BB5DF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32F5CB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窗台、窗户、窗框、窗沟、纱窗</w:t>
            </w:r>
          </w:p>
          <w:p w14:paraId="31A07C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清洁明亮，无污迹、无积尘</w:t>
            </w:r>
          </w:p>
        </w:tc>
        <w:tc>
          <w:tcPr>
            <w:tcW w:w="635" w:type="dxa"/>
            <w:vAlign w:val="center"/>
          </w:tcPr>
          <w:p w14:paraId="4ACD49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594D1C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3BBE88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54D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56060F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p>
        </w:tc>
        <w:tc>
          <w:tcPr>
            <w:tcW w:w="765" w:type="dxa"/>
            <w:vMerge w:val="restart"/>
            <w:vAlign w:val="center"/>
          </w:tcPr>
          <w:p w14:paraId="389A25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公共卫生间</w:t>
            </w:r>
          </w:p>
          <w:p w14:paraId="78D30A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0分</w:t>
            </w:r>
          </w:p>
        </w:tc>
        <w:tc>
          <w:tcPr>
            <w:tcW w:w="4959" w:type="dxa"/>
            <w:vAlign w:val="center"/>
          </w:tcPr>
          <w:p w14:paraId="178967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玻璃、镜面、窗户、窗台</w:t>
            </w:r>
          </w:p>
          <w:p w14:paraId="09A301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整</w:t>
            </w:r>
            <w:r>
              <w:rPr>
                <w:rFonts w:hint="eastAsia" w:ascii="宋体" w:hAnsi="宋体" w:eastAsia="宋体" w:cs="宋体"/>
                <w:color w:val="000000" w:themeColor="text1"/>
                <w:sz w:val="21"/>
                <w:szCs w:val="21"/>
                <w:highlight w:val="none"/>
                <w14:textFill>
                  <w14:solidFill>
                    <w14:schemeClr w14:val="tx1"/>
                  </w14:solidFill>
                </w14:textFill>
              </w:rPr>
              <w:t>洁、无污渍、无积尘、无水迹</w:t>
            </w:r>
          </w:p>
        </w:tc>
        <w:tc>
          <w:tcPr>
            <w:tcW w:w="635" w:type="dxa"/>
            <w:vAlign w:val="center"/>
          </w:tcPr>
          <w:p w14:paraId="398468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12F7E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0C4F68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B83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D6B8A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17</w:t>
            </w:r>
          </w:p>
        </w:tc>
        <w:tc>
          <w:tcPr>
            <w:tcW w:w="765" w:type="dxa"/>
            <w:vMerge w:val="continue"/>
            <w:vAlign w:val="center"/>
          </w:tcPr>
          <w:p w14:paraId="43BEC5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45E51F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拖</w:t>
            </w:r>
            <w:r>
              <w:rPr>
                <w:rFonts w:hint="eastAsia" w:ascii="宋体" w:hAnsi="宋体" w:eastAsia="宋体" w:cs="宋体"/>
                <w:color w:val="000000" w:themeColor="text1"/>
                <w:sz w:val="21"/>
                <w:szCs w:val="21"/>
                <w:highlight w:val="none"/>
                <w:lang w:val="en-US" w:eastAsia="zh-CN"/>
                <w14:textFill>
                  <w14:solidFill>
                    <w14:schemeClr w14:val="tx1"/>
                  </w14:solidFill>
                </w14:textFill>
              </w:rPr>
              <w:t>布</w:t>
            </w:r>
            <w:r>
              <w:rPr>
                <w:rFonts w:hint="eastAsia" w:ascii="宋体" w:hAnsi="宋体" w:eastAsia="宋体" w:cs="宋体"/>
                <w:color w:val="000000" w:themeColor="text1"/>
                <w:sz w:val="21"/>
                <w:szCs w:val="21"/>
                <w:highlight w:val="none"/>
                <w14:textFill>
                  <w14:solidFill>
                    <w14:schemeClr w14:val="tx1"/>
                  </w14:solidFill>
                </w14:textFill>
              </w:rPr>
              <w:t>、榨水车、保洁车等保洁工具、物品擦拭及管理，拖</w:t>
            </w:r>
            <w:r>
              <w:rPr>
                <w:rFonts w:hint="eastAsia" w:ascii="宋体" w:hAnsi="宋体" w:eastAsia="宋体" w:cs="宋体"/>
                <w:color w:val="000000" w:themeColor="text1"/>
                <w:sz w:val="21"/>
                <w:szCs w:val="21"/>
                <w:highlight w:val="none"/>
                <w:lang w:val="en-US" w:eastAsia="zh-CN"/>
                <w14:textFill>
                  <w14:solidFill>
                    <w14:schemeClr w14:val="tx1"/>
                  </w14:solidFill>
                </w14:textFill>
              </w:rPr>
              <w:t>布</w:t>
            </w:r>
            <w:r>
              <w:rPr>
                <w:rFonts w:hint="eastAsia" w:ascii="宋体" w:hAnsi="宋体" w:eastAsia="宋体" w:cs="宋体"/>
                <w:color w:val="000000" w:themeColor="text1"/>
                <w:sz w:val="21"/>
                <w:szCs w:val="21"/>
                <w:highlight w:val="none"/>
                <w14:textFill>
                  <w14:solidFill>
                    <w14:schemeClr w14:val="tx1"/>
                  </w14:solidFill>
                </w14:textFill>
              </w:rPr>
              <w:t>池清洁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外池无污迹，拖布分区使用，放置规范、整齐、标记明确，分开清洗，悬挂晾干，定期消毒</w:t>
            </w:r>
          </w:p>
        </w:tc>
        <w:tc>
          <w:tcPr>
            <w:tcW w:w="635" w:type="dxa"/>
            <w:vAlign w:val="center"/>
          </w:tcPr>
          <w:p w14:paraId="45DB60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BE5B8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3FBD9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0C88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574C2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c>
          <w:tcPr>
            <w:tcW w:w="765" w:type="dxa"/>
            <w:vMerge w:val="continue"/>
            <w:vAlign w:val="center"/>
          </w:tcPr>
          <w:p w14:paraId="29089C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379378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水龙头、便池、地漏清洁</w:t>
            </w:r>
          </w:p>
          <w:p w14:paraId="5F9D10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厕所无异味，点熏香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便池</w:t>
            </w:r>
            <w:r>
              <w:rPr>
                <w:rFonts w:hint="eastAsia" w:ascii="宋体" w:hAnsi="宋体" w:eastAsia="宋体" w:cs="宋体"/>
                <w:color w:val="000000" w:themeColor="text1"/>
                <w:sz w:val="21"/>
                <w:szCs w:val="21"/>
                <w:highlight w:val="none"/>
                <w14:textFill>
                  <w14:solidFill>
                    <w14:schemeClr w14:val="tx1"/>
                  </w14:solidFill>
                </w14:textFill>
              </w:rPr>
              <w:t>无污迹，无尿垢</w:t>
            </w:r>
          </w:p>
        </w:tc>
        <w:tc>
          <w:tcPr>
            <w:tcW w:w="635" w:type="dxa"/>
            <w:vAlign w:val="center"/>
          </w:tcPr>
          <w:p w14:paraId="0523B2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3FAB7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7E602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86F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28D62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p>
        </w:tc>
        <w:tc>
          <w:tcPr>
            <w:tcW w:w="765" w:type="dxa"/>
            <w:vMerge w:val="continue"/>
            <w:vAlign w:val="center"/>
          </w:tcPr>
          <w:p w14:paraId="4B3F56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050A6A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外门、门把手、厕门、隔断</w:t>
            </w:r>
          </w:p>
          <w:p w14:paraId="3022CE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无污渍、无异味、门镜光洁</w:t>
            </w:r>
          </w:p>
        </w:tc>
        <w:tc>
          <w:tcPr>
            <w:tcW w:w="635" w:type="dxa"/>
            <w:vAlign w:val="center"/>
          </w:tcPr>
          <w:p w14:paraId="2C5EA8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5A1FEB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EBBB3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786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E8C58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765" w:type="dxa"/>
            <w:vMerge w:val="continue"/>
            <w:vAlign w:val="center"/>
          </w:tcPr>
          <w:p w14:paraId="650427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441165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垃圾桶（大、小）桶身、车身清洁</w:t>
            </w:r>
          </w:p>
          <w:p w14:paraId="2E83C3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无污迹、痰迹</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无烟头，垃圾袋中垃圾不超出3/4</w:t>
            </w:r>
          </w:p>
        </w:tc>
        <w:tc>
          <w:tcPr>
            <w:tcW w:w="635" w:type="dxa"/>
            <w:vAlign w:val="center"/>
          </w:tcPr>
          <w:p w14:paraId="484501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4B2DA7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2E2D6A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527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D7039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765" w:type="dxa"/>
            <w:vMerge w:val="restart"/>
            <w:vAlign w:val="center"/>
          </w:tcPr>
          <w:p w14:paraId="561A66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医疗废物暂存地</w:t>
            </w:r>
          </w:p>
          <w:p w14:paraId="4EC988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4959" w:type="dxa"/>
            <w:vAlign w:val="center"/>
          </w:tcPr>
          <w:p w14:paraId="6875C6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医疗废物转出后及时对医疗垃圾暂存地墙面、地面、物表、转运箱冲洗、消毒无污渍、无异味、箱身光洁，垃圾袋中垃圾不超出3/4</w:t>
            </w:r>
          </w:p>
        </w:tc>
        <w:tc>
          <w:tcPr>
            <w:tcW w:w="635" w:type="dxa"/>
            <w:vAlign w:val="center"/>
          </w:tcPr>
          <w:p w14:paraId="1BA81E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1EA9F1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2F5EAC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B73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E0699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22</w:t>
            </w:r>
          </w:p>
        </w:tc>
        <w:tc>
          <w:tcPr>
            <w:tcW w:w="765" w:type="dxa"/>
            <w:vMerge w:val="continue"/>
            <w:vAlign w:val="center"/>
          </w:tcPr>
          <w:p w14:paraId="754C87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254938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窗台、门、门把手</w:t>
            </w:r>
          </w:p>
          <w:p w14:paraId="12F989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擦洗、消毒、无污渍</w:t>
            </w:r>
          </w:p>
        </w:tc>
        <w:tc>
          <w:tcPr>
            <w:tcW w:w="635" w:type="dxa"/>
            <w:vAlign w:val="center"/>
          </w:tcPr>
          <w:p w14:paraId="0CF91E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C837E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C5DD4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05DA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622239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765" w:type="dxa"/>
            <w:vMerge w:val="continue"/>
            <w:vAlign w:val="center"/>
          </w:tcPr>
          <w:p w14:paraId="6CE77A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4959" w:type="dxa"/>
            <w:vAlign w:val="center"/>
          </w:tcPr>
          <w:p w14:paraId="0EBFC0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医疗垃圾</w:t>
            </w:r>
          </w:p>
          <w:p w14:paraId="0E6FB9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分类收集、及时清运</w:t>
            </w:r>
          </w:p>
        </w:tc>
        <w:tc>
          <w:tcPr>
            <w:tcW w:w="635" w:type="dxa"/>
            <w:vAlign w:val="center"/>
          </w:tcPr>
          <w:p w14:paraId="202300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A3466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0B38EE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bl>
    <w:p w14:paraId="3D605E82">
      <w:pPr>
        <w:spacing w:line="36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p>
    <w:p w14:paraId="707CADFA">
      <w:pPr>
        <w:spacing w:line="36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p>
    <w:p w14:paraId="037E7426">
      <w:pPr>
        <w:spacing w:line="36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p>
    <w:p w14:paraId="570E3263">
      <w:pPr>
        <w:spacing w:line="36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平顶山市第一人民医院保洁工作质量考核表</w:t>
      </w:r>
      <w:r>
        <w:rPr>
          <w:rFonts w:hint="eastAsia" w:ascii="宋体" w:hAnsi="宋体" w:eastAsia="宋体" w:cs="宋体"/>
          <w:b/>
          <w:bCs/>
          <w:color w:val="000000" w:themeColor="text1"/>
          <w:sz w:val="21"/>
          <w:szCs w:val="21"/>
          <w:highlight w:val="none"/>
          <w:lang w:eastAsia="zh-CN"/>
          <w14:textFill>
            <w14:solidFill>
              <w14:schemeClr w14:val="tx1"/>
            </w14:solidFill>
          </w14:textFill>
        </w:rPr>
        <w:t>（病区）</w:t>
      </w:r>
    </w:p>
    <w:p w14:paraId="20C21CA6">
      <w:pPr>
        <w:spacing w:line="360" w:lineRule="auto"/>
        <w:jc w:val="left"/>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科室：                                日期：                  分值：</w:t>
      </w:r>
    </w:p>
    <w:tbl>
      <w:tblPr>
        <w:tblStyle w:val="20"/>
        <w:tblW w:w="10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86"/>
        <w:gridCol w:w="5138"/>
        <w:gridCol w:w="635"/>
        <w:gridCol w:w="2653"/>
        <w:gridCol w:w="753"/>
      </w:tblGrid>
      <w:tr w14:paraId="3F5A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5CB563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586" w:type="dxa"/>
            <w:vAlign w:val="center"/>
          </w:tcPr>
          <w:p w14:paraId="7D8FC0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类别</w:t>
            </w:r>
          </w:p>
        </w:tc>
        <w:tc>
          <w:tcPr>
            <w:tcW w:w="5138" w:type="dxa"/>
            <w:vAlign w:val="center"/>
          </w:tcPr>
          <w:p w14:paraId="51852B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考核项目质量标准</w:t>
            </w:r>
          </w:p>
        </w:tc>
        <w:tc>
          <w:tcPr>
            <w:tcW w:w="635" w:type="dxa"/>
            <w:vAlign w:val="center"/>
          </w:tcPr>
          <w:p w14:paraId="7FB07F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分值</w:t>
            </w:r>
          </w:p>
        </w:tc>
        <w:tc>
          <w:tcPr>
            <w:tcW w:w="2653" w:type="dxa"/>
            <w:vAlign w:val="center"/>
          </w:tcPr>
          <w:p w14:paraId="1D71E5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评分方法</w:t>
            </w:r>
          </w:p>
        </w:tc>
        <w:tc>
          <w:tcPr>
            <w:tcW w:w="753" w:type="dxa"/>
            <w:vAlign w:val="center"/>
          </w:tcPr>
          <w:p w14:paraId="5FBB97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扣分</w:t>
            </w:r>
          </w:p>
        </w:tc>
      </w:tr>
      <w:tr w14:paraId="1E8D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594216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86" w:type="dxa"/>
            <w:vMerge w:val="restart"/>
            <w:vAlign w:val="center"/>
          </w:tcPr>
          <w:p w14:paraId="63F0CB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基本项目</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5138" w:type="dxa"/>
            <w:vAlign w:val="center"/>
          </w:tcPr>
          <w:p w14:paraId="5E5570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遵守劳动纪律按时上下班</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不得做与工作无关的事</w:t>
            </w:r>
          </w:p>
          <w:p w14:paraId="79E40C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休息及提前离岗与病区护士长请假，无迟到早退</w:t>
            </w:r>
          </w:p>
        </w:tc>
        <w:tc>
          <w:tcPr>
            <w:tcW w:w="635" w:type="dxa"/>
            <w:vAlign w:val="center"/>
          </w:tcPr>
          <w:p w14:paraId="55BA3A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71D8E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A96BD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AFE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1345C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586" w:type="dxa"/>
            <w:vMerge w:val="continue"/>
            <w:vAlign w:val="center"/>
          </w:tcPr>
          <w:p w14:paraId="2E8103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290DDD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工作时间穿着干净、整齐</w:t>
            </w:r>
          </w:p>
          <w:p w14:paraId="23AE77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按规定要求着工作服</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佩戴禁烟标识</w:t>
            </w:r>
          </w:p>
        </w:tc>
        <w:tc>
          <w:tcPr>
            <w:tcW w:w="635" w:type="dxa"/>
            <w:vAlign w:val="center"/>
          </w:tcPr>
          <w:p w14:paraId="70AA0B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0A556C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191FFD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41DE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76E14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586" w:type="dxa"/>
            <w:vMerge w:val="continue"/>
            <w:vAlign w:val="center"/>
          </w:tcPr>
          <w:p w14:paraId="3F5ACE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7FCC01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服务认真、热情、有礼貌，不得与患者、家属及工作人员发生争执</w:t>
            </w:r>
          </w:p>
        </w:tc>
        <w:tc>
          <w:tcPr>
            <w:tcW w:w="635" w:type="dxa"/>
            <w:vAlign w:val="center"/>
          </w:tcPr>
          <w:p w14:paraId="43BC76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0E267D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02F037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4443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55C36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586" w:type="dxa"/>
            <w:vMerge w:val="continue"/>
            <w:vAlign w:val="center"/>
          </w:tcPr>
          <w:p w14:paraId="33F5F6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53CE19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不得损坏私拿公物及他人财物及医疗废品</w:t>
            </w:r>
          </w:p>
        </w:tc>
        <w:tc>
          <w:tcPr>
            <w:tcW w:w="635" w:type="dxa"/>
            <w:vAlign w:val="center"/>
          </w:tcPr>
          <w:p w14:paraId="7D64A1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2B1F22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发现一次扣5分</w:t>
            </w:r>
          </w:p>
          <w:p w14:paraId="19321F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并视情节处罚</w:t>
            </w:r>
          </w:p>
        </w:tc>
        <w:tc>
          <w:tcPr>
            <w:tcW w:w="753" w:type="dxa"/>
            <w:vAlign w:val="center"/>
          </w:tcPr>
          <w:p w14:paraId="0112DF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DC0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317D1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586" w:type="dxa"/>
            <w:vMerge w:val="restart"/>
            <w:vAlign w:val="center"/>
          </w:tcPr>
          <w:p w14:paraId="31D670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病房</w:t>
            </w:r>
          </w:p>
          <w:p w14:paraId="6431E1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30分</w:t>
            </w:r>
          </w:p>
        </w:tc>
        <w:tc>
          <w:tcPr>
            <w:tcW w:w="5138" w:type="dxa"/>
            <w:vAlign w:val="center"/>
          </w:tcPr>
          <w:p w14:paraId="2ABE31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病房地面湿拖、干推</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无污迹、水迹、杂物等</w:t>
            </w:r>
          </w:p>
          <w:p w14:paraId="6E9761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无蚊虫蟑螂，</w:t>
            </w:r>
          </w:p>
        </w:tc>
        <w:tc>
          <w:tcPr>
            <w:tcW w:w="635" w:type="dxa"/>
            <w:vAlign w:val="center"/>
          </w:tcPr>
          <w:p w14:paraId="643D3B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3分</w:t>
            </w:r>
          </w:p>
        </w:tc>
        <w:tc>
          <w:tcPr>
            <w:tcW w:w="2653" w:type="dxa"/>
            <w:vAlign w:val="center"/>
          </w:tcPr>
          <w:p w14:paraId="0FD37B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A977C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C9E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50A965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586" w:type="dxa"/>
            <w:vMerge w:val="continue"/>
            <w:vAlign w:val="center"/>
          </w:tcPr>
          <w:p w14:paraId="0BDC8E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7CA8A7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按消毒标准清洁天花板、灯饰、空调风口、墙面、墙角线、开关无尘、无污迹、无蜘蛛网、无广告，</w:t>
            </w:r>
          </w:p>
        </w:tc>
        <w:tc>
          <w:tcPr>
            <w:tcW w:w="635" w:type="dxa"/>
            <w:vAlign w:val="center"/>
          </w:tcPr>
          <w:p w14:paraId="1D5C16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4分</w:t>
            </w:r>
          </w:p>
        </w:tc>
        <w:tc>
          <w:tcPr>
            <w:tcW w:w="2653" w:type="dxa"/>
            <w:vAlign w:val="center"/>
          </w:tcPr>
          <w:p w14:paraId="571DDD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C2E4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C6B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733F1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586" w:type="dxa"/>
            <w:vMerge w:val="continue"/>
            <w:vAlign w:val="center"/>
          </w:tcPr>
          <w:p w14:paraId="46FDC2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6568E7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按消毒标准湿擦病床、床头柜、储物柜、输液架、设备带及呼叫器等</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“一柜一巾”进行消毒处理</w:t>
            </w:r>
          </w:p>
        </w:tc>
        <w:tc>
          <w:tcPr>
            <w:tcW w:w="635" w:type="dxa"/>
            <w:vAlign w:val="center"/>
          </w:tcPr>
          <w:p w14:paraId="08430F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4分</w:t>
            </w:r>
          </w:p>
        </w:tc>
        <w:tc>
          <w:tcPr>
            <w:tcW w:w="2653" w:type="dxa"/>
            <w:vAlign w:val="center"/>
          </w:tcPr>
          <w:p w14:paraId="06E3F7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3C87E2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29D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07990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586" w:type="dxa"/>
            <w:vMerge w:val="continue"/>
            <w:vAlign w:val="center"/>
          </w:tcPr>
          <w:p w14:paraId="1974B5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0A4325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消防栓、灭火器、电视机擦拭</w:t>
            </w:r>
          </w:p>
          <w:p w14:paraId="7A153A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无尘渍</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无污渍</w:t>
            </w:r>
          </w:p>
        </w:tc>
        <w:tc>
          <w:tcPr>
            <w:tcW w:w="635" w:type="dxa"/>
            <w:vAlign w:val="center"/>
          </w:tcPr>
          <w:p w14:paraId="57218A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2分</w:t>
            </w:r>
          </w:p>
        </w:tc>
        <w:tc>
          <w:tcPr>
            <w:tcW w:w="2653" w:type="dxa"/>
            <w:vAlign w:val="center"/>
          </w:tcPr>
          <w:p w14:paraId="142D33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2737B1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3AF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F4606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586" w:type="dxa"/>
            <w:vMerge w:val="continue"/>
            <w:vAlign w:val="center"/>
          </w:tcPr>
          <w:p w14:paraId="0CCDFC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68D3CA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病人出院后对病床、床头柜、储物柜进行</w:t>
            </w:r>
          </w:p>
          <w:p w14:paraId="6E3B5C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终末彻底清洁、消毒</w:t>
            </w:r>
          </w:p>
        </w:tc>
        <w:tc>
          <w:tcPr>
            <w:tcW w:w="635" w:type="dxa"/>
            <w:vAlign w:val="center"/>
          </w:tcPr>
          <w:p w14:paraId="512F0A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4分</w:t>
            </w:r>
          </w:p>
        </w:tc>
        <w:tc>
          <w:tcPr>
            <w:tcW w:w="2653" w:type="dxa"/>
            <w:vAlign w:val="center"/>
          </w:tcPr>
          <w:p w14:paraId="60DB14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1EC022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BA1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7C02F6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c>
          <w:tcPr>
            <w:tcW w:w="586" w:type="dxa"/>
            <w:vMerge w:val="continue"/>
            <w:vAlign w:val="center"/>
          </w:tcPr>
          <w:p w14:paraId="6060C7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25FF51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窗户光亮、窗框、窗沟、纱窗、窗台</w:t>
            </w:r>
          </w:p>
          <w:p w14:paraId="120B17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无尘渍</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无污迹</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无蜘蛛网</w:t>
            </w:r>
          </w:p>
        </w:tc>
        <w:tc>
          <w:tcPr>
            <w:tcW w:w="635" w:type="dxa"/>
            <w:vAlign w:val="center"/>
          </w:tcPr>
          <w:p w14:paraId="3B25D7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2分</w:t>
            </w:r>
          </w:p>
        </w:tc>
        <w:tc>
          <w:tcPr>
            <w:tcW w:w="2653" w:type="dxa"/>
            <w:vAlign w:val="center"/>
          </w:tcPr>
          <w:p w14:paraId="0F3635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27124B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2F1B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7D7349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586" w:type="dxa"/>
            <w:vMerge w:val="continue"/>
            <w:vAlign w:val="center"/>
          </w:tcPr>
          <w:p w14:paraId="2E6366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679015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病房门、门把手擦拭</w:t>
            </w:r>
          </w:p>
          <w:p w14:paraId="0D18A5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无污迹，门镜光洁</w:t>
            </w:r>
          </w:p>
        </w:tc>
        <w:tc>
          <w:tcPr>
            <w:tcW w:w="635" w:type="dxa"/>
            <w:vAlign w:val="center"/>
          </w:tcPr>
          <w:p w14:paraId="3F91D7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2分</w:t>
            </w:r>
          </w:p>
        </w:tc>
        <w:tc>
          <w:tcPr>
            <w:tcW w:w="2653" w:type="dxa"/>
            <w:vAlign w:val="center"/>
          </w:tcPr>
          <w:p w14:paraId="106C31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840E6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269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6A71A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86" w:type="dxa"/>
            <w:vMerge w:val="continue"/>
            <w:vAlign w:val="center"/>
          </w:tcPr>
          <w:p w14:paraId="51FF3B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702708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卫生间墙面、墙角、地面清洁，卫生间高处角落除尘无污渍、无异味、无积尘、无广告，无蛛网</w:t>
            </w:r>
          </w:p>
        </w:tc>
        <w:tc>
          <w:tcPr>
            <w:tcW w:w="635" w:type="dxa"/>
            <w:vAlign w:val="center"/>
          </w:tcPr>
          <w:p w14:paraId="691B7E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3分</w:t>
            </w:r>
          </w:p>
        </w:tc>
        <w:tc>
          <w:tcPr>
            <w:tcW w:w="2653" w:type="dxa"/>
            <w:vAlign w:val="center"/>
          </w:tcPr>
          <w:p w14:paraId="16E7A0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34AAA4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40CD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65DC4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586" w:type="dxa"/>
            <w:vMerge w:val="continue"/>
            <w:vAlign w:val="center"/>
          </w:tcPr>
          <w:p w14:paraId="17DF19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6EAC9F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卫生间便池、扶手、门、门把手擦洗及消毒</w:t>
            </w:r>
          </w:p>
          <w:p w14:paraId="6011C4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无污渍、无尘，便池无尿垢</w:t>
            </w:r>
          </w:p>
        </w:tc>
        <w:tc>
          <w:tcPr>
            <w:tcW w:w="635" w:type="dxa"/>
            <w:vAlign w:val="center"/>
          </w:tcPr>
          <w:p w14:paraId="3E350B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2分</w:t>
            </w:r>
          </w:p>
        </w:tc>
        <w:tc>
          <w:tcPr>
            <w:tcW w:w="2653" w:type="dxa"/>
            <w:vAlign w:val="center"/>
          </w:tcPr>
          <w:p w14:paraId="28D9C3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4CE502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733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5" w:type="dxa"/>
            <w:vAlign w:val="center"/>
          </w:tcPr>
          <w:p w14:paraId="536C64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w:t>
            </w:r>
          </w:p>
        </w:tc>
        <w:tc>
          <w:tcPr>
            <w:tcW w:w="586" w:type="dxa"/>
            <w:vMerge w:val="continue"/>
            <w:vAlign w:val="center"/>
          </w:tcPr>
          <w:p w14:paraId="0EECF5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21CFEC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卫生间洗漱台、水笼头、镜子擦洗</w:t>
            </w:r>
          </w:p>
          <w:p w14:paraId="548C9D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光洁、无水迹、无污渍，无异味</w:t>
            </w:r>
          </w:p>
        </w:tc>
        <w:tc>
          <w:tcPr>
            <w:tcW w:w="635" w:type="dxa"/>
            <w:vAlign w:val="center"/>
          </w:tcPr>
          <w:p w14:paraId="70DDEB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2分</w:t>
            </w:r>
          </w:p>
        </w:tc>
        <w:tc>
          <w:tcPr>
            <w:tcW w:w="2653" w:type="dxa"/>
            <w:vAlign w:val="center"/>
          </w:tcPr>
          <w:p w14:paraId="245649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269B1F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91C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6F4FD0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w:t>
            </w:r>
          </w:p>
        </w:tc>
        <w:tc>
          <w:tcPr>
            <w:tcW w:w="586" w:type="dxa"/>
            <w:vMerge w:val="continue"/>
            <w:vAlign w:val="center"/>
          </w:tcPr>
          <w:p w14:paraId="4777CF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46843D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卫生间、病房垃圾桶清洁、无异味</w:t>
            </w:r>
          </w:p>
          <w:p w14:paraId="2F9259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数量不足、未套垃圾袋，垃圾不超出3/4</w:t>
            </w:r>
          </w:p>
        </w:tc>
        <w:tc>
          <w:tcPr>
            <w:tcW w:w="635" w:type="dxa"/>
            <w:vAlign w:val="center"/>
          </w:tcPr>
          <w:p w14:paraId="1FA38E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2分</w:t>
            </w:r>
          </w:p>
        </w:tc>
        <w:tc>
          <w:tcPr>
            <w:tcW w:w="2653" w:type="dxa"/>
            <w:vAlign w:val="center"/>
          </w:tcPr>
          <w:p w14:paraId="031358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6C551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4DC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710E3A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p>
        </w:tc>
        <w:tc>
          <w:tcPr>
            <w:tcW w:w="586" w:type="dxa"/>
            <w:vMerge w:val="restart"/>
            <w:vAlign w:val="center"/>
          </w:tcPr>
          <w:p w14:paraId="235BB6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病区公共部分</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5138" w:type="dxa"/>
            <w:vAlign w:val="center"/>
          </w:tcPr>
          <w:p w14:paraId="57BCA6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地面湿拖、干尘推、油推</w:t>
            </w:r>
          </w:p>
          <w:p w14:paraId="79E34F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无污迹、水迹、杂物、烟头等</w:t>
            </w:r>
          </w:p>
        </w:tc>
        <w:tc>
          <w:tcPr>
            <w:tcW w:w="635" w:type="dxa"/>
            <w:vAlign w:val="center"/>
          </w:tcPr>
          <w:p w14:paraId="2A03F7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A6E16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B2A14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D0C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533ABA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17</w:t>
            </w:r>
          </w:p>
        </w:tc>
        <w:tc>
          <w:tcPr>
            <w:tcW w:w="586" w:type="dxa"/>
            <w:vMerge w:val="continue"/>
            <w:vAlign w:val="center"/>
          </w:tcPr>
          <w:p w14:paraId="3D930F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00EA12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墙面、墙角、护士站组柜</w:t>
            </w:r>
          </w:p>
          <w:p w14:paraId="32C471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无污渍、无积尘</w:t>
            </w:r>
          </w:p>
        </w:tc>
        <w:tc>
          <w:tcPr>
            <w:tcW w:w="635" w:type="dxa"/>
            <w:vAlign w:val="center"/>
          </w:tcPr>
          <w:p w14:paraId="3B2543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2EF03B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020D22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43C0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818A3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c>
          <w:tcPr>
            <w:tcW w:w="586" w:type="dxa"/>
            <w:vMerge w:val="continue"/>
            <w:vAlign w:val="center"/>
          </w:tcPr>
          <w:p w14:paraId="04441C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109824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天花板、灯饰、风口栅栏</w:t>
            </w:r>
          </w:p>
          <w:p w14:paraId="70C3A9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无污渍、无蛛网、无积尘</w:t>
            </w:r>
          </w:p>
        </w:tc>
        <w:tc>
          <w:tcPr>
            <w:tcW w:w="635" w:type="dxa"/>
            <w:vAlign w:val="center"/>
          </w:tcPr>
          <w:p w14:paraId="03F766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13E5BF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3C6A44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BC2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06A04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p>
        </w:tc>
        <w:tc>
          <w:tcPr>
            <w:tcW w:w="586" w:type="dxa"/>
            <w:vMerge w:val="continue"/>
            <w:vAlign w:val="center"/>
          </w:tcPr>
          <w:p w14:paraId="240407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0CF293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楼梯、扶手、栏杆</w:t>
            </w:r>
          </w:p>
          <w:p w14:paraId="662061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无污渍、无积尘、无烟头</w:t>
            </w:r>
          </w:p>
        </w:tc>
        <w:tc>
          <w:tcPr>
            <w:tcW w:w="635" w:type="dxa"/>
            <w:vAlign w:val="center"/>
          </w:tcPr>
          <w:p w14:paraId="507DE2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144AAC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888B4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489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9F4C5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586" w:type="dxa"/>
            <w:vMerge w:val="continue"/>
            <w:vAlign w:val="center"/>
          </w:tcPr>
          <w:p w14:paraId="76B81E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085681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垃圾桶、手盆、台面</w:t>
            </w:r>
          </w:p>
          <w:p w14:paraId="4EAA13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清洁光亮，无污渍、无积尘</w:t>
            </w:r>
          </w:p>
        </w:tc>
        <w:tc>
          <w:tcPr>
            <w:tcW w:w="635" w:type="dxa"/>
            <w:vAlign w:val="center"/>
          </w:tcPr>
          <w:p w14:paraId="0B5644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45024F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346F6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589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94F2A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586" w:type="dxa"/>
            <w:vMerge w:val="continue"/>
            <w:vAlign w:val="center"/>
          </w:tcPr>
          <w:p w14:paraId="35F2D7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0EA9AA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各种标志、开关，广告牌、指示牌、悬挂牌</w:t>
            </w:r>
          </w:p>
          <w:p w14:paraId="5A3604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各种门牌标志物，灭火器、消防栓等</w:t>
            </w:r>
          </w:p>
          <w:p w14:paraId="569194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清洁光亮，无污渍、无积尘、无水迹</w:t>
            </w:r>
          </w:p>
        </w:tc>
        <w:tc>
          <w:tcPr>
            <w:tcW w:w="635" w:type="dxa"/>
            <w:vAlign w:val="center"/>
          </w:tcPr>
          <w:p w14:paraId="1D0F88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95682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05269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26F5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79B965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86" w:type="dxa"/>
            <w:vMerge w:val="continue"/>
            <w:vAlign w:val="center"/>
          </w:tcPr>
          <w:p w14:paraId="1996FA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3FA75D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病区平车、轮椅</w:t>
            </w:r>
          </w:p>
          <w:p w14:paraId="6704E6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整洁</w:t>
            </w:r>
            <w:r>
              <w:rPr>
                <w:rFonts w:hint="eastAsia" w:ascii="宋体" w:hAnsi="宋体" w:eastAsia="宋体" w:cs="宋体"/>
                <w:color w:val="000000" w:themeColor="text1"/>
                <w:sz w:val="21"/>
                <w:szCs w:val="21"/>
                <w:highlight w:val="none"/>
                <w14:textFill>
                  <w14:solidFill>
                    <w14:schemeClr w14:val="tx1"/>
                  </w14:solidFill>
                </w14:textFill>
              </w:rPr>
              <w:t>无污渍、无积尘</w:t>
            </w:r>
          </w:p>
        </w:tc>
        <w:tc>
          <w:tcPr>
            <w:tcW w:w="635" w:type="dxa"/>
            <w:vAlign w:val="center"/>
          </w:tcPr>
          <w:p w14:paraId="630CA2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2分</w:t>
            </w:r>
          </w:p>
        </w:tc>
        <w:tc>
          <w:tcPr>
            <w:tcW w:w="2653" w:type="dxa"/>
            <w:vAlign w:val="center"/>
          </w:tcPr>
          <w:p w14:paraId="57626F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1AE62D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648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0A8A3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586" w:type="dxa"/>
            <w:vMerge w:val="restart"/>
            <w:vAlign w:val="center"/>
          </w:tcPr>
          <w:p w14:paraId="52EC10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公共卫生间</w:t>
            </w:r>
          </w:p>
          <w:p w14:paraId="3C9C7A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5138" w:type="dxa"/>
            <w:vAlign w:val="center"/>
          </w:tcPr>
          <w:p w14:paraId="57B0C1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玻璃、镜面、窗户、窗台</w:t>
            </w:r>
          </w:p>
          <w:p w14:paraId="143D08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整</w:t>
            </w:r>
            <w:r>
              <w:rPr>
                <w:rFonts w:hint="eastAsia" w:ascii="宋体" w:hAnsi="宋体" w:eastAsia="宋体" w:cs="宋体"/>
                <w:color w:val="000000" w:themeColor="text1"/>
                <w:sz w:val="21"/>
                <w:szCs w:val="21"/>
                <w:highlight w:val="none"/>
                <w14:textFill>
                  <w14:solidFill>
                    <w14:schemeClr w14:val="tx1"/>
                  </w14:solidFill>
                </w14:textFill>
              </w:rPr>
              <w:t>洁、无污渍、无积尘、无水迹</w:t>
            </w:r>
          </w:p>
        </w:tc>
        <w:tc>
          <w:tcPr>
            <w:tcW w:w="635" w:type="dxa"/>
            <w:vAlign w:val="center"/>
          </w:tcPr>
          <w:p w14:paraId="2A8FAE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51D5DE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5388D9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4547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4CD64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p>
        </w:tc>
        <w:tc>
          <w:tcPr>
            <w:tcW w:w="586" w:type="dxa"/>
            <w:vMerge w:val="continue"/>
            <w:vAlign w:val="center"/>
          </w:tcPr>
          <w:p w14:paraId="0E6ACA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0BFB51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拖</w:t>
            </w:r>
            <w:r>
              <w:rPr>
                <w:rFonts w:hint="eastAsia" w:ascii="宋体" w:hAnsi="宋体" w:eastAsia="宋体" w:cs="宋体"/>
                <w:color w:val="000000" w:themeColor="text1"/>
                <w:sz w:val="21"/>
                <w:szCs w:val="21"/>
                <w:highlight w:val="none"/>
                <w:lang w:val="en-US" w:eastAsia="zh-CN"/>
                <w14:textFill>
                  <w14:solidFill>
                    <w14:schemeClr w14:val="tx1"/>
                  </w14:solidFill>
                </w14:textFill>
              </w:rPr>
              <w:t>布</w:t>
            </w:r>
            <w:r>
              <w:rPr>
                <w:rFonts w:hint="eastAsia" w:ascii="宋体" w:hAnsi="宋体" w:eastAsia="宋体" w:cs="宋体"/>
                <w:color w:val="000000" w:themeColor="text1"/>
                <w:sz w:val="21"/>
                <w:szCs w:val="21"/>
                <w:highlight w:val="none"/>
                <w14:textFill>
                  <w14:solidFill>
                    <w14:schemeClr w14:val="tx1"/>
                  </w14:solidFill>
                </w14:textFill>
              </w:rPr>
              <w:t>、榨水车、保洁车等保洁工具、物品擦拭及管理，拖</w:t>
            </w:r>
            <w:r>
              <w:rPr>
                <w:rFonts w:hint="eastAsia" w:ascii="宋体" w:hAnsi="宋体" w:eastAsia="宋体" w:cs="宋体"/>
                <w:color w:val="000000" w:themeColor="text1"/>
                <w:sz w:val="21"/>
                <w:szCs w:val="21"/>
                <w:highlight w:val="none"/>
                <w:lang w:val="en-US" w:eastAsia="zh-CN"/>
                <w14:textFill>
                  <w14:solidFill>
                    <w14:schemeClr w14:val="tx1"/>
                  </w14:solidFill>
                </w14:textFill>
              </w:rPr>
              <w:t>布</w:t>
            </w:r>
            <w:r>
              <w:rPr>
                <w:rFonts w:hint="eastAsia" w:ascii="宋体" w:hAnsi="宋体" w:eastAsia="宋体" w:cs="宋体"/>
                <w:color w:val="000000" w:themeColor="text1"/>
                <w:sz w:val="21"/>
                <w:szCs w:val="21"/>
                <w:highlight w:val="none"/>
                <w14:textFill>
                  <w14:solidFill>
                    <w14:schemeClr w14:val="tx1"/>
                  </w14:solidFill>
                </w14:textFill>
              </w:rPr>
              <w:t>池清洁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外池无污迹，拖布分区使用，放置规范、整齐、标记明确，分开清洗，悬挂晾干，定期消毒</w:t>
            </w:r>
          </w:p>
        </w:tc>
        <w:tc>
          <w:tcPr>
            <w:tcW w:w="635" w:type="dxa"/>
            <w:vAlign w:val="center"/>
          </w:tcPr>
          <w:p w14:paraId="09EC84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BACF7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6A3EF8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D29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04C61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w:t>
            </w:r>
          </w:p>
        </w:tc>
        <w:tc>
          <w:tcPr>
            <w:tcW w:w="586" w:type="dxa"/>
            <w:vMerge w:val="continue"/>
            <w:vAlign w:val="center"/>
          </w:tcPr>
          <w:p w14:paraId="5E57E9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2AAE95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水龙头、便池、地漏清洁</w:t>
            </w:r>
          </w:p>
          <w:p w14:paraId="2E3EBB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厕所无异味，点熏香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便池</w:t>
            </w:r>
            <w:r>
              <w:rPr>
                <w:rFonts w:hint="eastAsia" w:ascii="宋体" w:hAnsi="宋体" w:eastAsia="宋体" w:cs="宋体"/>
                <w:color w:val="000000" w:themeColor="text1"/>
                <w:sz w:val="21"/>
                <w:szCs w:val="21"/>
                <w:highlight w:val="none"/>
                <w14:textFill>
                  <w14:solidFill>
                    <w14:schemeClr w14:val="tx1"/>
                  </w14:solidFill>
                </w14:textFill>
              </w:rPr>
              <w:t>无污迹，无尿垢</w:t>
            </w:r>
          </w:p>
        </w:tc>
        <w:tc>
          <w:tcPr>
            <w:tcW w:w="635" w:type="dxa"/>
            <w:vAlign w:val="center"/>
          </w:tcPr>
          <w:p w14:paraId="0EED11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70D9A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0F19C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1031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35B34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26</w:t>
            </w:r>
          </w:p>
        </w:tc>
        <w:tc>
          <w:tcPr>
            <w:tcW w:w="586" w:type="dxa"/>
            <w:vMerge w:val="continue"/>
            <w:vAlign w:val="center"/>
          </w:tcPr>
          <w:p w14:paraId="72615D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605E0D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外门、门把手、厕门、隔断</w:t>
            </w:r>
          </w:p>
          <w:p w14:paraId="40E20F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无污渍、无异味、门镜光洁</w:t>
            </w:r>
          </w:p>
        </w:tc>
        <w:tc>
          <w:tcPr>
            <w:tcW w:w="635" w:type="dxa"/>
            <w:vAlign w:val="center"/>
          </w:tcPr>
          <w:p w14:paraId="362734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06F17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6569C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64B7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779E5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27</w:t>
            </w:r>
          </w:p>
        </w:tc>
        <w:tc>
          <w:tcPr>
            <w:tcW w:w="586" w:type="dxa"/>
            <w:vMerge w:val="continue"/>
            <w:vAlign w:val="center"/>
          </w:tcPr>
          <w:p w14:paraId="1883E6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58E3F7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垃圾桶（大、小）桶身、车身清洁</w:t>
            </w:r>
          </w:p>
          <w:p w14:paraId="78D463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无污迹、痰迹</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无烟头，垃圾袋中垃圾不超出3/4</w:t>
            </w:r>
          </w:p>
        </w:tc>
        <w:tc>
          <w:tcPr>
            <w:tcW w:w="635" w:type="dxa"/>
            <w:vAlign w:val="center"/>
          </w:tcPr>
          <w:p w14:paraId="65F62B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29ED70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1298E7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4D0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0F5654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586" w:type="dxa"/>
            <w:vMerge w:val="restart"/>
            <w:vAlign w:val="center"/>
          </w:tcPr>
          <w:p w14:paraId="793297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医废物暂存地</w:t>
            </w:r>
          </w:p>
          <w:p w14:paraId="760B45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5138" w:type="dxa"/>
            <w:vAlign w:val="center"/>
          </w:tcPr>
          <w:p w14:paraId="0D6311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医疗废物转出后及时对医疗垃圾暂存地墙面、地面、物表、转运箱冲洗、消毒无污渍、无异味、箱身光洁，垃圾袋中垃圾不超出3/4</w:t>
            </w:r>
          </w:p>
        </w:tc>
        <w:tc>
          <w:tcPr>
            <w:tcW w:w="635" w:type="dxa"/>
            <w:vAlign w:val="center"/>
          </w:tcPr>
          <w:p w14:paraId="5F06BB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7D49A4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36ABE7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0AC0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2CD712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29</w:t>
            </w:r>
          </w:p>
        </w:tc>
        <w:tc>
          <w:tcPr>
            <w:tcW w:w="586" w:type="dxa"/>
            <w:vMerge w:val="continue"/>
            <w:vAlign w:val="center"/>
          </w:tcPr>
          <w:p w14:paraId="532904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346018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窗台、门、门把手</w:t>
            </w:r>
          </w:p>
          <w:p w14:paraId="6F3D4F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擦洗、消毒、无污渍</w:t>
            </w:r>
          </w:p>
        </w:tc>
        <w:tc>
          <w:tcPr>
            <w:tcW w:w="635" w:type="dxa"/>
            <w:vAlign w:val="center"/>
          </w:tcPr>
          <w:p w14:paraId="067357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67B016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7719B7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E5A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3BA47F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30</w:t>
            </w:r>
          </w:p>
        </w:tc>
        <w:tc>
          <w:tcPr>
            <w:tcW w:w="586" w:type="dxa"/>
            <w:vMerge w:val="continue"/>
            <w:vAlign w:val="center"/>
          </w:tcPr>
          <w:p w14:paraId="39E570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5138" w:type="dxa"/>
            <w:vAlign w:val="center"/>
          </w:tcPr>
          <w:p w14:paraId="5C8ACD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医疗垃圾</w:t>
            </w:r>
          </w:p>
          <w:p w14:paraId="00A726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分类收集、及时清运</w:t>
            </w:r>
          </w:p>
        </w:tc>
        <w:tc>
          <w:tcPr>
            <w:tcW w:w="635" w:type="dxa"/>
            <w:vAlign w:val="center"/>
          </w:tcPr>
          <w:p w14:paraId="359BFA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2653" w:type="dxa"/>
            <w:vAlign w:val="center"/>
          </w:tcPr>
          <w:p w14:paraId="39D196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检查一处做不到扣</w:t>
            </w:r>
            <w:r>
              <w:rPr>
                <w:rFonts w:hint="eastAsia" w:ascii="宋体" w:hAnsi="宋体" w:eastAsia="宋体" w:cs="宋体"/>
                <w:color w:val="000000" w:themeColor="text1"/>
                <w:sz w:val="21"/>
                <w:szCs w:val="21"/>
                <w:highlight w:val="none"/>
                <w:lang w:val="en-US" w:eastAsia="zh-CN"/>
                <w14:textFill>
                  <w14:solidFill>
                    <w14:schemeClr w14:val="tx1"/>
                  </w14:solidFill>
                </w14:textFill>
              </w:rPr>
              <w:t>0.02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753" w:type="dxa"/>
            <w:vAlign w:val="center"/>
          </w:tcPr>
          <w:p w14:paraId="43E1AD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bl>
    <w:p w14:paraId="15F93D3E">
      <w:pPr>
        <w:rPr>
          <w:color w:val="000000" w:themeColor="text1"/>
          <w:highlight w:val="none"/>
          <w14:textFill>
            <w14:solidFill>
              <w14:schemeClr w14:val="tx1"/>
            </w14:solidFill>
          </w14:textFill>
        </w:rPr>
      </w:pPr>
    </w:p>
    <w:p w14:paraId="74ADD671">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382E0F71">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2C1F4CF4">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67583053">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5739CCFA">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3F6859F0">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43C4E11C">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54669A15">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5BAA691F">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14E10DFE">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4FC95DB7">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48A6A0F9">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3F057316">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4CFD01C9">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616FC58A">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5621B402">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1AE03BD4">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0CE1C8F9">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347554C1">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774C227C">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2C97FC53">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50FBC07A">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6B3E672B">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22707717">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1CCA42AF">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6109ABC4">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560EB07B">
      <w:pPr>
        <w:widowControl w:val="0"/>
        <w:numPr>
          <w:ilvl w:val="0"/>
          <w:numId w:val="0"/>
        </w:numPr>
        <w:jc w:val="both"/>
        <w:rPr>
          <w:rFonts w:hint="eastAsia" w:ascii="宋体" w:hAnsi="宋体" w:eastAsia="宋体" w:cs="宋体"/>
          <w:color w:val="000000" w:themeColor="text1"/>
          <w:highlight w:val="none"/>
          <w14:textFill>
            <w14:solidFill>
              <w14:schemeClr w14:val="tx1"/>
            </w14:solidFill>
          </w14:textFill>
        </w:rPr>
      </w:pPr>
    </w:p>
    <w:p w14:paraId="4B2C0A8F">
      <w:pPr>
        <w:adjustRightInd w:val="0"/>
        <w:spacing w:before="240" w:after="60" w:line="420" w:lineRule="atLeast"/>
        <w:jc w:val="center"/>
        <w:outlineLvl w:val="0"/>
        <w:rPr>
          <w:rFonts w:hint="eastAsia" w:ascii="宋体" w:hAnsi="宋体" w:eastAsia="宋体" w:cs="宋体"/>
          <w:b/>
          <w:color w:val="000000" w:themeColor="text1"/>
          <w:kern w:val="0"/>
          <w:sz w:val="32"/>
          <w:highlight w:val="none"/>
          <w14:textFill>
            <w14:solidFill>
              <w14:schemeClr w14:val="tx1"/>
            </w14:solidFill>
          </w14:textFill>
        </w:rPr>
      </w:pPr>
      <w:bookmarkStart w:id="769" w:name="_Toc22322"/>
      <w:bookmarkStart w:id="770" w:name="_Toc135922580"/>
      <w:bookmarkStart w:id="771" w:name="_Toc135648943"/>
      <w:r>
        <w:rPr>
          <w:rStyle w:val="26"/>
          <w:rFonts w:hint="eastAsia" w:ascii="宋体" w:hAnsi="宋体" w:eastAsia="宋体" w:cs="宋体"/>
          <w:color w:val="000000" w:themeColor="text1"/>
          <w:sz w:val="40"/>
          <w:szCs w:val="40"/>
          <w:highlight w:val="none"/>
          <w14:textFill>
            <w14:solidFill>
              <w14:schemeClr w14:val="tx1"/>
            </w14:solidFill>
          </w14:textFill>
        </w:rPr>
        <w:t>第六章  投标文件格式</w:t>
      </w:r>
      <w:bookmarkEnd w:id="757"/>
      <w:bookmarkEnd w:id="758"/>
      <w:bookmarkEnd w:id="759"/>
      <w:bookmarkEnd w:id="760"/>
      <w:bookmarkEnd w:id="761"/>
      <w:bookmarkEnd w:id="762"/>
      <w:bookmarkEnd w:id="763"/>
      <w:bookmarkEnd w:id="764"/>
      <w:bookmarkEnd w:id="765"/>
      <w:bookmarkEnd w:id="766"/>
      <w:bookmarkEnd w:id="769"/>
      <w:bookmarkEnd w:id="770"/>
      <w:bookmarkEnd w:id="771"/>
    </w:p>
    <w:p w14:paraId="52C2C5D1">
      <w:pPr>
        <w:spacing w:line="360" w:lineRule="auto"/>
        <w:rPr>
          <w:rFonts w:hint="eastAsia" w:ascii="宋体" w:hAnsi="宋体" w:eastAsia="宋体" w:cs="宋体"/>
          <w:color w:val="000000" w:themeColor="text1"/>
          <w:sz w:val="20"/>
          <w:szCs w:val="20"/>
          <w:highlight w:val="none"/>
          <w14:textFill>
            <w14:solidFill>
              <w14:schemeClr w14:val="tx1"/>
            </w14:solidFill>
          </w14:textFill>
        </w:rPr>
      </w:pPr>
    </w:p>
    <w:p w14:paraId="668BECDF">
      <w:pPr>
        <w:jc w:val="center"/>
        <w:rPr>
          <w:rFonts w:hint="eastAsia" w:ascii="宋体" w:hAnsi="宋体" w:eastAsia="宋体" w:cs="宋体"/>
          <w:color w:val="000000" w:themeColor="text1"/>
          <w:sz w:val="48"/>
          <w:szCs w:val="48"/>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48"/>
          <w:szCs w:val="48"/>
          <w:highlight w:val="none"/>
          <w14:textFill>
            <w14:solidFill>
              <w14:schemeClr w14:val="tx1"/>
            </w14:solidFill>
          </w14:textFill>
        </w:rPr>
        <w:t>（项目名称）</w:t>
      </w:r>
    </w:p>
    <w:p w14:paraId="6B33810E">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p w14:paraId="1D9F9A4B">
      <w:pPr>
        <w:spacing w:line="360" w:lineRule="auto"/>
        <w:rPr>
          <w:rFonts w:hint="eastAsia" w:ascii="宋体" w:hAnsi="宋体" w:eastAsia="宋体" w:cs="宋体"/>
          <w:color w:val="000000" w:themeColor="text1"/>
          <w:sz w:val="24"/>
          <w:highlight w:val="none"/>
          <w14:textFill>
            <w14:solidFill>
              <w14:schemeClr w14:val="tx1"/>
            </w14:solidFill>
          </w14:textFill>
        </w:rPr>
      </w:pPr>
    </w:p>
    <w:p w14:paraId="60486A47">
      <w:pPr>
        <w:spacing w:line="360" w:lineRule="auto"/>
        <w:rPr>
          <w:rFonts w:hint="eastAsia" w:ascii="宋体" w:hAnsi="宋体" w:eastAsia="宋体" w:cs="宋体"/>
          <w:color w:val="000000" w:themeColor="text1"/>
          <w:sz w:val="24"/>
          <w:highlight w:val="none"/>
          <w14:textFill>
            <w14:solidFill>
              <w14:schemeClr w14:val="tx1"/>
            </w14:solidFill>
          </w14:textFill>
        </w:rPr>
      </w:pPr>
    </w:p>
    <w:p w14:paraId="518EFA61">
      <w:pPr>
        <w:spacing w:line="360" w:lineRule="auto"/>
        <w:rPr>
          <w:rFonts w:hint="eastAsia" w:ascii="宋体" w:hAnsi="宋体" w:eastAsia="宋体" w:cs="宋体"/>
          <w:color w:val="000000" w:themeColor="text1"/>
          <w:sz w:val="24"/>
          <w:highlight w:val="none"/>
          <w14:textFill>
            <w14:solidFill>
              <w14:schemeClr w14:val="tx1"/>
            </w14:solidFill>
          </w14:textFill>
        </w:rPr>
      </w:pPr>
    </w:p>
    <w:p w14:paraId="34F1C676">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p>
    <w:p w14:paraId="00C5A060">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p>
    <w:p w14:paraId="52CB7938">
      <w:pPr>
        <w:spacing w:line="360" w:lineRule="auto"/>
        <w:jc w:val="cente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b/>
          <w:color w:val="000000" w:themeColor="text1"/>
          <w:sz w:val="48"/>
          <w:szCs w:val="48"/>
          <w:highlight w:val="none"/>
          <w14:textFill>
            <w14:solidFill>
              <w14:schemeClr w14:val="tx1"/>
            </w14:solidFill>
          </w14:textFill>
        </w:rPr>
        <w:t>投标文件</w:t>
      </w:r>
    </w:p>
    <w:p w14:paraId="6CA2B5DD">
      <w:pPr>
        <w:spacing w:line="360"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项目编号：</w:t>
      </w:r>
    </w:p>
    <w:p w14:paraId="7454A16A">
      <w:pPr>
        <w:spacing w:line="360" w:lineRule="auto"/>
        <w:jc w:val="center"/>
        <w:rPr>
          <w:rFonts w:hint="eastAsia" w:ascii="宋体" w:hAnsi="宋体" w:eastAsia="宋体" w:cs="宋体"/>
          <w:b/>
          <w:color w:val="000000" w:themeColor="text1"/>
          <w:highlight w:val="none"/>
          <w14:textFill>
            <w14:solidFill>
              <w14:schemeClr w14:val="tx1"/>
            </w14:solidFill>
          </w14:textFill>
        </w:rPr>
      </w:pPr>
    </w:p>
    <w:p w14:paraId="3B5D1CDB">
      <w:pPr>
        <w:spacing w:line="360" w:lineRule="auto"/>
        <w:jc w:val="center"/>
        <w:rPr>
          <w:rFonts w:hint="eastAsia" w:ascii="宋体" w:hAnsi="宋体" w:eastAsia="宋体" w:cs="宋体"/>
          <w:b/>
          <w:color w:val="000000" w:themeColor="text1"/>
          <w:sz w:val="24"/>
          <w:szCs w:val="24"/>
          <w:highlight w:val="none"/>
          <w14:textFill>
            <w14:solidFill>
              <w14:schemeClr w14:val="tx1"/>
            </w14:solidFill>
          </w14:textFill>
        </w:rPr>
      </w:pPr>
    </w:p>
    <w:p w14:paraId="092D6495">
      <w:pPr>
        <w:spacing w:line="360" w:lineRule="auto"/>
        <w:jc w:val="left"/>
        <w:rPr>
          <w:rFonts w:hint="eastAsia" w:ascii="宋体" w:hAnsi="宋体" w:eastAsia="宋体" w:cs="宋体"/>
          <w:b/>
          <w:color w:val="000000" w:themeColor="text1"/>
          <w:sz w:val="28"/>
          <w:szCs w:val="28"/>
          <w:highlight w:val="none"/>
          <w14:textFill>
            <w14:solidFill>
              <w14:schemeClr w14:val="tx1"/>
            </w14:solidFill>
          </w14:textFill>
        </w:rPr>
      </w:pPr>
    </w:p>
    <w:p w14:paraId="617FA642">
      <w:pPr>
        <w:spacing w:line="360" w:lineRule="auto"/>
        <w:rPr>
          <w:rFonts w:hint="eastAsia" w:ascii="宋体" w:hAnsi="宋体" w:eastAsia="宋体" w:cs="宋体"/>
          <w:color w:val="000000" w:themeColor="text1"/>
          <w:sz w:val="28"/>
          <w:szCs w:val="28"/>
          <w:highlight w:val="none"/>
          <w14:textFill>
            <w14:solidFill>
              <w14:schemeClr w14:val="tx1"/>
            </w14:solidFill>
          </w14:textFill>
        </w:rPr>
      </w:pPr>
    </w:p>
    <w:p w14:paraId="13C3EAC8">
      <w:pPr>
        <w:spacing w:line="360" w:lineRule="auto"/>
        <w:rPr>
          <w:rFonts w:hint="eastAsia" w:ascii="宋体" w:hAnsi="宋体" w:eastAsia="宋体" w:cs="宋体"/>
          <w:color w:val="000000" w:themeColor="text1"/>
          <w:sz w:val="28"/>
          <w:szCs w:val="28"/>
          <w:highlight w:val="none"/>
          <w14:textFill>
            <w14:solidFill>
              <w14:schemeClr w14:val="tx1"/>
            </w14:solidFill>
          </w14:textFill>
        </w:rPr>
      </w:pPr>
    </w:p>
    <w:p w14:paraId="06905571">
      <w:pPr>
        <w:spacing w:line="360" w:lineRule="auto"/>
        <w:rPr>
          <w:rFonts w:hint="eastAsia" w:ascii="宋体" w:hAnsi="宋体" w:eastAsia="宋体" w:cs="宋体"/>
          <w:color w:val="000000" w:themeColor="text1"/>
          <w:sz w:val="28"/>
          <w:szCs w:val="28"/>
          <w:highlight w:val="none"/>
          <w14:textFill>
            <w14:solidFill>
              <w14:schemeClr w14:val="tx1"/>
            </w14:solidFill>
          </w14:textFill>
        </w:rPr>
      </w:pPr>
    </w:p>
    <w:p w14:paraId="25B85976">
      <w:pPr>
        <w:spacing w:line="360" w:lineRule="auto"/>
        <w:jc w:val="center"/>
        <w:rPr>
          <w:rFonts w:hint="eastAsia" w:ascii="宋体" w:hAnsi="宋体" w:eastAsia="宋体" w:cs="宋体"/>
          <w:color w:val="000000" w:themeColor="text1"/>
          <w:sz w:val="28"/>
          <w:szCs w:val="28"/>
          <w:highlight w:val="none"/>
          <w14:textFill>
            <w14:solidFill>
              <w14:schemeClr w14:val="tx1"/>
            </w14:solidFill>
          </w14:textFill>
        </w:rPr>
      </w:pPr>
    </w:p>
    <w:p w14:paraId="193170C1">
      <w:pPr>
        <w:spacing w:line="360" w:lineRule="auto"/>
        <w:jc w:val="center"/>
        <w:rPr>
          <w:rFonts w:hint="eastAsia" w:ascii="宋体" w:hAnsi="宋体" w:eastAsia="宋体" w:cs="宋体"/>
          <w:color w:val="000000" w:themeColor="text1"/>
          <w:sz w:val="28"/>
          <w:szCs w:val="28"/>
          <w:highlight w:val="none"/>
          <w14:textFill>
            <w14:solidFill>
              <w14:schemeClr w14:val="tx1"/>
            </w14:solidFill>
          </w14:textFill>
        </w:rPr>
      </w:pPr>
    </w:p>
    <w:p w14:paraId="01CA8ED4">
      <w:pPr>
        <w:spacing w:line="360" w:lineRule="auto"/>
        <w:jc w:val="center"/>
        <w:rPr>
          <w:rFonts w:hint="eastAsia" w:ascii="宋体" w:hAnsi="宋体" w:eastAsia="宋体" w:cs="宋体"/>
          <w:color w:val="000000" w:themeColor="text1"/>
          <w:sz w:val="28"/>
          <w:szCs w:val="28"/>
          <w:highlight w:val="none"/>
          <w14:textFill>
            <w14:solidFill>
              <w14:schemeClr w14:val="tx1"/>
            </w14:solidFill>
          </w14:textFill>
        </w:rPr>
      </w:pPr>
    </w:p>
    <w:p w14:paraId="5D885B13">
      <w:pPr>
        <w:spacing w:line="360" w:lineRule="auto"/>
        <w:jc w:val="center"/>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投标人：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（电子印章）</w:t>
      </w:r>
    </w:p>
    <w:p w14:paraId="10FA0FCB">
      <w:pPr>
        <w:spacing w:line="360" w:lineRule="auto"/>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法定代表人或其委托代理人：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（电子印章）</w:t>
      </w:r>
    </w:p>
    <w:p w14:paraId="2024D310">
      <w:pPr>
        <w:ind w:firstLine="2105" w:firstLineChars="752"/>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日  期：</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日</w:t>
      </w:r>
    </w:p>
    <w:p w14:paraId="1F69168D">
      <w:pPr>
        <w:numPr>
          <w:ilvl w:val="0"/>
          <w:numId w:val="2"/>
        </w:numPr>
        <w:adjustRightInd w:val="0"/>
        <w:spacing w:before="240" w:after="60" w:line="420" w:lineRule="atLeast"/>
        <w:jc w:val="center"/>
        <w:outlineLvl w:val="0"/>
        <w:rPr>
          <w:rFonts w:hint="eastAsia" w:ascii="宋体" w:hAnsi="宋体" w:eastAsia="宋体" w:cs="宋体"/>
          <w:b/>
          <w:color w:val="000000" w:themeColor="text1"/>
          <w:kern w:val="0"/>
          <w:sz w:val="32"/>
          <w:szCs w:val="20"/>
          <w:highlight w:val="none"/>
          <w14:textFill>
            <w14:solidFill>
              <w14:schemeClr w14:val="tx1"/>
            </w14:solidFill>
          </w14:textFill>
        </w:rPr>
      </w:pPr>
      <w:bookmarkStart w:id="772" w:name="_Toc152045788"/>
      <w:bookmarkStart w:id="773" w:name="_Toc247085874"/>
      <w:bookmarkStart w:id="774" w:name="_Toc152042577"/>
      <w:bookmarkStart w:id="775" w:name="_Toc21679"/>
      <w:bookmarkStart w:id="776" w:name="_Toc24195"/>
      <w:bookmarkStart w:id="777" w:name="_Toc179632808"/>
      <w:bookmarkStart w:id="778" w:name="_Toc7339"/>
      <w:bookmarkStart w:id="779" w:name="_Toc246997099"/>
      <w:bookmarkStart w:id="780" w:name="_Toc144974857"/>
      <w:bookmarkStart w:id="781" w:name="_Toc445287836"/>
      <w:bookmarkStart w:id="782" w:name="_Toc246996356"/>
      <w:bookmarkStart w:id="783" w:name="_Toc27367"/>
      <w:bookmarkStart w:id="784" w:name="_Toc28109"/>
      <w:bookmarkStart w:id="785" w:name="_Toc135922581"/>
      <w:bookmarkStart w:id="786" w:name="_Toc135648944"/>
      <w:r>
        <w:rPr>
          <w:rFonts w:hint="eastAsia" w:ascii="宋体" w:hAnsi="宋体" w:eastAsia="宋体" w:cs="宋体"/>
          <w:b/>
          <w:color w:val="000000" w:themeColor="text1"/>
          <w:kern w:val="0"/>
          <w:sz w:val="32"/>
          <w:szCs w:val="20"/>
          <w:highlight w:val="none"/>
          <w14:textFill>
            <w14:solidFill>
              <w14:schemeClr w14:val="tx1"/>
            </w14:solidFill>
          </w14:textFill>
        </w:rPr>
        <w:t>投标函及</w:t>
      </w:r>
      <w:bookmarkEnd w:id="772"/>
      <w:bookmarkEnd w:id="773"/>
      <w:bookmarkEnd w:id="774"/>
      <w:bookmarkEnd w:id="775"/>
      <w:bookmarkEnd w:id="776"/>
      <w:bookmarkEnd w:id="777"/>
      <w:bookmarkEnd w:id="778"/>
      <w:bookmarkEnd w:id="779"/>
      <w:bookmarkEnd w:id="780"/>
      <w:bookmarkEnd w:id="781"/>
      <w:bookmarkEnd w:id="782"/>
      <w:r>
        <w:rPr>
          <w:rFonts w:hint="eastAsia" w:ascii="宋体" w:hAnsi="宋体" w:eastAsia="宋体" w:cs="宋体"/>
          <w:b/>
          <w:color w:val="000000" w:themeColor="text1"/>
          <w:kern w:val="0"/>
          <w:sz w:val="32"/>
          <w:szCs w:val="20"/>
          <w:highlight w:val="none"/>
          <w14:textFill>
            <w14:solidFill>
              <w14:schemeClr w14:val="tx1"/>
            </w14:solidFill>
          </w14:textFill>
        </w:rPr>
        <w:t>开标一览表</w:t>
      </w:r>
      <w:bookmarkEnd w:id="783"/>
      <w:bookmarkEnd w:id="784"/>
      <w:bookmarkEnd w:id="785"/>
      <w:bookmarkEnd w:id="786"/>
    </w:p>
    <w:p w14:paraId="13E78B33">
      <w:pPr>
        <w:pStyle w:val="3"/>
        <w:jc w:val="center"/>
        <w:rPr>
          <w:rFonts w:hint="eastAsia" w:ascii="宋体" w:hAnsi="宋体" w:eastAsia="宋体" w:cs="宋体"/>
          <w:color w:val="000000" w:themeColor="text1"/>
          <w:highlight w:val="none"/>
          <w14:textFill>
            <w14:solidFill>
              <w14:schemeClr w14:val="tx1"/>
            </w14:solidFill>
          </w14:textFill>
        </w:rPr>
      </w:pPr>
      <w:bookmarkStart w:id="787" w:name="_Toc152045789"/>
      <w:bookmarkStart w:id="788" w:name="_Toc19940"/>
      <w:bookmarkStart w:id="789" w:name="_Toc246996357"/>
      <w:bookmarkStart w:id="790" w:name="_Toc14619"/>
      <w:bookmarkStart w:id="791" w:name="_Toc152042578"/>
      <w:bookmarkStart w:id="792" w:name="_Toc144974858"/>
      <w:bookmarkStart w:id="793" w:name="_Toc28089"/>
      <w:bookmarkStart w:id="794" w:name="_Toc246997100"/>
      <w:bookmarkStart w:id="795" w:name="_Toc445287837"/>
      <w:bookmarkStart w:id="796" w:name="_Toc135648945"/>
      <w:bookmarkStart w:id="797" w:name="_Toc10124796"/>
      <w:bookmarkStart w:id="798" w:name="_Toc247085875"/>
      <w:bookmarkStart w:id="799" w:name="_Toc179632809"/>
      <w:r>
        <w:rPr>
          <w:rFonts w:hint="eastAsia" w:ascii="宋体" w:hAnsi="宋体" w:eastAsia="宋体" w:cs="宋体"/>
          <w:color w:val="000000" w:themeColor="text1"/>
          <w:highlight w:val="none"/>
          <w14:textFill>
            <w14:solidFill>
              <w14:schemeClr w14:val="tx1"/>
            </w14:solidFill>
          </w14:textFill>
        </w:rPr>
        <w:t>（一）投标函</w:t>
      </w:r>
      <w:bookmarkEnd w:id="787"/>
      <w:bookmarkEnd w:id="788"/>
      <w:bookmarkEnd w:id="789"/>
      <w:bookmarkEnd w:id="790"/>
      <w:bookmarkEnd w:id="791"/>
      <w:bookmarkEnd w:id="792"/>
      <w:bookmarkEnd w:id="793"/>
      <w:bookmarkEnd w:id="794"/>
      <w:bookmarkEnd w:id="795"/>
      <w:bookmarkEnd w:id="796"/>
      <w:bookmarkEnd w:id="797"/>
      <w:bookmarkEnd w:id="798"/>
      <w:bookmarkEnd w:id="799"/>
    </w:p>
    <w:p w14:paraId="6939596F">
      <w:pPr>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（采购人名称）：</w:t>
      </w:r>
    </w:p>
    <w:p w14:paraId="1CDEC5F6">
      <w:pPr>
        <w:spacing w:line="440" w:lineRule="exact"/>
        <w:rPr>
          <w:rFonts w:hint="eastAsia" w:ascii="宋体" w:hAnsi="宋体" w:eastAsia="宋体" w:cs="宋体"/>
          <w:color w:val="000000" w:themeColor="text1"/>
          <w:highlight w:val="none"/>
          <w14:textFill>
            <w14:solidFill>
              <w14:schemeClr w14:val="tx1"/>
            </w14:solidFill>
          </w14:textFill>
        </w:rPr>
      </w:pPr>
    </w:p>
    <w:p w14:paraId="47C6E002">
      <w:pPr>
        <w:numPr>
          <w:ilvl w:val="0"/>
          <w:numId w:val="3"/>
        </w:numPr>
        <w:spacing w:line="440" w:lineRule="exact"/>
        <w:ind w:left="210" w:leftChars="100" w:firstLine="21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我方已仔细研究了</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（项目名称）招标文件的全部内容，愿意以人民币（大写）</w:t>
      </w:r>
    </w:p>
    <w:p w14:paraId="6CD5DB55">
      <w:pPr>
        <w:spacing w:line="440" w:lineRule="exact"/>
        <w:ind w:left="420" w:left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小写）</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元的投标报价，按合同约定实施和完成该项目。</w:t>
      </w:r>
    </w:p>
    <w:p w14:paraId="70AC4D05">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2．如我方中标：</w:t>
      </w:r>
    </w:p>
    <w:p w14:paraId="38675EA4">
      <w:pPr>
        <w:spacing w:line="44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（1）我方承诺在收到中标通知书后，在中标通知书规定的期限内与你方签订合同。</w:t>
      </w:r>
    </w:p>
    <w:p w14:paraId="54070130">
      <w:pPr>
        <w:spacing w:line="44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（2）随同本投标函递交的开标一览表属于合同文件的组成部分。</w:t>
      </w:r>
    </w:p>
    <w:p w14:paraId="6188628C">
      <w:pPr>
        <w:spacing w:line="44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（3）我方承诺按照招标文件规定向你方递交履约担保（如有）。</w:t>
      </w:r>
    </w:p>
    <w:p w14:paraId="38231328">
      <w:pPr>
        <w:spacing w:line="440" w:lineRule="exact"/>
        <w:ind w:firstLine="718" w:firstLineChars="34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（4）我方承诺在合同约定的期限内完成全部合同项目。</w:t>
      </w:r>
    </w:p>
    <w:p w14:paraId="0D1F2D37">
      <w:pPr>
        <w:spacing w:line="48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（5）我方承诺将按照招标文件的具体规定向招标代理机构交纳招标代理服务费。</w:t>
      </w:r>
    </w:p>
    <w:p w14:paraId="0117D917">
      <w:pPr>
        <w:spacing w:line="440" w:lineRule="exact"/>
        <w:ind w:firstLine="42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3．我方在此声明，所递交的投标文件及有关资料内容完整、真实和准确。</w:t>
      </w:r>
    </w:p>
    <w:p w14:paraId="59E66AC1">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 我方完全响应招标文件要求的所有内容。</w:t>
      </w:r>
    </w:p>
    <w:p w14:paraId="0304416F">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（其他补充说明）。</w:t>
      </w:r>
    </w:p>
    <w:p w14:paraId="1FB27C8A">
      <w:pPr>
        <w:spacing w:line="440" w:lineRule="exact"/>
        <w:rPr>
          <w:rFonts w:hint="eastAsia" w:ascii="宋体" w:hAnsi="宋体" w:eastAsia="宋体" w:cs="宋体"/>
          <w:color w:val="000000" w:themeColor="text1"/>
          <w:highlight w:val="none"/>
          <w14:textFill>
            <w14:solidFill>
              <w14:schemeClr w14:val="tx1"/>
            </w14:solidFill>
          </w14:textFill>
        </w:rPr>
      </w:pPr>
    </w:p>
    <w:p w14:paraId="18564E34">
      <w:pPr>
        <w:spacing w:line="440" w:lineRule="exact"/>
        <w:rPr>
          <w:rFonts w:hint="eastAsia" w:ascii="宋体" w:hAnsi="宋体" w:eastAsia="宋体" w:cs="宋体"/>
          <w:color w:val="000000" w:themeColor="text1"/>
          <w:highlight w:val="none"/>
          <w14:textFill>
            <w14:solidFill>
              <w14:schemeClr w14:val="tx1"/>
            </w14:solidFill>
          </w14:textFill>
        </w:rPr>
      </w:pPr>
    </w:p>
    <w:p w14:paraId="639D3418">
      <w:pPr>
        <w:spacing w:line="440" w:lineRule="exact"/>
        <w:rPr>
          <w:rFonts w:hint="eastAsia" w:ascii="宋体" w:hAnsi="宋体" w:eastAsia="宋体" w:cs="宋体"/>
          <w:color w:val="000000" w:themeColor="text1"/>
          <w:highlight w:val="none"/>
          <w14:textFill>
            <w14:solidFill>
              <w14:schemeClr w14:val="tx1"/>
            </w14:solidFill>
          </w14:textFill>
        </w:rPr>
      </w:pPr>
    </w:p>
    <w:p w14:paraId="02F354F5">
      <w:pPr>
        <w:spacing w:line="440" w:lineRule="exact"/>
        <w:rPr>
          <w:rFonts w:hint="eastAsia" w:ascii="宋体" w:hAnsi="宋体" w:eastAsia="宋体" w:cs="宋体"/>
          <w:color w:val="000000" w:themeColor="text1"/>
          <w:highlight w:val="none"/>
          <w14:textFill>
            <w14:solidFill>
              <w14:schemeClr w14:val="tx1"/>
            </w14:solidFill>
          </w14:textFill>
        </w:rPr>
      </w:pPr>
    </w:p>
    <w:p w14:paraId="192EDDCD">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投标人（电子印章）：</w:t>
      </w:r>
    </w:p>
    <w:p w14:paraId="2E202D61">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法定代表人或其委托代理人（电子印章）：</w:t>
      </w:r>
    </w:p>
    <w:p w14:paraId="6C91C2B4">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   年   月  日</w:t>
      </w:r>
    </w:p>
    <w:p w14:paraId="7922015A">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p>
    <w:p w14:paraId="37068D9D">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p>
    <w:p w14:paraId="7D29D10B">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p>
    <w:p w14:paraId="7AAA881D">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p>
    <w:p w14:paraId="00D29477">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p>
    <w:p w14:paraId="5B993404">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p>
    <w:p w14:paraId="03C6D7FC">
      <w:pPr>
        <w:spacing w:line="360" w:lineRule="auto"/>
        <w:ind w:firstLine="3675" w:firstLineChars="1750"/>
        <w:rPr>
          <w:rFonts w:hint="eastAsia" w:ascii="宋体" w:hAnsi="宋体" w:eastAsia="宋体" w:cs="宋体"/>
          <w:color w:val="000000" w:themeColor="text1"/>
          <w:highlight w:val="none"/>
          <w14:textFill>
            <w14:solidFill>
              <w14:schemeClr w14:val="tx1"/>
            </w14:solidFill>
          </w14:textFill>
        </w:rPr>
      </w:pPr>
    </w:p>
    <w:p w14:paraId="5E991562">
      <w:pPr>
        <w:pStyle w:val="3"/>
        <w:jc w:val="center"/>
        <w:rPr>
          <w:rFonts w:hint="eastAsia" w:ascii="宋体" w:hAnsi="宋体" w:eastAsia="宋体" w:cs="宋体"/>
          <w:color w:val="000000" w:themeColor="text1"/>
          <w:highlight w:val="none"/>
          <w14:textFill>
            <w14:solidFill>
              <w14:schemeClr w14:val="tx1"/>
            </w14:solidFill>
          </w14:textFill>
        </w:rPr>
      </w:pPr>
      <w:bookmarkStart w:id="800" w:name="_Toc247085876"/>
      <w:bookmarkStart w:id="801" w:name="_Toc27203"/>
      <w:bookmarkStart w:id="802" w:name="_Toc246996358"/>
      <w:bookmarkStart w:id="803" w:name="_Toc9792"/>
      <w:bookmarkStart w:id="804" w:name="_Toc246997101"/>
      <w:bookmarkStart w:id="805" w:name="_Toc152042579"/>
      <w:bookmarkStart w:id="806" w:name="_Toc152045790"/>
      <w:bookmarkStart w:id="807" w:name="_Toc445287838"/>
      <w:bookmarkStart w:id="808" w:name="_Toc144974859"/>
      <w:bookmarkStart w:id="809" w:name="_Toc4764"/>
      <w:bookmarkStart w:id="810" w:name="_Toc179632810"/>
      <w:bookmarkStart w:id="811" w:name="_Toc135648946"/>
      <w:r>
        <w:rPr>
          <w:rFonts w:hint="eastAsia" w:ascii="宋体" w:hAnsi="宋体" w:eastAsia="宋体" w:cs="宋体"/>
          <w:color w:val="000000" w:themeColor="text1"/>
          <w:highlight w:val="none"/>
          <w14:textFill>
            <w14:solidFill>
              <w14:schemeClr w14:val="tx1"/>
            </w14:solidFill>
          </w14:textFill>
        </w:rPr>
        <w:t>（二）</w:t>
      </w:r>
      <w:bookmarkEnd w:id="800"/>
      <w:bookmarkEnd w:id="801"/>
      <w:bookmarkEnd w:id="802"/>
      <w:bookmarkEnd w:id="803"/>
      <w:bookmarkEnd w:id="804"/>
      <w:bookmarkEnd w:id="805"/>
      <w:bookmarkEnd w:id="806"/>
      <w:bookmarkEnd w:id="807"/>
      <w:bookmarkEnd w:id="808"/>
      <w:bookmarkEnd w:id="809"/>
      <w:bookmarkEnd w:id="810"/>
      <w:r>
        <w:rPr>
          <w:rFonts w:hint="eastAsia" w:ascii="宋体" w:hAnsi="宋体" w:eastAsia="宋体" w:cs="宋体"/>
          <w:color w:val="000000" w:themeColor="text1"/>
          <w:highlight w:val="none"/>
          <w14:textFill>
            <w14:solidFill>
              <w14:schemeClr w14:val="tx1"/>
            </w14:solidFill>
          </w14:textFill>
        </w:rPr>
        <w:t>开标一览表</w:t>
      </w:r>
      <w:bookmarkEnd w:id="811"/>
    </w:p>
    <w:tbl>
      <w:tblPr>
        <w:tblStyle w:val="20"/>
        <w:tblW w:w="8404" w:type="dxa"/>
        <w:jc w:val="center"/>
        <w:tblLayout w:type="fixed"/>
        <w:tblCellMar>
          <w:top w:w="0" w:type="dxa"/>
          <w:left w:w="108" w:type="dxa"/>
          <w:bottom w:w="0" w:type="dxa"/>
          <w:right w:w="108" w:type="dxa"/>
        </w:tblCellMar>
      </w:tblPr>
      <w:tblGrid>
        <w:gridCol w:w="828"/>
        <w:gridCol w:w="2525"/>
        <w:gridCol w:w="5051"/>
      </w:tblGrid>
      <w:tr w14:paraId="465898A7">
        <w:tblPrEx>
          <w:tblCellMar>
            <w:top w:w="0" w:type="dxa"/>
            <w:left w:w="108" w:type="dxa"/>
            <w:bottom w:w="0" w:type="dxa"/>
            <w:right w:w="108" w:type="dxa"/>
          </w:tblCellMar>
        </w:tblPrEx>
        <w:trPr>
          <w:trHeight w:val="851" w:hRule="atLeast"/>
          <w:jc w:val="center"/>
        </w:trPr>
        <w:tc>
          <w:tcPr>
            <w:tcW w:w="828" w:type="dxa"/>
            <w:tcBorders>
              <w:top w:val="single" w:color="auto" w:sz="4" w:space="0"/>
              <w:left w:val="single" w:color="auto" w:sz="4" w:space="0"/>
              <w:bottom w:val="single" w:color="auto" w:sz="4" w:space="0"/>
              <w:right w:val="nil"/>
            </w:tcBorders>
            <w:vAlign w:val="center"/>
          </w:tcPr>
          <w:p w14:paraId="23C0E85A">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2525" w:type="dxa"/>
            <w:tcBorders>
              <w:top w:val="single" w:color="auto" w:sz="6" w:space="0"/>
              <w:left w:val="single" w:color="auto" w:sz="6" w:space="0"/>
              <w:bottom w:val="single" w:color="auto" w:sz="6" w:space="0"/>
              <w:right w:val="single" w:color="auto" w:sz="6" w:space="0"/>
            </w:tcBorders>
            <w:vAlign w:val="center"/>
          </w:tcPr>
          <w:p w14:paraId="66DA1665">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p>
        </w:tc>
        <w:tc>
          <w:tcPr>
            <w:tcW w:w="5051" w:type="dxa"/>
            <w:tcBorders>
              <w:top w:val="single" w:color="auto" w:sz="6" w:space="0"/>
              <w:left w:val="single" w:color="auto" w:sz="6" w:space="0"/>
              <w:bottom w:val="single" w:color="auto" w:sz="6" w:space="0"/>
              <w:right w:val="single" w:color="auto" w:sz="6" w:space="0"/>
            </w:tcBorders>
            <w:vAlign w:val="center"/>
          </w:tcPr>
          <w:p w14:paraId="405C5DC7">
            <w:pPr>
              <w:jc w:val="center"/>
              <w:rPr>
                <w:rFonts w:hint="eastAsia" w:ascii="宋体" w:hAnsi="宋体" w:eastAsia="宋体" w:cs="宋体"/>
                <w:color w:val="000000" w:themeColor="text1"/>
                <w:szCs w:val="24"/>
                <w:highlight w:val="none"/>
                <w14:textFill>
                  <w14:solidFill>
                    <w14:schemeClr w14:val="tx1"/>
                  </w14:solidFill>
                </w14:textFill>
              </w:rPr>
            </w:pPr>
          </w:p>
        </w:tc>
      </w:tr>
      <w:tr w14:paraId="3AC8E0C6">
        <w:tblPrEx>
          <w:tblCellMar>
            <w:top w:w="0" w:type="dxa"/>
            <w:left w:w="108" w:type="dxa"/>
            <w:bottom w:w="0" w:type="dxa"/>
            <w:right w:w="108" w:type="dxa"/>
          </w:tblCellMar>
        </w:tblPrEx>
        <w:trPr>
          <w:trHeight w:val="851" w:hRule="atLeast"/>
          <w:jc w:val="center"/>
        </w:trPr>
        <w:tc>
          <w:tcPr>
            <w:tcW w:w="828" w:type="dxa"/>
            <w:tcBorders>
              <w:top w:val="single" w:color="auto" w:sz="4" w:space="0"/>
              <w:left w:val="single" w:color="auto" w:sz="4" w:space="0"/>
              <w:bottom w:val="single" w:color="auto" w:sz="4" w:space="0"/>
              <w:right w:val="nil"/>
            </w:tcBorders>
            <w:vAlign w:val="center"/>
          </w:tcPr>
          <w:p w14:paraId="1A17E2B1">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525" w:type="dxa"/>
            <w:tcBorders>
              <w:top w:val="single" w:color="auto" w:sz="6" w:space="0"/>
              <w:left w:val="single" w:color="auto" w:sz="6" w:space="0"/>
              <w:bottom w:val="single" w:color="auto" w:sz="6" w:space="0"/>
              <w:right w:val="single" w:color="auto" w:sz="6" w:space="0"/>
            </w:tcBorders>
            <w:vAlign w:val="center"/>
          </w:tcPr>
          <w:p w14:paraId="64C8BD00">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p>
        </w:tc>
        <w:tc>
          <w:tcPr>
            <w:tcW w:w="5051" w:type="dxa"/>
            <w:tcBorders>
              <w:top w:val="single" w:color="auto" w:sz="6" w:space="0"/>
              <w:left w:val="single" w:color="auto" w:sz="6" w:space="0"/>
              <w:bottom w:val="single" w:color="auto" w:sz="6" w:space="0"/>
              <w:right w:val="single" w:color="auto" w:sz="6" w:space="0"/>
            </w:tcBorders>
            <w:vAlign w:val="center"/>
          </w:tcPr>
          <w:p w14:paraId="38313951">
            <w:pPr>
              <w:jc w:val="center"/>
              <w:rPr>
                <w:rFonts w:hint="eastAsia" w:ascii="宋体" w:hAnsi="宋体" w:eastAsia="宋体" w:cs="宋体"/>
                <w:color w:val="000000" w:themeColor="text1"/>
                <w:szCs w:val="24"/>
                <w:highlight w:val="none"/>
                <w14:textFill>
                  <w14:solidFill>
                    <w14:schemeClr w14:val="tx1"/>
                  </w14:solidFill>
                </w14:textFill>
              </w:rPr>
            </w:pPr>
          </w:p>
        </w:tc>
      </w:tr>
      <w:tr w14:paraId="706E154A">
        <w:tblPrEx>
          <w:tblCellMar>
            <w:top w:w="0" w:type="dxa"/>
            <w:left w:w="108" w:type="dxa"/>
            <w:bottom w:w="0" w:type="dxa"/>
            <w:right w:w="108" w:type="dxa"/>
          </w:tblCellMar>
        </w:tblPrEx>
        <w:trPr>
          <w:trHeight w:val="851" w:hRule="atLeast"/>
          <w:jc w:val="center"/>
        </w:trPr>
        <w:tc>
          <w:tcPr>
            <w:tcW w:w="828" w:type="dxa"/>
            <w:vMerge w:val="restart"/>
            <w:tcBorders>
              <w:top w:val="single" w:color="auto" w:sz="4" w:space="0"/>
              <w:left w:val="single" w:color="auto" w:sz="4" w:space="0"/>
              <w:right w:val="nil"/>
            </w:tcBorders>
            <w:vAlign w:val="center"/>
          </w:tcPr>
          <w:p w14:paraId="7DB08571">
            <w:pPr>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525" w:type="dxa"/>
            <w:tcBorders>
              <w:top w:val="single" w:color="auto" w:sz="6" w:space="0"/>
              <w:left w:val="single" w:color="auto" w:sz="6" w:space="0"/>
              <w:bottom w:val="single" w:color="auto" w:sz="4" w:space="0"/>
              <w:right w:val="single" w:color="auto" w:sz="6" w:space="0"/>
            </w:tcBorders>
            <w:vAlign w:val="center"/>
          </w:tcPr>
          <w:p w14:paraId="308AB36E">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投标报价（人民币，元）</w:t>
            </w:r>
          </w:p>
        </w:tc>
        <w:tc>
          <w:tcPr>
            <w:tcW w:w="5051" w:type="dxa"/>
            <w:tcBorders>
              <w:top w:val="single" w:color="auto" w:sz="6" w:space="0"/>
              <w:left w:val="single" w:color="auto" w:sz="6" w:space="0"/>
              <w:bottom w:val="single" w:color="auto" w:sz="4" w:space="0"/>
              <w:right w:val="single" w:color="auto" w:sz="6" w:space="0"/>
            </w:tcBorders>
            <w:vAlign w:val="center"/>
          </w:tcPr>
          <w:p w14:paraId="5EE20095">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小写：</w:t>
            </w:r>
          </w:p>
          <w:p w14:paraId="3D808D3A">
            <w:pP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大写：</w:t>
            </w:r>
          </w:p>
        </w:tc>
      </w:tr>
      <w:tr w14:paraId="12657325">
        <w:tblPrEx>
          <w:tblCellMar>
            <w:top w:w="0" w:type="dxa"/>
            <w:left w:w="108" w:type="dxa"/>
            <w:bottom w:w="0" w:type="dxa"/>
            <w:right w:w="108" w:type="dxa"/>
          </w:tblCellMar>
        </w:tblPrEx>
        <w:trPr>
          <w:trHeight w:val="851" w:hRule="atLeast"/>
          <w:jc w:val="center"/>
        </w:trPr>
        <w:tc>
          <w:tcPr>
            <w:tcW w:w="828" w:type="dxa"/>
            <w:vMerge w:val="continue"/>
            <w:tcBorders>
              <w:left w:val="single" w:color="auto" w:sz="4" w:space="0"/>
              <w:bottom w:val="nil"/>
              <w:right w:val="nil"/>
            </w:tcBorders>
            <w:vAlign w:val="center"/>
          </w:tcPr>
          <w:p w14:paraId="7E953FFE">
            <w:pPr>
              <w:jc w:val="center"/>
              <w:rPr>
                <w:rFonts w:hint="eastAsia" w:ascii="宋体" w:hAnsi="宋体" w:eastAsia="宋体" w:cs="宋体"/>
                <w:color w:val="000000" w:themeColor="text1"/>
                <w:highlight w:val="none"/>
                <w:lang w:val="en-US" w:eastAsia="zh-CN"/>
                <w14:textFill>
                  <w14:solidFill>
                    <w14:schemeClr w14:val="tx1"/>
                  </w14:solidFill>
                </w14:textFill>
              </w:rPr>
            </w:pPr>
          </w:p>
        </w:tc>
        <w:tc>
          <w:tcPr>
            <w:tcW w:w="2525" w:type="dxa"/>
            <w:tcBorders>
              <w:top w:val="single" w:color="auto" w:sz="6" w:space="0"/>
              <w:left w:val="single" w:color="auto" w:sz="6" w:space="0"/>
              <w:bottom w:val="single" w:color="auto" w:sz="4" w:space="0"/>
              <w:right w:val="single" w:color="auto" w:sz="6" w:space="0"/>
            </w:tcBorders>
            <w:vAlign w:val="center"/>
          </w:tcPr>
          <w:p w14:paraId="6EF74EF2">
            <w:pPr>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投标单价（人民币，元）</w:t>
            </w:r>
          </w:p>
        </w:tc>
        <w:tc>
          <w:tcPr>
            <w:tcW w:w="5051" w:type="dxa"/>
            <w:tcBorders>
              <w:top w:val="single" w:color="auto" w:sz="6" w:space="0"/>
              <w:left w:val="single" w:color="auto" w:sz="6" w:space="0"/>
              <w:bottom w:val="single" w:color="auto" w:sz="4" w:space="0"/>
              <w:right w:val="single" w:color="auto" w:sz="6" w:space="0"/>
            </w:tcBorders>
            <w:vAlign w:val="center"/>
          </w:tcPr>
          <w:p w14:paraId="638EC272">
            <w:pPr>
              <w:rPr>
                <w:rFonts w:hint="eastAsia" w:ascii="宋体" w:hAnsi="宋体" w:eastAsia="宋体" w:cs="宋体"/>
                <w:color w:val="000000" w:themeColor="text1"/>
                <w:szCs w:val="24"/>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小写：</w:t>
            </w:r>
            <w:r>
              <w:rPr>
                <w:rFonts w:hint="eastAsia" w:ascii="宋体" w:hAnsi="宋体" w:eastAsia="宋体" w:cs="宋体"/>
                <w:color w:val="000000" w:themeColor="text1"/>
                <w:highlight w:val="none"/>
                <w:lang w:val="en-US" w:eastAsia="zh-CN"/>
                <w14:textFill>
                  <w14:solidFill>
                    <w14:schemeClr w14:val="tx1"/>
                  </w14:solidFill>
                </w14:textFill>
              </w:rPr>
              <w:t xml:space="preserve">        元/年</w:t>
            </w:r>
          </w:p>
          <w:p w14:paraId="7A2F232B">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大写：</w:t>
            </w:r>
          </w:p>
        </w:tc>
      </w:tr>
      <w:tr w14:paraId="6F01A26A">
        <w:tblPrEx>
          <w:tblCellMar>
            <w:top w:w="0" w:type="dxa"/>
            <w:left w:w="108" w:type="dxa"/>
            <w:bottom w:w="0" w:type="dxa"/>
            <w:right w:w="108" w:type="dxa"/>
          </w:tblCellMar>
        </w:tblPrEx>
        <w:trPr>
          <w:trHeight w:val="851" w:hRule="atLeast"/>
          <w:jc w:val="center"/>
        </w:trPr>
        <w:tc>
          <w:tcPr>
            <w:tcW w:w="828" w:type="dxa"/>
            <w:tcBorders>
              <w:top w:val="single" w:color="auto" w:sz="4" w:space="0"/>
              <w:left w:val="single" w:color="auto" w:sz="4" w:space="0"/>
              <w:bottom w:val="single" w:color="auto" w:sz="4" w:space="0"/>
              <w:right w:val="nil"/>
            </w:tcBorders>
            <w:vAlign w:val="center"/>
          </w:tcPr>
          <w:p w14:paraId="33349790">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525" w:type="dxa"/>
            <w:tcBorders>
              <w:top w:val="single" w:color="auto" w:sz="4" w:space="0"/>
              <w:left w:val="single" w:color="auto" w:sz="6" w:space="0"/>
              <w:bottom w:val="single" w:color="auto" w:sz="4" w:space="0"/>
              <w:right w:val="single" w:color="auto" w:sz="6" w:space="0"/>
            </w:tcBorders>
            <w:vAlign w:val="center"/>
          </w:tcPr>
          <w:p w14:paraId="1CB6B7E3">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服务期限</w:t>
            </w:r>
          </w:p>
        </w:tc>
        <w:tc>
          <w:tcPr>
            <w:tcW w:w="5051" w:type="dxa"/>
            <w:tcBorders>
              <w:top w:val="single" w:color="auto" w:sz="6" w:space="0"/>
              <w:left w:val="single" w:color="auto" w:sz="6" w:space="0"/>
              <w:bottom w:val="single" w:color="auto" w:sz="4" w:space="0"/>
              <w:right w:val="single" w:color="auto" w:sz="6" w:space="0"/>
            </w:tcBorders>
            <w:vAlign w:val="center"/>
          </w:tcPr>
          <w:p w14:paraId="391B3732">
            <w:pPr>
              <w:jc w:val="center"/>
              <w:rPr>
                <w:rFonts w:hint="eastAsia" w:ascii="宋体" w:hAnsi="宋体" w:eastAsia="宋体" w:cs="宋体"/>
                <w:color w:val="000000" w:themeColor="text1"/>
                <w:szCs w:val="24"/>
                <w:highlight w:val="none"/>
                <w14:textFill>
                  <w14:solidFill>
                    <w14:schemeClr w14:val="tx1"/>
                  </w14:solidFill>
                </w14:textFill>
              </w:rPr>
            </w:pPr>
          </w:p>
        </w:tc>
      </w:tr>
      <w:tr w14:paraId="35900465">
        <w:tblPrEx>
          <w:tblCellMar>
            <w:top w:w="0" w:type="dxa"/>
            <w:left w:w="108" w:type="dxa"/>
            <w:bottom w:w="0" w:type="dxa"/>
            <w:right w:w="108" w:type="dxa"/>
          </w:tblCellMar>
        </w:tblPrEx>
        <w:trPr>
          <w:trHeight w:val="851" w:hRule="atLeast"/>
          <w:jc w:val="center"/>
        </w:trPr>
        <w:tc>
          <w:tcPr>
            <w:tcW w:w="828" w:type="dxa"/>
            <w:tcBorders>
              <w:top w:val="single" w:color="auto" w:sz="4" w:space="0"/>
              <w:left w:val="single" w:color="auto" w:sz="4" w:space="0"/>
              <w:bottom w:val="single" w:color="auto" w:sz="4" w:space="0"/>
              <w:right w:val="nil"/>
            </w:tcBorders>
            <w:vAlign w:val="center"/>
          </w:tcPr>
          <w:p w14:paraId="7A329C34">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525" w:type="dxa"/>
            <w:tcBorders>
              <w:top w:val="single" w:color="auto" w:sz="4" w:space="0"/>
              <w:left w:val="single" w:color="auto" w:sz="6" w:space="0"/>
              <w:bottom w:val="single" w:color="auto" w:sz="4" w:space="0"/>
              <w:right w:val="single" w:color="auto" w:sz="6" w:space="0"/>
            </w:tcBorders>
            <w:vAlign w:val="center"/>
          </w:tcPr>
          <w:p w14:paraId="3FD09ECA">
            <w:pPr>
              <w:ind w:left="210" w:leftChars="10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服务地点</w:t>
            </w:r>
          </w:p>
        </w:tc>
        <w:tc>
          <w:tcPr>
            <w:tcW w:w="5051" w:type="dxa"/>
            <w:tcBorders>
              <w:top w:val="single" w:color="auto" w:sz="6" w:space="0"/>
              <w:left w:val="single" w:color="auto" w:sz="6" w:space="0"/>
              <w:bottom w:val="single" w:color="auto" w:sz="4" w:space="0"/>
              <w:right w:val="single" w:color="auto" w:sz="6" w:space="0"/>
            </w:tcBorders>
            <w:vAlign w:val="center"/>
          </w:tcPr>
          <w:p w14:paraId="1B02C086">
            <w:pPr>
              <w:jc w:val="center"/>
              <w:rPr>
                <w:rFonts w:hint="eastAsia" w:ascii="宋体" w:hAnsi="宋体" w:eastAsia="宋体" w:cs="宋体"/>
                <w:color w:val="000000" w:themeColor="text1"/>
                <w:szCs w:val="24"/>
                <w:highlight w:val="none"/>
                <w14:textFill>
                  <w14:solidFill>
                    <w14:schemeClr w14:val="tx1"/>
                  </w14:solidFill>
                </w14:textFill>
              </w:rPr>
            </w:pPr>
          </w:p>
        </w:tc>
      </w:tr>
      <w:tr w14:paraId="1EE44ACA">
        <w:tblPrEx>
          <w:tblCellMar>
            <w:top w:w="0" w:type="dxa"/>
            <w:left w:w="108" w:type="dxa"/>
            <w:bottom w:w="0" w:type="dxa"/>
            <w:right w:w="108" w:type="dxa"/>
          </w:tblCellMar>
        </w:tblPrEx>
        <w:trPr>
          <w:trHeight w:val="851" w:hRule="atLeast"/>
          <w:jc w:val="center"/>
        </w:trPr>
        <w:tc>
          <w:tcPr>
            <w:tcW w:w="828" w:type="dxa"/>
            <w:tcBorders>
              <w:top w:val="single" w:color="auto" w:sz="4" w:space="0"/>
              <w:left w:val="single" w:color="auto" w:sz="4" w:space="0"/>
              <w:bottom w:val="single" w:color="auto" w:sz="4" w:space="0"/>
              <w:right w:val="nil"/>
            </w:tcBorders>
            <w:vAlign w:val="center"/>
          </w:tcPr>
          <w:p w14:paraId="5E21A230">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525" w:type="dxa"/>
            <w:tcBorders>
              <w:top w:val="single" w:color="auto" w:sz="4" w:space="0"/>
              <w:left w:val="single" w:color="auto" w:sz="6" w:space="0"/>
              <w:bottom w:val="single" w:color="auto" w:sz="4" w:space="0"/>
              <w:right w:val="single" w:color="auto" w:sz="6" w:space="0"/>
            </w:tcBorders>
            <w:vAlign w:val="center"/>
          </w:tcPr>
          <w:p w14:paraId="74E2A3D0">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w:t>
            </w:r>
          </w:p>
        </w:tc>
        <w:tc>
          <w:tcPr>
            <w:tcW w:w="5051" w:type="dxa"/>
            <w:tcBorders>
              <w:top w:val="single" w:color="auto" w:sz="6" w:space="0"/>
              <w:left w:val="single" w:color="auto" w:sz="6" w:space="0"/>
              <w:bottom w:val="single" w:color="auto" w:sz="4" w:space="0"/>
              <w:right w:val="single" w:color="auto" w:sz="6" w:space="0"/>
            </w:tcBorders>
            <w:vAlign w:val="center"/>
          </w:tcPr>
          <w:p w14:paraId="4E17074E">
            <w:pPr>
              <w:jc w:val="center"/>
              <w:rPr>
                <w:rFonts w:hint="eastAsia" w:ascii="宋体" w:hAnsi="宋体" w:eastAsia="宋体" w:cs="宋体"/>
                <w:color w:val="000000" w:themeColor="text1"/>
                <w:szCs w:val="24"/>
                <w:highlight w:val="none"/>
                <w14:textFill>
                  <w14:solidFill>
                    <w14:schemeClr w14:val="tx1"/>
                  </w14:solidFill>
                </w14:textFill>
              </w:rPr>
            </w:pPr>
          </w:p>
        </w:tc>
      </w:tr>
      <w:tr w14:paraId="394DB762">
        <w:tblPrEx>
          <w:tblCellMar>
            <w:top w:w="0" w:type="dxa"/>
            <w:left w:w="108" w:type="dxa"/>
            <w:bottom w:w="0" w:type="dxa"/>
            <w:right w:w="108" w:type="dxa"/>
          </w:tblCellMar>
        </w:tblPrEx>
        <w:trPr>
          <w:trHeight w:val="851" w:hRule="atLeast"/>
          <w:jc w:val="center"/>
        </w:trPr>
        <w:tc>
          <w:tcPr>
            <w:tcW w:w="828" w:type="dxa"/>
            <w:tcBorders>
              <w:top w:val="single" w:color="auto" w:sz="4" w:space="0"/>
              <w:left w:val="single" w:color="auto" w:sz="4" w:space="0"/>
              <w:bottom w:val="single" w:color="auto" w:sz="4" w:space="0"/>
              <w:right w:val="nil"/>
            </w:tcBorders>
            <w:vAlign w:val="center"/>
          </w:tcPr>
          <w:p w14:paraId="17F33D9E">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w:t>
            </w:r>
          </w:p>
        </w:tc>
        <w:tc>
          <w:tcPr>
            <w:tcW w:w="2525" w:type="dxa"/>
            <w:tcBorders>
              <w:top w:val="single" w:color="auto" w:sz="4" w:space="0"/>
              <w:left w:val="single" w:color="auto" w:sz="6" w:space="0"/>
              <w:bottom w:val="single" w:color="auto" w:sz="4" w:space="0"/>
              <w:right w:val="single" w:color="auto" w:sz="6" w:space="0"/>
            </w:tcBorders>
            <w:vAlign w:val="center"/>
          </w:tcPr>
          <w:p w14:paraId="51A8E49A">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投标有效期</w:t>
            </w:r>
          </w:p>
        </w:tc>
        <w:tc>
          <w:tcPr>
            <w:tcW w:w="5051" w:type="dxa"/>
            <w:tcBorders>
              <w:top w:val="single" w:color="auto" w:sz="6" w:space="0"/>
              <w:left w:val="single" w:color="auto" w:sz="6" w:space="0"/>
              <w:bottom w:val="single" w:color="auto" w:sz="4" w:space="0"/>
              <w:right w:val="single" w:color="auto" w:sz="6" w:space="0"/>
            </w:tcBorders>
            <w:vAlign w:val="center"/>
          </w:tcPr>
          <w:p w14:paraId="171743A4">
            <w:pPr>
              <w:jc w:val="center"/>
              <w:rPr>
                <w:rFonts w:hint="eastAsia" w:ascii="宋体" w:hAnsi="宋体" w:eastAsia="宋体" w:cs="宋体"/>
                <w:color w:val="000000" w:themeColor="text1"/>
                <w:szCs w:val="24"/>
                <w:highlight w:val="none"/>
                <w14:textFill>
                  <w14:solidFill>
                    <w14:schemeClr w14:val="tx1"/>
                  </w14:solidFill>
                </w14:textFill>
              </w:rPr>
            </w:pPr>
          </w:p>
        </w:tc>
      </w:tr>
      <w:tr w14:paraId="115684F7">
        <w:tblPrEx>
          <w:tblCellMar>
            <w:top w:w="0" w:type="dxa"/>
            <w:left w:w="108" w:type="dxa"/>
            <w:bottom w:w="0" w:type="dxa"/>
            <w:right w:w="108" w:type="dxa"/>
          </w:tblCellMar>
        </w:tblPrEx>
        <w:trPr>
          <w:trHeight w:val="851" w:hRule="atLeast"/>
          <w:jc w:val="center"/>
        </w:trPr>
        <w:tc>
          <w:tcPr>
            <w:tcW w:w="828" w:type="dxa"/>
            <w:tcBorders>
              <w:top w:val="single" w:color="auto" w:sz="4" w:space="0"/>
              <w:left w:val="single" w:color="auto" w:sz="4" w:space="0"/>
              <w:bottom w:val="single" w:color="auto" w:sz="4" w:space="0"/>
              <w:right w:val="nil"/>
            </w:tcBorders>
            <w:vAlign w:val="center"/>
          </w:tcPr>
          <w:p w14:paraId="0D595928">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p>
        </w:tc>
        <w:tc>
          <w:tcPr>
            <w:tcW w:w="2525" w:type="dxa"/>
            <w:tcBorders>
              <w:top w:val="single" w:color="auto" w:sz="4" w:space="0"/>
              <w:left w:val="single" w:color="auto" w:sz="6" w:space="0"/>
              <w:bottom w:val="single" w:color="auto" w:sz="4" w:space="0"/>
              <w:right w:val="single" w:color="auto" w:sz="6" w:space="0"/>
            </w:tcBorders>
            <w:vAlign w:val="center"/>
          </w:tcPr>
          <w:p w14:paraId="6C0E94E4">
            <w:pPr>
              <w:jc w:val="center"/>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备注</w:t>
            </w:r>
          </w:p>
        </w:tc>
        <w:tc>
          <w:tcPr>
            <w:tcW w:w="5051" w:type="dxa"/>
            <w:tcBorders>
              <w:top w:val="single" w:color="auto" w:sz="4" w:space="0"/>
              <w:left w:val="single" w:color="auto" w:sz="6" w:space="0"/>
              <w:bottom w:val="single" w:color="auto" w:sz="4" w:space="0"/>
              <w:right w:val="single" w:color="auto" w:sz="4" w:space="0"/>
            </w:tcBorders>
            <w:vAlign w:val="center"/>
          </w:tcPr>
          <w:p w14:paraId="1F8DEC85">
            <w:pPr>
              <w:jc w:val="center"/>
              <w:rPr>
                <w:rFonts w:hint="eastAsia" w:ascii="宋体" w:hAnsi="宋体" w:eastAsia="宋体" w:cs="宋体"/>
                <w:color w:val="000000" w:themeColor="text1"/>
                <w:szCs w:val="24"/>
                <w:highlight w:val="none"/>
                <w14:textFill>
                  <w14:solidFill>
                    <w14:schemeClr w14:val="tx1"/>
                  </w14:solidFill>
                </w14:textFill>
              </w:rPr>
            </w:pPr>
          </w:p>
        </w:tc>
      </w:tr>
    </w:tbl>
    <w:p w14:paraId="11863134">
      <w:pPr>
        <w:spacing w:line="440" w:lineRule="exact"/>
        <w:ind w:firstLine="3675" w:firstLineChars="1750"/>
        <w:rPr>
          <w:rFonts w:hint="eastAsia" w:ascii="宋体" w:hAnsi="宋体" w:eastAsia="宋体" w:cs="宋体"/>
          <w:color w:val="000000" w:themeColor="text1"/>
          <w:highlight w:val="none"/>
          <w14:textFill>
            <w14:solidFill>
              <w14:schemeClr w14:val="tx1"/>
            </w14:solidFill>
          </w14:textFill>
        </w:rPr>
      </w:pPr>
    </w:p>
    <w:p w14:paraId="56220D31">
      <w:pPr>
        <w:spacing w:line="440" w:lineRule="exact"/>
        <w:ind w:firstLine="3675" w:firstLineChars="1750"/>
        <w:rPr>
          <w:rFonts w:hint="eastAsia" w:ascii="宋体" w:hAnsi="宋体" w:eastAsia="宋体" w:cs="宋体"/>
          <w:color w:val="000000" w:themeColor="text1"/>
          <w:highlight w:val="none"/>
          <w14:textFill>
            <w14:solidFill>
              <w14:schemeClr w14:val="tx1"/>
            </w14:solidFill>
          </w14:textFill>
        </w:rPr>
      </w:pPr>
    </w:p>
    <w:p w14:paraId="2424A8DD">
      <w:pPr>
        <w:spacing w:line="440" w:lineRule="exact"/>
        <w:ind w:firstLine="2551" w:firstLineChars="121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 标 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（电子印章）</w:t>
      </w:r>
    </w:p>
    <w:p w14:paraId="651C9462">
      <w:pPr>
        <w:spacing w:line="440" w:lineRule="exact"/>
        <w:ind w:firstLine="2551" w:firstLineChars="121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法定代表人或其委托代理人：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（电子印章）</w:t>
      </w:r>
    </w:p>
    <w:p w14:paraId="3E9237B9">
      <w:pPr>
        <w:spacing w:line="440" w:lineRule="exact"/>
        <w:ind w:firstLine="2551" w:firstLineChars="121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   年   月  日</w:t>
      </w:r>
    </w:p>
    <w:p w14:paraId="51130A37">
      <w:pPr>
        <w:spacing w:line="440" w:lineRule="exact"/>
        <w:jc w:val="left"/>
        <w:rPr>
          <w:rFonts w:hint="eastAsia" w:ascii="宋体" w:hAnsi="宋体" w:eastAsia="宋体" w:cs="宋体"/>
          <w:color w:val="000000" w:themeColor="text1"/>
          <w:highlight w:val="none"/>
          <w14:textFill>
            <w14:solidFill>
              <w14:schemeClr w14:val="tx1"/>
            </w14:solidFill>
          </w14:textFill>
        </w:rPr>
      </w:pPr>
    </w:p>
    <w:p w14:paraId="258BDEDD">
      <w:pPr>
        <w:spacing w:line="440" w:lineRule="exact"/>
        <w:jc w:val="left"/>
        <w:rPr>
          <w:rFonts w:hint="eastAsia" w:ascii="宋体" w:hAnsi="宋体" w:eastAsia="宋体" w:cs="宋体"/>
          <w:color w:val="000000" w:themeColor="text1"/>
          <w:highlight w:val="none"/>
          <w14:textFill>
            <w14:solidFill>
              <w14:schemeClr w14:val="tx1"/>
            </w14:solidFill>
          </w14:textFill>
        </w:rPr>
      </w:pPr>
    </w:p>
    <w:p w14:paraId="079BC378">
      <w:pPr>
        <w:spacing w:line="440" w:lineRule="exact"/>
        <w:jc w:val="left"/>
        <w:rPr>
          <w:rFonts w:hint="eastAsia" w:ascii="宋体" w:hAnsi="宋体" w:eastAsia="宋体" w:cs="宋体"/>
          <w:color w:val="000000" w:themeColor="text1"/>
          <w:highlight w:val="none"/>
          <w14:textFill>
            <w14:solidFill>
              <w14:schemeClr w14:val="tx1"/>
            </w14:solidFill>
          </w14:textFill>
        </w:rPr>
      </w:pPr>
    </w:p>
    <w:p w14:paraId="3BE9160F">
      <w:pPr>
        <w:spacing w:line="440" w:lineRule="exact"/>
        <w:jc w:val="left"/>
        <w:rPr>
          <w:rFonts w:hint="eastAsia" w:ascii="宋体" w:hAnsi="宋体" w:eastAsia="宋体" w:cs="宋体"/>
          <w:color w:val="000000" w:themeColor="text1"/>
          <w:highlight w:val="none"/>
          <w14:textFill>
            <w14:solidFill>
              <w14:schemeClr w14:val="tx1"/>
            </w14:solidFill>
          </w14:textFill>
        </w:rPr>
      </w:pPr>
    </w:p>
    <w:p w14:paraId="26153C63">
      <w:pPr>
        <w:spacing w:line="440" w:lineRule="exact"/>
        <w:jc w:val="left"/>
        <w:rPr>
          <w:rFonts w:hint="eastAsia" w:ascii="宋体" w:hAnsi="宋体" w:eastAsia="宋体" w:cs="宋体"/>
          <w:color w:val="000000" w:themeColor="text1"/>
          <w:highlight w:val="none"/>
          <w14:textFill>
            <w14:solidFill>
              <w14:schemeClr w14:val="tx1"/>
            </w14:solidFill>
          </w14:textFill>
        </w:rPr>
      </w:pPr>
    </w:p>
    <w:p w14:paraId="61C7EDED">
      <w:pPr>
        <w:spacing w:line="440" w:lineRule="exact"/>
        <w:jc w:val="left"/>
        <w:rPr>
          <w:rFonts w:hint="eastAsia" w:ascii="宋体" w:hAnsi="宋体" w:eastAsia="宋体" w:cs="宋体"/>
          <w:color w:val="000000" w:themeColor="text1"/>
          <w:highlight w:val="none"/>
          <w14:textFill>
            <w14:solidFill>
              <w14:schemeClr w14:val="tx1"/>
            </w14:solidFill>
          </w14:textFill>
        </w:rPr>
      </w:pPr>
    </w:p>
    <w:p w14:paraId="13D8A0E2">
      <w:pPr>
        <w:spacing w:line="440" w:lineRule="exact"/>
        <w:jc w:val="left"/>
        <w:rPr>
          <w:rFonts w:hint="eastAsia" w:ascii="宋体" w:hAnsi="宋体" w:eastAsia="宋体" w:cs="宋体"/>
          <w:color w:val="000000" w:themeColor="text1"/>
          <w:highlight w:val="none"/>
          <w14:textFill>
            <w14:solidFill>
              <w14:schemeClr w14:val="tx1"/>
            </w14:solidFill>
          </w14:textFill>
        </w:rPr>
      </w:pPr>
    </w:p>
    <w:p w14:paraId="5E2A3784">
      <w:pPr>
        <w:adjustRightInd w:val="0"/>
        <w:spacing w:before="240" w:after="60" w:line="420" w:lineRule="atLeast"/>
        <w:jc w:val="center"/>
        <w:outlineLvl w:val="0"/>
        <w:rPr>
          <w:rFonts w:hint="eastAsia" w:ascii="宋体" w:hAnsi="宋体" w:eastAsia="宋体" w:cs="宋体"/>
          <w:b/>
          <w:color w:val="000000" w:themeColor="text1"/>
          <w:kern w:val="0"/>
          <w:sz w:val="32"/>
          <w:szCs w:val="20"/>
          <w:highlight w:val="none"/>
          <w14:textFill>
            <w14:solidFill>
              <w14:schemeClr w14:val="tx1"/>
            </w14:solidFill>
          </w14:textFill>
        </w:rPr>
      </w:pPr>
      <w:bookmarkStart w:id="812" w:name="_Toc246997102"/>
      <w:bookmarkStart w:id="813" w:name="_Toc152045791"/>
      <w:bookmarkStart w:id="814" w:name="_Toc7969"/>
      <w:bookmarkStart w:id="815" w:name="_Toc144974860"/>
      <w:bookmarkStart w:id="816" w:name="_Toc7701"/>
      <w:bookmarkStart w:id="817" w:name="_Toc135648947"/>
      <w:bookmarkStart w:id="818" w:name="_Toc152042580"/>
      <w:bookmarkStart w:id="819" w:name="_Toc179632811"/>
      <w:bookmarkStart w:id="820" w:name="_Toc32222"/>
      <w:bookmarkStart w:id="821" w:name="_Toc247085877"/>
      <w:bookmarkStart w:id="822" w:name="_Toc246996359"/>
      <w:bookmarkStart w:id="823" w:name="_Toc445287839"/>
      <w:bookmarkStart w:id="824" w:name="_Toc135922582"/>
      <w:bookmarkStart w:id="825" w:name="_Toc20754"/>
      <w:bookmarkStart w:id="826" w:name="_Toc8824"/>
      <w:r>
        <w:rPr>
          <w:rFonts w:hint="eastAsia" w:ascii="宋体" w:hAnsi="宋体" w:eastAsia="宋体" w:cs="宋体"/>
          <w:b/>
          <w:color w:val="000000" w:themeColor="text1"/>
          <w:kern w:val="0"/>
          <w:sz w:val="32"/>
          <w:szCs w:val="20"/>
          <w:highlight w:val="none"/>
          <w14:textFill>
            <w14:solidFill>
              <w14:schemeClr w14:val="tx1"/>
            </w14:solidFill>
          </w14:textFill>
        </w:rPr>
        <w:t>二、</w:t>
      </w:r>
      <w:bookmarkEnd w:id="812"/>
      <w:bookmarkEnd w:id="813"/>
      <w:bookmarkEnd w:id="814"/>
      <w:bookmarkEnd w:id="815"/>
      <w:bookmarkEnd w:id="816"/>
      <w:bookmarkEnd w:id="817"/>
      <w:bookmarkEnd w:id="818"/>
      <w:bookmarkEnd w:id="819"/>
      <w:bookmarkEnd w:id="820"/>
      <w:bookmarkEnd w:id="821"/>
      <w:bookmarkEnd w:id="822"/>
      <w:bookmarkEnd w:id="823"/>
      <w:r>
        <w:rPr>
          <w:rFonts w:hint="eastAsia" w:ascii="宋体" w:hAnsi="宋体" w:eastAsia="宋体" w:cs="宋体"/>
          <w:b/>
          <w:color w:val="000000" w:themeColor="text1"/>
          <w:kern w:val="0"/>
          <w:sz w:val="32"/>
          <w:szCs w:val="20"/>
          <w:highlight w:val="none"/>
          <w14:textFill>
            <w14:solidFill>
              <w14:schemeClr w14:val="tx1"/>
            </w14:solidFill>
          </w14:textFill>
        </w:rPr>
        <w:t>法定代表人身份证明或附有法定代表人身份证明的授权委托书</w:t>
      </w:r>
      <w:bookmarkEnd w:id="824"/>
      <w:bookmarkEnd w:id="825"/>
      <w:bookmarkEnd w:id="826"/>
    </w:p>
    <w:p w14:paraId="09E23A0C">
      <w:pPr>
        <w:spacing w:line="440" w:lineRule="exact"/>
        <w:rPr>
          <w:rFonts w:hint="eastAsia" w:ascii="宋体" w:hAnsi="宋体" w:eastAsia="宋体" w:cs="宋体"/>
          <w:color w:val="000000" w:themeColor="text1"/>
          <w:highlight w:val="none"/>
          <w14:textFill>
            <w14:solidFill>
              <w14:schemeClr w14:val="tx1"/>
            </w14:solidFill>
          </w14:textFill>
        </w:rPr>
      </w:pPr>
    </w:p>
    <w:p w14:paraId="4A9D2FC9">
      <w:pPr>
        <w:spacing w:line="480" w:lineRule="auto"/>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法定代表人身份证明</w:t>
      </w:r>
    </w:p>
    <w:p w14:paraId="0F055A44">
      <w:pPr>
        <w:spacing w:line="440" w:lineRule="exac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1AEC5954">
      <w:pPr>
        <w:spacing w:line="440" w:lineRule="exac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单位性质：</w:t>
      </w:r>
      <w:r>
        <w:rPr>
          <w:rFonts w:hint="eastAsia" w:ascii="宋体" w:hAnsi="宋体" w:eastAsia="宋体" w:cs="宋体"/>
          <w:color w:val="000000" w:themeColor="text1"/>
          <w:highlight w:val="none"/>
          <w:u w:val="single"/>
          <w14:textFill>
            <w14:solidFill>
              <w14:schemeClr w14:val="tx1"/>
            </w14:solidFill>
          </w14:textFill>
        </w:rPr>
        <w:t xml:space="preserve">                                    </w:t>
      </w:r>
    </w:p>
    <w:p w14:paraId="260C2C4F">
      <w:pPr>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w:t>
      </w:r>
      <w:r>
        <w:rPr>
          <w:rFonts w:hint="eastAsia" w:ascii="宋体" w:hAnsi="宋体" w:eastAsia="宋体" w:cs="宋体"/>
          <w:color w:val="000000" w:themeColor="text1"/>
          <w:highlight w:val="none"/>
          <w:u w:val="single"/>
          <w14:textFill>
            <w14:solidFill>
              <w14:schemeClr w14:val="tx1"/>
            </w14:solidFill>
          </w14:textFill>
        </w:rPr>
        <w:t xml:space="preserve">                                       </w:t>
      </w:r>
    </w:p>
    <w:p w14:paraId="04D95F22">
      <w:pPr>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成立时间：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14:paraId="51791483">
      <w:pPr>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经营期限：</w:t>
      </w:r>
      <w:r>
        <w:rPr>
          <w:rFonts w:hint="eastAsia" w:ascii="宋体" w:hAnsi="宋体" w:eastAsia="宋体" w:cs="宋体"/>
          <w:color w:val="000000" w:themeColor="text1"/>
          <w:highlight w:val="none"/>
          <w:u w:val="single"/>
          <w14:textFill>
            <w14:solidFill>
              <w14:schemeClr w14:val="tx1"/>
            </w14:solidFill>
          </w14:textFill>
        </w:rPr>
        <w:t xml:space="preserve">                                  </w:t>
      </w:r>
    </w:p>
    <w:p w14:paraId="0F624F25">
      <w:pPr>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姓名：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性别：</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年龄：</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职务：</w:t>
      </w:r>
      <w:r>
        <w:rPr>
          <w:rFonts w:hint="eastAsia" w:ascii="宋体" w:hAnsi="宋体" w:eastAsia="宋体" w:cs="宋体"/>
          <w:color w:val="000000" w:themeColor="text1"/>
          <w:highlight w:val="none"/>
          <w:u w:val="single"/>
          <w14:textFill>
            <w14:solidFill>
              <w14:schemeClr w14:val="tx1"/>
            </w14:solidFill>
          </w14:textFill>
        </w:rPr>
        <w:t xml:space="preserve">         </w:t>
      </w:r>
    </w:p>
    <w:p w14:paraId="505A0F04">
      <w:pPr>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（投标人名称）的法定代表人。</w:t>
      </w:r>
    </w:p>
    <w:p w14:paraId="5F90A603">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特此证明。</w:t>
      </w:r>
    </w:p>
    <w:p w14:paraId="67620BA2">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附：法定代表人身份证原件扫描件或图片</w:t>
      </w:r>
    </w:p>
    <w:p w14:paraId="7E932F23">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p>
    <w:p w14:paraId="30FA2A7C">
      <w:pPr>
        <w:spacing w:line="440" w:lineRule="exact"/>
        <w:rPr>
          <w:rFonts w:hint="eastAsia" w:ascii="宋体" w:hAnsi="宋体" w:eastAsia="宋体" w:cs="宋体"/>
          <w:color w:val="000000" w:themeColor="text1"/>
          <w:highlight w:val="none"/>
          <w14:textFill>
            <w14:solidFill>
              <w14:schemeClr w14:val="tx1"/>
            </w14:solidFill>
          </w14:textFill>
        </w:rPr>
      </w:pPr>
    </w:p>
    <w:p w14:paraId="3D18896E">
      <w:pPr>
        <w:spacing w:line="440" w:lineRule="exact"/>
        <w:rPr>
          <w:rFonts w:hint="eastAsia" w:ascii="宋体" w:hAnsi="宋体" w:eastAsia="宋体" w:cs="宋体"/>
          <w:color w:val="000000" w:themeColor="text1"/>
          <w:highlight w:val="none"/>
          <w14:textFill>
            <w14:solidFill>
              <w14:schemeClr w14:val="tx1"/>
            </w14:solidFill>
          </w14:textFill>
        </w:rPr>
      </w:pPr>
    </w:p>
    <w:p w14:paraId="61A05D25">
      <w:pPr>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投标人：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（电子印章）</w:t>
      </w:r>
    </w:p>
    <w:p w14:paraId="03BEC38F">
      <w:pPr>
        <w:spacing w:line="440" w:lineRule="exact"/>
        <w:ind w:firstLine="2797" w:firstLineChars="133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    年   月   日</w:t>
      </w:r>
    </w:p>
    <w:p w14:paraId="626E0F36">
      <w:pPr>
        <w:widowControl/>
        <w:jc w:val="left"/>
        <w:rPr>
          <w:rFonts w:hint="eastAsia" w:ascii="宋体" w:hAnsi="宋体" w:eastAsia="宋体" w:cs="宋体"/>
          <w:color w:val="000000" w:themeColor="text1"/>
          <w:highlight w:val="none"/>
          <w14:textFill>
            <w14:solidFill>
              <w14:schemeClr w14:val="tx1"/>
            </w14:solidFill>
          </w14:textFill>
        </w:rPr>
      </w:pPr>
    </w:p>
    <w:p w14:paraId="36FA4051">
      <w:pPr>
        <w:widowControl/>
        <w:jc w:val="left"/>
        <w:rPr>
          <w:rFonts w:hint="eastAsia" w:ascii="宋体" w:hAnsi="宋体" w:eastAsia="宋体" w:cs="宋体"/>
          <w:color w:val="000000" w:themeColor="text1"/>
          <w:highlight w:val="none"/>
          <w14:textFill>
            <w14:solidFill>
              <w14:schemeClr w14:val="tx1"/>
            </w14:solidFill>
          </w14:textFill>
        </w:rPr>
      </w:pPr>
    </w:p>
    <w:p w14:paraId="6F4319CE">
      <w:pPr>
        <w:widowControl/>
        <w:jc w:val="left"/>
        <w:rPr>
          <w:rFonts w:hint="eastAsia" w:ascii="宋体" w:hAnsi="宋体" w:eastAsia="宋体" w:cs="宋体"/>
          <w:color w:val="000000" w:themeColor="text1"/>
          <w:highlight w:val="none"/>
          <w14:textFill>
            <w14:solidFill>
              <w14:schemeClr w14:val="tx1"/>
            </w14:solidFill>
          </w14:textFill>
        </w:rPr>
      </w:pPr>
    </w:p>
    <w:p w14:paraId="319D94BF">
      <w:pPr>
        <w:widowControl/>
        <w:jc w:val="left"/>
        <w:rPr>
          <w:rFonts w:hint="eastAsia" w:ascii="宋体" w:hAnsi="宋体" w:eastAsia="宋体" w:cs="宋体"/>
          <w:color w:val="000000" w:themeColor="text1"/>
          <w:highlight w:val="none"/>
          <w14:textFill>
            <w14:solidFill>
              <w14:schemeClr w14:val="tx1"/>
            </w14:solidFill>
          </w14:textFill>
        </w:rPr>
      </w:pPr>
    </w:p>
    <w:p w14:paraId="5D7F186C">
      <w:pPr>
        <w:widowControl/>
        <w:jc w:val="left"/>
        <w:rPr>
          <w:rFonts w:hint="eastAsia" w:ascii="宋体" w:hAnsi="宋体" w:eastAsia="宋体" w:cs="宋体"/>
          <w:color w:val="000000" w:themeColor="text1"/>
          <w:highlight w:val="none"/>
          <w14:textFill>
            <w14:solidFill>
              <w14:schemeClr w14:val="tx1"/>
            </w14:solidFill>
          </w14:textFill>
        </w:rPr>
      </w:pPr>
    </w:p>
    <w:p w14:paraId="2710C071">
      <w:pPr>
        <w:widowControl/>
        <w:jc w:val="left"/>
        <w:rPr>
          <w:rFonts w:hint="eastAsia" w:ascii="宋体" w:hAnsi="宋体" w:eastAsia="宋体" w:cs="宋体"/>
          <w:color w:val="000000" w:themeColor="text1"/>
          <w:highlight w:val="none"/>
          <w14:textFill>
            <w14:solidFill>
              <w14:schemeClr w14:val="tx1"/>
            </w14:solidFill>
          </w14:textFill>
        </w:rPr>
      </w:pPr>
    </w:p>
    <w:p w14:paraId="748722F8">
      <w:pPr>
        <w:widowControl/>
        <w:jc w:val="left"/>
        <w:rPr>
          <w:rFonts w:hint="eastAsia" w:ascii="宋体" w:hAnsi="宋体" w:eastAsia="宋体" w:cs="宋体"/>
          <w:color w:val="000000" w:themeColor="text1"/>
          <w:highlight w:val="none"/>
          <w14:textFill>
            <w14:solidFill>
              <w14:schemeClr w14:val="tx1"/>
            </w14:solidFill>
          </w14:textFill>
        </w:rPr>
      </w:pPr>
    </w:p>
    <w:p w14:paraId="55FC796A">
      <w:pPr>
        <w:rPr>
          <w:rFonts w:hint="eastAsia" w:ascii="宋体" w:hAnsi="宋体" w:eastAsia="宋体" w:cs="宋体"/>
          <w:color w:val="000000" w:themeColor="text1"/>
          <w:szCs w:val="24"/>
          <w:highlight w:val="none"/>
          <w14:textFill>
            <w14:solidFill>
              <w14:schemeClr w14:val="tx1"/>
            </w14:solidFill>
          </w14:textFill>
        </w:rPr>
      </w:pPr>
    </w:p>
    <w:p w14:paraId="538C3C02">
      <w:pPr>
        <w:rPr>
          <w:rFonts w:hint="eastAsia" w:ascii="宋体" w:hAnsi="宋体" w:eastAsia="宋体" w:cs="宋体"/>
          <w:color w:val="000000" w:themeColor="text1"/>
          <w:highlight w:val="none"/>
          <w14:textFill>
            <w14:solidFill>
              <w14:schemeClr w14:val="tx1"/>
            </w14:solidFill>
          </w14:textFill>
        </w:rPr>
      </w:pPr>
    </w:p>
    <w:p w14:paraId="64494EE8">
      <w:pPr>
        <w:widowControl/>
        <w:jc w:val="left"/>
        <w:rPr>
          <w:rFonts w:hint="eastAsia" w:ascii="宋体" w:hAnsi="宋体" w:eastAsia="宋体" w:cs="宋体"/>
          <w:color w:val="000000" w:themeColor="text1"/>
          <w:highlight w:val="none"/>
          <w14:textFill>
            <w14:solidFill>
              <w14:schemeClr w14:val="tx1"/>
            </w14:solidFill>
          </w14:textFill>
        </w:rPr>
      </w:pPr>
    </w:p>
    <w:p w14:paraId="575B91FF">
      <w:pPr>
        <w:widowControl/>
        <w:jc w:val="left"/>
        <w:rPr>
          <w:rFonts w:hint="eastAsia" w:ascii="宋体" w:hAnsi="宋体" w:eastAsia="宋体" w:cs="宋体"/>
          <w:color w:val="000000" w:themeColor="text1"/>
          <w:highlight w:val="none"/>
          <w14:textFill>
            <w14:solidFill>
              <w14:schemeClr w14:val="tx1"/>
            </w14:solidFill>
          </w14:textFill>
        </w:rPr>
      </w:pPr>
    </w:p>
    <w:p w14:paraId="75E67558">
      <w:pPr>
        <w:widowControl/>
        <w:jc w:val="left"/>
        <w:rPr>
          <w:rFonts w:hint="eastAsia" w:ascii="宋体" w:hAnsi="宋体" w:eastAsia="宋体" w:cs="宋体"/>
          <w:color w:val="000000" w:themeColor="text1"/>
          <w:highlight w:val="none"/>
          <w14:textFill>
            <w14:solidFill>
              <w14:schemeClr w14:val="tx1"/>
            </w14:solidFill>
          </w14:textFill>
        </w:rPr>
      </w:pPr>
    </w:p>
    <w:p w14:paraId="2FC5FA03">
      <w:pPr>
        <w:widowControl/>
        <w:jc w:val="left"/>
        <w:rPr>
          <w:rFonts w:hint="eastAsia" w:ascii="宋体" w:hAnsi="宋体" w:eastAsia="宋体" w:cs="宋体"/>
          <w:color w:val="000000" w:themeColor="text1"/>
          <w:highlight w:val="none"/>
          <w14:textFill>
            <w14:solidFill>
              <w14:schemeClr w14:val="tx1"/>
            </w14:solidFill>
          </w14:textFill>
        </w:rPr>
      </w:pPr>
    </w:p>
    <w:p w14:paraId="4780582D">
      <w:pPr>
        <w:widowControl/>
        <w:jc w:val="left"/>
        <w:rPr>
          <w:rFonts w:hint="eastAsia" w:ascii="宋体" w:hAnsi="宋体" w:eastAsia="宋体" w:cs="宋体"/>
          <w:color w:val="000000" w:themeColor="text1"/>
          <w:szCs w:val="24"/>
          <w:highlight w:val="none"/>
          <w14:textFill>
            <w14:solidFill>
              <w14:schemeClr w14:val="tx1"/>
            </w14:solidFill>
          </w14:textFill>
        </w:rPr>
      </w:pPr>
    </w:p>
    <w:p w14:paraId="42D2D119">
      <w:pPr>
        <w:widowControl/>
        <w:jc w:val="left"/>
        <w:rPr>
          <w:rFonts w:hint="eastAsia" w:ascii="宋体" w:hAnsi="宋体" w:eastAsia="宋体" w:cs="宋体"/>
          <w:color w:val="000000" w:themeColor="text1"/>
          <w:highlight w:val="none"/>
          <w14:textFill>
            <w14:solidFill>
              <w14:schemeClr w14:val="tx1"/>
            </w14:solidFill>
          </w14:textFill>
        </w:rPr>
      </w:pPr>
    </w:p>
    <w:p w14:paraId="4BEE8E9A">
      <w:pPr>
        <w:widowControl/>
        <w:jc w:val="left"/>
        <w:rPr>
          <w:rFonts w:hint="eastAsia" w:ascii="宋体" w:hAnsi="宋体" w:eastAsia="宋体" w:cs="宋体"/>
          <w:color w:val="000000" w:themeColor="text1"/>
          <w:highlight w:val="none"/>
          <w14:textFill>
            <w14:solidFill>
              <w14:schemeClr w14:val="tx1"/>
            </w14:solidFill>
          </w14:textFill>
        </w:rPr>
      </w:pPr>
    </w:p>
    <w:p w14:paraId="2359B0CF">
      <w:pPr>
        <w:widowControl/>
        <w:jc w:val="left"/>
        <w:rPr>
          <w:rFonts w:hint="eastAsia" w:ascii="宋体" w:hAnsi="宋体" w:eastAsia="宋体" w:cs="宋体"/>
          <w:color w:val="000000" w:themeColor="text1"/>
          <w:highlight w:val="none"/>
          <w14:textFill>
            <w14:solidFill>
              <w14:schemeClr w14:val="tx1"/>
            </w14:solidFill>
          </w14:textFill>
        </w:rPr>
      </w:pPr>
    </w:p>
    <w:p w14:paraId="1BEF71EF">
      <w:pPr>
        <w:rPr>
          <w:rFonts w:hint="eastAsia" w:ascii="宋体" w:hAnsi="宋体" w:eastAsia="宋体" w:cs="宋体"/>
          <w:color w:val="000000" w:themeColor="text1"/>
          <w:highlight w:val="none"/>
          <w14:textFill>
            <w14:solidFill>
              <w14:schemeClr w14:val="tx1"/>
            </w14:solidFill>
          </w14:textFill>
        </w:rPr>
      </w:pPr>
    </w:p>
    <w:p w14:paraId="0AB54150">
      <w:pPr>
        <w:pStyle w:val="12"/>
        <w:rPr>
          <w:rFonts w:hint="eastAsia" w:ascii="宋体" w:hAnsi="宋体" w:eastAsia="宋体" w:cs="宋体"/>
          <w:color w:val="000000" w:themeColor="text1"/>
          <w:highlight w:val="none"/>
          <w14:textFill>
            <w14:solidFill>
              <w14:schemeClr w14:val="tx1"/>
            </w14:solidFill>
          </w14:textFill>
        </w:rPr>
      </w:pPr>
    </w:p>
    <w:p w14:paraId="53DFCF5A">
      <w:pPr>
        <w:pStyle w:val="12"/>
        <w:rPr>
          <w:rFonts w:hint="eastAsia" w:ascii="宋体" w:hAnsi="宋体" w:eastAsia="宋体" w:cs="宋体"/>
          <w:color w:val="000000" w:themeColor="text1"/>
          <w:highlight w:val="none"/>
          <w14:textFill>
            <w14:solidFill>
              <w14:schemeClr w14:val="tx1"/>
            </w14:solidFill>
          </w14:textFill>
        </w:rPr>
      </w:pPr>
    </w:p>
    <w:p w14:paraId="0AFA1F69">
      <w:pPr>
        <w:spacing w:line="480" w:lineRule="auto"/>
        <w:jc w:val="center"/>
        <w:rPr>
          <w:rFonts w:hint="eastAsia" w:ascii="宋体" w:hAnsi="宋体" w:eastAsia="宋体" w:cs="宋体"/>
          <w:b/>
          <w:color w:val="000000" w:themeColor="text1"/>
          <w:sz w:val="28"/>
          <w:szCs w:val="28"/>
          <w:highlight w:val="none"/>
          <w14:textFill>
            <w14:solidFill>
              <w14:schemeClr w14:val="tx1"/>
            </w14:solidFill>
          </w14:textFill>
        </w:rPr>
      </w:pPr>
      <w:bookmarkStart w:id="827" w:name="_Hlk48293187"/>
      <w:r>
        <w:rPr>
          <w:rFonts w:hint="eastAsia" w:ascii="宋体" w:hAnsi="宋体" w:eastAsia="宋体" w:cs="宋体"/>
          <w:b/>
          <w:color w:val="000000" w:themeColor="text1"/>
          <w:sz w:val="28"/>
          <w:szCs w:val="28"/>
          <w:highlight w:val="none"/>
          <w14:textFill>
            <w14:solidFill>
              <w14:schemeClr w14:val="tx1"/>
            </w14:solidFill>
          </w14:textFill>
        </w:rPr>
        <w:t>法定代表人授权委托书</w:t>
      </w:r>
      <w:bookmarkEnd w:id="827"/>
    </w:p>
    <w:p w14:paraId="33ACDEF8">
      <w:pPr>
        <w:topLinePunct/>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本人（姓名）系（投标人名称）的法定代表人，现委托</w:t>
      </w:r>
      <w:r>
        <w:rPr>
          <w:rFonts w:hint="eastAsia" w:ascii="宋体" w:hAnsi="宋体" w:eastAsia="宋体" w:cs="宋体"/>
          <w:color w:val="000000" w:themeColor="text1"/>
          <w:sz w:val="28"/>
          <w:szCs w:val="28"/>
          <w:highlight w:val="none"/>
          <w:u w:val="single"/>
          <w14:textFill>
            <w14:solidFill>
              <w14:schemeClr w14:val="tx1"/>
            </w14:solidFill>
          </w14:textFill>
        </w:rPr>
        <w:tab/>
      </w:r>
      <w:r>
        <w:rPr>
          <w:rFonts w:hint="eastAsia" w:ascii="宋体" w:hAnsi="宋体" w:eastAsia="宋体" w:cs="宋体"/>
          <w:color w:val="000000" w:themeColor="text1"/>
          <w:sz w:val="28"/>
          <w:szCs w:val="28"/>
          <w:highlight w:val="none"/>
          <w:u w:val="singl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（姓名）为我方代理人。代理人根据授权，以我方名义签署、澄清、说明、补正、递交、撤回、修改</w:t>
      </w:r>
      <w:r>
        <w:rPr>
          <w:rFonts w:hint="eastAsia" w:ascii="宋体" w:hAnsi="宋体" w:eastAsia="宋体" w:cs="宋体"/>
          <w:color w:val="000000" w:themeColor="text1"/>
          <w:sz w:val="28"/>
          <w:szCs w:val="28"/>
          <w:highlight w:val="none"/>
          <w:u w:val="single"/>
          <w14:textFill>
            <w14:solidFill>
              <w14:schemeClr w14:val="tx1"/>
            </w14:solidFill>
          </w14:textFill>
        </w:rPr>
        <w:tab/>
      </w:r>
      <w:r>
        <w:rPr>
          <w:rFonts w:hint="eastAsia" w:ascii="宋体" w:hAnsi="宋体" w:eastAsia="宋体" w:cs="宋体"/>
          <w:color w:val="000000" w:themeColor="text1"/>
          <w:sz w:val="28"/>
          <w:szCs w:val="28"/>
          <w:highlight w:val="none"/>
          <w:u w:val="single"/>
          <w14:textFill>
            <w14:solidFill>
              <w14:schemeClr w14:val="tx1"/>
            </w14:solidFill>
          </w14:textFill>
        </w:rPr>
        <w:tab/>
      </w:r>
      <w:r>
        <w:rPr>
          <w:rFonts w:hint="eastAsia" w:ascii="宋体" w:hAnsi="宋体" w:eastAsia="宋体" w:cs="宋体"/>
          <w:color w:val="000000" w:themeColor="text1"/>
          <w:sz w:val="28"/>
          <w:szCs w:val="28"/>
          <w:highlight w:val="none"/>
          <w:u w:val="single"/>
          <w14:textFill>
            <w14:solidFill>
              <w14:schemeClr w14:val="tx1"/>
            </w14:solidFill>
          </w14:textFill>
        </w:rPr>
        <w:tab/>
      </w:r>
      <w:r>
        <w:rPr>
          <w:rFonts w:hint="eastAsia" w:ascii="宋体" w:hAnsi="宋体" w:eastAsia="宋体" w:cs="宋体"/>
          <w:color w:val="000000" w:themeColor="text1"/>
          <w:sz w:val="28"/>
          <w:szCs w:val="28"/>
          <w:highlight w:val="none"/>
          <w:u w:val="singl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（项目名称）投标文件、签订合同和处理有关事宜，其法律后果由我方承担。</w:t>
      </w:r>
    </w:p>
    <w:p w14:paraId="02A3B193">
      <w:pPr>
        <w:tabs>
          <w:tab w:val="left" w:pos="3560"/>
        </w:tabs>
        <w:autoSpaceDE w:val="0"/>
        <w:autoSpaceDN w:val="0"/>
        <w:adjustRightInd w:val="0"/>
        <w:spacing w:before="81" w:line="333" w:lineRule="exact"/>
        <w:ind w:left="100" w:right="-20" w:firstLine="325" w:firstLineChars="155"/>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position w:val="-4"/>
          <w:highlight w:val="none"/>
          <w14:textFill>
            <w14:solidFill>
              <w14:schemeClr w14:val="tx1"/>
            </w14:solidFill>
          </w14:textFill>
        </w:rPr>
        <w:t>委托</w:t>
      </w:r>
      <w:r>
        <w:rPr>
          <w:rFonts w:hint="eastAsia" w:ascii="宋体" w:hAnsi="宋体" w:eastAsia="宋体" w:cs="宋体"/>
          <w:color w:val="000000" w:themeColor="text1"/>
          <w:spacing w:val="-2"/>
          <w:kern w:val="0"/>
          <w:position w:val="-4"/>
          <w:highlight w:val="none"/>
          <w14:textFill>
            <w14:solidFill>
              <w14:schemeClr w14:val="tx1"/>
            </w14:solidFill>
          </w14:textFill>
        </w:rPr>
        <w:t>期</w:t>
      </w:r>
      <w:r>
        <w:rPr>
          <w:rFonts w:hint="eastAsia" w:ascii="宋体" w:hAnsi="宋体" w:eastAsia="宋体" w:cs="宋体"/>
          <w:color w:val="000000" w:themeColor="text1"/>
          <w:kern w:val="0"/>
          <w:position w:val="-4"/>
          <w:highlight w:val="none"/>
          <w14:textFill>
            <w14:solidFill>
              <w14:schemeClr w14:val="tx1"/>
            </w14:solidFill>
          </w14:textFill>
        </w:rPr>
        <w:t>限</w:t>
      </w:r>
      <w:r>
        <w:rPr>
          <w:rFonts w:hint="eastAsia" w:ascii="宋体" w:hAnsi="宋体" w:eastAsia="宋体" w:cs="宋体"/>
          <w:color w:val="000000" w:themeColor="text1"/>
          <w:spacing w:val="-3"/>
          <w:kern w:val="0"/>
          <w:position w:val="-4"/>
          <w:highlight w:val="none"/>
          <w14:textFill>
            <w14:solidFill>
              <w14:schemeClr w14:val="tx1"/>
            </w14:solidFill>
          </w14:textFill>
        </w:rPr>
        <w:t>：</w:t>
      </w:r>
      <w:r>
        <w:rPr>
          <w:rFonts w:hint="eastAsia" w:ascii="宋体" w:hAnsi="宋体" w:eastAsia="宋体" w:cs="宋体"/>
          <w:color w:val="000000" w:themeColor="text1"/>
          <w:kern w:val="0"/>
          <w:position w:val="-4"/>
          <w:highlight w:val="none"/>
          <w:u w:val="single"/>
          <w14:textFill>
            <w14:solidFill>
              <w14:schemeClr w14:val="tx1"/>
            </w14:solidFill>
          </w14:textFill>
        </w:rPr>
        <w:tab/>
      </w:r>
      <w:r>
        <w:rPr>
          <w:rFonts w:hint="eastAsia" w:ascii="宋体" w:hAnsi="宋体" w:eastAsia="宋体" w:cs="宋体"/>
          <w:color w:val="000000" w:themeColor="text1"/>
          <w:kern w:val="0"/>
          <w:position w:val="-4"/>
          <w:highlight w:val="none"/>
          <w14:textFill>
            <w14:solidFill>
              <w14:schemeClr w14:val="tx1"/>
            </w14:solidFill>
          </w14:textFill>
        </w:rPr>
        <w:t>。</w:t>
      </w:r>
    </w:p>
    <w:p w14:paraId="4E9C85E0">
      <w:pPr>
        <w:spacing w:line="440"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代理人无转委托权。</w:t>
      </w:r>
    </w:p>
    <w:p w14:paraId="0BFD78F0">
      <w:pPr>
        <w:spacing w:line="440" w:lineRule="exact"/>
        <w:ind w:firstLine="424" w:firstLineChars="20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附：法定代表人、委托代理人身份证原件扫描件或图片</w:t>
      </w:r>
    </w:p>
    <w:p w14:paraId="594D4179">
      <w:pPr>
        <w:spacing w:line="440" w:lineRule="exact"/>
        <w:rPr>
          <w:rFonts w:hint="eastAsia" w:ascii="宋体" w:hAnsi="宋体" w:eastAsia="宋体" w:cs="宋体"/>
          <w:color w:val="000000" w:themeColor="text1"/>
          <w:highlight w:val="none"/>
          <w14:textFill>
            <w14:solidFill>
              <w14:schemeClr w14:val="tx1"/>
            </w14:solidFill>
          </w14:textFill>
        </w:rPr>
      </w:pPr>
    </w:p>
    <w:p w14:paraId="210016B7">
      <w:pPr>
        <w:spacing w:line="440" w:lineRule="exact"/>
        <w:rPr>
          <w:rFonts w:hint="eastAsia" w:ascii="宋体" w:hAnsi="宋体" w:eastAsia="宋体" w:cs="宋体"/>
          <w:color w:val="000000" w:themeColor="text1"/>
          <w:highlight w:val="none"/>
          <w14:textFill>
            <w14:solidFill>
              <w14:schemeClr w14:val="tx1"/>
            </w14:solidFill>
          </w14:textFill>
        </w:rPr>
      </w:pPr>
    </w:p>
    <w:p w14:paraId="4AE1FB52">
      <w:pPr>
        <w:spacing w:line="440" w:lineRule="exact"/>
        <w:rPr>
          <w:rFonts w:hint="eastAsia" w:ascii="宋体" w:hAnsi="宋体" w:eastAsia="宋体" w:cs="宋体"/>
          <w:color w:val="000000" w:themeColor="text1"/>
          <w:highlight w:val="none"/>
          <w14:textFill>
            <w14:solidFill>
              <w14:schemeClr w14:val="tx1"/>
            </w14:solidFill>
          </w14:textFill>
        </w:rPr>
      </w:pPr>
    </w:p>
    <w:p w14:paraId="00464A5B">
      <w:pPr>
        <w:spacing w:line="440" w:lineRule="exact"/>
        <w:rPr>
          <w:rFonts w:hint="eastAsia" w:ascii="宋体" w:hAnsi="宋体" w:eastAsia="宋体" w:cs="宋体"/>
          <w:color w:val="000000" w:themeColor="text1"/>
          <w:highlight w:val="none"/>
          <w14:textFill>
            <w14:solidFill>
              <w14:schemeClr w14:val="tx1"/>
            </w14:solidFill>
          </w14:textFill>
        </w:rPr>
      </w:pPr>
    </w:p>
    <w:p w14:paraId="56AD59A6">
      <w:pPr>
        <w:spacing w:line="440" w:lineRule="exact"/>
        <w:ind w:firstLine="2123" w:firstLineChars="101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（电子印章）</w:t>
      </w:r>
    </w:p>
    <w:p w14:paraId="7BA09EE1">
      <w:pPr>
        <w:spacing w:line="440" w:lineRule="exact"/>
        <w:ind w:firstLine="2123" w:firstLineChars="101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（电子印章）</w:t>
      </w:r>
    </w:p>
    <w:p w14:paraId="6FB1A391">
      <w:pPr>
        <w:spacing w:line="440" w:lineRule="exact"/>
        <w:ind w:firstLine="2123" w:firstLineChars="101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日期：   年  月   日</w:t>
      </w:r>
    </w:p>
    <w:p w14:paraId="3B03ADC2">
      <w:pPr>
        <w:spacing w:line="440" w:lineRule="exact"/>
        <w:rPr>
          <w:rFonts w:hint="eastAsia" w:ascii="宋体" w:hAnsi="宋体" w:eastAsia="宋体" w:cs="宋体"/>
          <w:color w:val="000000" w:themeColor="text1"/>
          <w:highlight w:val="none"/>
          <w14:textFill>
            <w14:solidFill>
              <w14:schemeClr w14:val="tx1"/>
            </w14:solidFill>
          </w14:textFill>
        </w:rPr>
      </w:pPr>
    </w:p>
    <w:p w14:paraId="069511A9">
      <w:pPr>
        <w:spacing w:line="440" w:lineRule="exact"/>
        <w:rPr>
          <w:rFonts w:hint="eastAsia" w:ascii="宋体" w:hAnsi="宋体" w:eastAsia="宋体" w:cs="宋体"/>
          <w:color w:val="000000" w:themeColor="text1"/>
          <w:highlight w:val="none"/>
          <w14:textFill>
            <w14:solidFill>
              <w14:schemeClr w14:val="tx1"/>
            </w14:solidFill>
          </w14:textFill>
        </w:rPr>
      </w:pPr>
    </w:p>
    <w:p w14:paraId="72F26B38">
      <w:pPr>
        <w:spacing w:line="440" w:lineRule="exact"/>
        <w:rPr>
          <w:rFonts w:hint="eastAsia" w:ascii="宋体" w:hAnsi="宋体" w:eastAsia="宋体" w:cs="宋体"/>
          <w:color w:val="000000" w:themeColor="text1"/>
          <w:highlight w:val="none"/>
          <w14:textFill>
            <w14:solidFill>
              <w14:schemeClr w14:val="tx1"/>
            </w14:solidFill>
          </w14:textFill>
        </w:rPr>
      </w:pPr>
    </w:p>
    <w:p w14:paraId="16F19430">
      <w:pPr>
        <w:spacing w:line="440" w:lineRule="exact"/>
        <w:rPr>
          <w:rFonts w:hint="eastAsia" w:ascii="宋体" w:hAnsi="宋体" w:eastAsia="宋体" w:cs="宋体"/>
          <w:color w:val="000000" w:themeColor="text1"/>
          <w:highlight w:val="none"/>
          <w14:textFill>
            <w14:solidFill>
              <w14:schemeClr w14:val="tx1"/>
            </w14:solidFill>
          </w14:textFill>
        </w:rPr>
      </w:pPr>
    </w:p>
    <w:p w14:paraId="2C2D2CEE">
      <w:pPr>
        <w:spacing w:line="440" w:lineRule="exact"/>
        <w:rPr>
          <w:rFonts w:hint="eastAsia" w:ascii="宋体" w:hAnsi="宋体" w:eastAsia="宋体" w:cs="宋体"/>
          <w:color w:val="000000" w:themeColor="text1"/>
          <w:highlight w:val="none"/>
          <w14:textFill>
            <w14:solidFill>
              <w14:schemeClr w14:val="tx1"/>
            </w14:solidFill>
          </w14:textFill>
        </w:rPr>
      </w:pPr>
    </w:p>
    <w:p w14:paraId="61515CB1">
      <w:pPr>
        <w:spacing w:line="440" w:lineRule="exact"/>
        <w:rPr>
          <w:rFonts w:hint="eastAsia" w:ascii="宋体" w:hAnsi="宋体" w:eastAsia="宋体" w:cs="宋体"/>
          <w:color w:val="000000" w:themeColor="text1"/>
          <w:highlight w:val="none"/>
          <w14:textFill>
            <w14:solidFill>
              <w14:schemeClr w14:val="tx1"/>
            </w14:solidFill>
          </w14:textFill>
        </w:rPr>
      </w:pPr>
    </w:p>
    <w:p w14:paraId="3E12EB7F">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说明：适用于有委托代理人的情形，无委托代理人可不提供授权委托书，只提供法定代表人身份证明。</w:t>
      </w:r>
    </w:p>
    <w:p w14:paraId="43876CE1">
      <w:pPr>
        <w:widowControl/>
        <w:jc w:val="left"/>
        <w:rPr>
          <w:rFonts w:hint="eastAsia" w:ascii="宋体" w:hAnsi="宋体" w:eastAsia="宋体" w:cs="宋体"/>
          <w:color w:val="000000" w:themeColor="text1"/>
          <w:highlight w:val="none"/>
          <w14:textFill>
            <w14:solidFill>
              <w14:schemeClr w14:val="tx1"/>
            </w14:solidFill>
          </w14:textFill>
        </w:rPr>
        <w:sectPr>
          <w:footerReference r:id="rId4" w:type="default"/>
          <w:pgSz w:w="11906" w:h="16838"/>
          <w:pgMar w:top="1134" w:right="1134" w:bottom="1417" w:left="1417" w:header="851" w:footer="992" w:gutter="0"/>
          <w:cols w:space="720" w:num="1"/>
          <w:docGrid w:type="lines" w:linePitch="322" w:charSpace="0"/>
        </w:sectPr>
      </w:pPr>
    </w:p>
    <w:p w14:paraId="2B702B32">
      <w:pPr>
        <w:keepNext/>
        <w:keepLines/>
        <w:spacing w:before="340" w:after="330" w:line="360" w:lineRule="auto"/>
        <w:jc w:val="center"/>
        <w:outlineLvl w:val="0"/>
        <w:rPr>
          <w:rFonts w:hint="eastAsia" w:ascii="宋体" w:hAnsi="宋体" w:eastAsia="宋体" w:cs="宋体"/>
          <w:b/>
          <w:bCs/>
          <w:color w:val="000000" w:themeColor="text1"/>
          <w:kern w:val="44"/>
          <w:sz w:val="28"/>
          <w:szCs w:val="28"/>
          <w:highlight w:val="none"/>
          <w14:textFill>
            <w14:solidFill>
              <w14:schemeClr w14:val="tx1"/>
            </w14:solidFill>
          </w14:textFill>
        </w:rPr>
      </w:pPr>
      <w:bookmarkStart w:id="828" w:name="_Toc10967"/>
      <w:bookmarkStart w:id="829" w:name="_Toc135922584"/>
      <w:bookmarkStart w:id="830" w:name="_Toc135648952"/>
      <w:bookmarkStart w:id="831" w:name="_Toc26926"/>
      <w:r>
        <w:rPr>
          <w:rFonts w:hint="eastAsia" w:ascii="宋体" w:hAnsi="宋体" w:eastAsia="宋体" w:cs="宋体"/>
          <w:b/>
          <w:bCs/>
          <w:color w:val="000000" w:themeColor="text1"/>
          <w:kern w:val="44"/>
          <w:sz w:val="28"/>
          <w:szCs w:val="28"/>
          <w:highlight w:val="none"/>
          <w14:textFill>
            <w14:solidFill>
              <w14:schemeClr w14:val="tx1"/>
            </w14:solidFill>
          </w14:textFill>
        </w:rPr>
        <w:t>三、资格审查资料</w:t>
      </w:r>
      <w:bookmarkEnd w:id="828"/>
      <w:bookmarkEnd w:id="829"/>
      <w:bookmarkEnd w:id="830"/>
      <w:bookmarkEnd w:id="831"/>
    </w:p>
    <w:p w14:paraId="524A7618">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资格审查要求提供的相关证明材料</w:t>
      </w:r>
    </w:p>
    <w:p w14:paraId="0F0EB331">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2BEC946">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59E9B864">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3D45299">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199E026">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5ADF4A07">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3860543E">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18BE70CE">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390393FB">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3F708F19">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03F55346">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0F349F1A">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25B74CBD">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B9AC1A0">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D6F5604">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AB277F9">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2639CD1F">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064AE71">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14FAA31">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BF4C3A0">
      <w:pPr>
        <w:keepNext/>
        <w:keepLines/>
        <w:spacing w:before="340" w:after="330" w:line="360" w:lineRule="auto"/>
        <w:jc w:val="center"/>
        <w:outlineLvl w:val="0"/>
        <w:rPr>
          <w:rFonts w:hint="eastAsia" w:ascii="宋体" w:hAnsi="宋体" w:eastAsia="宋体" w:cs="宋体"/>
          <w:b/>
          <w:bCs/>
          <w:color w:val="000000" w:themeColor="text1"/>
          <w:kern w:val="44"/>
          <w:sz w:val="28"/>
          <w:szCs w:val="28"/>
          <w:highlight w:val="none"/>
          <w14:textFill>
            <w14:solidFill>
              <w14:schemeClr w14:val="tx1"/>
            </w14:solidFill>
          </w14:textFill>
        </w:rPr>
      </w:pPr>
      <w:bookmarkStart w:id="832" w:name="_Toc15450"/>
      <w:r>
        <w:rPr>
          <w:rFonts w:hint="eastAsia" w:ascii="宋体" w:hAnsi="宋体" w:eastAsia="宋体" w:cs="宋体"/>
          <w:b/>
          <w:bCs/>
          <w:color w:val="000000" w:themeColor="text1"/>
          <w:kern w:val="44"/>
          <w:sz w:val="28"/>
          <w:szCs w:val="28"/>
          <w:highlight w:val="none"/>
          <w14:textFill>
            <w14:solidFill>
              <w14:schemeClr w14:val="tx1"/>
            </w14:solidFill>
          </w14:textFill>
        </w:rPr>
        <w:t>四、商务标</w:t>
      </w:r>
      <w:bookmarkEnd w:id="832"/>
    </w:p>
    <w:p w14:paraId="2FBDF53A">
      <w:pPr>
        <w:pStyle w:val="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（一）企业业绩</w:t>
      </w:r>
    </w:p>
    <w:tbl>
      <w:tblPr>
        <w:tblStyle w:val="20"/>
        <w:tblW w:w="87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134"/>
        <w:gridCol w:w="918"/>
        <w:gridCol w:w="1363"/>
        <w:gridCol w:w="1845"/>
        <w:gridCol w:w="1627"/>
        <w:gridCol w:w="1161"/>
      </w:tblGrid>
      <w:tr w14:paraId="1612D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73" w:type="dxa"/>
            <w:tcBorders>
              <w:top w:val="single" w:color="000000" w:sz="2" w:space="0"/>
              <w:left w:val="single" w:color="000000" w:sz="2" w:space="0"/>
              <w:bottom w:val="single" w:color="000000" w:sz="2" w:space="0"/>
              <w:right w:val="single" w:color="000000" w:sz="2" w:space="0"/>
            </w:tcBorders>
          </w:tcPr>
          <w:p w14:paraId="60B5E12D">
            <w:pPr>
              <w:spacing w:before="156" w:line="184" w:lineRule="auto"/>
              <w:ind w:firstLine="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2"/>
                <w:highlight w:val="none"/>
                <w14:textFill>
                  <w14:solidFill>
                    <w14:schemeClr w14:val="tx1"/>
                  </w14:solidFill>
                </w14:textFill>
              </w:rPr>
              <w:t>序号</w:t>
            </w:r>
          </w:p>
        </w:tc>
        <w:tc>
          <w:tcPr>
            <w:tcW w:w="1134" w:type="dxa"/>
            <w:tcBorders>
              <w:top w:val="single" w:color="000000" w:sz="2" w:space="0"/>
              <w:left w:val="single" w:color="000000" w:sz="2" w:space="0"/>
              <w:bottom w:val="single" w:color="000000" w:sz="2" w:space="0"/>
              <w:right w:val="single" w:color="000000" w:sz="2" w:space="0"/>
            </w:tcBorders>
          </w:tcPr>
          <w:p w14:paraId="5762D8B1">
            <w:pPr>
              <w:spacing w:before="156" w:line="184"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3"/>
                <w:highlight w:val="none"/>
                <w14:textFill>
                  <w14:solidFill>
                    <w14:schemeClr w14:val="tx1"/>
                  </w14:solidFill>
                </w14:textFill>
              </w:rPr>
              <w:t>采购单位</w:t>
            </w:r>
          </w:p>
        </w:tc>
        <w:tc>
          <w:tcPr>
            <w:tcW w:w="918" w:type="dxa"/>
            <w:tcBorders>
              <w:top w:val="single" w:color="000000" w:sz="2" w:space="0"/>
              <w:left w:val="single" w:color="000000" w:sz="2" w:space="0"/>
              <w:bottom w:val="single" w:color="000000" w:sz="2" w:space="0"/>
              <w:right w:val="single" w:color="000000" w:sz="2" w:space="0"/>
            </w:tcBorders>
          </w:tcPr>
          <w:p w14:paraId="738125DB">
            <w:pPr>
              <w:spacing w:before="156" w:line="184"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3"/>
                <w:highlight w:val="none"/>
                <w14:textFill>
                  <w14:solidFill>
                    <w14:schemeClr w14:val="tx1"/>
                  </w14:solidFill>
                </w14:textFill>
              </w:rPr>
              <w:t>项目名称</w:t>
            </w:r>
          </w:p>
        </w:tc>
        <w:tc>
          <w:tcPr>
            <w:tcW w:w="1363" w:type="dxa"/>
            <w:tcBorders>
              <w:top w:val="single" w:color="000000" w:sz="2" w:space="0"/>
              <w:left w:val="single" w:color="000000" w:sz="2" w:space="0"/>
              <w:bottom w:val="single" w:color="000000" w:sz="2" w:space="0"/>
              <w:right w:val="single" w:color="000000" w:sz="2" w:space="0"/>
            </w:tcBorders>
          </w:tcPr>
          <w:p w14:paraId="78237228">
            <w:pPr>
              <w:spacing w:before="156" w:line="184"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3"/>
                <w:highlight w:val="none"/>
                <w14:textFill>
                  <w14:solidFill>
                    <w14:schemeClr w14:val="tx1"/>
                  </w14:solidFill>
                </w14:textFill>
              </w:rPr>
              <w:t>合同签订时间</w:t>
            </w:r>
          </w:p>
        </w:tc>
        <w:tc>
          <w:tcPr>
            <w:tcW w:w="1845" w:type="dxa"/>
            <w:tcBorders>
              <w:top w:val="single" w:color="000000" w:sz="2" w:space="0"/>
              <w:left w:val="single" w:color="000000" w:sz="2" w:space="0"/>
              <w:bottom w:val="single" w:color="000000" w:sz="2" w:space="0"/>
              <w:right w:val="single" w:color="000000" w:sz="2" w:space="0"/>
            </w:tcBorders>
          </w:tcPr>
          <w:p w14:paraId="4C747712">
            <w:pPr>
              <w:spacing w:before="156" w:line="184" w:lineRule="auto"/>
              <w:ind w:firstLine="204" w:firstLineChars="100"/>
              <w:jc w:val="center"/>
              <w:rPr>
                <w:rFonts w:hint="eastAsia" w:ascii="宋体" w:hAnsi="宋体" w:eastAsia="宋体" w:cs="宋体"/>
                <w:color w:val="000000" w:themeColor="text1"/>
                <w:spacing w:val="-3"/>
                <w:highlight w:val="none"/>
                <w14:textFill>
                  <w14:solidFill>
                    <w14:schemeClr w14:val="tx1"/>
                  </w14:solidFill>
                </w14:textFill>
              </w:rPr>
            </w:pPr>
            <w:r>
              <w:rPr>
                <w:rFonts w:hint="eastAsia" w:ascii="宋体" w:hAnsi="宋体" w:eastAsia="宋体" w:cs="宋体"/>
                <w:color w:val="000000" w:themeColor="text1"/>
                <w:spacing w:val="-3"/>
                <w:highlight w:val="none"/>
                <w14:textFill>
                  <w14:solidFill>
                    <w14:schemeClr w14:val="tx1"/>
                  </w14:solidFill>
                </w14:textFill>
              </w:rPr>
              <w:t>中标公示查询媒体</w:t>
            </w:r>
          </w:p>
        </w:tc>
        <w:tc>
          <w:tcPr>
            <w:tcW w:w="1627" w:type="dxa"/>
            <w:tcBorders>
              <w:top w:val="single" w:color="000000" w:sz="2" w:space="0"/>
              <w:left w:val="single" w:color="000000" w:sz="2" w:space="0"/>
              <w:bottom w:val="single" w:color="000000" w:sz="2" w:space="0"/>
              <w:right w:val="single" w:color="000000" w:sz="2" w:space="0"/>
            </w:tcBorders>
          </w:tcPr>
          <w:p w14:paraId="5391471A">
            <w:pPr>
              <w:spacing w:before="156" w:line="184" w:lineRule="auto"/>
              <w:ind w:firstLine="204" w:firstLineChars="100"/>
              <w:jc w:val="center"/>
              <w:rPr>
                <w:rFonts w:hint="eastAsia" w:ascii="宋体" w:hAnsi="宋体" w:eastAsia="宋体" w:cs="宋体"/>
                <w:color w:val="000000" w:themeColor="text1"/>
                <w:spacing w:val="-3"/>
                <w:highlight w:val="none"/>
                <w14:textFill>
                  <w14:solidFill>
                    <w14:schemeClr w14:val="tx1"/>
                  </w14:solidFill>
                </w14:textFill>
              </w:rPr>
            </w:pPr>
            <w:r>
              <w:rPr>
                <w:rFonts w:hint="eastAsia" w:ascii="宋体" w:hAnsi="宋体" w:eastAsia="宋体" w:cs="宋体"/>
                <w:color w:val="000000" w:themeColor="text1"/>
                <w:spacing w:val="-3"/>
                <w:highlight w:val="none"/>
                <w14:textFill>
                  <w14:solidFill>
                    <w14:schemeClr w14:val="tx1"/>
                  </w14:solidFill>
                </w14:textFill>
              </w:rPr>
              <w:t>合同金额（元）</w:t>
            </w:r>
          </w:p>
        </w:tc>
        <w:tc>
          <w:tcPr>
            <w:tcW w:w="1161" w:type="dxa"/>
            <w:tcBorders>
              <w:top w:val="single" w:color="000000" w:sz="2" w:space="0"/>
              <w:left w:val="single" w:color="000000" w:sz="2" w:space="0"/>
              <w:bottom w:val="single" w:color="000000" w:sz="2" w:space="0"/>
              <w:right w:val="single" w:color="000000" w:sz="2" w:space="0"/>
            </w:tcBorders>
          </w:tcPr>
          <w:p w14:paraId="5E8D5115">
            <w:pPr>
              <w:spacing w:before="156" w:line="184" w:lineRule="auto"/>
              <w:ind w:firstLine="204" w:firstLineChars="100"/>
              <w:jc w:val="center"/>
              <w:rPr>
                <w:rFonts w:hint="eastAsia" w:ascii="宋体" w:hAnsi="宋体" w:eastAsia="宋体" w:cs="宋体"/>
                <w:color w:val="000000" w:themeColor="text1"/>
                <w:spacing w:val="-3"/>
                <w:highlight w:val="none"/>
                <w14:textFill>
                  <w14:solidFill>
                    <w14:schemeClr w14:val="tx1"/>
                  </w14:solidFill>
                </w14:textFill>
              </w:rPr>
            </w:pPr>
            <w:r>
              <w:rPr>
                <w:rFonts w:hint="eastAsia" w:ascii="宋体" w:hAnsi="宋体" w:eastAsia="宋体" w:cs="宋体"/>
                <w:color w:val="000000" w:themeColor="text1"/>
                <w:spacing w:val="-3"/>
                <w:highlight w:val="none"/>
                <w14:textFill>
                  <w14:solidFill>
                    <w14:schemeClr w14:val="tx1"/>
                  </w14:solidFill>
                </w14:textFill>
              </w:rPr>
              <w:t>备注</w:t>
            </w:r>
          </w:p>
        </w:tc>
      </w:tr>
      <w:tr w14:paraId="6B355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73" w:type="dxa"/>
            <w:tcBorders>
              <w:top w:val="single" w:color="000000" w:sz="2" w:space="0"/>
              <w:left w:val="single" w:color="000000" w:sz="2" w:space="0"/>
              <w:bottom w:val="single" w:color="000000" w:sz="2" w:space="0"/>
              <w:right w:val="single" w:color="000000" w:sz="2" w:space="0"/>
            </w:tcBorders>
          </w:tcPr>
          <w:p w14:paraId="5651F354">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3A68036D">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5D1CE35E">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66F4B070">
            <w:pPr>
              <w:spacing w:before="156" w:line="184" w:lineRule="auto"/>
              <w:jc w:val="cente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2AA485C3">
            <w:pPr>
              <w:spacing w:before="156" w:line="184" w:lineRule="auto"/>
              <w:jc w:val="cente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482C8A64">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79ACC5B0">
            <w:pPr>
              <w:rPr>
                <w:rFonts w:hint="eastAsia" w:ascii="宋体" w:hAnsi="宋体" w:eastAsia="宋体" w:cs="宋体"/>
                <w:color w:val="000000" w:themeColor="text1"/>
                <w:szCs w:val="24"/>
                <w:highlight w:val="none"/>
                <w14:textFill>
                  <w14:solidFill>
                    <w14:schemeClr w14:val="tx1"/>
                  </w14:solidFill>
                </w14:textFill>
              </w:rPr>
            </w:pPr>
          </w:p>
        </w:tc>
      </w:tr>
      <w:tr w14:paraId="71048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673" w:type="dxa"/>
            <w:tcBorders>
              <w:top w:val="single" w:color="000000" w:sz="2" w:space="0"/>
              <w:left w:val="single" w:color="000000" w:sz="2" w:space="0"/>
              <w:bottom w:val="single" w:color="000000" w:sz="2" w:space="0"/>
              <w:right w:val="single" w:color="000000" w:sz="2" w:space="0"/>
            </w:tcBorders>
          </w:tcPr>
          <w:p w14:paraId="1A6E0908">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3FCDF591">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2AC66C94">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34ADAFAF">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72219E3E">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1A5C06CD">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4348C1FD">
            <w:pPr>
              <w:rPr>
                <w:rFonts w:hint="eastAsia" w:ascii="宋体" w:hAnsi="宋体" w:eastAsia="宋体" w:cs="宋体"/>
                <w:color w:val="000000" w:themeColor="text1"/>
                <w:szCs w:val="24"/>
                <w:highlight w:val="none"/>
                <w14:textFill>
                  <w14:solidFill>
                    <w14:schemeClr w14:val="tx1"/>
                  </w14:solidFill>
                </w14:textFill>
              </w:rPr>
            </w:pPr>
          </w:p>
        </w:tc>
      </w:tr>
      <w:tr w14:paraId="45FE8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73" w:type="dxa"/>
            <w:tcBorders>
              <w:top w:val="single" w:color="000000" w:sz="2" w:space="0"/>
              <w:left w:val="single" w:color="000000" w:sz="2" w:space="0"/>
              <w:bottom w:val="single" w:color="000000" w:sz="2" w:space="0"/>
              <w:right w:val="single" w:color="000000" w:sz="2" w:space="0"/>
            </w:tcBorders>
          </w:tcPr>
          <w:p w14:paraId="767D2D4B">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6B45F2C4">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42A643EE">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08A6C1F4">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3CA01A18">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04D8B3D2">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757B8CB9">
            <w:pPr>
              <w:rPr>
                <w:rFonts w:hint="eastAsia" w:ascii="宋体" w:hAnsi="宋体" w:eastAsia="宋体" w:cs="宋体"/>
                <w:color w:val="000000" w:themeColor="text1"/>
                <w:szCs w:val="24"/>
                <w:highlight w:val="none"/>
                <w14:textFill>
                  <w14:solidFill>
                    <w14:schemeClr w14:val="tx1"/>
                  </w14:solidFill>
                </w14:textFill>
              </w:rPr>
            </w:pPr>
          </w:p>
        </w:tc>
      </w:tr>
      <w:tr w14:paraId="4C33C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73" w:type="dxa"/>
            <w:tcBorders>
              <w:top w:val="single" w:color="000000" w:sz="2" w:space="0"/>
              <w:left w:val="single" w:color="000000" w:sz="2" w:space="0"/>
              <w:bottom w:val="single" w:color="000000" w:sz="2" w:space="0"/>
              <w:right w:val="single" w:color="000000" w:sz="2" w:space="0"/>
            </w:tcBorders>
          </w:tcPr>
          <w:p w14:paraId="773B6972">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5A0A98DA">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555B6053">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4DD89EFE">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5F8D9B97">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1141844E">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2D5418B6">
            <w:pPr>
              <w:rPr>
                <w:rFonts w:hint="eastAsia" w:ascii="宋体" w:hAnsi="宋体" w:eastAsia="宋体" w:cs="宋体"/>
                <w:color w:val="000000" w:themeColor="text1"/>
                <w:szCs w:val="24"/>
                <w:highlight w:val="none"/>
                <w14:textFill>
                  <w14:solidFill>
                    <w14:schemeClr w14:val="tx1"/>
                  </w14:solidFill>
                </w14:textFill>
              </w:rPr>
            </w:pPr>
          </w:p>
        </w:tc>
      </w:tr>
      <w:tr w14:paraId="36E40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673" w:type="dxa"/>
            <w:tcBorders>
              <w:top w:val="single" w:color="000000" w:sz="2" w:space="0"/>
              <w:left w:val="single" w:color="000000" w:sz="2" w:space="0"/>
              <w:bottom w:val="single" w:color="000000" w:sz="2" w:space="0"/>
              <w:right w:val="single" w:color="000000" w:sz="2" w:space="0"/>
            </w:tcBorders>
          </w:tcPr>
          <w:p w14:paraId="5C7F92EE">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3D6CBA4E">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6F6DACD0">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49A225D7">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0BC00854">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34A4BAF9">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25924879">
            <w:pPr>
              <w:rPr>
                <w:rFonts w:hint="eastAsia" w:ascii="宋体" w:hAnsi="宋体" w:eastAsia="宋体" w:cs="宋体"/>
                <w:color w:val="000000" w:themeColor="text1"/>
                <w:szCs w:val="24"/>
                <w:highlight w:val="none"/>
                <w14:textFill>
                  <w14:solidFill>
                    <w14:schemeClr w14:val="tx1"/>
                  </w14:solidFill>
                </w14:textFill>
              </w:rPr>
            </w:pPr>
          </w:p>
        </w:tc>
      </w:tr>
      <w:tr w14:paraId="5BABA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73" w:type="dxa"/>
            <w:tcBorders>
              <w:top w:val="single" w:color="000000" w:sz="2" w:space="0"/>
              <w:left w:val="single" w:color="000000" w:sz="2" w:space="0"/>
              <w:bottom w:val="single" w:color="000000" w:sz="2" w:space="0"/>
              <w:right w:val="single" w:color="000000" w:sz="2" w:space="0"/>
            </w:tcBorders>
          </w:tcPr>
          <w:p w14:paraId="2F43C98E">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0904037B">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360A219B">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6BE32523">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5099FD5F">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0B2ABDC2">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22A9F9BA">
            <w:pPr>
              <w:rPr>
                <w:rFonts w:hint="eastAsia" w:ascii="宋体" w:hAnsi="宋体" w:eastAsia="宋体" w:cs="宋体"/>
                <w:color w:val="000000" w:themeColor="text1"/>
                <w:szCs w:val="24"/>
                <w:highlight w:val="none"/>
                <w14:textFill>
                  <w14:solidFill>
                    <w14:schemeClr w14:val="tx1"/>
                  </w14:solidFill>
                </w14:textFill>
              </w:rPr>
            </w:pPr>
          </w:p>
        </w:tc>
      </w:tr>
      <w:tr w14:paraId="716DE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73" w:type="dxa"/>
            <w:tcBorders>
              <w:top w:val="single" w:color="000000" w:sz="2" w:space="0"/>
              <w:left w:val="single" w:color="000000" w:sz="2" w:space="0"/>
              <w:bottom w:val="single" w:color="000000" w:sz="2" w:space="0"/>
              <w:right w:val="single" w:color="000000" w:sz="2" w:space="0"/>
            </w:tcBorders>
          </w:tcPr>
          <w:p w14:paraId="33F18068">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44C42538">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7C845CB9">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6AC9E46A">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3B205D6A">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4EB5BC76">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71F2E65F">
            <w:pPr>
              <w:rPr>
                <w:rFonts w:hint="eastAsia" w:ascii="宋体" w:hAnsi="宋体" w:eastAsia="宋体" w:cs="宋体"/>
                <w:color w:val="000000" w:themeColor="text1"/>
                <w:szCs w:val="24"/>
                <w:highlight w:val="none"/>
                <w14:textFill>
                  <w14:solidFill>
                    <w14:schemeClr w14:val="tx1"/>
                  </w14:solidFill>
                </w14:textFill>
              </w:rPr>
            </w:pPr>
          </w:p>
        </w:tc>
      </w:tr>
      <w:tr w14:paraId="73C41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673" w:type="dxa"/>
            <w:tcBorders>
              <w:top w:val="single" w:color="000000" w:sz="2" w:space="0"/>
              <w:left w:val="single" w:color="000000" w:sz="2" w:space="0"/>
              <w:bottom w:val="single" w:color="000000" w:sz="2" w:space="0"/>
              <w:right w:val="single" w:color="000000" w:sz="2" w:space="0"/>
            </w:tcBorders>
          </w:tcPr>
          <w:p w14:paraId="41ADF323">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71168677">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557D15E9">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679F6B7B">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3F031B33">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16A6E779">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31CF7DBD">
            <w:pPr>
              <w:rPr>
                <w:rFonts w:hint="eastAsia" w:ascii="宋体" w:hAnsi="宋体" w:eastAsia="宋体" w:cs="宋体"/>
                <w:color w:val="000000" w:themeColor="text1"/>
                <w:szCs w:val="24"/>
                <w:highlight w:val="none"/>
                <w14:textFill>
                  <w14:solidFill>
                    <w14:schemeClr w14:val="tx1"/>
                  </w14:solidFill>
                </w14:textFill>
              </w:rPr>
            </w:pPr>
          </w:p>
        </w:tc>
      </w:tr>
      <w:tr w14:paraId="060EF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73" w:type="dxa"/>
            <w:tcBorders>
              <w:top w:val="single" w:color="000000" w:sz="2" w:space="0"/>
              <w:left w:val="single" w:color="000000" w:sz="2" w:space="0"/>
              <w:bottom w:val="single" w:color="000000" w:sz="2" w:space="0"/>
              <w:right w:val="single" w:color="000000" w:sz="2" w:space="0"/>
            </w:tcBorders>
          </w:tcPr>
          <w:p w14:paraId="442E60A5">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28008E59">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167F4005">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231A7041">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68B9782F">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78A9549C">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49F3B09D">
            <w:pPr>
              <w:rPr>
                <w:rFonts w:hint="eastAsia" w:ascii="宋体" w:hAnsi="宋体" w:eastAsia="宋体" w:cs="宋体"/>
                <w:color w:val="000000" w:themeColor="text1"/>
                <w:szCs w:val="24"/>
                <w:highlight w:val="none"/>
                <w14:textFill>
                  <w14:solidFill>
                    <w14:schemeClr w14:val="tx1"/>
                  </w14:solidFill>
                </w14:textFill>
              </w:rPr>
            </w:pPr>
          </w:p>
        </w:tc>
      </w:tr>
      <w:tr w14:paraId="7904A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73" w:type="dxa"/>
            <w:tcBorders>
              <w:top w:val="single" w:color="000000" w:sz="2" w:space="0"/>
              <w:left w:val="single" w:color="000000" w:sz="2" w:space="0"/>
              <w:bottom w:val="single" w:color="000000" w:sz="2" w:space="0"/>
              <w:right w:val="single" w:color="000000" w:sz="2" w:space="0"/>
            </w:tcBorders>
          </w:tcPr>
          <w:p w14:paraId="3E764F53">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5D7EAAE3">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4100AEC9">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1E877C21">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4C04C560">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14DAA9D3">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0F4397C9">
            <w:pPr>
              <w:rPr>
                <w:rFonts w:hint="eastAsia" w:ascii="宋体" w:hAnsi="宋体" w:eastAsia="宋体" w:cs="宋体"/>
                <w:color w:val="000000" w:themeColor="text1"/>
                <w:szCs w:val="24"/>
                <w:highlight w:val="none"/>
                <w14:textFill>
                  <w14:solidFill>
                    <w14:schemeClr w14:val="tx1"/>
                  </w14:solidFill>
                </w14:textFill>
              </w:rPr>
            </w:pPr>
          </w:p>
        </w:tc>
      </w:tr>
      <w:tr w14:paraId="1F618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73" w:type="dxa"/>
            <w:tcBorders>
              <w:top w:val="single" w:color="000000" w:sz="2" w:space="0"/>
              <w:left w:val="single" w:color="000000" w:sz="2" w:space="0"/>
              <w:bottom w:val="single" w:color="000000" w:sz="2" w:space="0"/>
              <w:right w:val="single" w:color="000000" w:sz="2" w:space="0"/>
            </w:tcBorders>
          </w:tcPr>
          <w:p w14:paraId="4CCB3295">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7876345B">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3911AE9F">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2236F1E7">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24CFE5A5">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3960ECB3">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3CA0B47C">
            <w:pPr>
              <w:rPr>
                <w:rFonts w:hint="eastAsia" w:ascii="宋体" w:hAnsi="宋体" w:eastAsia="宋体" w:cs="宋体"/>
                <w:color w:val="000000" w:themeColor="text1"/>
                <w:szCs w:val="24"/>
                <w:highlight w:val="none"/>
                <w14:textFill>
                  <w14:solidFill>
                    <w14:schemeClr w14:val="tx1"/>
                  </w14:solidFill>
                </w14:textFill>
              </w:rPr>
            </w:pPr>
          </w:p>
        </w:tc>
      </w:tr>
      <w:tr w14:paraId="75CAC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73" w:type="dxa"/>
            <w:tcBorders>
              <w:top w:val="single" w:color="000000" w:sz="2" w:space="0"/>
              <w:left w:val="single" w:color="000000" w:sz="2" w:space="0"/>
              <w:bottom w:val="single" w:color="000000" w:sz="2" w:space="0"/>
              <w:right w:val="single" w:color="000000" w:sz="2" w:space="0"/>
            </w:tcBorders>
          </w:tcPr>
          <w:p w14:paraId="28BF452C">
            <w:pPr>
              <w:rPr>
                <w:rFonts w:hint="eastAsia" w:ascii="宋体" w:hAnsi="宋体" w:eastAsia="宋体" w:cs="宋体"/>
                <w:color w:val="000000" w:themeColor="text1"/>
                <w:szCs w:val="24"/>
                <w:highlight w:val="none"/>
                <w14:textFill>
                  <w14:solidFill>
                    <w14:schemeClr w14:val="tx1"/>
                  </w14:solidFill>
                </w14:textFill>
              </w:rPr>
            </w:pPr>
          </w:p>
        </w:tc>
        <w:tc>
          <w:tcPr>
            <w:tcW w:w="1134" w:type="dxa"/>
            <w:tcBorders>
              <w:top w:val="single" w:color="000000" w:sz="2" w:space="0"/>
              <w:left w:val="single" w:color="000000" w:sz="2" w:space="0"/>
              <w:bottom w:val="single" w:color="000000" w:sz="2" w:space="0"/>
              <w:right w:val="single" w:color="000000" w:sz="2" w:space="0"/>
            </w:tcBorders>
          </w:tcPr>
          <w:p w14:paraId="68A44937">
            <w:pPr>
              <w:rPr>
                <w:rFonts w:hint="eastAsia" w:ascii="宋体" w:hAnsi="宋体" w:eastAsia="宋体" w:cs="宋体"/>
                <w:color w:val="000000" w:themeColor="text1"/>
                <w:szCs w:val="24"/>
                <w:highlight w:val="none"/>
                <w14:textFill>
                  <w14:solidFill>
                    <w14:schemeClr w14:val="tx1"/>
                  </w14:solidFill>
                </w14:textFill>
              </w:rPr>
            </w:pPr>
          </w:p>
        </w:tc>
        <w:tc>
          <w:tcPr>
            <w:tcW w:w="918" w:type="dxa"/>
            <w:tcBorders>
              <w:top w:val="single" w:color="000000" w:sz="2" w:space="0"/>
              <w:left w:val="single" w:color="000000" w:sz="2" w:space="0"/>
              <w:bottom w:val="single" w:color="000000" w:sz="2" w:space="0"/>
              <w:right w:val="single" w:color="000000" w:sz="2" w:space="0"/>
            </w:tcBorders>
          </w:tcPr>
          <w:p w14:paraId="241A6521">
            <w:pPr>
              <w:rPr>
                <w:rFonts w:hint="eastAsia" w:ascii="宋体" w:hAnsi="宋体" w:eastAsia="宋体" w:cs="宋体"/>
                <w:color w:val="000000" w:themeColor="text1"/>
                <w:szCs w:val="24"/>
                <w:highlight w:val="none"/>
                <w14:textFill>
                  <w14:solidFill>
                    <w14:schemeClr w14:val="tx1"/>
                  </w14:solidFill>
                </w14:textFill>
              </w:rPr>
            </w:pPr>
          </w:p>
        </w:tc>
        <w:tc>
          <w:tcPr>
            <w:tcW w:w="1363" w:type="dxa"/>
            <w:tcBorders>
              <w:top w:val="single" w:color="000000" w:sz="2" w:space="0"/>
              <w:left w:val="single" w:color="000000" w:sz="2" w:space="0"/>
              <w:bottom w:val="single" w:color="000000" w:sz="2" w:space="0"/>
              <w:right w:val="single" w:color="000000" w:sz="2" w:space="0"/>
            </w:tcBorders>
          </w:tcPr>
          <w:p w14:paraId="006BA578">
            <w:pPr>
              <w:rPr>
                <w:rFonts w:hint="eastAsia" w:ascii="宋体" w:hAnsi="宋体" w:eastAsia="宋体" w:cs="宋体"/>
                <w:color w:val="000000" w:themeColor="text1"/>
                <w:szCs w:val="24"/>
                <w:highlight w:val="none"/>
                <w14:textFill>
                  <w14:solidFill>
                    <w14:schemeClr w14:val="tx1"/>
                  </w14:solidFill>
                </w14:textFill>
              </w:rPr>
            </w:pPr>
          </w:p>
        </w:tc>
        <w:tc>
          <w:tcPr>
            <w:tcW w:w="1845" w:type="dxa"/>
            <w:tcBorders>
              <w:top w:val="single" w:color="000000" w:sz="2" w:space="0"/>
              <w:left w:val="single" w:color="000000" w:sz="2" w:space="0"/>
              <w:bottom w:val="single" w:color="000000" w:sz="2" w:space="0"/>
              <w:right w:val="single" w:color="000000" w:sz="2" w:space="0"/>
            </w:tcBorders>
          </w:tcPr>
          <w:p w14:paraId="7C37655B">
            <w:pPr>
              <w:rPr>
                <w:rFonts w:hint="eastAsia" w:ascii="宋体" w:hAnsi="宋体" w:eastAsia="宋体" w:cs="宋体"/>
                <w:color w:val="000000" w:themeColor="text1"/>
                <w:szCs w:val="24"/>
                <w:highlight w:val="none"/>
                <w14:textFill>
                  <w14:solidFill>
                    <w14:schemeClr w14:val="tx1"/>
                  </w14:solidFill>
                </w14:textFill>
              </w:rPr>
            </w:pPr>
          </w:p>
        </w:tc>
        <w:tc>
          <w:tcPr>
            <w:tcW w:w="1627" w:type="dxa"/>
            <w:tcBorders>
              <w:top w:val="single" w:color="000000" w:sz="2" w:space="0"/>
              <w:left w:val="single" w:color="000000" w:sz="2" w:space="0"/>
              <w:bottom w:val="single" w:color="000000" w:sz="2" w:space="0"/>
              <w:right w:val="single" w:color="000000" w:sz="2" w:space="0"/>
            </w:tcBorders>
          </w:tcPr>
          <w:p w14:paraId="5FD9003D">
            <w:pPr>
              <w:rPr>
                <w:rFonts w:hint="eastAsia" w:ascii="宋体" w:hAnsi="宋体" w:eastAsia="宋体" w:cs="宋体"/>
                <w:color w:val="000000" w:themeColor="text1"/>
                <w:szCs w:val="24"/>
                <w:highlight w:val="none"/>
                <w14:textFill>
                  <w14:solidFill>
                    <w14:schemeClr w14:val="tx1"/>
                  </w14:solidFill>
                </w14:textFill>
              </w:rPr>
            </w:pPr>
          </w:p>
        </w:tc>
        <w:tc>
          <w:tcPr>
            <w:tcW w:w="1161" w:type="dxa"/>
            <w:tcBorders>
              <w:top w:val="single" w:color="000000" w:sz="2" w:space="0"/>
              <w:left w:val="single" w:color="000000" w:sz="2" w:space="0"/>
              <w:bottom w:val="single" w:color="000000" w:sz="2" w:space="0"/>
              <w:right w:val="single" w:color="000000" w:sz="2" w:space="0"/>
            </w:tcBorders>
          </w:tcPr>
          <w:p w14:paraId="6A86CEAC">
            <w:pPr>
              <w:rPr>
                <w:rFonts w:hint="eastAsia" w:ascii="宋体" w:hAnsi="宋体" w:eastAsia="宋体" w:cs="宋体"/>
                <w:color w:val="000000" w:themeColor="text1"/>
                <w:szCs w:val="24"/>
                <w:highlight w:val="none"/>
                <w14:textFill>
                  <w14:solidFill>
                    <w14:schemeClr w14:val="tx1"/>
                  </w14:solidFill>
                </w14:textFill>
              </w:rPr>
            </w:pPr>
          </w:p>
        </w:tc>
      </w:tr>
    </w:tbl>
    <w:p w14:paraId="0492A297">
      <w:pPr>
        <w:pStyle w:val="32"/>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注：表格后附业绩证明材料。以上表格中各项可进一步细分调整，栏目不够可自行添加调整。</w:t>
      </w:r>
    </w:p>
    <w:p w14:paraId="69F6798D">
      <w:pPr>
        <w:pStyle w:val="32"/>
        <w:ind w:left="0" w:leftChars="0" w:firstLine="0" w:firstLineChars="0"/>
        <w:rPr>
          <w:rFonts w:hint="eastAsia" w:ascii="宋体" w:hAnsi="宋体" w:eastAsia="宋体" w:cs="宋体"/>
          <w:color w:val="000000" w:themeColor="text1"/>
          <w:highlight w:val="none"/>
          <w14:textFill>
            <w14:solidFill>
              <w14:schemeClr w14:val="tx1"/>
            </w14:solidFill>
          </w14:textFill>
        </w:rPr>
      </w:pPr>
    </w:p>
    <w:p w14:paraId="4466A81B">
      <w:pPr>
        <w:pStyle w:val="32"/>
        <w:ind w:left="0" w:leftChars="0" w:firstLine="0" w:firstLineChars="0"/>
        <w:rPr>
          <w:rFonts w:hint="eastAsia" w:ascii="宋体" w:hAnsi="宋体" w:eastAsia="宋体" w:cs="宋体"/>
          <w:color w:val="000000" w:themeColor="text1"/>
          <w:highlight w:val="none"/>
          <w14:textFill>
            <w14:solidFill>
              <w14:schemeClr w14:val="tx1"/>
            </w14:solidFill>
          </w14:textFill>
        </w:rPr>
      </w:pPr>
    </w:p>
    <w:p w14:paraId="7EA647AB">
      <w:pPr>
        <w:spacing w:line="440" w:lineRule="exact"/>
        <w:ind w:firstLine="2551" w:firstLineChars="121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 标 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（电子印章）</w:t>
      </w:r>
    </w:p>
    <w:p w14:paraId="14F9B14B">
      <w:pPr>
        <w:spacing w:line="440" w:lineRule="exact"/>
        <w:ind w:firstLine="2551" w:firstLineChars="121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法定代表人或其委托代理人：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（电子印章）</w:t>
      </w:r>
    </w:p>
    <w:p w14:paraId="54734C39">
      <w:pPr>
        <w:spacing w:line="440" w:lineRule="exact"/>
        <w:ind w:firstLine="2551" w:firstLineChars="121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日期：   年  月   日</w:t>
      </w:r>
    </w:p>
    <w:p w14:paraId="5C448A02">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075E8219">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490F9F8">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05E716EE">
      <w:pPr>
        <w:pStyle w:val="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（二）拟派服务团队</w:t>
      </w:r>
    </w:p>
    <w:p w14:paraId="544B9588">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1752B9B0">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8E5C5DF">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CF365C1">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31143872">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8A800D4">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D152CD5">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A400403">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1A81279">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D6F5F49">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5CD56783">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2A6B69C1">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23B520AB">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1DCAA4EC">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3BAE9744">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0B994DDB">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1CB30495">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51478430">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4626CA0D">
      <w:pPr>
        <w:pStyle w:val="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（三）其他内容</w:t>
      </w:r>
    </w:p>
    <w:p w14:paraId="7ECBD99E">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5D3F07A4">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071B4E97">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05CB465A">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56BC3053">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373AD9ED">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46FB883C">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382630F7">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19595092">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35BBDB26">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55413502">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4BAF18C0">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0EDF8C84">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5120AFBC">
      <w:pPr>
        <w:pStyle w:val="32"/>
        <w:ind w:firstLine="643"/>
        <w:rPr>
          <w:rFonts w:hint="eastAsia" w:ascii="宋体" w:hAnsi="宋体" w:eastAsia="宋体" w:cs="宋体"/>
          <w:b/>
          <w:color w:val="000000" w:themeColor="text1"/>
          <w:sz w:val="32"/>
          <w:szCs w:val="32"/>
          <w:highlight w:val="none"/>
          <w14:textFill>
            <w14:solidFill>
              <w14:schemeClr w14:val="tx1"/>
            </w14:solidFill>
          </w14:textFill>
        </w:rPr>
      </w:pPr>
    </w:p>
    <w:p w14:paraId="3FB328DA">
      <w:pPr>
        <w:keepNext/>
        <w:keepLines/>
        <w:spacing w:before="340" w:after="330" w:line="360" w:lineRule="auto"/>
        <w:jc w:val="center"/>
        <w:outlineLvl w:val="0"/>
        <w:rPr>
          <w:rFonts w:hint="eastAsia" w:ascii="宋体" w:hAnsi="宋体" w:eastAsia="宋体" w:cs="宋体"/>
          <w:b/>
          <w:bCs/>
          <w:color w:val="000000" w:themeColor="text1"/>
          <w:kern w:val="44"/>
          <w:sz w:val="28"/>
          <w:szCs w:val="28"/>
          <w:highlight w:val="none"/>
          <w14:textFill>
            <w14:solidFill>
              <w14:schemeClr w14:val="tx1"/>
            </w14:solidFill>
          </w14:textFill>
        </w:rPr>
      </w:pPr>
      <w:bookmarkStart w:id="833" w:name="_Toc3232"/>
      <w:r>
        <w:rPr>
          <w:rFonts w:hint="eastAsia" w:ascii="宋体" w:hAnsi="宋体" w:eastAsia="宋体" w:cs="宋体"/>
          <w:b/>
          <w:bCs/>
          <w:color w:val="000000" w:themeColor="text1"/>
          <w:kern w:val="44"/>
          <w:sz w:val="28"/>
          <w:szCs w:val="28"/>
          <w:highlight w:val="none"/>
          <w14:textFill>
            <w14:solidFill>
              <w14:schemeClr w14:val="tx1"/>
            </w14:solidFill>
          </w14:textFill>
        </w:rPr>
        <w:t>五、技术标</w:t>
      </w:r>
      <w:bookmarkEnd w:id="833"/>
    </w:p>
    <w:p w14:paraId="3273922D">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E29F6AF">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C4BCCD3">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3273424B">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F1B7FBD">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FDAF652">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2113DF95">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1101C352">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1E4599A9">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4F5AC34">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041B4B8">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38DC5AB">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139C34F">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4D5F47DB">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21794A72">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7D0E86D5">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5F6D18E0">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2869B862">
      <w:pPr>
        <w:jc w:val="center"/>
        <w:rPr>
          <w:rFonts w:hint="eastAsia" w:ascii="宋体" w:hAnsi="宋体" w:eastAsia="宋体" w:cs="宋体"/>
          <w:b/>
          <w:color w:val="000000" w:themeColor="text1"/>
          <w:sz w:val="32"/>
          <w:szCs w:val="32"/>
          <w:highlight w:val="none"/>
          <w14:textFill>
            <w14:solidFill>
              <w14:schemeClr w14:val="tx1"/>
            </w14:solidFill>
          </w14:textFill>
        </w:rPr>
      </w:pPr>
    </w:p>
    <w:p w14:paraId="62EDB72D">
      <w:pPr>
        <w:spacing w:line="360" w:lineRule="auto"/>
        <w:ind w:firstLine="2123" w:firstLineChars="1011"/>
        <w:rPr>
          <w:rFonts w:hint="eastAsia" w:ascii="宋体" w:hAnsi="宋体" w:eastAsia="宋体" w:cs="宋体"/>
          <w:color w:val="000000" w:themeColor="text1"/>
          <w:highlight w:val="none"/>
          <w14:textFill>
            <w14:solidFill>
              <w14:schemeClr w14:val="tx1"/>
            </w14:solidFill>
          </w14:textFill>
        </w:rPr>
      </w:pPr>
    </w:p>
    <w:p w14:paraId="326C6BAD">
      <w:pPr>
        <w:spacing w:line="360" w:lineRule="auto"/>
        <w:ind w:firstLine="2123" w:firstLineChars="1011"/>
        <w:rPr>
          <w:rFonts w:hint="eastAsia" w:ascii="宋体" w:hAnsi="宋体" w:eastAsia="宋体" w:cs="宋体"/>
          <w:color w:val="000000" w:themeColor="text1"/>
          <w:highlight w:val="none"/>
          <w14:textFill>
            <w14:solidFill>
              <w14:schemeClr w14:val="tx1"/>
            </w14:solidFill>
          </w14:textFill>
        </w:rPr>
      </w:pPr>
    </w:p>
    <w:p w14:paraId="2843FCED">
      <w:pPr>
        <w:spacing w:line="360" w:lineRule="auto"/>
        <w:ind w:firstLine="2123" w:firstLineChars="1011"/>
        <w:rPr>
          <w:rFonts w:hint="eastAsia" w:ascii="宋体" w:hAnsi="宋体" w:eastAsia="宋体" w:cs="宋体"/>
          <w:color w:val="000000" w:themeColor="text1"/>
          <w:highlight w:val="none"/>
          <w14:textFill>
            <w14:solidFill>
              <w14:schemeClr w14:val="tx1"/>
            </w14:solidFill>
          </w14:textFill>
        </w:rPr>
      </w:pPr>
    </w:p>
    <w:p w14:paraId="3C189CB8">
      <w:pPr>
        <w:keepNext/>
        <w:keepLines/>
        <w:spacing w:before="340" w:after="330" w:line="360" w:lineRule="auto"/>
        <w:jc w:val="center"/>
        <w:outlineLvl w:val="0"/>
        <w:rPr>
          <w:rFonts w:hint="eastAsia" w:ascii="宋体" w:hAnsi="宋体" w:eastAsia="宋体" w:cs="宋体"/>
          <w:color w:val="000000" w:themeColor="text1"/>
          <w:highlight w:val="none"/>
          <w14:textFill>
            <w14:solidFill>
              <w14:schemeClr w14:val="tx1"/>
            </w14:solidFill>
          </w14:textFill>
        </w:rPr>
      </w:pPr>
      <w:bookmarkStart w:id="834" w:name="_Toc12251"/>
      <w:bookmarkStart w:id="835" w:name="_Toc16221"/>
      <w:bookmarkStart w:id="836" w:name="_Toc135922589"/>
      <w:r>
        <w:rPr>
          <w:rFonts w:hint="eastAsia" w:ascii="宋体" w:hAnsi="宋体" w:eastAsia="宋体" w:cs="宋体"/>
          <w:b/>
          <w:bCs/>
          <w:color w:val="000000" w:themeColor="text1"/>
          <w:kern w:val="44"/>
          <w:sz w:val="28"/>
          <w:szCs w:val="28"/>
          <w:highlight w:val="none"/>
          <w:lang w:val="en-US" w:eastAsia="zh-CN"/>
          <w14:textFill>
            <w14:solidFill>
              <w14:schemeClr w14:val="tx1"/>
            </w14:solidFill>
          </w14:textFill>
        </w:rPr>
        <w:t>六</w:t>
      </w:r>
      <w:r>
        <w:rPr>
          <w:rFonts w:hint="eastAsia" w:ascii="宋体" w:hAnsi="宋体" w:eastAsia="宋体" w:cs="宋体"/>
          <w:b/>
          <w:bCs/>
          <w:color w:val="000000" w:themeColor="text1"/>
          <w:kern w:val="44"/>
          <w:sz w:val="28"/>
          <w:szCs w:val="28"/>
          <w:highlight w:val="none"/>
          <w14:textFill>
            <w14:solidFill>
              <w14:schemeClr w14:val="tx1"/>
            </w14:solidFill>
          </w14:textFill>
        </w:rPr>
        <w:t>、需要提交的其他材料</w:t>
      </w:r>
      <w:bookmarkEnd w:id="834"/>
      <w:bookmarkEnd w:id="835"/>
      <w:bookmarkEnd w:id="836"/>
    </w:p>
    <w:p w14:paraId="74F39814">
      <w:pPr>
        <w:rPr>
          <w:rFonts w:hint="eastAsia"/>
        </w:rP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6D68F07-3F97-437E-B5FC-D7D4D385549E}"/>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2339A">
    <w:pPr>
      <w:pStyle w:val="14"/>
      <w:jc w:val="center"/>
    </w:pPr>
    <w:r>
      <w:fldChar w:fldCharType="begin"/>
    </w:r>
    <w:r>
      <w:instrText xml:space="preserve">PAGE   \* MERGEFORMAT</w:instrText>
    </w:r>
    <w:r>
      <w:fldChar w:fldCharType="separate"/>
    </w:r>
    <w:r>
      <w:rPr>
        <w:lang w:val="zh-CN"/>
      </w:rPr>
      <w:t>15</w:t>
    </w:r>
    <w:r>
      <w:fldChar w:fldCharType="end"/>
    </w:r>
  </w:p>
  <w:p w14:paraId="522AC6FE">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C9C7D">
    <w:pPr>
      <w:widowControl w:val="0"/>
      <w:snapToGrid w:val="0"/>
      <w:ind w:right="360" w:firstLine="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BD767C">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6</w:t>
                          </w:r>
                          <w:r>
                            <w:rPr>
                              <w:rFonts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71BD767C">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6</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r>
      <w:rPr>
        <w:rFonts w:hint="eastAsia" w:ascii="Times New Roman" w:hAnsi="Times New Roman" w:eastAsia="宋体" w:cs="Times New Roman"/>
        <w:kern w:val="2"/>
        <w:sz w:val="18"/>
        <w:szCs w:val="18"/>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364BE">
    <w:pPr>
      <w:widowControl w:val="0"/>
      <w:snapToGrid w:val="0"/>
      <w:ind w:right="360" w:firstLine="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DFA217">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6</w:t>
                          </w:r>
                          <w:r>
                            <w:rPr>
                              <w:rFonts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mV2cyAgAAZ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giWYKHT/9+H76&#10;+XD69Y28ifq01s8Qdm8RGLp3psPUDPcel5F2VzkVf0GIwA+o40Vd0QXC46PpZDrN4eLwDQfgZ4/P&#10;rfPhvTCKRKOgDu1LqrLDxoc+dAiJ2bRZN1KmFkpN2oJevX6bpwcXD8CljrEiDcMZJlLqS49W6Lbd&#10;mefWlEfQdKYfFG/5ukEpG+bDHXOYDJSP3Qm3+FTSIKU5W5TUxn39132MR8PgpaTFpBVUY7EokR80&#10;GgnAMBhuMLaDoffqxmB0x9hJy5OJBy7IwaycUV+wUMuYAy6mOTIVNAzmTeinHQvJxXKZgjB6loWN&#10;vrc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uZXZzICAABkBAAADgAAAAAAAAABACAAAAAfAQAAZHJzL2Uyb0RvYy54bWxQSwUG&#10;AAAAAAYABgBZAQAAwwUAAAAA&#10;">
              <v:fill on="f" focussize="0,0"/>
              <v:stroke on="f" weight="0.5pt"/>
              <v:imagedata o:title=""/>
              <o:lock v:ext="edit" aspectratio="f"/>
              <v:textbox inset="0mm,0mm,0mm,0mm" style="mso-fit-shape-to-text:t;">
                <w:txbxContent>
                  <w:p w14:paraId="6DDFA217">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6</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r>
      <w:rPr>
        <w:rFonts w:hint="eastAsia" w:ascii="Times New Roman" w:hAnsi="Times New Roman" w:eastAsia="宋体" w:cs="Times New Roman"/>
        <w:kern w:val="2"/>
        <w:sz w:val="18"/>
        <w:szCs w:val="18"/>
        <w:lang w:val="en-US" w:eastAsia="zh-CN" w:bidi="ar-S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7A2AA"/>
    <w:multiLevelType w:val="multilevel"/>
    <w:tmpl w:val="B2F7A2AA"/>
    <w:lvl w:ilvl="0" w:tentative="0">
      <w:start w:val="1"/>
      <w:numFmt w:val="japaneseCounting"/>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EF4B495C"/>
    <w:multiLevelType w:val="singleLevel"/>
    <w:tmpl w:val="EF4B495C"/>
    <w:lvl w:ilvl="0" w:tentative="0">
      <w:start w:val="1"/>
      <w:numFmt w:val="decimal"/>
      <w:suff w:val="nothing"/>
      <w:lvlText w:val="%1．"/>
      <w:lvlJc w:val="left"/>
      <w:pPr>
        <w:ind w:left="0" w:firstLine="0"/>
      </w:pPr>
    </w:lvl>
  </w:abstractNum>
  <w:abstractNum w:abstractNumId="2">
    <w:nsid w:val="4C37A38C"/>
    <w:multiLevelType w:val="singleLevel"/>
    <w:tmpl w:val="4C37A38C"/>
    <w:lvl w:ilvl="0" w:tentative="0">
      <w:start w:val="8"/>
      <w:numFmt w:val="chineseCounting"/>
      <w:suff w:val="nothing"/>
      <w:lvlText w:val="%1、"/>
      <w:lvlJc w:val="left"/>
      <w:pPr>
        <w:ind w:left="0" w:firstLine="0"/>
      </w:pPr>
    </w:lvl>
  </w:abstractNum>
  <w:num w:numId="1">
    <w:abstractNumId w:val="2"/>
    <w:lvlOverride w:ilvl="0">
      <w:startOverride w:val="8"/>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jODMyZTg0MWE1NTUwNDc4MDM4YmE5YTVhYWVmZjAifQ=="/>
  </w:docVars>
  <w:rsids>
    <w:rsidRoot w:val="00E24AC1"/>
    <w:rsid w:val="00016408"/>
    <w:rsid w:val="000A3F41"/>
    <w:rsid w:val="001B3A3D"/>
    <w:rsid w:val="0021087B"/>
    <w:rsid w:val="002C2C5C"/>
    <w:rsid w:val="004645A1"/>
    <w:rsid w:val="00470DF0"/>
    <w:rsid w:val="00494554"/>
    <w:rsid w:val="00496C05"/>
    <w:rsid w:val="005206F7"/>
    <w:rsid w:val="005E0966"/>
    <w:rsid w:val="005F7BA5"/>
    <w:rsid w:val="0065448D"/>
    <w:rsid w:val="00763A93"/>
    <w:rsid w:val="007F436C"/>
    <w:rsid w:val="007F444C"/>
    <w:rsid w:val="008C6C96"/>
    <w:rsid w:val="008D6605"/>
    <w:rsid w:val="00955209"/>
    <w:rsid w:val="00967156"/>
    <w:rsid w:val="00976634"/>
    <w:rsid w:val="00A30ADE"/>
    <w:rsid w:val="00A4491B"/>
    <w:rsid w:val="00AF7A78"/>
    <w:rsid w:val="00AF7EC3"/>
    <w:rsid w:val="00B95582"/>
    <w:rsid w:val="00BA22DC"/>
    <w:rsid w:val="00BB061C"/>
    <w:rsid w:val="00BC21C2"/>
    <w:rsid w:val="00BE374B"/>
    <w:rsid w:val="00D03ED4"/>
    <w:rsid w:val="00E24AC1"/>
    <w:rsid w:val="00E73A56"/>
    <w:rsid w:val="00EE27EC"/>
    <w:rsid w:val="00F3018F"/>
    <w:rsid w:val="0153724B"/>
    <w:rsid w:val="01F123AA"/>
    <w:rsid w:val="02704AC1"/>
    <w:rsid w:val="02E4711E"/>
    <w:rsid w:val="039B4426"/>
    <w:rsid w:val="03AF33C1"/>
    <w:rsid w:val="046425BE"/>
    <w:rsid w:val="05614B95"/>
    <w:rsid w:val="059268C4"/>
    <w:rsid w:val="062F6A41"/>
    <w:rsid w:val="06E33324"/>
    <w:rsid w:val="08A72527"/>
    <w:rsid w:val="08DB4E5B"/>
    <w:rsid w:val="091837BC"/>
    <w:rsid w:val="09280DA2"/>
    <w:rsid w:val="099F5C8C"/>
    <w:rsid w:val="0B141D0B"/>
    <w:rsid w:val="0CE949D7"/>
    <w:rsid w:val="0CE95B9C"/>
    <w:rsid w:val="0CF14C50"/>
    <w:rsid w:val="0D65044B"/>
    <w:rsid w:val="0D8D29CB"/>
    <w:rsid w:val="0DC43625"/>
    <w:rsid w:val="0E941B37"/>
    <w:rsid w:val="0F3B2377"/>
    <w:rsid w:val="0FBF4992"/>
    <w:rsid w:val="0FCE1079"/>
    <w:rsid w:val="0FFA3C1C"/>
    <w:rsid w:val="10002F26"/>
    <w:rsid w:val="10A546BD"/>
    <w:rsid w:val="10C1473A"/>
    <w:rsid w:val="11A402E3"/>
    <w:rsid w:val="121A2353"/>
    <w:rsid w:val="12211934"/>
    <w:rsid w:val="127777A6"/>
    <w:rsid w:val="128B3251"/>
    <w:rsid w:val="130E2754"/>
    <w:rsid w:val="13166FBF"/>
    <w:rsid w:val="13B36DB3"/>
    <w:rsid w:val="13F22685"/>
    <w:rsid w:val="150F1332"/>
    <w:rsid w:val="154C1139"/>
    <w:rsid w:val="15771387"/>
    <w:rsid w:val="159E5049"/>
    <w:rsid w:val="16757429"/>
    <w:rsid w:val="17A24888"/>
    <w:rsid w:val="180A2E6A"/>
    <w:rsid w:val="182C48EC"/>
    <w:rsid w:val="18673E19"/>
    <w:rsid w:val="18BF0FFB"/>
    <w:rsid w:val="18D53478"/>
    <w:rsid w:val="1A1678A4"/>
    <w:rsid w:val="1A1E49AB"/>
    <w:rsid w:val="1A8813F7"/>
    <w:rsid w:val="1AA55149"/>
    <w:rsid w:val="1B240ACF"/>
    <w:rsid w:val="1B6D7998"/>
    <w:rsid w:val="1C5B3C94"/>
    <w:rsid w:val="1CAA0778"/>
    <w:rsid w:val="1D7B41ED"/>
    <w:rsid w:val="1D9C4564"/>
    <w:rsid w:val="1DD75923"/>
    <w:rsid w:val="1EDF295B"/>
    <w:rsid w:val="1F025533"/>
    <w:rsid w:val="1FA871F0"/>
    <w:rsid w:val="200D34F7"/>
    <w:rsid w:val="21036D49"/>
    <w:rsid w:val="21262AC3"/>
    <w:rsid w:val="21A8172A"/>
    <w:rsid w:val="21BF6A73"/>
    <w:rsid w:val="230C7214"/>
    <w:rsid w:val="234E6170"/>
    <w:rsid w:val="23760A55"/>
    <w:rsid w:val="23763EEC"/>
    <w:rsid w:val="239006C7"/>
    <w:rsid w:val="24553074"/>
    <w:rsid w:val="25B212FD"/>
    <w:rsid w:val="269B185D"/>
    <w:rsid w:val="26E24FC2"/>
    <w:rsid w:val="270E7AFC"/>
    <w:rsid w:val="275B2D9A"/>
    <w:rsid w:val="27E62FAC"/>
    <w:rsid w:val="27F66E2D"/>
    <w:rsid w:val="284E28FF"/>
    <w:rsid w:val="2A6E5785"/>
    <w:rsid w:val="2A8F69FB"/>
    <w:rsid w:val="2C384AEC"/>
    <w:rsid w:val="2C3979F2"/>
    <w:rsid w:val="2C896F9E"/>
    <w:rsid w:val="2C9E3E55"/>
    <w:rsid w:val="2DB4638C"/>
    <w:rsid w:val="2DDC3961"/>
    <w:rsid w:val="2DE92121"/>
    <w:rsid w:val="2E5A3DAC"/>
    <w:rsid w:val="2E6C3ADF"/>
    <w:rsid w:val="2EB540B0"/>
    <w:rsid w:val="2F2C7CAE"/>
    <w:rsid w:val="2F954E96"/>
    <w:rsid w:val="2FB76FDC"/>
    <w:rsid w:val="2FC21A09"/>
    <w:rsid w:val="3014442E"/>
    <w:rsid w:val="30A6777C"/>
    <w:rsid w:val="30FE3D33"/>
    <w:rsid w:val="312B5ED3"/>
    <w:rsid w:val="32BA306B"/>
    <w:rsid w:val="32F6606D"/>
    <w:rsid w:val="33096785"/>
    <w:rsid w:val="330A6264"/>
    <w:rsid w:val="337A0A4C"/>
    <w:rsid w:val="33FB4C99"/>
    <w:rsid w:val="34256ACA"/>
    <w:rsid w:val="345319C9"/>
    <w:rsid w:val="34AC2E87"/>
    <w:rsid w:val="34ED6A76"/>
    <w:rsid w:val="35040F15"/>
    <w:rsid w:val="351B1DBB"/>
    <w:rsid w:val="35E12B5E"/>
    <w:rsid w:val="3607649B"/>
    <w:rsid w:val="36080591"/>
    <w:rsid w:val="361F6B5B"/>
    <w:rsid w:val="365D6B2F"/>
    <w:rsid w:val="366559E4"/>
    <w:rsid w:val="368F68F9"/>
    <w:rsid w:val="36C559EF"/>
    <w:rsid w:val="36D6068F"/>
    <w:rsid w:val="375F2433"/>
    <w:rsid w:val="37774F24"/>
    <w:rsid w:val="37936580"/>
    <w:rsid w:val="37DE5A4E"/>
    <w:rsid w:val="38E057F5"/>
    <w:rsid w:val="39761CB6"/>
    <w:rsid w:val="39A64349"/>
    <w:rsid w:val="3AD849D6"/>
    <w:rsid w:val="3B1A08AC"/>
    <w:rsid w:val="3C236125"/>
    <w:rsid w:val="3CCB0BE1"/>
    <w:rsid w:val="3D001FC2"/>
    <w:rsid w:val="3D3879AE"/>
    <w:rsid w:val="3D5440BC"/>
    <w:rsid w:val="3D595B76"/>
    <w:rsid w:val="3E246184"/>
    <w:rsid w:val="3EA82911"/>
    <w:rsid w:val="40316936"/>
    <w:rsid w:val="408D131B"/>
    <w:rsid w:val="4125452D"/>
    <w:rsid w:val="416845DA"/>
    <w:rsid w:val="41896EF5"/>
    <w:rsid w:val="424B0183"/>
    <w:rsid w:val="42755200"/>
    <w:rsid w:val="42FE0D52"/>
    <w:rsid w:val="439711A6"/>
    <w:rsid w:val="44B244EA"/>
    <w:rsid w:val="45127270"/>
    <w:rsid w:val="45232CF2"/>
    <w:rsid w:val="454278F8"/>
    <w:rsid w:val="461E157D"/>
    <w:rsid w:val="46325030"/>
    <w:rsid w:val="46BB060F"/>
    <w:rsid w:val="47767A51"/>
    <w:rsid w:val="478101A3"/>
    <w:rsid w:val="47C06F1E"/>
    <w:rsid w:val="47CC1972"/>
    <w:rsid w:val="48142DC6"/>
    <w:rsid w:val="484D0E76"/>
    <w:rsid w:val="48AB7907"/>
    <w:rsid w:val="4925762B"/>
    <w:rsid w:val="49507A41"/>
    <w:rsid w:val="49605AEE"/>
    <w:rsid w:val="497C5F29"/>
    <w:rsid w:val="49F93B05"/>
    <w:rsid w:val="4B2E419E"/>
    <w:rsid w:val="4B5A4F93"/>
    <w:rsid w:val="4B7F49FA"/>
    <w:rsid w:val="4BA33E21"/>
    <w:rsid w:val="4BBF181D"/>
    <w:rsid w:val="4C086CCD"/>
    <w:rsid w:val="4C1415E6"/>
    <w:rsid w:val="4D446D70"/>
    <w:rsid w:val="4D7F5185"/>
    <w:rsid w:val="4D9B0602"/>
    <w:rsid w:val="4DA04FEC"/>
    <w:rsid w:val="4DD0778F"/>
    <w:rsid w:val="4DEA3B06"/>
    <w:rsid w:val="4DF36720"/>
    <w:rsid w:val="4E730444"/>
    <w:rsid w:val="4E9D1D67"/>
    <w:rsid w:val="4EA079E3"/>
    <w:rsid w:val="4F247CF0"/>
    <w:rsid w:val="4F893F63"/>
    <w:rsid w:val="5023004A"/>
    <w:rsid w:val="50483F54"/>
    <w:rsid w:val="50615016"/>
    <w:rsid w:val="51163E4F"/>
    <w:rsid w:val="51BF3DA2"/>
    <w:rsid w:val="51DA61D7"/>
    <w:rsid w:val="52C8137C"/>
    <w:rsid w:val="52F1285F"/>
    <w:rsid w:val="52F81F7A"/>
    <w:rsid w:val="535B1C8C"/>
    <w:rsid w:val="537D5CC3"/>
    <w:rsid w:val="545A6004"/>
    <w:rsid w:val="54DB5E0E"/>
    <w:rsid w:val="54F46459"/>
    <w:rsid w:val="55935C72"/>
    <w:rsid w:val="5626429A"/>
    <w:rsid w:val="57234DD3"/>
    <w:rsid w:val="57D85BBE"/>
    <w:rsid w:val="585B059D"/>
    <w:rsid w:val="5895714E"/>
    <w:rsid w:val="58B959EF"/>
    <w:rsid w:val="58D740C7"/>
    <w:rsid w:val="597E47CE"/>
    <w:rsid w:val="5A5A0B0C"/>
    <w:rsid w:val="5ABF6D03"/>
    <w:rsid w:val="5ADF7263"/>
    <w:rsid w:val="5AFD593B"/>
    <w:rsid w:val="5B013D9A"/>
    <w:rsid w:val="5B8F429A"/>
    <w:rsid w:val="5BF7509C"/>
    <w:rsid w:val="5C5763B0"/>
    <w:rsid w:val="5D2E44D2"/>
    <w:rsid w:val="5DAB78D0"/>
    <w:rsid w:val="5E5D506F"/>
    <w:rsid w:val="5F93686E"/>
    <w:rsid w:val="609676C4"/>
    <w:rsid w:val="60A73180"/>
    <w:rsid w:val="60AC7BE7"/>
    <w:rsid w:val="60B30F76"/>
    <w:rsid w:val="60B45563"/>
    <w:rsid w:val="615564D1"/>
    <w:rsid w:val="63082901"/>
    <w:rsid w:val="63B33763"/>
    <w:rsid w:val="6419500B"/>
    <w:rsid w:val="64393E88"/>
    <w:rsid w:val="64515E31"/>
    <w:rsid w:val="64A91F6A"/>
    <w:rsid w:val="64E7729A"/>
    <w:rsid w:val="64F352EC"/>
    <w:rsid w:val="65D57BE0"/>
    <w:rsid w:val="66B051A7"/>
    <w:rsid w:val="66EE4F72"/>
    <w:rsid w:val="67B850C4"/>
    <w:rsid w:val="68092E60"/>
    <w:rsid w:val="68444BA9"/>
    <w:rsid w:val="684661E6"/>
    <w:rsid w:val="68A910E0"/>
    <w:rsid w:val="68B82CC6"/>
    <w:rsid w:val="6904471D"/>
    <w:rsid w:val="693B7D5A"/>
    <w:rsid w:val="69DB32EB"/>
    <w:rsid w:val="69FA3F2D"/>
    <w:rsid w:val="6A2922A9"/>
    <w:rsid w:val="6B0625EA"/>
    <w:rsid w:val="6B0B7C00"/>
    <w:rsid w:val="6B9D4CFC"/>
    <w:rsid w:val="6BE3047C"/>
    <w:rsid w:val="6C0341C4"/>
    <w:rsid w:val="6C5D623A"/>
    <w:rsid w:val="6D0C32BA"/>
    <w:rsid w:val="6D12171A"/>
    <w:rsid w:val="6D317DF2"/>
    <w:rsid w:val="6DF42BCE"/>
    <w:rsid w:val="6E0E3C8F"/>
    <w:rsid w:val="6E160D96"/>
    <w:rsid w:val="6E166FE8"/>
    <w:rsid w:val="6E346665"/>
    <w:rsid w:val="6ED63729"/>
    <w:rsid w:val="6FC44516"/>
    <w:rsid w:val="712E4649"/>
    <w:rsid w:val="719D296F"/>
    <w:rsid w:val="71C8684B"/>
    <w:rsid w:val="71D451F0"/>
    <w:rsid w:val="72167F76"/>
    <w:rsid w:val="72676064"/>
    <w:rsid w:val="72715F72"/>
    <w:rsid w:val="7315786E"/>
    <w:rsid w:val="73320420"/>
    <w:rsid w:val="7499002B"/>
    <w:rsid w:val="75335B68"/>
    <w:rsid w:val="75D02172"/>
    <w:rsid w:val="760442A1"/>
    <w:rsid w:val="76792E50"/>
    <w:rsid w:val="76944F4E"/>
    <w:rsid w:val="77343640"/>
    <w:rsid w:val="787279DC"/>
    <w:rsid w:val="79D91861"/>
    <w:rsid w:val="7A764FE1"/>
    <w:rsid w:val="7B4C2104"/>
    <w:rsid w:val="7B862FB3"/>
    <w:rsid w:val="7BB8348D"/>
    <w:rsid w:val="7C896BD7"/>
    <w:rsid w:val="7CD256DB"/>
    <w:rsid w:val="7D60202E"/>
    <w:rsid w:val="7DD722F0"/>
    <w:rsid w:val="7E1342B1"/>
    <w:rsid w:val="7E1C3A6E"/>
    <w:rsid w:val="7E266DD3"/>
    <w:rsid w:val="7E495886"/>
    <w:rsid w:val="7E977FC5"/>
    <w:rsid w:val="7EC01C08"/>
    <w:rsid w:val="7ECF4AC1"/>
    <w:rsid w:val="7F17671C"/>
    <w:rsid w:val="7F2A6FBF"/>
    <w:rsid w:val="7FD87953"/>
    <w:rsid w:val="D4BEAF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0"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name="Body Text 2"/>
    <w:lsdException w:uiPriority="99" w:name="Body Text 3"/>
    <w:lsdException w:qFormat="1" w:uiPriority="0" w:name="Body Text Indent 2"/>
    <w:lsdException w:qFormat="1" w:uiPriority="0" w:name="Body Text Indent 3"/>
    <w:lsdException w:qFormat="1"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26"/>
    <w:qFormat/>
    <w:uiPriority w:val="0"/>
    <w:pPr>
      <w:keepNext/>
      <w:keepLines/>
      <w:spacing w:before="340" w:after="330" w:line="576" w:lineRule="auto"/>
      <w:outlineLvl w:val="0"/>
    </w:pPr>
    <w:rPr>
      <w:b/>
      <w:kern w:val="44"/>
      <w:sz w:val="44"/>
      <w:szCs w:val="44"/>
    </w:rPr>
  </w:style>
  <w:style w:type="paragraph" w:styleId="3">
    <w:name w:val="heading 2"/>
    <w:basedOn w:val="1"/>
    <w:next w:val="1"/>
    <w:link w:val="27"/>
    <w:qFormat/>
    <w:uiPriority w:val="0"/>
    <w:pPr>
      <w:keepNext/>
      <w:keepLines/>
      <w:spacing w:before="260" w:after="260" w:line="408" w:lineRule="auto"/>
      <w:outlineLvl w:val="1"/>
    </w:pPr>
    <w:rPr>
      <w:rFonts w:ascii="Arial" w:hAnsi="Arial" w:eastAsia="黑体"/>
      <w:b/>
      <w:bCs/>
      <w:kern w:val="0"/>
      <w:sz w:val="32"/>
      <w:szCs w:val="32"/>
    </w:rPr>
  </w:style>
  <w:style w:type="paragraph" w:styleId="4">
    <w:name w:val="heading 3"/>
    <w:basedOn w:val="1"/>
    <w:next w:val="1"/>
    <w:link w:val="28"/>
    <w:qFormat/>
    <w:uiPriority w:val="0"/>
    <w:pPr>
      <w:keepNext/>
      <w:keepLines/>
      <w:spacing w:before="260" w:after="260" w:line="408" w:lineRule="auto"/>
      <w:outlineLvl w:val="2"/>
    </w:pPr>
    <w:rPr>
      <w:rFonts w:ascii="Times New Roman" w:hAnsi="Times New Roman"/>
      <w:b/>
      <w:bCs/>
      <w:kern w:val="0"/>
      <w:sz w:val="32"/>
      <w:szCs w:val="32"/>
    </w:rPr>
  </w:style>
  <w:style w:type="paragraph" w:styleId="5">
    <w:name w:val="heading 4"/>
    <w:basedOn w:val="1"/>
    <w:next w:val="1"/>
    <w:link w:val="29"/>
    <w:qFormat/>
    <w:uiPriority w:val="0"/>
    <w:pPr>
      <w:keepNext/>
      <w:keepLines/>
      <w:spacing w:before="280" w:after="290" w:line="372"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40"/>
    <w:semiHidden/>
    <w:unhideWhenUsed/>
    <w:qFormat/>
    <w:uiPriority w:val="0"/>
    <w:pPr>
      <w:jc w:val="left"/>
    </w:pPr>
    <w:rPr>
      <w:szCs w:val="24"/>
    </w:rPr>
  </w:style>
  <w:style w:type="paragraph" w:styleId="7">
    <w:name w:val="Body Text"/>
    <w:basedOn w:val="1"/>
    <w:link w:val="42"/>
    <w:semiHidden/>
    <w:unhideWhenUsed/>
    <w:qFormat/>
    <w:uiPriority w:val="0"/>
    <w:pPr>
      <w:spacing w:after="120"/>
    </w:pPr>
    <w:rPr>
      <w:rFonts w:ascii="Times New Roman" w:hAnsi="Times New Roman"/>
      <w:kern w:val="0"/>
      <w:sz w:val="20"/>
      <w:szCs w:val="24"/>
    </w:rPr>
  </w:style>
  <w:style w:type="paragraph" w:styleId="8">
    <w:name w:val="Body Text Indent"/>
    <w:basedOn w:val="1"/>
    <w:next w:val="9"/>
    <w:link w:val="43"/>
    <w:semiHidden/>
    <w:unhideWhenUsed/>
    <w:qFormat/>
    <w:uiPriority w:val="0"/>
    <w:pPr>
      <w:spacing w:after="120"/>
      <w:ind w:left="200" w:leftChars="200"/>
    </w:pPr>
    <w:rPr>
      <w:rFonts w:ascii="Times New Roman" w:hAnsi="Times New Roman"/>
      <w:kern w:val="0"/>
      <w:sz w:val="20"/>
      <w:szCs w:val="24"/>
    </w:rPr>
  </w:style>
  <w:style w:type="paragraph" w:styleId="9">
    <w:name w:val="envelope return"/>
    <w:basedOn w:val="1"/>
    <w:semiHidden/>
    <w:unhideWhenUsed/>
    <w:qFormat/>
    <w:uiPriority w:val="0"/>
    <w:pPr>
      <w:widowControl/>
    </w:pPr>
    <w:rPr>
      <w:rFonts w:ascii="Arial" w:hAnsi="Arial" w:eastAsia="Arial"/>
      <w:sz w:val="20"/>
      <w:szCs w:val="24"/>
    </w:rPr>
  </w:style>
  <w:style w:type="paragraph" w:styleId="10">
    <w:name w:val="Block Text"/>
    <w:basedOn w:val="1"/>
    <w:semiHidden/>
    <w:unhideWhenUsed/>
    <w:qFormat/>
    <w:uiPriority w:val="0"/>
    <w:pPr>
      <w:spacing w:line="360" w:lineRule="auto"/>
      <w:ind w:left="564" w:right="26"/>
    </w:pPr>
    <w:rPr>
      <w:rFonts w:ascii="宋体" w:hAnsi="Times New Roman"/>
      <w:color w:val="000000"/>
      <w:szCs w:val="20"/>
    </w:rPr>
  </w:style>
  <w:style w:type="paragraph" w:styleId="11">
    <w:name w:val="Plain Text"/>
    <w:basedOn w:val="1"/>
    <w:link w:val="30"/>
    <w:unhideWhenUsed/>
    <w:qFormat/>
    <w:uiPriority w:val="0"/>
    <w:rPr>
      <w:rFonts w:ascii="Courier New" w:hAnsi="Courier New"/>
      <w:kern w:val="0"/>
      <w:sz w:val="20"/>
      <w:szCs w:val="20"/>
    </w:rPr>
  </w:style>
  <w:style w:type="paragraph" w:styleId="12">
    <w:name w:val="Body Text Indent 2"/>
    <w:basedOn w:val="1"/>
    <w:link w:val="45"/>
    <w:semiHidden/>
    <w:unhideWhenUsed/>
    <w:qFormat/>
    <w:uiPriority w:val="0"/>
    <w:pPr>
      <w:spacing w:after="120" w:line="480" w:lineRule="auto"/>
      <w:ind w:left="420" w:leftChars="200"/>
    </w:pPr>
    <w:rPr>
      <w:szCs w:val="24"/>
    </w:rPr>
  </w:style>
  <w:style w:type="paragraph" w:styleId="13">
    <w:name w:val="Balloon Text"/>
    <w:basedOn w:val="1"/>
    <w:link w:val="39"/>
    <w:semiHidden/>
    <w:unhideWhenUsed/>
    <w:qFormat/>
    <w:uiPriority w:val="0"/>
    <w:rPr>
      <w:sz w:val="18"/>
      <w:szCs w:val="18"/>
    </w:rPr>
  </w:style>
  <w:style w:type="paragraph" w:styleId="14">
    <w:name w:val="footer"/>
    <w:basedOn w:val="1"/>
    <w:link w:val="34"/>
    <w:unhideWhenUsed/>
    <w:qFormat/>
    <w:uiPriority w:val="99"/>
    <w:pPr>
      <w:snapToGrid w:val="0"/>
      <w:jc w:val="left"/>
    </w:pPr>
    <w:rPr>
      <w:sz w:val="18"/>
      <w:szCs w:val="18"/>
    </w:rPr>
  </w:style>
  <w:style w:type="paragraph" w:styleId="15">
    <w:name w:val="header"/>
    <w:basedOn w:val="1"/>
    <w:link w:val="41"/>
    <w:unhideWhenUsed/>
    <w:qFormat/>
    <w:uiPriority w:val="0"/>
    <w:pPr>
      <w:tabs>
        <w:tab w:val="center" w:pos="4153"/>
        <w:tab w:val="right" w:pos="8306"/>
      </w:tabs>
      <w:snapToGrid w:val="0"/>
    </w:pPr>
    <w:rPr>
      <w:sz w:val="18"/>
      <w:szCs w:val="24"/>
    </w:rPr>
  </w:style>
  <w:style w:type="paragraph" w:styleId="16">
    <w:name w:val="toc 1"/>
    <w:basedOn w:val="1"/>
    <w:next w:val="1"/>
    <w:semiHidden/>
    <w:unhideWhenUsed/>
    <w:qFormat/>
    <w:uiPriority w:val="39"/>
  </w:style>
  <w:style w:type="paragraph" w:styleId="17">
    <w:name w:val="Body Text Indent 3"/>
    <w:basedOn w:val="1"/>
    <w:link w:val="46"/>
    <w:semiHidden/>
    <w:unhideWhenUsed/>
    <w:qFormat/>
    <w:uiPriority w:val="0"/>
    <w:pPr>
      <w:spacing w:after="120"/>
      <w:ind w:left="200" w:leftChars="200"/>
    </w:pPr>
    <w:rPr>
      <w:rFonts w:ascii="Times New Roman" w:hAnsi="Times New Roman"/>
      <w:kern w:val="0"/>
      <w:sz w:val="16"/>
      <w:szCs w:val="16"/>
    </w:rPr>
  </w:style>
  <w:style w:type="paragraph" w:styleId="18">
    <w:name w:val="Body Text 2"/>
    <w:basedOn w:val="1"/>
    <w:link w:val="44"/>
    <w:semiHidden/>
    <w:unhideWhenUsed/>
    <w:qFormat/>
    <w:uiPriority w:val="0"/>
    <w:pPr>
      <w:spacing w:after="120" w:line="480" w:lineRule="auto"/>
    </w:pPr>
    <w:rPr>
      <w:szCs w:val="24"/>
    </w:rPr>
  </w:style>
  <w:style w:type="paragraph" w:styleId="19">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21">
    <w:name w:val="Table Grid"/>
    <w:basedOn w:val="20"/>
    <w:unhideWhenUsed/>
    <w:qFormat/>
    <w:uiPriority w:val="3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3">
    <w:name w:val="FollowedHyperlink"/>
    <w:unhideWhenUsed/>
    <w:qFormat/>
    <w:uiPriority w:val="0"/>
    <w:rPr>
      <w:color w:val="800080"/>
      <w:u w:val="single"/>
    </w:rPr>
  </w:style>
  <w:style w:type="character" w:styleId="24">
    <w:name w:val="Hyperlink"/>
    <w:unhideWhenUsed/>
    <w:qFormat/>
    <w:uiPriority w:val="0"/>
    <w:rPr>
      <w:color w:val="0000FF"/>
      <w:u w:val="single"/>
    </w:rPr>
  </w:style>
  <w:style w:type="character" w:styleId="25">
    <w:name w:val="annotation reference"/>
    <w:semiHidden/>
    <w:unhideWhenUsed/>
    <w:qFormat/>
    <w:uiPriority w:val="0"/>
    <w:rPr>
      <w:sz w:val="21"/>
      <w:szCs w:val="21"/>
    </w:rPr>
  </w:style>
  <w:style w:type="character" w:customStyle="1" w:styleId="26">
    <w:name w:val="标题 1 Char"/>
    <w:link w:val="2"/>
    <w:qFormat/>
    <w:uiPriority w:val="0"/>
    <w:rPr>
      <w:rFonts w:ascii="Calibri" w:hAnsi="Calibri" w:eastAsia="宋体" w:cs="Times New Roman"/>
      <w:b/>
      <w:kern w:val="44"/>
      <w:sz w:val="44"/>
      <w:szCs w:val="44"/>
    </w:rPr>
  </w:style>
  <w:style w:type="character" w:customStyle="1" w:styleId="27">
    <w:name w:val="标题 2 Char"/>
    <w:link w:val="3"/>
    <w:qFormat/>
    <w:uiPriority w:val="0"/>
    <w:rPr>
      <w:rFonts w:ascii="Arial" w:hAnsi="Arial" w:eastAsia="黑体" w:cs="Times New Roman"/>
      <w:b/>
      <w:bCs/>
      <w:kern w:val="0"/>
      <w:sz w:val="32"/>
      <w:szCs w:val="32"/>
    </w:rPr>
  </w:style>
  <w:style w:type="character" w:customStyle="1" w:styleId="28">
    <w:name w:val="标题 3 Char"/>
    <w:link w:val="4"/>
    <w:qFormat/>
    <w:uiPriority w:val="0"/>
    <w:rPr>
      <w:rFonts w:ascii="Times New Roman" w:hAnsi="Times New Roman" w:eastAsia="宋体" w:cs="Times New Roman"/>
      <w:b/>
      <w:bCs/>
      <w:kern w:val="0"/>
      <w:sz w:val="32"/>
      <w:szCs w:val="32"/>
    </w:rPr>
  </w:style>
  <w:style w:type="character" w:customStyle="1" w:styleId="29">
    <w:name w:val="标题 4 Char"/>
    <w:link w:val="5"/>
    <w:qFormat/>
    <w:uiPriority w:val="0"/>
    <w:rPr>
      <w:rFonts w:ascii="Cambria" w:hAnsi="Cambria" w:eastAsia="宋体" w:cs="Times New Roman"/>
      <w:b/>
      <w:bCs/>
      <w:sz w:val="28"/>
      <w:szCs w:val="28"/>
    </w:rPr>
  </w:style>
  <w:style w:type="character" w:customStyle="1" w:styleId="30">
    <w:name w:val="纯文本 Char"/>
    <w:link w:val="11"/>
    <w:qFormat/>
    <w:uiPriority w:val="0"/>
    <w:rPr>
      <w:rFonts w:ascii="Courier New" w:hAnsi="Courier New" w:eastAsia="宋体" w:cs="Times New Roman"/>
      <w:kern w:val="0"/>
      <w:sz w:val="20"/>
      <w:szCs w:val="20"/>
    </w:rPr>
  </w:style>
  <w:style w:type="paragraph" w:customStyle="1" w:styleId="31">
    <w:name w:val="WPSOffice手动目录 1"/>
    <w:basedOn w:val="1"/>
    <w:qFormat/>
    <w:uiPriority w:val="0"/>
    <w:pPr>
      <w:widowControl/>
      <w:jc w:val="left"/>
    </w:pPr>
    <w:rPr>
      <w:rFonts w:ascii="Times New Roman" w:hAnsi="Times New Roman"/>
      <w:kern w:val="0"/>
      <w:sz w:val="24"/>
      <w:szCs w:val="24"/>
    </w:rPr>
  </w:style>
  <w:style w:type="paragraph" w:customStyle="1" w:styleId="32">
    <w:name w:val="首行缩进"/>
    <w:basedOn w:val="1"/>
    <w:qFormat/>
    <w:uiPriority w:val="0"/>
    <w:pPr>
      <w:spacing w:before="100" w:beforeAutospacing="1" w:after="100" w:afterAutospacing="1" w:line="360" w:lineRule="auto"/>
      <w:ind w:left="210" w:leftChars="100" w:firstLine="420" w:firstLineChars="200"/>
    </w:pPr>
    <w:rPr>
      <w:rFonts w:hAnsi="宋体"/>
    </w:rPr>
  </w:style>
  <w:style w:type="paragraph" w:customStyle="1" w:styleId="33">
    <w:name w:val="列出段落2"/>
    <w:basedOn w:val="1"/>
    <w:qFormat/>
    <w:uiPriority w:val="0"/>
    <w:pPr>
      <w:ind w:firstLine="420" w:firstLineChars="200"/>
    </w:pPr>
  </w:style>
  <w:style w:type="character" w:customStyle="1" w:styleId="34">
    <w:name w:val="页脚 Char"/>
    <w:link w:val="14"/>
    <w:qFormat/>
    <w:uiPriority w:val="99"/>
    <w:rPr>
      <w:rFonts w:ascii="Calibri" w:hAnsi="Calibri" w:eastAsia="宋体" w:cs="Times New Roman"/>
      <w:sz w:val="18"/>
      <w:szCs w:val="18"/>
    </w:rPr>
  </w:style>
  <w:style w:type="character" w:customStyle="1" w:styleId="35">
    <w:name w:val="10"/>
    <w:qFormat/>
    <w:uiPriority w:val="0"/>
    <w:rPr>
      <w:rFonts w:hint="default" w:ascii="Times New Roman" w:hAnsi="Times New Roman" w:cs="Times New Roman"/>
    </w:rPr>
  </w:style>
  <w:style w:type="character" w:customStyle="1" w:styleId="36">
    <w:name w:val="15"/>
    <w:qFormat/>
    <w:uiPriority w:val="0"/>
    <w:rPr>
      <w:rFonts w:hint="default" w:ascii="Times New Roman" w:hAnsi="Times New Roman" w:cs="Times New Roman"/>
      <w:b/>
      <w:bCs/>
      <w:kern w:val="44"/>
      <w:sz w:val="44"/>
      <w:szCs w:val="44"/>
    </w:rPr>
  </w:style>
  <w:style w:type="character" w:customStyle="1" w:styleId="37">
    <w:name w:val="16"/>
    <w:qFormat/>
    <w:uiPriority w:val="0"/>
    <w:rPr>
      <w:rFonts w:hint="default" w:ascii="Times New Roman" w:hAnsi="Times New Roman" w:cs="Times New Roman"/>
      <w:color w:val="666666"/>
    </w:rPr>
  </w:style>
  <w:style w:type="character" w:customStyle="1" w:styleId="38">
    <w:name w:val="17"/>
    <w:qFormat/>
    <w:uiPriority w:val="0"/>
    <w:rPr>
      <w:rFonts w:hint="default" w:ascii="Cambria" w:hAnsi="Cambria"/>
      <w:b/>
      <w:bCs/>
      <w:kern w:val="2"/>
      <w:sz w:val="28"/>
      <w:szCs w:val="28"/>
    </w:rPr>
  </w:style>
  <w:style w:type="character" w:customStyle="1" w:styleId="39">
    <w:name w:val="批注框文本 Char"/>
    <w:link w:val="13"/>
    <w:semiHidden/>
    <w:qFormat/>
    <w:uiPriority w:val="0"/>
    <w:rPr>
      <w:rFonts w:ascii="Calibri" w:hAnsi="Calibri" w:eastAsia="宋体" w:cs="Times New Roman"/>
      <w:sz w:val="18"/>
      <w:szCs w:val="18"/>
    </w:rPr>
  </w:style>
  <w:style w:type="character" w:customStyle="1" w:styleId="40">
    <w:name w:val="批注文字 Char"/>
    <w:link w:val="6"/>
    <w:semiHidden/>
    <w:qFormat/>
    <w:uiPriority w:val="0"/>
    <w:rPr>
      <w:kern w:val="2"/>
      <w:sz w:val="21"/>
      <w:szCs w:val="24"/>
    </w:rPr>
  </w:style>
  <w:style w:type="character" w:customStyle="1" w:styleId="41">
    <w:name w:val="页眉 Char"/>
    <w:link w:val="15"/>
    <w:qFormat/>
    <w:uiPriority w:val="0"/>
    <w:rPr>
      <w:kern w:val="2"/>
      <w:sz w:val="18"/>
      <w:szCs w:val="24"/>
    </w:rPr>
  </w:style>
  <w:style w:type="character" w:customStyle="1" w:styleId="42">
    <w:name w:val="正文文本 Char"/>
    <w:link w:val="7"/>
    <w:semiHidden/>
    <w:qFormat/>
    <w:uiPriority w:val="0"/>
    <w:rPr>
      <w:rFonts w:ascii="Times New Roman" w:hAnsi="Times New Roman"/>
      <w:szCs w:val="24"/>
    </w:rPr>
  </w:style>
  <w:style w:type="character" w:customStyle="1" w:styleId="43">
    <w:name w:val="正文文本缩进 Char"/>
    <w:link w:val="8"/>
    <w:semiHidden/>
    <w:qFormat/>
    <w:uiPriority w:val="0"/>
    <w:rPr>
      <w:rFonts w:ascii="Times New Roman" w:hAnsi="Times New Roman"/>
      <w:szCs w:val="24"/>
    </w:rPr>
  </w:style>
  <w:style w:type="character" w:customStyle="1" w:styleId="44">
    <w:name w:val="正文文本 2 Char"/>
    <w:link w:val="18"/>
    <w:semiHidden/>
    <w:qFormat/>
    <w:uiPriority w:val="0"/>
    <w:rPr>
      <w:kern w:val="2"/>
      <w:sz w:val="21"/>
      <w:szCs w:val="24"/>
    </w:rPr>
  </w:style>
  <w:style w:type="character" w:customStyle="1" w:styleId="45">
    <w:name w:val="正文文本缩进 2 Char"/>
    <w:link w:val="12"/>
    <w:semiHidden/>
    <w:qFormat/>
    <w:uiPriority w:val="0"/>
    <w:rPr>
      <w:kern w:val="2"/>
      <w:sz w:val="21"/>
      <w:szCs w:val="24"/>
    </w:rPr>
  </w:style>
  <w:style w:type="character" w:customStyle="1" w:styleId="46">
    <w:name w:val="正文文本缩进 3 Char"/>
    <w:link w:val="17"/>
    <w:semiHidden/>
    <w:qFormat/>
    <w:uiPriority w:val="0"/>
    <w:rPr>
      <w:rFonts w:ascii="Times New Roman" w:hAnsi="Times New Roman"/>
      <w:sz w:val="16"/>
      <w:szCs w:val="16"/>
    </w:rPr>
  </w:style>
  <w:style w:type="paragraph" w:styleId="47">
    <w:name w:val="List Paragraph"/>
    <w:basedOn w:val="1"/>
    <w:qFormat/>
    <w:uiPriority w:val="99"/>
    <w:pPr>
      <w:ind w:firstLine="420" w:firstLineChars="200"/>
    </w:pPr>
    <w:rPr>
      <w:szCs w:val="24"/>
    </w:rPr>
  </w:style>
  <w:style w:type="paragraph" w:customStyle="1" w:styleId="48">
    <w:name w:val="Body Text First Indent1"/>
    <w:basedOn w:val="7"/>
    <w:qFormat/>
    <w:uiPriority w:val="0"/>
    <w:pPr>
      <w:spacing w:after="0"/>
      <w:ind w:firstLine="420" w:firstLineChars="100"/>
    </w:pPr>
    <w:rPr>
      <w:rFonts w:ascii="等线" w:hAnsi="等线" w:eastAsia="等线"/>
      <w:kern w:val="2"/>
      <w:sz w:val="28"/>
      <w:szCs w:val="22"/>
    </w:rPr>
  </w:style>
  <w:style w:type="paragraph" w:customStyle="1" w:styleId="4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0">
    <w:name w:val="列出段落1"/>
    <w:basedOn w:val="1"/>
    <w:qFormat/>
    <w:uiPriority w:val="0"/>
    <w:pPr>
      <w:ind w:firstLine="420" w:firstLineChars="200"/>
    </w:pPr>
    <w:rPr>
      <w:rFonts w:ascii="Cambria" w:hAnsi="Cambria"/>
      <w:szCs w:val="24"/>
    </w:rPr>
  </w:style>
  <w:style w:type="character" w:customStyle="1" w:styleId="51">
    <w:name w:val="标题 3 字符"/>
    <w:qFormat/>
    <w:uiPriority w:val="0"/>
    <w:rPr>
      <w:rFonts w:hint="default" w:ascii="Times New Roman" w:hAnsi="Times New Roman" w:cs="Times New Roman"/>
      <w:b/>
      <w:bCs/>
      <w:kern w:val="2"/>
      <w:sz w:val="32"/>
      <w:szCs w:val="32"/>
    </w:rPr>
  </w:style>
  <w:style w:type="character" w:customStyle="1" w:styleId="52">
    <w:name w:val="正文文本首行缩进 2 字符"/>
    <w:qFormat/>
    <w:uiPriority w:val="0"/>
    <w:rPr>
      <w:rFonts w:hint="default" w:ascii="Times New Roman" w:hAnsi="Times New Roman" w:cs="Times New Roman"/>
      <w:kern w:val="2"/>
      <w:sz w:val="21"/>
      <w:szCs w:val="24"/>
    </w:rPr>
  </w:style>
  <w:style w:type="character" w:customStyle="1" w:styleId="53">
    <w:name w:val="标题 1 字符"/>
    <w:qFormat/>
    <w:uiPriority w:val="0"/>
    <w:rPr>
      <w:rFonts w:hint="default" w:ascii="Times New Roman" w:hAnsi="Times New Roman" w:cs="Times New Roman"/>
      <w:b/>
      <w:bCs/>
      <w:kern w:val="44"/>
      <w:sz w:val="44"/>
      <w:szCs w:val="44"/>
    </w:rPr>
  </w:style>
  <w:style w:type="character" w:customStyle="1" w:styleId="54">
    <w:name w:val="标题 4 字符"/>
    <w:qFormat/>
    <w:uiPriority w:val="0"/>
    <w:rPr>
      <w:rFonts w:hint="eastAsia" w:ascii="等线 Light" w:hAnsi="等线 Light" w:eastAsia="等线 Light" w:cs="Times New Roman"/>
      <w:b/>
      <w:bCs/>
      <w:kern w:val="2"/>
      <w:sz w:val="28"/>
      <w:szCs w:val="28"/>
    </w:rPr>
  </w:style>
  <w:style w:type="character" w:customStyle="1" w:styleId="55">
    <w:name w:val="正文文本缩进 2 字符"/>
    <w:qFormat/>
    <w:uiPriority w:val="0"/>
    <w:rPr>
      <w:rFonts w:hint="default" w:ascii="Times New Roman" w:hAnsi="Times New Roman" w:cs="Times New Roman"/>
      <w:kern w:val="2"/>
      <w:sz w:val="21"/>
      <w:szCs w:val="22"/>
    </w:rPr>
  </w:style>
  <w:style w:type="character" w:customStyle="1" w:styleId="56">
    <w:name w:val="页脚 字符"/>
    <w:qFormat/>
    <w:uiPriority w:val="0"/>
    <w:rPr>
      <w:rFonts w:hint="default" w:ascii="Times New Roman" w:hAnsi="Times New Roman" w:cs="Times New Roman"/>
      <w:kern w:val="2"/>
      <w:sz w:val="18"/>
      <w:szCs w:val="18"/>
    </w:rPr>
  </w:style>
  <w:style w:type="character" w:customStyle="1" w:styleId="57">
    <w:name w:val="页眉 字符"/>
    <w:qFormat/>
    <w:uiPriority w:val="0"/>
    <w:rPr>
      <w:rFonts w:hint="default" w:ascii="Times New Roman" w:hAnsi="Times New Roman"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34081</Words>
  <Characters>36071</Characters>
  <Lines>264</Lines>
  <Paragraphs>74</Paragraphs>
  <TotalTime>2</TotalTime>
  <ScaleCrop>false</ScaleCrop>
  <LinksUpToDate>false</LinksUpToDate>
  <CharactersWithSpaces>37461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2024-08-16T14:37:00Z</dcterms:created>
  <dc:creator>Administrator</dc:creator>
  <cp:lastModifiedBy>帅到掉渣</cp:lastModifiedBy>
  <dcterms:modified xsi:type="dcterms:W3CDTF">2024-12-20T01:43:28Z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F99FF9E0D1524425B4585947EFE5993E_13</vt:lpwstr>
  </property>
</Properties>
</file>