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E30D">
      <w:pPr>
        <w:adjustRightInd w:val="0"/>
        <w:snapToGrid w:val="0"/>
        <w:jc w:val="center"/>
        <w:rPr>
          <w:rFonts w:ascii="宋体" w:hAnsi="宋体" w:cs="宋体"/>
          <w:b/>
          <w:sz w:val="42"/>
          <w:szCs w:val="42"/>
        </w:rPr>
      </w:pPr>
      <w:r>
        <w:rPr>
          <w:rFonts w:hint="eastAsia" w:ascii="宋体" w:hAnsi="宋体" w:cs="宋体"/>
          <w:b/>
          <w:sz w:val="42"/>
          <w:szCs w:val="42"/>
        </w:rPr>
        <w:drawing>
          <wp:inline distT="0" distB="0" distL="114300" distR="114300">
            <wp:extent cx="5735320" cy="8159115"/>
            <wp:effectExtent l="0" t="0" r="10160" b="9525"/>
            <wp:docPr id="3" name="图片 3" descr="766d9e68806db3857a38f0362d4e7f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66d9e68806db3857a38f0362d4e7f06"/>
                    <pic:cNvPicPr>
                      <a:picLocks noChangeAspect="1"/>
                    </pic:cNvPicPr>
                  </pic:nvPicPr>
                  <pic:blipFill>
                    <a:blip r:embed="rId7"/>
                    <a:stretch>
                      <a:fillRect/>
                    </a:stretch>
                  </pic:blipFill>
                  <pic:spPr>
                    <a:xfrm>
                      <a:off x="0" y="0"/>
                      <a:ext cx="5735320" cy="8159115"/>
                    </a:xfrm>
                    <a:prstGeom prst="rect">
                      <a:avLst/>
                    </a:prstGeom>
                  </pic:spPr>
                </pic:pic>
              </a:graphicData>
            </a:graphic>
          </wp:inline>
        </w:drawing>
      </w:r>
      <w:bookmarkStart w:id="147" w:name="_GoBack"/>
      <w:bookmarkEnd w:id="147"/>
    </w:p>
    <w:p w14:paraId="3654006D">
      <w:pPr>
        <w:adjustRightInd w:val="0"/>
        <w:snapToGrid w:val="0"/>
        <w:jc w:val="center"/>
        <w:rPr>
          <w:rFonts w:ascii="宋体" w:hAnsi="宋体" w:cs="宋体"/>
          <w:b/>
          <w:szCs w:val="21"/>
        </w:rPr>
      </w:pPr>
    </w:p>
    <w:p w14:paraId="0A0FAF6B">
      <w:pPr>
        <w:adjustRightInd w:val="0"/>
        <w:snapToGrid w:val="0"/>
        <w:jc w:val="center"/>
        <w:rPr>
          <w:rFonts w:ascii="宋体" w:hAnsi="宋体" w:cs="宋体"/>
          <w:b/>
          <w:sz w:val="42"/>
          <w:szCs w:val="42"/>
          <w:highlight w:val="yellow"/>
        </w:rPr>
      </w:pPr>
      <w:r>
        <w:rPr>
          <w:rFonts w:hint="eastAsia" w:ascii="宋体" w:hAnsi="宋体" w:cs="宋体"/>
          <w:b/>
          <w:sz w:val="42"/>
          <w:szCs w:val="42"/>
        </w:rPr>
        <w:t>平顶山市财政局2026至2027年保安服务项目</w:t>
      </w:r>
    </w:p>
    <w:p w14:paraId="4C41F8FC">
      <w:pPr>
        <w:pStyle w:val="16"/>
        <w:rPr>
          <w:rFonts w:cs="宋体"/>
        </w:rPr>
      </w:pPr>
    </w:p>
    <w:p w14:paraId="0B86CFC0">
      <w:pPr>
        <w:pStyle w:val="16"/>
        <w:rPr>
          <w:rFonts w:cs="宋体"/>
        </w:rPr>
      </w:pPr>
    </w:p>
    <w:p w14:paraId="23736454">
      <w:pPr>
        <w:pStyle w:val="16"/>
        <w:rPr>
          <w:rFonts w:cs="宋体"/>
        </w:rPr>
      </w:pPr>
    </w:p>
    <w:p w14:paraId="41B07891">
      <w:pPr>
        <w:pStyle w:val="16"/>
        <w:rPr>
          <w:rFonts w:cs="宋体"/>
        </w:rPr>
      </w:pPr>
    </w:p>
    <w:p w14:paraId="364714BB">
      <w:pPr>
        <w:spacing w:line="360" w:lineRule="auto"/>
        <w:jc w:val="center"/>
        <w:rPr>
          <w:rFonts w:ascii="宋体" w:hAnsi="宋体" w:cs="宋体"/>
          <w:b/>
          <w:bCs/>
          <w:sz w:val="72"/>
          <w:szCs w:val="72"/>
        </w:rPr>
      </w:pPr>
      <w:r>
        <w:rPr>
          <w:rFonts w:hint="eastAsia" w:ascii="宋体" w:hAnsi="宋体" w:cs="宋体"/>
          <w:b/>
          <w:bCs/>
          <w:sz w:val="72"/>
          <w:szCs w:val="72"/>
        </w:rPr>
        <w:t>竞争性磋商文件</w:t>
      </w:r>
    </w:p>
    <w:p w14:paraId="11EA85C1">
      <w:pPr>
        <w:spacing w:line="360" w:lineRule="auto"/>
        <w:jc w:val="center"/>
        <w:rPr>
          <w:rFonts w:ascii="宋体" w:hAnsi="宋体" w:cs="宋体"/>
          <w:b/>
          <w:bCs/>
          <w:sz w:val="28"/>
          <w:szCs w:val="28"/>
        </w:rPr>
      </w:pPr>
      <w:r>
        <w:rPr>
          <w:rFonts w:hint="eastAsia" w:ascii="宋体" w:hAnsi="宋体" w:cs="宋体"/>
          <w:b/>
          <w:bCs/>
          <w:sz w:val="28"/>
          <w:szCs w:val="28"/>
        </w:rPr>
        <w:t>项目编号：平采磋商-2025-141</w:t>
      </w:r>
    </w:p>
    <w:p w14:paraId="457176B3">
      <w:pPr>
        <w:pStyle w:val="16"/>
        <w:rPr>
          <w:rFonts w:cs="宋体"/>
        </w:rPr>
      </w:pPr>
    </w:p>
    <w:p w14:paraId="3061A50B">
      <w:pPr>
        <w:adjustRightInd w:val="0"/>
        <w:snapToGrid w:val="0"/>
        <w:spacing w:line="360" w:lineRule="auto"/>
        <w:ind w:firstLine="36" w:firstLineChars="10"/>
        <w:jc w:val="center"/>
        <w:rPr>
          <w:rFonts w:ascii="宋体" w:hAnsi="宋体" w:cs="宋体"/>
          <w:b/>
          <w:sz w:val="36"/>
          <w:szCs w:val="36"/>
        </w:rPr>
      </w:pPr>
      <w:r>
        <w:rPr>
          <w:rFonts w:hint="eastAsia" w:ascii="宋体" w:hAnsi="宋体" w:cs="宋体"/>
          <w:b/>
          <w:sz w:val="36"/>
          <w:szCs w:val="36"/>
        </w:rPr>
        <w:drawing>
          <wp:inline distT="0" distB="0" distL="114300" distR="114300">
            <wp:extent cx="1971040" cy="3088005"/>
            <wp:effectExtent l="0" t="0" r="10160" b="5715"/>
            <wp:docPr id="2" name="图片 1" descr="萌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萌萌"/>
                    <pic:cNvPicPr>
                      <a:picLocks noChangeAspect="1"/>
                    </pic:cNvPicPr>
                  </pic:nvPicPr>
                  <pic:blipFill>
                    <a:blip r:embed="rId8"/>
                    <a:stretch>
                      <a:fillRect/>
                    </a:stretch>
                  </pic:blipFill>
                  <pic:spPr>
                    <a:xfrm>
                      <a:off x="0" y="0"/>
                      <a:ext cx="1971040" cy="3088005"/>
                    </a:xfrm>
                    <a:prstGeom prst="rect">
                      <a:avLst/>
                    </a:prstGeom>
                    <a:noFill/>
                    <a:ln>
                      <a:noFill/>
                    </a:ln>
                  </pic:spPr>
                </pic:pic>
              </a:graphicData>
            </a:graphic>
          </wp:inline>
        </w:drawing>
      </w:r>
    </w:p>
    <w:p w14:paraId="3E7AC8BE">
      <w:pPr>
        <w:adjustRightInd w:val="0"/>
        <w:snapToGrid w:val="0"/>
        <w:spacing w:line="360" w:lineRule="auto"/>
        <w:ind w:firstLine="24" w:firstLineChars="10"/>
        <w:jc w:val="center"/>
        <w:rPr>
          <w:rFonts w:ascii="宋体" w:hAnsi="宋体" w:cs="宋体"/>
          <w:b/>
          <w:sz w:val="24"/>
          <w:szCs w:val="24"/>
        </w:rPr>
      </w:pPr>
    </w:p>
    <w:p w14:paraId="54A1C327">
      <w:pPr>
        <w:pStyle w:val="16"/>
        <w:ind w:firstLine="0" w:firstLineChars="0"/>
        <w:jc w:val="center"/>
        <w:rPr>
          <w:rFonts w:cs="宋体"/>
        </w:rPr>
      </w:pPr>
    </w:p>
    <w:p w14:paraId="67C69A33">
      <w:pPr>
        <w:pStyle w:val="16"/>
        <w:ind w:firstLine="0" w:firstLineChars="0"/>
        <w:jc w:val="center"/>
        <w:rPr>
          <w:rFonts w:cs="宋体"/>
        </w:rPr>
      </w:pPr>
    </w:p>
    <w:p w14:paraId="1A0EE917">
      <w:pPr>
        <w:snapToGrid w:val="0"/>
        <w:spacing w:line="408" w:lineRule="auto"/>
        <w:ind w:firstLine="1285" w:firstLineChars="400"/>
        <w:rPr>
          <w:rFonts w:ascii="宋体" w:hAnsi="宋体" w:cs="宋体"/>
          <w:b/>
          <w:sz w:val="32"/>
          <w:szCs w:val="22"/>
          <w:lang w:val="zh-CN"/>
        </w:rPr>
      </w:pPr>
      <w:r>
        <w:rPr>
          <w:rFonts w:hint="eastAsia" w:ascii="宋体" w:hAnsi="宋体" w:cs="宋体"/>
          <w:b/>
          <w:sz w:val="32"/>
          <w:szCs w:val="22"/>
        </w:rPr>
        <w:t>采 购 人：</w:t>
      </w:r>
      <w:r>
        <w:rPr>
          <w:rFonts w:hint="eastAsia" w:ascii="宋体" w:hAnsi="宋体" w:cs="宋体"/>
          <w:b/>
          <w:sz w:val="32"/>
          <w:szCs w:val="22"/>
          <w:lang w:val="zh-CN"/>
        </w:rPr>
        <w:t>平顶山市财政局</w:t>
      </w:r>
    </w:p>
    <w:p w14:paraId="60169C70">
      <w:pPr>
        <w:snapToGrid w:val="0"/>
        <w:spacing w:line="408" w:lineRule="auto"/>
        <w:ind w:firstLine="1285" w:firstLineChars="400"/>
        <w:rPr>
          <w:rFonts w:ascii="宋体" w:hAnsi="宋体" w:cs="宋体"/>
          <w:b/>
          <w:sz w:val="32"/>
          <w:szCs w:val="22"/>
        </w:rPr>
      </w:pPr>
      <w:r>
        <w:rPr>
          <w:rFonts w:hint="eastAsia" w:ascii="宋体" w:hAnsi="宋体" w:cs="宋体"/>
          <w:b/>
          <w:sz w:val="32"/>
          <w:szCs w:val="22"/>
        </w:rPr>
        <w:t>代理机构：法正项目管理集团有限公司</w:t>
      </w:r>
    </w:p>
    <w:p w14:paraId="4CBADEE0">
      <w:pPr>
        <w:snapToGrid w:val="0"/>
        <w:spacing w:line="408" w:lineRule="auto"/>
        <w:ind w:firstLine="1285" w:firstLineChars="400"/>
        <w:rPr>
          <w:rFonts w:ascii="宋体" w:hAnsi="宋体" w:cs="宋体"/>
          <w:b/>
          <w:sz w:val="32"/>
          <w:szCs w:val="22"/>
        </w:rPr>
      </w:pPr>
      <w:r>
        <w:rPr>
          <w:rFonts w:hint="eastAsia" w:ascii="宋体" w:hAnsi="宋体" w:cs="宋体"/>
          <w:b/>
          <w:sz w:val="32"/>
          <w:szCs w:val="22"/>
        </w:rPr>
        <w:t>日    期</w:t>
      </w:r>
      <w:r>
        <w:rPr>
          <w:rFonts w:hint="eastAsia" w:ascii="宋体" w:hAnsi="宋体" w:cs="宋体"/>
          <w:b/>
          <w:sz w:val="28"/>
          <w:szCs w:val="22"/>
        </w:rPr>
        <w:t>：</w:t>
      </w:r>
      <w:r>
        <w:rPr>
          <w:rFonts w:hint="eastAsia" w:ascii="宋体" w:hAnsi="宋体" w:cs="宋体"/>
          <w:b/>
          <w:sz w:val="32"/>
          <w:szCs w:val="22"/>
        </w:rPr>
        <w:t>二〇二五年十二月</w:t>
      </w:r>
    </w:p>
    <w:p w14:paraId="0357919A">
      <w:pPr>
        <w:pStyle w:val="10"/>
        <w:rPr>
          <w:rFonts w:ascii="宋体" w:hAnsi="宋体" w:cs="宋体"/>
        </w:rPr>
        <w:sectPr>
          <w:footerReference r:id="rId3" w:type="default"/>
          <w:pgSz w:w="12240" w:h="15840"/>
          <w:pgMar w:top="1468" w:right="1599" w:bottom="1440" w:left="1599" w:header="720" w:footer="720" w:gutter="0"/>
          <w:pgNumType w:start="1"/>
          <w:cols w:space="0" w:num="1"/>
          <w:titlePg/>
        </w:sectPr>
      </w:pPr>
    </w:p>
    <w:p w14:paraId="6C64677C">
      <w:pPr>
        <w:autoSpaceDE w:val="0"/>
        <w:autoSpaceDN w:val="0"/>
        <w:adjustRightInd w:val="0"/>
        <w:spacing w:line="580" w:lineRule="exact"/>
        <w:jc w:val="center"/>
        <w:outlineLvl w:val="3"/>
        <w:rPr>
          <w:rFonts w:ascii="宋体" w:hAnsi="宋体" w:cs="宋体"/>
          <w:b/>
          <w:bCs/>
          <w:kern w:val="0"/>
          <w:sz w:val="28"/>
          <w:szCs w:val="24"/>
        </w:rPr>
      </w:pPr>
      <w:r>
        <w:rPr>
          <w:rFonts w:hint="eastAsia" w:ascii="宋体" w:hAnsi="宋体" w:cs="宋体"/>
          <w:b/>
          <w:kern w:val="0"/>
          <w:sz w:val="40"/>
          <w:szCs w:val="48"/>
        </w:rPr>
        <w:t>目    录</w:t>
      </w:r>
    </w:p>
    <w:p w14:paraId="69293AF5">
      <w:pPr>
        <w:pStyle w:val="20"/>
        <w:tabs>
          <w:tab w:val="right" w:leader="dot" w:pos="9042"/>
        </w:tabs>
        <w:spacing w:line="360" w:lineRule="auto"/>
        <w:rPr>
          <w:rFonts w:ascii="宋体" w:hAnsi="宋体" w:cs="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TOC \o "1-3" \h \z \u </w:instrText>
      </w:r>
      <w:r>
        <w:rPr>
          <w:rFonts w:hint="eastAsia" w:ascii="宋体" w:hAnsi="宋体" w:cs="宋体"/>
          <w:b/>
          <w:sz w:val="24"/>
          <w:szCs w:val="24"/>
        </w:rPr>
        <w:fldChar w:fldCharType="separate"/>
      </w:r>
      <w:r>
        <w:fldChar w:fldCharType="begin"/>
      </w:r>
      <w:r>
        <w:instrText xml:space="preserve"> HYPERLINK \l "_Toc9011" </w:instrText>
      </w:r>
      <w:r>
        <w:fldChar w:fldCharType="separate"/>
      </w:r>
      <w:r>
        <w:rPr>
          <w:rFonts w:hint="eastAsia" w:ascii="宋体" w:hAnsi="宋体" w:cs="宋体"/>
          <w:sz w:val="24"/>
          <w:szCs w:val="24"/>
        </w:rPr>
        <w:t>第一章</w:t>
      </w:r>
      <w:r>
        <w:rPr>
          <w:rFonts w:hint="eastAsia" w:ascii="宋体" w:hAnsi="宋体" w:cs="宋体"/>
          <w:bCs/>
          <w:sz w:val="24"/>
          <w:szCs w:val="24"/>
        </w:rPr>
        <w:t xml:space="preserve">  竞争性磋商公告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_Toc9011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386093D">
      <w:pPr>
        <w:pStyle w:val="20"/>
        <w:tabs>
          <w:tab w:val="right" w:leader="dot" w:pos="9042"/>
        </w:tabs>
        <w:spacing w:line="360" w:lineRule="auto"/>
        <w:rPr>
          <w:rFonts w:ascii="宋体" w:hAnsi="宋体" w:cs="宋体"/>
          <w:sz w:val="24"/>
          <w:szCs w:val="24"/>
        </w:rPr>
      </w:pPr>
      <w:r>
        <w:fldChar w:fldCharType="begin"/>
      </w:r>
      <w:r>
        <w:instrText xml:space="preserve"> HYPERLINK \l "_Toc6975" </w:instrText>
      </w:r>
      <w:r>
        <w:fldChar w:fldCharType="separate"/>
      </w:r>
      <w:r>
        <w:rPr>
          <w:rFonts w:hint="eastAsia" w:ascii="宋体" w:hAnsi="宋体" w:cs="宋体"/>
          <w:sz w:val="24"/>
          <w:szCs w:val="24"/>
        </w:rPr>
        <w:t>第二章  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_Toc6975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10EF3254">
      <w:pPr>
        <w:pStyle w:val="21"/>
        <w:tabs>
          <w:tab w:val="right" w:leader="dot" w:pos="9042"/>
        </w:tabs>
        <w:spacing w:line="360" w:lineRule="auto"/>
        <w:rPr>
          <w:rFonts w:ascii="宋体" w:hAnsi="宋体" w:cs="宋体"/>
          <w:sz w:val="24"/>
          <w:szCs w:val="24"/>
        </w:rPr>
      </w:pPr>
      <w:r>
        <w:fldChar w:fldCharType="begin"/>
      </w:r>
      <w:r>
        <w:instrText xml:space="preserve"> HYPERLINK \l "_Toc12466" </w:instrText>
      </w:r>
      <w:r>
        <w:fldChar w:fldCharType="separate"/>
      </w:r>
      <w:r>
        <w:rPr>
          <w:rFonts w:hint="eastAsia" w:ascii="宋体" w:hAnsi="宋体" w:cs="宋体"/>
          <w:kern w:val="0"/>
          <w:sz w:val="24"/>
          <w:szCs w:val="24"/>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_Toc12466 \h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7F36C0AC">
      <w:pPr>
        <w:pStyle w:val="21"/>
        <w:tabs>
          <w:tab w:val="right" w:leader="dot" w:pos="9042"/>
        </w:tabs>
        <w:spacing w:line="360" w:lineRule="auto"/>
        <w:rPr>
          <w:rFonts w:ascii="宋体" w:hAnsi="宋体" w:cs="宋体"/>
          <w:sz w:val="24"/>
          <w:szCs w:val="24"/>
        </w:rPr>
      </w:pPr>
      <w:r>
        <w:fldChar w:fldCharType="begin"/>
      </w:r>
      <w:r>
        <w:instrText xml:space="preserve"> HYPERLINK \l "_Toc23045" </w:instrText>
      </w:r>
      <w:r>
        <w:fldChar w:fldCharType="separate"/>
      </w:r>
      <w:r>
        <w:rPr>
          <w:rFonts w:hint="eastAsia" w:ascii="宋体" w:hAnsi="宋体" w:cs="宋体"/>
          <w:kern w:val="0"/>
          <w:sz w:val="24"/>
          <w:szCs w:val="24"/>
        </w:rPr>
        <w:t>二、竞争性磋商文件内容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_Toc23045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168F3985">
      <w:pPr>
        <w:pStyle w:val="21"/>
        <w:tabs>
          <w:tab w:val="right" w:leader="dot" w:pos="9042"/>
        </w:tabs>
        <w:spacing w:line="360" w:lineRule="auto"/>
        <w:rPr>
          <w:rFonts w:ascii="宋体" w:hAnsi="宋体" w:cs="宋体"/>
          <w:sz w:val="24"/>
          <w:szCs w:val="24"/>
        </w:rPr>
      </w:pPr>
      <w:r>
        <w:fldChar w:fldCharType="begin"/>
      </w:r>
      <w:r>
        <w:instrText xml:space="preserve"> HYPERLINK \l "_Toc14770" </w:instrText>
      </w:r>
      <w:r>
        <w:fldChar w:fldCharType="separate"/>
      </w:r>
      <w:r>
        <w:rPr>
          <w:rFonts w:hint="eastAsia" w:ascii="宋体" w:hAnsi="宋体" w:cs="宋体"/>
          <w:kern w:val="0"/>
          <w:sz w:val="24"/>
          <w:szCs w:val="24"/>
        </w:rPr>
        <w:t>三、响应文件编制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_Toc14770 \h </w:instrText>
      </w:r>
      <w:r>
        <w:rPr>
          <w:rFonts w:hint="eastAsia" w:ascii="宋体" w:hAnsi="宋体" w:cs="宋体"/>
          <w:sz w:val="24"/>
          <w:szCs w:val="24"/>
        </w:rPr>
        <w:fldChar w:fldCharType="separate"/>
      </w:r>
      <w:r>
        <w:rPr>
          <w:rFonts w:hint="eastAsia"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74D0240E">
      <w:pPr>
        <w:pStyle w:val="21"/>
        <w:tabs>
          <w:tab w:val="right" w:leader="dot" w:pos="9042"/>
        </w:tabs>
        <w:spacing w:line="360" w:lineRule="auto"/>
        <w:rPr>
          <w:rFonts w:ascii="宋体" w:hAnsi="宋体" w:cs="宋体"/>
          <w:sz w:val="24"/>
          <w:szCs w:val="24"/>
        </w:rPr>
      </w:pPr>
      <w:r>
        <w:fldChar w:fldCharType="begin"/>
      </w:r>
      <w:r>
        <w:instrText xml:space="preserve"> HYPERLINK \l "_Toc32174" </w:instrText>
      </w:r>
      <w:r>
        <w:fldChar w:fldCharType="separate"/>
      </w:r>
      <w:r>
        <w:rPr>
          <w:rFonts w:hint="eastAsia" w:ascii="宋体" w:hAnsi="宋体" w:cs="宋体"/>
          <w:kern w:val="0"/>
          <w:sz w:val="24"/>
          <w:szCs w:val="24"/>
        </w:rPr>
        <w:t>四、响应文件递交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_Toc32174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14:paraId="182EADEF">
      <w:pPr>
        <w:pStyle w:val="21"/>
        <w:tabs>
          <w:tab w:val="right" w:leader="dot" w:pos="9042"/>
        </w:tabs>
        <w:spacing w:line="360" w:lineRule="auto"/>
        <w:rPr>
          <w:rFonts w:ascii="宋体" w:hAnsi="宋体" w:cs="宋体"/>
          <w:sz w:val="24"/>
          <w:szCs w:val="24"/>
        </w:rPr>
      </w:pPr>
      <w:r>
        <w:fldChar w:fldCharType="begin"/>
      </w:r>
      <w:r>
        <w:instrText xml:space="preserve"> HYPERLINK \l "_Toc26339" </w:instrText>
      </w:r>
      <w:r>
        <w:fldChar w:fldCharType="separate"/>
      </w:r>
      <w:r>
        <w:rPr>
          <w:rFonts w:hint="eastAsia" w:ascii="宋体" w:hAnsi="宋体" w:cs="宋体"/>
          <w:kern w:val="0"/>
          <w:sz w:val="24"/>
          <w:szCs w:val="24"/>
        </w:rPr>
        <w:t>五、 开标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_Toc26339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14:paraId="511A8489">
      <w:pPr>
        <w:pStyle w:val="21"/>
        <w:tabs>
          <w:tab w:val="right" w:leader="dot" w:pos="9042"/>
        </w:tabs>
        <w:spacing w:line="360" w:lineRule="auto"/>
        <w:rPr>
          <w:rFonts w:ascii="宋体" w:hAnsi="宋体" w:cs="宋体"/>
          <w:sz w:val="24"/>
          <w:szCs w:val="24"/>
        </w:rPr>
      </w:pPr>
      <w:r>
        <w:fldChar w:fldCharType="begin"/>
      </w:r>
      <w:r>
        <w:instrText xml:space="preserve"> HYPERLINK \l "_Toc4125" </w:instrText>
      </w:r>
      <w:r>
        <w:fldChar w:fldCharType="separate"/>
      </w:r>
      <w:r>
        <w:rPr>
          <w:rFonts w:hint="eastAsia" w:ascii="宋体" w:hAnsi="宋体" w:cs="宋体"/>
          <w:kern w:val="0"/>
          <w:sz w:val="24"/>
          <w:szCs w:val="24"/>
        </w:rPr>
        <w:t>六、磋商程序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_Toc4125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4BFD5742">
      <w:pPr>
        <w:pStyle w:val="21"/>
        <w:tabs>
          <w:tab w:val="right" w:leader="dot" w:pos="9042"/>
        </w:tabs>
        <w:spacing w:line="360" w:lineRule="auto"/>
        <w:rPr>
          <w:rFonts w:ascii="宋体" w:hAnsi="宋体" w:cs="宋体"/>
          <w:sz w:val="24"/>
          <w:szCs w:val="24"/>
        </w:rPr>
      </w:pPr>
      <w:r>
        <w:fldChar w:fldCharType="begin"/>
      </w:r>
      <w:r>
        <w:instrText xml:space="preserve"> HYPERLINK \l "_Toc2744" </w:instrText>
      </w:r>
      <w:r>
        <w:fldChar w:fldCharType="separate"/>
      </w:r>
      <w:r>
        <w:rPr>
          <w:rFonts w:hint="eastAsia" w:ascii="宋体" w:hAnsi="宋体" w:cs="宋体"/>
          <w:kern w:val="0"/>
          <w:sz w:val="24"/>
          <w:szCs w:val="24"/>
          <w:lang w:val="zh-CN"/>
        </w:rPr>
        <w:t>七、合同授予</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_Toc2744 \h </w:instrText>
      </w:r>
      <w:r>
        <w:rPr>
          <w:rFonts w:hint="eastAsia" w:ascii="宋体" w:hAnsi="宋体" w:cs="宋体"/>
          <w:sz w:val="24"/>
          <w:szCs w:val="24"/>
        </w:rPr>
        <w:fldChar w:fldCharType="separate"/>
      </w:r>
      <w:r>
        <w:rPr>
          <w:rFonts w:hint="eastAsia" w:ascii="宋体" w:hAnsi="宋体" w:cs="宋体"/>
          <w:sz w:val="24"/>
          <w:szCs w:val="24"/>
        </w:rPr>
        <w:t>25</w:t>
      </w:r>
      <w:r>
        <w:rPr>
          <w:rFonts w:hint="eastAsia" w:ascii="宋体" w:hAnsi="宋体" w:cs="宋体"/>
          <w:sz w:val="24"/>
          <w:szCs w:val="24"/>
        </w:rPr>
        <w:fldChar w:fldCharType="end"/>
      </w:r>
      <w:r>
        <w:rPr>
          <w:rFonts w:hint="eastAsia" w:ascii="宋体" w:hAnsi="宋体" w:cs="宋体"/>
          <w:sz w:val="24"/>
          <w:szCs w:val="24"/>
        </w:rPr>
        <w:fldChar w:fldCharType="end"/>
      </w:r>
    </w:p>
    <w:p w14:paraId="25247877">
      <w:pPr>
        <w:pStyle w:val="21"/>
        <w:tabs>
          <w:tab w:val="right" w:leader="dot" w:pos="9042"/>
        </w:tabs>
        <w:spacing w:line="360" w:lineRule="auto"/>
        <w:rPr>
          <w:rFonts w:ascii="宋体" w:hAnsi="宋体" w:cs="宋体"/>
          <w:sz w:val="24"/>
          <w:szCs w:val="24"/>
        </w:rPr>
      </w:pPr>
      <w:r>
        <w:fldChar w:fldCharType="begin"/>
      </w:r>
      <w:r>
        <w:instrText xml:space="preserve"> HYPERLINK \l "_Toc8739" </w:instrText>
      </w:r>
      <w:r>
        <w:fldChar w:fldCharType="separate"/>
      </w:r>
      <w:r>
        <w:rPr>
          <w:rFonts w:hint="eastAsia" w:ascii="宋体" w:hAnsi="宋体" w:cs="宋体"/>
          <w:kern w:val="0"/>
          <w:sz w:val="24"/>
          <w:szCs w:val="24"/>
          <w:lang w:val="zh-CN"/>
        </w:rPr>
        <w:t>八、重新招标和不再采购</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_Toc8739 \h </w:instrText>
      </w:r>
      <w:r>
        <w:rPr>
          <w:rFonts w:hint="eastAsia" w:ascii="宋体" w:hAnsi="宋体" w:cs="宋体"/>
          <w:sz w:val="24"/>
          <w:szCs w:val="24"/>
        </w:rPr>
        <w:fldChar w:fldCharType="separate"/>
      </w:r>
      <w:r>
        <w:rPr>
          <w:rFonts w:hint="eastAsia" w:ascii="宋体" w:hAnsi="宋体" w:cs="宋体"/>
          <w:sz w:val="24"/>
          <w:szCs w:val="24"/>
        </w:rPr>
        <w:t>25</w:t>
      </w:r>
      <w:r>
        <w:rPr>
          <w:rFonts w:hint="eastAsia" w:ascii="宋体" w:hAnsi="宋体" w:cs="宋体"/>
          <w:sz w:val="24"/>
          <w:szCs w:val="24"/>
        </w:rPr>
        <w:fldChar w:fldCharType="end"/>
      </w:r>
      <w:r>
        <w:rPr>
          <w:rFonts w:hint="eastAsia" w:ascii="宋体" w:hAnsi="宋体" w:cs="宋体"/>
          <w:sz w:val="24"/>
          <w:szCs w:val="24"/>
        </w:rPr>
        <w:fldChar w:fldCharType="end"/>
      </w:r>
    </w:p>
    <w:p w14:paraId="6ADAD821">
      <w:pPr>
        <w:pStyle w:val="21"/>
        <w:tabs>
          <w:tab w:val="right" w:leader="dot" w:pos="9042"/>
        </w:tabs>
        <w:spacing w:line="360" w:lineRule="auto"/>
        <w:rPr>
          <w:rFonts w:ascii="宋体" w:hAnsi="宋体" w:cs="宋体"/>
          <w:sz w:val="24"/>
          <w:szCs w:val="24"/>
        </w:rPr>
      </w:pPr>
      <w:r>
        <w:fldChar w:fldCharType="begin"/>
      </w:r>
      <w:r>
        <w:instrText xml:space="preserve"> HYPERLINK \l "_Toc7838" </w:instrText>
      </w:r>
      <w:r>
        <w:fldChar w:fldCharType="separate"/>
      </w:r>
      <w:r>
        <w:rPr>
          <w:rFonts w:hint="eastAsia" w:ascii="宋体" w:hAnsi="宋体" w:cs="宋体"/>
          <w:kern w:val="0"/>
          <w:sz w:val="24"/>
          <w:szCs w:val="24"/>
          <w:lang w:val="zh-CN"/>
        </w:rPr>
        <w:t>九、纪律和监督</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_Toc7838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558214A7">
      <w:pPr>
        <w:pStyle w:val="21"/>
        <w:tabs>
          <w:tab w:val="right" w:leader="dot" w:pos="9042"/>
        </w:tabs>
        <w:spacing w:line="360" w:lineRule="auto"/>
        <w:rPr>
          <w:rFonts w:ascii="宋体" w:hAnsi="宋体" w:cs="宋体"/>
          <w:sz w:val="24"/>
          <w:szCs w:val="24"/>
        </w:rPr>
      </w:pPr>
      <w:r>
        <w:fldChar w:fldCharType="begin"/>
      </w:r>
      <w:r>
        <w:instrText xml:space="preserve"> HYPERLINK \l "_Toc6053" </w:instrText>
      </w:r>
      <w:r>
        <w:fldChar w:fldCharType="separate"/>
      </w:r>
      <w:r>
        <w:rPr>
          <w:rFonts w:hint="eastAsia" w:ascii="宋体" w:hAnsi="宋体" w:cs="宋体"/>
          <w:kern w:val="0"/>
          <w:sz w:val="24"/>
          <w:szCs w:val="24"/>
          <w:lang w:val="zh-CN"/>
        </w:rPr>
        <w:t>十、需要补充的其他内容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_Toc6053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52C5E4AC">
      <w:pPr>
        <w:pStyle w:val="20"/>
        <w:tabs>
          <w:tab w:val="right" w:leader="dot" w:pos="9042"/>
        </w:tabs>
        <w:spacing w:line="360" w:lineRule="auto"/>
        <w:rPr>
          <w:rFonts w:ascii="宋体" w:hAnsi="宋体" w:cs="宋体"/>
          <w:sz w:val="24"/>
          <w:szCs w:val="24"/>
        </w:rPr>
      </w:pPr>
      <w:r>
        <w:fldChar w:fldCharType="begin"/>
      </w:r>
      <w:r>
        <w:instrText xml:space="preserve"> HYPERLINK \l "_Toc32029" </w:instrText>
      </w:r>
      <w:r>
        <w:fldChar w:fldCharType="separate"/>
      </w:r>
      <w:r>
        <w:rPr>
          <w:rFonts w:hint="eastAsia" w:ascii="宋体" w:hAnsi="宋体" w:cs="宋体"/>
          <w:sz w:val="24"/>
          <w:szCs w:val="24"/>
        </w:rPr>
        <w:t>第三章  评审办法及标准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_Toc32029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31BA8353">
      <w:pPr>
        <w:pStyle w:val="21"/>
        <w:tabs>
          <w:tab w:val="right" w:leader="dot" w:pos="9042"/>
        </w:tabs>
        <w:spacing w:line="360" w:lineRule="auto"/>
        <w:rPr>
          <w:rFonts w:ascii="宋体" w:hAnsi="宋体" w:cs="宋体"/>
          <w:sz w:val="24"/>
          <w:szCs w:val="24"/>
        </w:rPr>
      </w:pPr>
      <w:r>
        <w:fldChar w:fldCharType="begin"/>
      </w:r>
      <w:r>
        <w:instrText xml:space="preserve"> HYPERLINK \l "_Toc18238" </w:instrText>
      </w:r>
      <w:r>
        <w:fldChar w:fldCharType="separate"/>
      </w:r>
      <w:r>
        <w:rPr>
          <w:rFonts w:hint="eastAsia" w:ascii="宋体" w:hAnsi="宋体" w:cs="宋体"/>
          <w:sz w:val="24"/>
          <w:szCs w:val="24"/>
        </w:rPr>
        <w:t>1.评标方法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_Toc18238 \h </w:instrText>
      </w:r>
      <w:r>
        <w:rPr>
          <w:rFonts w:hint="eastAsia" w:ascii="宋体" w:hAnsi="宋体" w:cs="宋体"/>
          <w:sz w:val="24"/>
          <w:szCs w:val="24"/>
        </w:rPr>
        <w:fldChar w:fldCharType="separate"/>
      </w:r>
      <w:r>
        <w:rPr>
          <w:rFonts w:hint="eastAsia"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14:paraId="26F56077">
      <w:pPr>
        <w:pStyle w:val="21"/>
        <w:tabs>
          <w:tab w:val="right" w:leader="dot" w:pos="9042"/>
        </w:tabs>
        <w:spacing w:line="360" w:lineRule="auto"/>
        <w:rPr>
          <w:rFonts w:ascii="宋体" w:hAnsi="宋体" w:cs="宋体"/>
          <w:sz w:val="24"/>
          <w:szCs w:val="24"/>
        </w:rPr>
      </w:pPr>
      <w:r>
        <w:fldChar w:fldCharType="begin"/>
      </w:r>
      <w:r>
        <w:instrText xml:space="preserve"> HYPERLINK \l "_Toc29872" </w:instrText>
      </w:r>
      <w:r>
        <w:fldChar w:fldCharType="separate"/>
      </w:r>
      <w:r>
        <w:rPr>
          <w:rFonts w:hint="eastAsia" w:ascii="宋体" w:hAnsi="宋体" w:cs="宋体"/>
          <w:sz w:val="24"/>
          <w:szCs w:val="24"/>
        </w:rPr>
        <w:t>2.评审标准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_Toc29872 \h </w:instrText>
      </w:r>
      <w:r>
        <w:rPr>
          <w:rFonts w:hint="eastAsia" w:ascii="宋体" w:hAnsi="宋体" w:cs="宋体"/>
          <w:sz w:val="24"/>
          <w:szCs w:val="24"/>
        </w:rPr>
        <w:fldChar w:fldCharType="separate"/>
      </w:r>
      <w:r>
        <w:rPr>
          <w:rFonts w:hint="eastAsia" w:ascii="宋体" w:hAnsi="宋体" w:cs="宋体"/>
          <w:sz w:val="24"/>
          <w:szCs w:val="24"/>
        </w:rPr>
        <w:t>32</w:t>
      </w:r>
      <w:r>
        <w:rPr>
          <w:rFonts w:hint="eastAsia" w:ascii="宋体" w:hAnsi="宋体" w:cs="宋体"/>
          <w:sz w:val="24"/>
          <w:szCs w:val="24"/>
        </w:rPr>
        <w:fldChar w:fldCharType="end"/>
      </w:r>
      <w:r>
        <w:rPr>
          <w:rFonts w:hint="eastAsia" w:ascii="宋体" w:hAnsi="宋体" w:cs="宋体"/>
          <w:sz w:val="24"/>
          <w:szCs w:val="24"/>
        </w:rPr>
        <w:fldChar w:fldCharType="end"/>
      </w:r>
    </w:p>
    <w:p w14:paraId="4054A5DC">
      <w:pPr>
        <w:pStyle w:val="21"/>
        <w:tabs>
          <w:tab w:val="right" w:leader="dot" w:pos="9042"/>
        </w:tabs>
        <w:spacing w:line="360" w:lineRule="auto"/>
        <w:rPr>
          <w:rFonts w:ascii="宋体" w:hAnsi="宋体" w:cs="宋体"/>
          <w:sz w:val="24"/>
          <w:szCs w:val="24"/>
        </w:rPr>
      </w:pPr>
      <w:r>
        <w:fldChar w:fldCharType="begin"/>
      </w:r>
      <w:r>
        <w:instrText xml:space="preserve"> HYPERLINK \l "_Toc5763" </w:instrText>
      </w:r>
      <w:r>
        <w:fldChar w:fldCharType="separate"/>
      </w:r>
      <w:r>
        <w:rPr>
          <w:rFonts w:hint="eastAsia" w:ascii="宋体" w:hAnsi="宋体" w:cs="宋体"/>
          <w:sz w:val="24"/>
          <w:szCs w:val="24"/>
        </w:rPr>
        <w:t>3.磋商程序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_Toc5763 \h </w:instrText>
      </w:r>
      <w:r>
        <w:rPr>
          <w:rFonts w:hint="eastAsia" w:ascii="宋体" w:hAnsi="宋体" w:cs="宋体"/>
          <w:sz w:val="24"/>
          <w:szCs w:val="24"/>
        </w:rPr>
        <w:fldChar w:fldCharType="separate"/>
      </w:r>
      <w:r>
        <w:rPr>
          <w:rFonts w:hint="eastAsia" w:ascii="宋体" w:hAnsi="宋体" w:cs="宋体"/>
          <w:sz w:val="24"/>
          <w:szCs w:val="24"/>
        </w:rPr>
        <w:t>32</w:t>
      </w:r>
      <w:r>
        <w:rPr>
          <w:rFonts w:hint="eastAsia" w:ascii="宋体" w:hAnsi="宋体" w:cs="宋体"/>
          <w:sz w:val="24"/>
          <w:szCs w:val="24"/>
        </w:rPr>
        <w:fldChar w:fldCharType="end"/>
      </w:r>
      <w:r>
        <w:rPr>
          <w:rFonts w:hint="eastAsia" w:ascii="宋体" w:hAnsi="宋体" w:cs="宋体"/>
          <w:sz w:val="24"/>
          <w:szCs w:val="24"/>
        </w:rPr>
        <w:fldChar w:fldCharType="end"/>
      </w:r>
    </w:p>
    <w:p w14:paraId="3DE10EF4">
      <w:pPr>
        <w:pStyle w:val="20"/>
        <w:tabs>
          <w:tab w:val="right" w:leader="dot" w:pos="9042"/>
        </w:tabs>
        <w:spacing w:line="360" w:lineRule="auto"/>
        <w:rPr>
          <w:rFonts w:ascii="宋体" w:hAnsi="宋体" w:cs="宋体"/>
          <w:sz w:val="24"/>
          <w:szCs w:val="24"/>
        </w:rPr>
      </w:pPr>
      <w:r>
        <w:fldChar w:fldCharType="begin"/>
      </w:r>
      <w:r>
        <w:instrText xml:space="preserve"> HYPERLINK \l "_Toc2432" </w:instrText>
      </w:r>
      <w:r>
        <w:fldChar w:fldCharType="separate"/>
      </w:r>
      <w:r>
        <w:rPr>
          <w:rFonts w:hint="eastAsia" w:ascii="宋体" w:hAnsi="宋体" w:cs="宋体"/>
          <w:sz w:val="24"/>
          <w:szCs w:val="24"/>
        </w:rPr>
        <w:t>第四章 服务内容及要求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_Toc2432 \h </w:instrText>
      </w:r>
      <w:r>
        <w:rPr>
          <w:rFonts w:hint="eastAsia" w:ascii="宋体" w:hAnsi="宋体" w:cs="宋体"/>
          <w:sz w:val="24"/>
          <w:szCs w:val="24"/>
        </w:rPr>
        <w:fldChar w:fldCharType="separate"/>
      </w:r>
      <w:r>
        <w:rPr>
          <w:rFonts w:hint="eastAsia" w:ascii="宋体" w:hAnsi="宋体" w:cs="宋体"/>
          <w:sz w:val="24"/>
          <w:szCs w:val="24"/>
        </w:rPr>
        <w:t>35</w:t>
      </w:r>
      <w:r>
        <w:rPr>
          <w:rFonts w:hint="eastAsia" w:ascii="宋体" w:hAnsi="宋体" w:cs="宋体"/>
          <w:sz w:val="24"/>
          <w:szCs w:val="24"/>
        </w:rPr>
        <w:fldChar w:fldCharType="end"/>
      </w:r>
      <w:r>
        <w:rPr>
          <w:rFonts w:hint="eastAsia" w:ascii="宋体" w:hAnsi="宋体" w:cs="宋体"/>
          <w:sz w:val="24"/>
          <w:szCs w:val="24"/>
        </w:rPr>
        <w:fldChar w:fldCharType="end"/>
      </w:r>
    </w:p>
    <w:p w14:paraId="5FD5793C">
      <w:pPr>
        <w:pStyle w:val="20"/>
        <w:tabs>
          <w:tab w:val="right" w:leader="dot" w:pos="9042"/>
        </w:tabs>
        <w:spacing w:line="360" w:lineRule="auto"/>
        <w:rPr>
          <w:rFonts w:ascii="宋体" w:hAnsi="宋体" w:cs="宋体"/>
          <w:sz w:val="24"/>
          <w:szCs w:val="24"/>
        </w:rPr>
      </w:pPr>
      <w:r>
        <w:fldChar w:fldCharType="begin"/>
      </w:r>
      <w:r>
        <w:instrText xml:space="preserve"> HYPERLINK \l "_Toc25178" </w:instrText>
      </w:r>
      <w:r>
        <w:fldChar w:fldCharType="separate"/>
      </w:r>
      <w:r>
        <w:rPr>
          <w:rFonts w:hint="eastAsia" w:ascii="宋体" w:hAnsi="宋体" w:cs="宋体"/>
          <w:sz w:val="24"/>
          <w:szCs w:val="24"/>
        </w:rPr>
        <w:t>第五章 合同条款及格式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_Toc25178 \h </w:instrText>
      </w:r>
      <w:r>
        <w:rPr>
          <w:rFonts w:hint="eastAsia" w:ascii="宋体" w:hAnsi="宋体" w:cs="宋体"/>
          <w:sz w:val="24"/>
          <w:szCs w:val="24"/>
        </w:rPr>
        <w:fldChar w:fldCharType="separate"/>
      </w:r>
      <w:r>
        <w:rPr>
          <w:rFonts w:hint="eastAsia" w:ascii="宋体" w:hAnsi="宋体" w:cs="宋体"/>
          <w:sz w:val="24"/>
          <w:szCs w:val="24"/>
        </w:rPr>
        <w:t>37</w:t>
      </w:r>
      <w:r>
        <w:rPr>
          <w:rFonts w:hint="eastAsia" w:ascii="宋体" w:hAnsi="宋体" w:cs="宋体"/>
          <w:sz w:val="24"/>
          <w:szCs w:val="24"/>
        </w:rPr>
        <w:fldChar w:fldCharType="end"/>
      </w:r>
      <w:r>
        <w:rPr>
          <w:rFonts w:hint="eastAsia" w:ascii="宋体" w:hAnsi="宋体" w:cs="宋体"/>
          <w:sz w:val="24"/>
          <w:szCs w:val="24"/>
        </w:rPr>
        <w:fldChar w:fldCharType="end"/>
      </w:r>
    </w:p>
    <w:p w14:paraId="6AE595D1">
      <w:pPr>
        <w:pStyle w:val="20"/>
        <w:tabs>
          <w:tab w:val="right" w:leader="dot" w:pos="9042"/>
        </w:tabs>
        <w:spacing w:line="360" w:lineRule="auto"/>
        <w:rPr>
          <w:rFonts w:ascii="宋体" w:hAnsi="宋体" w:cs="宋体"/>
          <w:sz w:val="24"/>
          <w:szCs w:val="24"/>
        </w:rPr>
      </w:pPr>
      <w:r>
        <w:fldChar w:fldCharType="begin"/>
      </w:r>
      <w:r>
        <w:instrText xml:space="preserve"> HYPERLINK \l "_Toc20683" </w:instrText>
      </w:r>
      <w:r>
        <w:fldChar w:fldCharType="separate"/>
      </w:r>
      <w:r>
        <w:rPr>
          <w:rFonts w:hint="eastAsia" w:ascii="宋体" w:hAnsi="宋体" w:cs="宋体"/>
          <w:kern w:val="0"/>
          <w:sz w:val="24"/>
          <w:szCs w:val="24"/>
        </w:rPr>
        <w:t>第六章 响应文件格式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_Toc20683 \h </w:instrText>
      </w:r>
      <w:r>
        <w:rPr>
          <w:rFonts w:hint="eastAsia" w:ascii="宋体" w:hAnsi="宋体" w:cs="宋体"/>
          <w:sz w:val="24"/>
          <w:szCs w:val="24"/>
        </w:rPr>
        <w:fldChar w:fldCharType="separate"/>
      </w:r>
      <w:r>
        <w:rPr>
          <w:rFonts w:hint="eastAsia" w:ascii="宋体" w:hAnsi="宋体" w:cs="宋体"/>
          <w:sz w:val="24"/>
          <w:szCs w:val="24"/>
        </w:rPr>
        <w:t>42</w:t>
      </w:r>
      <w:r>
        <w:rPr>
          <w:rFonts w:hint="eastAsia" w:ascii="宋体" w:hAnsi="宋体" w:cs="宋体"/>
          <w:sz w:val="24"/>
          <w:szCs w:val="24"/>
        </w:rPr>
        <w:fldChar w:fldCharType="end"/>
      </w:r>
      <w:r>
        <w:rPr>
          <w:rFonts w:hint="eastAsia" w:ascii="宋体" w:hAnsi="宋体" w:cs="宋体"/>
          <w:sz w:val="24"/>
          <w:szCs w:val="24"/>
        </w:rPr>
        <w:fldChar w:fldCharType="end"/>
      </w:r>
    </w:p>
    <w:p w14:paraId="4828639A">
      <w:pPr>
        <w:pStyle w:val="21"/>
        <w:tabs>
          <w:tab w:val="right" w:leader="dot" w:pos="9042"/>
        </w:tabs>
        <w:spacing w:line="360" w:lineRule="auto"/>
        <w:rPr>
          <w:rFonts w:ascii="宋体" w:hAnsi="宋体" w:cs="宋体"/>
          <w:sz w:val="24"/>
          <w:szCs w:val="24"/>
        </w:rPr>
      </w:pPr>
    </w:p>
    <w:p w14:paraId="161CE004">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fldChar w:fldCharType="end"/>
      </w:r>
    </w:p>
    <w:p w14:paraId="5A31B858">
      <w:pPr>
        <w:pStyle w:val="2"/>
        <w:rPr>
          <w:rFonts w:hAnsi="宋体"/>
        </w:rPr>
      </w:pPr>
    </w:p>
    <w:p w14:paraId="1B76A1E3">
      <w:pPr>
        <w:autoSpaceDE w:val="0"/>
        <w:autoSpaceDN w:val="0"/>
        <w:adjustRightInd w:val="0"/>
        <w:spacing w:line="360" w:lineRule="auto"/>
        <w:jc w:val="center"/>
        <w:rPr>
          <w:rFonts w:ascii="宋体" w:hAnsi="宋体" w:cs="宋体"/>
          <w:szCs w:val="28"/>
        </w:rPr>
      </w:pPr>
    </w:p>
    <w:p w14:paraId="36310989">
      <w:pPr>
        <w:autoSpaceDE w:val="0"/>
        <w:autoSpaceDN w:val="0"/>
        <w:adjustRightInd w:val="0"/>
        <w:spacing w:line="360" w:lineRule="auto"/>
        <w:jc w:val="center"/>
        <w:rPr>
          <w:rFonts w:ascii="宋体" w:hAnsi="宋体" w:cs="宋体"/>
          <w:szCs w:val="28"/>
        </w:rPr>
      </w:pPr>
    </w:p>
    <w:p w14:paraId="5D176D2F">
      <w:pPr>
        <w:autoSpaceDE w:val="0"/>
        <w:autoSpaceDN w:val="0"/>
        <w:adjustRightInd w:val="0"/>
        <w:spacing w:line="580" w:lineRule="exact"/>
        <w:jc w:val="center"/>
        <w:rPr>
          <w:rFonts w:ascii="宋体" w:hAnsi="宋体" w:cs="宋体"/>
          <w:b/>
          <w:sz w:val="32"/>
        </w:rPr>
      </w:pPr>
    </w:p>
    <w:p w14:paraId="28410A9D">
      <w:pPr>
        <w:autoSpaceDE w:val="0"/>
        <w:autoSpaceDN w:val="0"/>
        <w:adjustRightInd w:val="0"/>
        <w:spacing w:line="580" w:lineRule="exact"/>
        <w:jc w:val="center"/>
        <w:rPr>
          <w:rFonts w:ascii="宋体" w:hAnsi="宋体" w:cs="宋体"/>
          <w:b/>
          <w:sz w:val="32"/>
        </w:rPr>
      </w:pPr>
    </w:p>
    <w:p w14:paraId="23874690">
      <w:pPr>
        <w:pStyle w:val="23"/>
        <w:rPr>
          <w:rStyle w:val="40"/>
          <w:rFonts w:ascii="宋体" w:hAnsi="宋体" w:eastAsia="宋体" w:cs="宋体"/>
          <w:b/>
          <w:bCs/>
        </w:rPr>
      </w:pPr>
      <w:bookmarkStart w:id="0" w:name="_Toc9011"/>
      <w:r>
        <w:rPr>
          <w:rFonts w:hint="eastAsia" w:ascii="宋体" w:hAnsi="宋体" w:cs="宋体"/>
        </w:rPr>
        <w:t>第一章</w:t>
      </w:r>
      <w:bookmarkStart w:id="1" w:name="_Toc25160321"/>
      <w:bookmarkStart w:id="2" w:name="_Toc25160825"/>
      <w:r>
        <w:rPr>
          <w:rStyle w:val="40"/>
          <w:rFonts w:hint="eastAsia" w:ascii="宋体" w:hAnsi="宋体" w:eastAsia="宋体" w:cs="宋体"/>
          <w:b/>
          <w:bCs/>
        </w:rPr>
        <w:t xml:space="preserve"> 竞争性磋商</w:t>
      </w:r>
      <w:bookmarkEnd w:id="1"/>
      <w:r>
        <w:rPr>
          <w:rStyle w:val="40"/>
          <w:rFonts w:hint="eastAsia" w:ascii="宋体" w:hAnsi="宋体" w:eastAsia="宋体" w:cs="宋体"/>
          <w:b/>
          <w:bCs/>
        </w:rPr>
        <w:t>公告</w:t>
      </w:r>
      <w:bookmarkEnd w:id="0"/>
      <w:bookmarkEnd w:id="2"/>
    </w:p>
    <w:p w14:paraId="68FDCC6A">
      <w:pPr>
        <w:pStyle w:val="135"/>
        <w:rPr>
          <w:rFonts w:ascii="宋体" w:hAnsi="宋体" w:cs="宋体"/>
        </w:rPr>
      </w:pPr>
      <w:r>
        <w:rPr>
          <w:rFonts w:hint="eastAsia" w:ascii="宋体" w:hAnsi="宋体" w:cs="宋体"/>
        </w:rPr>
        <w:t>窗体顶端</w:t>
      </w:r>
    </w:p>
    <w:p w14:paraId="71081F2E">
      <w:pPr>
        <w:pStyle w:val="7"/>
        <w:widowControl/>
        <w:adjustRightInd w:val="0"/>
        <w:snapToGrid w:val="0"/>
        <w:spacing w:line="360" w:lineRule="auto"/>
        <w:rPr>
          <w:rFonts w:hint="default" w:cs="宋体"/>
          <w:sz w:val="24"/>
          <w:szCs w:val="24"/>
          <w:shd w:val="clear" w:color="auto" w:fill="FFFFFF"/>
        </w:rPr>
      </w:pPr>
      <w:r>
        <w:rPr>
          <w:rFonts w:cs="宋体"/>
          <w:bCs w:val="0"/>
          <w:kern w:val="2"/>
          <w:sz w:val="24"/>
          <w:szCs w:val="24"/>
          <w:shd w:val="clear" w:color="auto" w:fill="FFFFFF"/>
        </w:rPr>
        <w:t>【平公资采20251206号】</w:t>
      </w:r>
      <w:r>
        <w:rPr>
          <w:rFonts w:cs="宋体"/>
          <w:sz w:val="24"/>
          <w:szCs w:val="24"/>
          <w:shd w:val="clear" w:color="auto" w:fill="FFFFFF"/>
        </w:rPr>
        <w:t>平顶山市财政局2026至2027年保安服务项目竞争性磋商公告</w:t>
      </w:r>
    </w:p>
    <w:p w14:paraId="7A65327C">
      <w:pPr>
        <w:pStyle w:val="10"/>
        <w:adjustRightInd w:val="0"/>
        <w:snapToGrid w:val="0"/>
        <w:spacing w:line="372" w:lineRule="auto"/>
        <w:rPr>
          <w:rFonts w:ascii="宋体" w:hAnsi="宋体" w:cs="宋体"/>
          <w:sz w:val="24"/>
          <w:szCs w:val="24"/>
        </w:rPr>
      </w:pPr>
      <w:r>
        <w:rPr>
          <w:rFonts w:hint="eastAsia" w:ascii="宋体" w:hAnsi="宋体" w:cs="宋体"/>
          <w:sz w:val="24"/>
          <w:szCs w:val="24"/>
        </w:rPr>
        <w:t>项目概况</w:t>
      </w:r>
    </w:p>
    <w:p w14:paraId="56E258EE">
      <w:pPr>
        <w:pStyle w:val="10"/>
        <w:adjustRightInd w:val="0"/>
        <w:snapToGrid w:val="0"/>
        <w:spacing w:line="372" w:lineRule="auto"/>
        <w:ind w:firstLine="480" w:firstLineChars="200"/>
        <w:rPr>
          <w:rFonts w:ascii="宋体" w:hAnsi="宋体" w:cs="宋体"/>
          <w:color w:val="FF0000"/>
          <w:sz w:val="24"/>
          <w:szCs w:val="24"/>
        </w:rPr>
      </w:pPr>
      <w:r>
        <w:rPr>
          <w:rFonts w:hint="eastAsia" w:ascii="宋体" w:hAnsi="宋体" w:cs="宋体"/>
          <w:bCs/>
          <w:sz w:val="24"/>
          <w:szCs w:val="24"/>
          <w:shd w:val="clear" w:color="auto" w:fill="FFFFFF"/>
        </w:rPr>
        <w:t>平顶山市财政局2026至2027年保安服务项目招标项目</w:t>
      </w:r>
      <w:r>
        <w:rPr>
          <w:rFonts w:hint="eastAsia" w:ascii="宋体" w:hAnsi="宋体" w:cs="宋体"/>
          <w:sz w:val="24"/>
          <w:szCs w:val="24"/>
        </w:rPr>
        <w:t>的潜在</w:t>
      </w:r>
      <w:r>
        <w:rPr>
          <w:rFonts w:hint="eastAsia" w:ascii="宋体" w:hAnsi="宋体" w:cs="宋体"/>
          <w:bCs/>
          <w:sz w:val="24"/>
          <w:szCs w:val="24"/>
          <w:shd w:val="clear" w:color="auto" w:fill="FFFFFF"/>
        </w:rPr>
        <w:t>投标人应在《全国公共资源交易平台（河南省·平顶山市）》（网址：http://ggzy.pds.gov.cn/）获取采购文件</w:t>
      </w:r>
      <w:r>
        <w:fldChar w:fldCharType="begin"/>
      </w:r>
      <w:r>
        <w:instrText xml:space="preserve"> HYPERLINK "http://www.pdsggzy.com/）获取招标文件，并于2022年" </w:instrText>
      </w:r>
      <w:r>
        <w:fldChar w:fldCharType="separate"/>
      </w:r>
      <w:r>
        <w:rPr>
          <w:rFonts w:hint="eastAsia" w:ascii="宋体" w:hAnsi="宋体" w:cs="宋体"/>
          <w:b/>
          <w:bCs/>
          <w:sz w:val="24"/>
          <w:szCs w:val="24"/>
        </w:rPr>
        <w:t>，</w:t>
      </w:r>
      <w:r>
        <w:rPr>
          <w:rFonts w:hint="eastAsia" w:ascii="宋体" w:hAnsi="宋体" w:cs="宋体"/>
          <w:sz w:val="24"/>
          <w:szCs w:val="24"/>
        </w:rPr>
        <w:t>并于</w:t>
      </w:r>
      <w:r>
        <w:rPr>
          <w:rFonts w:hint="eastAsia" w:ascii="宋体" w:hAnsi="宋体" w:cs="宋体"/>
          <w:b/>
          <w:bCs/>
          <w:sz w:val="24"/>
          <w:szCs w:val="24"/>
        </w:rPr>
        <w:t>2025年</w:t>
      </w:r>
      <w:r>
        <w:rPr>
          <w:rFonts w:hint="eastAsia" w:ascii="宋体" w:hAnsi="宋体" w:cs="宋体"/>
          <w:b/>
          <w:bCs/>
          <w:sz w:val="24"/>
          <w:szCs w:val="24"/>
        </w:rPr>
        <w:fldChar w:fldCharType="end"/>
      </w:r>
      <w:r>
        <w:rPr>
          <w:rFonts w:hint="eastAsia" w:ascii="宋体" w:hAnsi="宋体" w:cs="宋体"/>
          <w:b/>
          <w:bCs/>
          <w:sz w:val="24"/>
          <w:szCs w:val="24"/>
        </w:rPr>
        <w:t>12月23日9时30分</w:t>
      </w:r>
      <w:r>
        <w:rPr>
          <w:rFonts w:hint="eastAsia" w:ascii="宋体" w:hAnsi="宋体" w:cs="宋体"/>
          <w:sz w:val="24"/>
          <w:szCs w:val="24"/>
        </w:rPr>
        <w:t>（北京时间）前递交响应文件。</w:t>
      </w:r>
    </w:p>
    <w:p w14:paraId="7B4C7D01">
      <w:pPr>
        <w:widowControl/>
        <w:adjustRightInd w:val="0"/>
        <w:snapToGrid w:val="0"/>
        <w:spacing w:line="372" w:lineRule="auto"/>
        <w:rPr>
          <w:rFonts w:ascii="宋体" w:hAnsi="宋体" w:cs="宋体"/>
          <w:b/>
          <w:sz w:val="24"/>
          <w:szCs w:val="24"/>
          <w:shd w:val="clear" w:color="auto" w:fill="FFFFFF"/>
        </w:rPr>
      </w:pPr>
      <w:r>
        <w:rPr>
          <w:rFonts w:hint="eastAsia" w:ascii="宋体" w:hAnsi="宋体" w:cs="宋体"/>
          <w:b/>
          <w:sz w:val="24"/>
          <w:szCs w:val="24"/>
          <w:shd w:val="clear" w:color="auto" w:fill="FFFFFF"/>
        </w:rPr>
        <w:t>一、项目基本情况：</w:t>
      </w:r>
    </w:p>
    <w:p w14:paraId="17616B31">
      <w:pPr>
        <w:pStyle w:val="22"/>
        <w:shd w:val="clear" w:color="auto" w:fill="FFFFFF"/>
        <w:adjustRightInd w:val="0"/>
        <w:snapToGrid w:val="0"/>
        <w:spacing w:beforeAutospacing="0" w:afterAutospacing="0" w:line="372" w:lineRule="auto"/>
        <w:ind w:firstLine="480" w:firstLineChars="200"/>
        <w:rPr>
          <w:rFonts w:ascii="宋体" w:hAnsi="宋体" w:eastAsia="宋体" w:cs="宋体"/>
          <w:bCs/>
          <w:kern w:val="2"/>
          <w:szCs w:val="24"/>
          <w:shd w:val="clear" w:color="auto" w:fill="FFFFFF"/>
        </w:rPr>
      </w:pPr>
      <w:r>
        <w:rPr>
          <w:rFonts w:hint="eastAsia" w:ascii="宋体" w:hAnsi="宋体" w:eastAsia="宋体" w:cs="宋体"/>
          <w:bCs/>
          <w:kern w:val="2"/>
          <w:szCs w:val="24"/>
          <w:shd w:val="clear" w:color="auto" w:fill="FFFFFF"/>
        </w:rPr>
        <w:t>1.项目编号：平采磋商-2025-141</w:t>
      </w:r>
    </w:p>
    <w:p w14:paraId="1D4005DB">
      <w:pPr>
        <w:widowControl/>
        <w:adjustRightInd w:val="0"/>
        <w:snapToGrid w:val="0"/>
        <w:spacing w:line="372" w:lineRule="auto"/>
        <w:ind w:firstLine="480" w:firstLineChars="200"/>
        <w:rPr>
          <w:rFonts w:ascii="宋体" w:hAnsi="宋体" w:cs="宋体"/>
          <w:bCs/>
          <w:kern w:val="0"/>
          <w:sz w:val="24"/>
          <w:szCs w:val="24"/>
          <w:shd w:val="clear" w:color="auto" w:fill="FFFFFF"/>
        </w:rPr>
      </w:pPr>
      <w:r>
        <w:rPr>
          <w:rFonts w:hint="eastAsia" w:ascii="宋体" w:hAnsi="宋体" w:cs="宋体"/>
          <w:bCs/>
          <w:sz w:val="24"/>
          <w:szCs w:val="24"/>
          <w:shd w:val="clear" w:color="auto" w:fill="FFFFFF"/>
        </w:rPr>
        <w:t>2.项目名称：平顶山市财政局2026至2027年保安服务项目</w:t>
      </w:r>
    </w:p>
    <w:p w14:paraId="42471963">
      <w:pPr>
        <w:pStyle w:val="22"/>
        <w:shd w:val="clear" w:color="auto" w:fill="FFFFFF"/>
        <w:adjustRightInd w:val="0"/>
        <w:snapToGrid w:val="0"/>
        <w:spacing w:beforeAutospacing="0" w:afterAutospacing="0" w:line="372" w:lineRule="auto"/>
        <w:ind w:firstLine="480" w:firstLineChars="200"/>
        <w:rPr>
          <w:rFonts w:ascii="宋体" w:hAnsi="宋体" w:eastAsia="宋体" w:cs="宋体"/>
          <w:bCs/>
          <w:szCs w:val="24"/>
          <w:shd w:val="clear" w:color="auto" w:fill="FFFFFF"/>
        </w:rPr>
      </w:pPr>
      <w:r>
        <w:rPr>
          <w:rFonts w:hint="eastAsia" w:ascii="宋体" w:hAnsi="宋体" w:eastAsia="宋体" w:cs="宋体"/>
          <w:bCs/>
          <w:szCs w:val="24"/>
          <w:shd w:val="clear" w:color="auto" w:fill="FFFFFF"/>
        </w:rPr>
        <w:t>3.采购方式：竞争性磋商</w:t>
      </w:r>
    </w:p>
    <w:p w14:paraId="5BBB2980">
      <w:pPr>
        <w:pStyle w:val="22"/>
        <w:shd w:val="clear" w:color="auto" w:fill="FFFFFF"/>
        <w:adjustRightInd w:val="0"/>
        <w:snapToGrid w:val="0"/>
        <w:spacing w:beforeAutospacing="0" w:afterAutospacing="0" w:line="372" w:lineRule="auto"/>
        <w:ind w:firstLine="480" w:firstLineChars="200"/>
        <w:rPr>
          <w:rFonts w:ascii="宋体" w:hAnsi="宋体" w:eastAsia="宋体" w:cs="宋体"/>
          <w:bCs/>
          <w:szCs w:val="24"/>
          <w:shd w:val="clear" w:color="auto" w:fill="FFFFFF"/>
        </w:rPr>
      </w:pPr>
      <w:r>
        <w:rPr>
          <w:rFonts w:hint="eastAsia" w:ascii="宋体" w:hAnsi="宋体" w:eastAsia="宋体" w:cs="宋体"/>
          <w:bCs/>
          <w:szCs w:val="24"/>
          <w:shd w:val="clear" w:color="auto" w:fill="FFFFFF"/>
        </w:rPr>
        <w:t>4.预算金额：1500000.00元</w:t>
      </w:r>
    </w:p>
    <w:p w14:paraId="449103D3">
      <w:pPr>
        <w:pStyle w:val="22"/>
        <w:shd w:val="clear" w:color="auto" w:fill="FFFFFF"/>
        <w:adjustRightInd w:val="0"/>
        <w:snapToGrid w:val="0"/>
        <w:spacing w:beforeAutospacing="0" w:afterAutospacing="0" w:line="372" w:lineRule="auto"/>
        <w:ind w:firstLine="720" w:firstLineChars="300"/>
        <w:rPr>
          <w:rFonts w:ascii="宋体" w:hAnsi="宋体" w:eastAsia="宋体" w:cs="宋体"/>
          <w:bCs/>
          <w:szCs w:val="24"/>
          <w:shd w:val="clear" w:color="auto" w:fill="FFFFFF"/>
        </w:rPr>
      </w:pPr>
      <w:r>
        <w:rPr>
          <w:rFonts w:hint="eastAsia" w:ascii="宋体" w:hAnsi="宋体" w:eastAsia="宋体" w:cs="宋体"/>
          <w:bCs/>
          <w:szCs w:val="24"/>
          <w:shd w:val="clear" w:color="auto" w:fill="FFFFFF"/>
        </w:rPr>
        <w:t>最高限价：1500000.00元</w:t>
      </w:r>
    </w:p>
    <w:tbl>
      <w:tblPr>
        <w:tblStyle w:val="28"/>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278"/>
        <w:gridCol w:w="2036"/>
        <w:gridCol w:w="1486"/>
        <w:gridCol w:w="1539"/>
        <w:gridCol w:w="1539"/>
        <w:gridCol w:w="1539"/>
      </w:tblGrid>
      <w:tr w14:paraId="1374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60" w:type="dxa"/>
            <w:vAlign w:val="center"/>
          </w:tcPr>
          <w:p w14:paraId="59638FA3">
            <w:pPr>
              <w:pStyle w:val="22"/>
              <w:shd w:val="clear" w:color="auto" w:fill="FFFFFF"/>
              <w:adjustRightInd w:val="0"/>
              <w:snapToGrid w:val="0"/>
              <w:spacing w:beforeAutospacing="0" w:afterAutospacing="0"/>
              <w:jc w:val="center"/>
              <w:rPr>
                <w:rFonts w:ascii="宋体" w:hAnsi="宋体" w:eastAsia="宋体" w:cs="宋体"/>
                <w:bCs/>
                <w:szCs w:val="24"/>
                <w:shd w:val="clear" w:color="auto" w:fill="FFFFFF"/>
              </w:rPr>
            </w:pPr>
            <w:r>
              <w:rPr>
                <w:rFonts w:hint="eastAsia" w:ascii="宋体" w:hAnsi="宋体" w:eastAsia="宋体" w:cs="宋体"/>
                <w:bCs/>
                <w:szCs w:val="24"/>
                <w:shd w:val="clear" w:color="auto" w:fill="FFFFFF"/>
              </w:rPr>
              <w:t>序号</w:t>
            </w:r>
          </w:p>
        </w:tc>
        <w:tc>
          <w:tcPr>
            <w:tcW w:w="1278" w:type="dxa"/>
            <w:vAlign w:val="center"/>
          </w:tcPr>
          <w:p w14:paraId="5CB9FEB7">
            <w:pPr>
              <w:pStyle w:val="22"/>
              <w:shd w:val="clear" w:color="auto" w:fill="FFFFFF"/>
              <w:adjustRightInd w:val="0"/>
              <w:snapToGrid w:val="0"/>
              <w:spacing w:beforeAutospacing="0" w:afterAutospacing="0"/>
              <w:jc w:val="center"/>
              <w:rPr>
                <w:rFonts w:ascii="宋体" w:hAnsi="宋体" w:eastAsia="宋体" w:cs="宋体"/>
                <w:bCs/>
                <w:szCs w:val="24"/>
                <w:shd w:val="clear" w:color="auto" w:fill="FFFFFF"/>
              </w:rPr>
            </w:pPr>
            <w:r>
              <w:rPr>
                <w:rFonts w:hint="eastAsia" w:ascii="宋体" w:hAnsi="宋体" w:eastAsia="宋体" w:cs="宋体"/>
                <w:bCs/>
                <w:szCs w:val="24"/>
                <w:shd w:val="clear" w:color="auto" w:fill="FFFFFF"/>
              </w:rPr>
              <w:t>包号</w:t>
            </w:r>
          </w:p>
        </w:tc>
        <w:tc>
          <w:tcPr>
            <w:tcW w:w="2036" w:type="dxa"/>
            <w:vAlign w:val="center"/>
          </w:tcPr>
          <w:p w14:paraId="1C5B69AB">
            <w:pPr>
              <w:pStyle w:val="22"/>
              <w:shd w:val="clear" w:color="auto" w:fill="FFFFFF"/>
              <w:adjustRightInd w:val="0"/>
              <w:snapToGrid w:val="0"/>
              <w:spacing w:beforeAutospacing="0" w:afterAutospacing="0"/>
              <w:jc w:val="center"/>
              <w:rPr>
                <w:rFonts w:ascii="宋体" w:hAnsi="宋体" w:eastAsia="宋体" w:cs="宋体"/>
                <w:bCs/>
                <w:szCs w:val="24"/>
                <w:shd w:val="clear" w:color="auto" w:fill="FFFFFF"/>
              </w:rPr>
            </w:pPr>
            <w:r>
              <w:rPr>
                <w:rFonts w:hint="eastAsia" w:ascii="宋体" w:hAnsi="宋体" w:eastAsia="宋体" w:cs="宋体"/>
                <w:bCs/>
                <w:szCs w:val="24"/>
                <w:shd w:val="clear" w:color="auto" w:fill="FFFFFF"/>
              </w:rPr>
              <w:t>包名称</w:t>
            </w:r>
          </w:p>
        </w:tc>
        <w:tc>
          <w:tcPr>
            <w:tcW w:w="1486" w:type="dxa"/>
            <w:vAlign w:val="center"/>
          </w:tcPr>
          <w:p w14:paraId="26F766B0">
            <w:pPr>
              <w:pStyle w:val="22"/>
              <w:shd w:val="clear" w:color="auto" w:fill="FFFFFF"/>
              <w:adjustRightInd w:val="0"/>
              <w:snapToGrid w:val="0"/>
              <w:spacing w:beforeAutospacing="0" w:afterAutospacing="0"/>
              <w:jc w:val="center"/>
              <w:rPr>
                <w:rFonts w:ascii="宋体" w:hAnsi="宋体" w:eastAsia="宋体" w:cs="宋体"/>
                <w:bCs/>
                <w:szCs w:val="24"/>
                <w:shd w:val="clear" w:color="auto" w:fill="FFFFFF"/>
              </w:rPr>
            </w:pPr>
            <w:r>
              <w:rPr>
                <w:rFonts w:hint="eastAsia" w:ascii="宋体" w:hAnsi="宋体" w:eastAsia="宋体" w:cs="宋体"/>
                <w:bCs/>
                <w:szCs w:val="24"/>
                <w:shd w:val="clear" w:color="auto" w:fill="FFFFFF"/>
              </w:rPr>
              <w:t>包预算（元）</w:t>
            </w:r>
          </w:p>
        </w:tc>
        <w:tc>
          <w:tcPr>
            <w:tcW w:w="1539" w:type="dxa"/>
            <w:vAlign w:val="center"/>
          </w:tcPr>
          <w:p w14:paraId="129E3C90">
            <w:pPr>
              <w:pStyle w:val="22"/>
              <w:shd w:val="clear" w:color="auto" w:fill="FFFFFF"/>
              <w:adjustRightInd w:val="0"/>
              <w:snapToGrid w:val="0"/>
              <w:spacing w:beforeAutospacing="0" w:afterAutospacing="0"/>
              <w:jc w:val="center"/>
              <w:rPr>
                <w:rFonts w:ascii="宋体" w:hAnsi="宋体" w:eastAsia="宋体" w:cs="宋体"/>
                <w:bCs/>
                <w:szCs w:val="24"/>
                <w:shd w:val="clear" w:color="auto" w:fill="FFFFFF"/>
              </w:rPr>
            </w:pPr>
            <w:r>
              <w:rPr>
                <w:rFonts w:hint="eastAsia" w:ascii="宋体" w:hAnsi="宋体" w:eastAsia="宋体" w:cs="宋体"/>
                <w:bCs/>
                <w:szCs w:val="24"/>
                <w:shd w:val="clear" w:color="auto" w:fill="FFFFFF"/>
              </w:rPr>
              <w:t>包最高限价（元）</w:t>
            </w:r>
          </w:p>
        </w:tc>
        <w:tc>
          <w:tcPr>
            <w:tcW w:w="1539" w:type="dxa"/>
            <w:vAlign w:val="center"/>
          </w:tcPr>
          <w:p w14:paraId="0F5D8E60">
            <w:pPr>
              <w:adjustRightInd w:val="0"/>
              <w:snapToGrid w:val="0"/>
              <w:rPr>
                <w:rFonts w:ascii="宋体" w:hAnsi="宋体" w:cs="宋体"/>
                <w:bCs/>
                <w:szCs w:val="24"/>
                <w:shd w:val="clear" w:color="auto" w:fill="FFFFFF"/>
              </w:rPr>
            </w:pPr>
            <w:r>
              <w:rPr>
                <w:rFonts w:hint="eastAsia" w:ascii="宋体" w:hAnsi="宋体" w:cs="宋体"/>
                <w:color w:val="000000"/>
                <w:sz w:val="24"/>
              </w:rPr>
              <w:t>是否专门面向中小企业</w:t>
            </w:r>
          </w:p>
        </w:tc>
        <w:tc>
          <w:tcPr>
            <w:tcW w:w="1539" w:type="dxa"/>
            <w:vAlign w:val="center"/>
          </w:tcPr>
          <w:p w14:paraId="21AAFEE7">
            <w:pPr>
              <w:adjustRightInd w:val="0"/>
              <w:snapToGrid w:val="0"/>
              <w:rPr>
                <w:rFonts w:ascii="宋体" w:hAnsi="宋体" w:cs="宋体"/>
                <w:bCs/>
                <w:szCs w:val="24"/>
                <w:shd w:val="clear" w:color="auto" w:fill="FFFFFF"/>
              </w:rPr>
            </w:pPr>
            <w:r>
              <w:rPr>
                <w:rFonts w:hint="eastAsia" w:ascii="宋体" w:hAnsi="宋体" w:cs="宋体"/>
                <w:color w:val="000000"/>
                <w:sz w:val="24"/>
              </w:rPr>
              <w:t>采购预留金额（元）</w:t>
            </w:r>
          </w:p>
        </w:tc>
      </w:tr>
      <w:tr w14:paraId="1543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dxa"/>
            <w:vAlign w:val="center"/>
          </w:tcPr>
          <w:p w14:paraId="4468147E">
            <w:pPr>
              <w:pStyle w:val="22"/>
              <w:shd w:val="clear" w:color="auto" w:fill="FFFFFF"/>
              <w:adjustRightInd w:val="0"/>
              <w:snapToGrid w:val="0"/>
              <w:spacing w:beforeAutospacing="0" w:afterAutospacing="0"/>
              <w:jc w:val="center"/>
              <w:rPr>
                <w:rFonts w:ascii="宋体" w:hAnsi="宋体" w:eastAsia="宋体" w:cs="宋体"/>
                <w:bCs/>
                <w:szCs w:val="24"/>
                <w:shd w:val="clear" w:color="auto" w:fill="FFFFFF"/>
              </w:rPr>
            </w:pPr>
            <w:r>
              <w:rPr>
                <w:rFonts w:hint="eastAsia" w:ascii="宋体" w:hAnsi="宋体" w:eastAsia="宋体" w:cs="宋体"/>
                <w:bCs/>
                <w:szCs w:val="24"/>
                <w:shd w:val="clear" w:color="auto" w:fill="FFFFFF"/>
              </w:rPr>
              <w:t>1</w:t>
            </w:r>
          </w:p>
        </w:tc>
        <w:tc>
          <w:tcPr>
            <w:tcW w:w="1278" w:type="dxa"/>
            <w:vAlign w:val="center"/>
          </w:tcPr>
          <w:p w14:paraId="03C43C0C">
            <w:pPr>
              <w:pStyle w:val="22"/>
              <w:shd w:val="clear" w:color="auto" w:fill="FFFFFF"/>
              <w:adjustRightInd w:val="0"/>
              <w:snapToGrid w:val="0"/>
              <w:spacing w:beforeAutospacing="0" w:afterAutospacing="0"/>
              <w:jc w:val="center"/>
              <w:rPr>
                <w:rFonts w:ascii="宋体" w:hAnsi="宋体" w:eastAsia="宋体" w:cs="宋体"/>
                <w:bCs/>
                <w:szCs w:val="24"/>
                <w:shd w:val="clear" w:color="auto" w:fill="FFFFFF"/>
              </w:rPr>
            </w:pPr>
            <w:r>
              <w:rPr>
                <w:rFonts w:hint="eastAsia" w:ascii="宋体" w:hAnsi="宋体" w:eastAsia="宋体" w:cs="宋体"/>
                <w:bCs/>
                <w:szCs w:val="24"/>
                <w:shd w:val="clear" w:color="auto" w:fill="FFFFFF"/>
              </w:rPr>
              <w:t>平公资采20251206号-1</w:t>
            </w:r>
          </w:p>
        </w:tc>
        <w:tc>
          <w:tcPr>
            <w:tcW w:w="2036" w:type="dxa"/>
            <w:vAlign w:val="center"/>
          </w:tcPr>
          <w:p w14:paraId="75A04683">
            <w:pPr>
              <w:pStyle w:val="22"/>
              <w:shd w:val="clear" w:color="auto" w:fill="FFFFFF"/>
              <w:adjustRightInd w:val="0"/>
              <w:snapToGrid w:val="0"/>
              <w:spacing w:beforeAutospacing="0" w:afterAutospacing="0"/>
              <w:jc w:val="center"/>
              <w:rPr>
                <w:rFonts w:ascii="宋体" w:hAnsi="宋体" w:eastAsia="宋体" w:cs="宋体"/>
                <w:bCs/>
                <w:szCs w:val="24"/>
                <w:shd w:val="clear" w:color="auto" w:fill="FFFFFF"/>
              </w:rPr>
            </w:pPr>
            <w:r>
              <w:rPr>
                <w:rFonts w:hint="eastAsia" w:ascii="宋体" w:hAnsi="宋体" w:eastAsia="宋体" w:cs="宋体"/>
                <w:bCs/>
                <w:szCs w:val="24"/>
                <w:shd w:val="clear" w:color="auto" w:fill="FFFFFF"/>
              </w:rPr>
              <w:t>平顶山市财政局2026至2027年保安服务项目</w:t>
            </w:r>
          </w:p>
        </w:tc>
        <w:tc>
          <w:tcPr>
            <w:tcW w:w="1486" w:type="dxa"/>
            <w:vAlign w:val="center"/>
          </w:tcPr>
          <w:p w14:paraId="3BC229FA">
            <w:pPr>
              <w:shd w:val="clear" w:color="auto" w:fill="FFFFFF"/>
              <w:adjustRightInd w:val="0"/>
              <w:snapToGrid w:val="0"/>
              <w:jc w:val="center"/>
              <w:rPr>
                <w:rFonts w:ascii="宋体" w:hAnsi="宋体" w:cs="宋体"/>
                <w:bCs/>
                <w:sz w:val="24"/>
                <w:szCs w:val="24"/>
                <w:shd w:val="clear" w:color="auto" w:fill="FFFFFF"/>
              </w:rPr>
            </w:pPr>
            <w:r>
              <w:rPr>
                <w:rFonts w:hint="eastAsia" w:ascii="宋体" w:hAnsi="宋体" w:cs="宋体"/>
                <w:bCs/>
                <w:sz w:val="24"/>
                <w:szCs w:val="24"/>
                <w:shd w:val="clear" w:color="auto" w:fill="FFFFFF"/>
              </w:rPr>
              <w:t>1500000.00</w:t>
            </w:r>
          </w:p>
        </w:tc>
        <w:tc>
          <w:tcPr>
            <w:tcW w:w="1539" w:type="dxa"/>
            <w:vAlign w:val="center"/>
          </w:tcPr>
          <w:p w14:paraId="704E610B">
            <w:pPr>
              <w:shd w:val="clear" w:color="auto" w:fill="FFFFFF"/>
              <w:adjustRightInd w:val="0"/>
              <w:snapToGrid w:val="0"/>
              <w:jc w:val="center"/>
              <w:rPr>
                <w:rFonts w:ascii="宋体" w:hAnsi="宋体" w:cs="宋体"/>
                <w:bCs/>
                <w:sz w:val="24"/>
                <w:szCs w:val="24"/>
                <w:shd w:val="clear" w:color="auto" w:fill="FFFFFF"/>
              </w:rPr>
            </w:pPr>
            <w:r>
              <w:rPr>
                <w:rFonts w:hint="eastAsia" w:ascii="宋体" w:hAnsi="宋体" w:cs="宋体"/>
                <w:bCs/>
                <w:sz w:val="24"/>
                <w:szCs w:val="24"/>
                <w:shd w:val="clear" w:color="auto" w:fill="FFFFFF"/>
              </w:rPr>
              <w:t>1500000.00</w:t>
            </w:r>
          </w:p>
        </w:tc>
        <w:tc>
          <w:tcPr>
            <w:tcW w:w="1539" w:type="dxa"/>
            <w:vAlign w:val="center"/>
          </w:tcPr>
          <w:p w14:paraId="727F25D7">
            <w:pPr>
              <w:shd w:val="clear" w:color="auto" w:fill="FFFFFF"/>
              <w:adjustRightInd w:val="0"/>
              <w:snapToGrid w:val="0"/>
              <w:jc w:val="center"/>
              <w:rPr>
                <w:rFonts w:ascii="宋体" w:hAnsi="宋体" w:cs="宋体"/>
                <w:bCs/>
                <w:sz w:val="24"/>
                <w:szCs w:val="24"/>
                <w:shd w:val="clear" w:color="auto" w:fill="FFFFFF"/>
              </w:rPr>
            </w:pPr>
            <w:r>
              <w:rPr>
                <w:rFonts w:hint="eastAsia" w:ascii="宋体" w:hAnsi="宋体" w:cs="宋体"/>
                <w:bCs/>
                <w:sz w:val="24"/>
                <w:szCs w:val="24"/>
                <w:shd w:val="clear" w:color="auto" w:fill="FFFFFF"/>
              </w:rPr>
              <w:t>是</w:t>
            </w:r>
          </w:p>
        </w:tc>
        <w:tc>
          <w:tcPr>
            <w:tcW w:w="1539" w:type="dxa"/>
            <w:vAlign w:val="center"/>
          </w:tcPr>
          <w:p w14:paraId="16D42D20">
            <w:pPr>
              <w:shd w:val="clear" w:color="auto" w:fill="FFFFFF"/>
              <w:adjustRightInd w:val="0"/>
              <w:snapToGrid w:val="0"/>
              <w:jc w:val="center"/>
              <w:rPr>
                <w:rFonts w:ascii="宋体" w:hAnsi="宋体" w:cs="宋体"/>
                <w:bCs/>
                <w:sz w:val="24"/>
                <w:szCs w:val="24"/>
                <w:shd w:val="clear" w:color="auto" w:fill="FFFFFF"/>
              </w:rPr>
            </w:pPr>
            <w:r>
              <w:rPr>
                <w:rFonts w:hint="eastAsia" w:ascii="宋体" w:hAnsi="宋体" w:cs="宋体"/>
                <w:bCs/>
                <w:sz w:val="24"/>
                <w:szCs w:val="24"/>
                <w:shd w:val="clear" w:color="auto" w:fill="FFFFFF"/>
              </w:rPr>
              <w:t>1500000.00</w:t>
            </w:r>
          </w:p>
        </w:tc>
      </w:tr>
    </w:tbl>
    <w:p w14:paraId="7FDC0353">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5.采购需求（包括但不限于标的的名称、数量、简要技术要求或服务要求等）</w:t>
      </w:r>
    </w:p>
    <w:p w14:paraId="3299D994">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5.1采购内容：平顶山市财政局2026至2027年保安服务项目，包含以下服务：甲方指定办公区域来访人员的证件检验、登记；门卫、守护和巡逻，公共秩序维护，治安及其他突发事件处理；防盗、防火报警监控设备运行维修管理；院内道路交通管理，机动车和非机动车停放管理等；甲方安排的其他临时性工作任务。</w:t>
      </w:r>
    </w:p>
    <w:p w14:paraId="1BFBF511">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5.2资金来源及落实情况：财政资金，已落实；</w:t>
      </w:r>
    </w:p>
    <w:p w14:paraId="427C7393">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5.3服务地点：平顶山市财政局，采购人指定地点；</w:t>
      </w:r>
    </w:p>
    <w:p w14:paraId="0DFE4E3D">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5.4质量要求：</w:t>
      </w:r>
      <w:r>
        <w:rPr>
          <w:rFonts w:hint="eastAsia" w:ascii="宋体" w:hAnsi="宋体" w:eastAsia="宋体" w:cs="宋体"/>
        </w:rPr>
        <w:t>合格，符合国家及行业标准；</w:t>
      </w:r>
    </w:p>
    <w:p w14:paraId="3A45E04E">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5.5服务期限：两年；</w:t>
      </w:r>
    </w:p>
    <w:p w14:paraId="1E107C46">
      <w:pPr>
        <w:pStyle w:val="22"/>
        <w:shd w:val="clear" w:color="auto" w:fill="FFFFFF"/>
        <w:adjustRightInd w:val="0"/>
        <w:snapToGrid w:val="0"/>
        <w:spacing w:beforeAutospacing="0" w:afterAutospacing="0" w:line="372" w:lineRule="auto"/>
        <w:ind w:firstLine="480" w:firstLineChars="200"/>
        <w:rPr>
          <w:rFonts w:ascii="宋体" w:hAnsi="宋体" w:eastAsia="宋体" w:cs="宋体"/>
          <w:bCs/>
          <w:kern w:val="2"/>
          <w:szCs w:val="24"/>
          <w:shd w:val="clear" w:color="auto" w:fill="FFFFFF"/>
        </w:rPr>
      </w:pPr>
      <w:r>
        <w:rPr>
          <w:rFonts w:hint="eastAsia" w:ascii="宋体" w:hAnsi="宋体" w:eastAsia="宋体" w:cs="宋体"/>
          <w:szCs w:val="24"/>
          <w:shd w:val="clear" w:color="auto" w:fill="FFFFFF"/>
        </w:rPr>
        <w:t>5.6</w:t>
      </w:r>
      <w:r>
        <w:rPr>
          <w:rFonts w:hint="eastAsia" w:ascii="宋体" w:hAnsi="宋体" w:eastAsia="宋体" w:cs="宋体"/>
          <w:bCs/>
          <w:kern w:val="2"/>
          <w:szCs w:val="24"/>
          <w:shd w:val="clear" w:color="auto" w:fill="FFFFFF"/>
        </w:rPr>
        <w:t>标段划分：本项目一个标段；</w:t>
      </w:r>
    </w:p>
    <w:p w14:paraId="690EF4D6">
      <w:pPr>
        <w:pStyle w:val="22"/>
        <w:shd w:val="clear" w:color="auto" w:fill="FFFFFF"/>
        <w:adjustRightInd w:val="0"/>
        <w:snapToGrid w:val="0"/>
        <w:spacing w:beforeAutospacing="0" w:afterAutospacing="0" w:line="372" w:lineRule="auto"/>
        <w:ind w:firstLine="480" w:firstLineChars="200"/>
        <w:rPr>
          <w:rFonts w:ascii="宋体" w:hAnsi="宋体" w:eastAsia="宋体" w:cs="宋体"/>
          <w:bCs/>
          <w:kern w:val="2"/>
          <w:szCs w:val="24"/>
          <w:shd w:val="clear" w:color="auto" w:fill="FFFFFF"/>
        </w:rPr>
      </w:pPr>
      <w:r>
        <w:rPr>
          <w:rFonts w:hint="eastAsia" w:ascii="宋体" w:hAnsi="宋体" w:eastAsia="宋体" w:cs="宋体"/>
          <w:bCs/>
          <w:kern w:val="2"/>
          <w:szCs w:val="24"/>
          <w:shd w:val="clear" w:color="auto" w:fill="FFFFFF"/>
        </w:rPr>
        <w:t>6.合同履行期限：同服务期限；</w:t>
      </w:r>
    </w:p>
    <w:p w14:paraId="37D5D431">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7.本项目是否接受联合体投标：否；</w:t>
      </w:r>
    </w:p>
    <w:p w14:paraId="7B1B9735">
      <w:pPr>
        <w:pStyle w:val="22"/>
        <w:shd w:val="clear" w:color="auto" w:fill="FFFFFF"/>
        <w:adjustRightInd w:val="0"/>
        <w:snapToGrid w:val="0"/>
        <w:spacing w:beforeAutospacing="0" w:afterAutospacing="0" w:line="372" w:lineRule="auto"/>
        <w:ind w:firstLine="480" w:firstLineChars="200"/>
        <w:rPr>
          <w:rFonts w:ascii="宋体" w:hAnsi="宋体" w:eastAsia="宋体" w:cs="宋体"/>
          <w:bCs/>
          <w:kern w:val="2"/>
          <w:szCs w:val="24"/>
          <w:shd w:val="clear" w:color="auto" w:fill="FFFFFF"/>
        </w:rPr>
      </w:pPr>
      <w:r>
        <w:rPr>
          <w:rFonts w:hint="eastAsia" w:ascii="宋体" w:hAnsi="宋体" w:eastAsia="宋体" w:cs="宋体"/>
          <w:bCs/>
          <w:kern w:val="2"/>
          <w:szCs w:val="24"/>
          <w:shd w:val="clear" w:color="auto" w:fill="FFFFFF"/>
        </w:rPr>
        <w:t>8.是否接受进口产品：否；</w:t>
      </w:r>
    </w:p>
    <w:p w14:paraId="01D2D115">
      <w:pPr>
        <w:pStyle w:val="22"/>
        <w:shd w:val="clear" w:color="auto" w:fill="FFFFFF"/>
        <w:adjustRightInd w:val="0"/>
        <w:snapToGrid w:val="0"/>
        <w:spacing w:beforeAutospacing="0" w:afterAutospacing="0" w:line="372" w:lineRule="auto"/>
        <w:ind w:firstLine="480" w:firstLineChars="200"/>
        <w:rPr>
          <w:rFonts w:ascii="宋体" w:hAnsi="宋体" w:eastAsia="宋体" w:cs="宋体"/>
          <w:bCs/>
          <w:kern w:val="2"/>
          <w:szCs w:val="24"/>
          <w:shd w:val="clear" w:color="auto" w:fill="FFFFFF"/>
        </w:rPr>
      </w:pPr>
      <w:r>
        <w:rPr>
          <w:rFonts w:hint="eastAsia" w:ascii="宋体" w:hAnsi="宋体" w:eastAsia="宋体" w:cs="宋体"/>
          <w:bCs/>
          <w:kern w:val="2"/>
          <w:szCs w:val="24"/>
          <w:shd w:val="clear" w:color="auto" w:fill="FFFFFF"/>
        </w:rPr>
        <w:t>9.是否专门面向中小企业：是；</w:t>
      </w:r>
    </w:p>
    <w:p w14:paraId="0C5736A1">
      <w:pPr>
        <w:pStyle w:val="22"/>
        <w:shd w:val="clear" w:color="auto" w:fill="FFFFFF"/>
        <w:adjustRightInd w:val="0"/>
        <w:snapToGrid w:val="0"/>
        <w:spacing w:beforeAutospacing="0" w:afterAutospacing="0" w:line="372" w:lineRule="auto"/>
        <w:rPr>
          <w:rFonts w:ascii="宋体" w:hAnsi="宋体" w:eastAsia="宋体" w:cs="宋体"/>
          <w:szCs w:val="24"/>
        </w:rPr>
      </w:pPr>
      <w:r>
        <w:rPr>
          <w:rFonts w:hint="eastAsia" w:ascii="宋体" w:hAnsi="宋体" w:eastAsia="宋体" w:cs="宋体"/>
          <w:b/>
          <w:szCs w:val="24"/>
          <w:shd w:val="clear" w:color="auto" w:fill="FFFFFF"/>
        </w:rPr>
        <w:t>二、申请人资格要求：</w:t>
      </w:r>
    </w:p>
    <w:p w14:paraId="18D25D1E">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1、满足《中华人民共和国政府采购法》第二十二条规定；</w:t>
      </w:r>
    </w:p>
    <w:p w14:paraId="349BA623">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2、落实政府采购政策满足的资格要求：根据《政府采购促进中小企业发展管理办法》（财库〔2020〕46号）的规定，本项目属于专门面向中小企业采购的项目,供应商应为中小微企业、监狱企业、残疾人福利性单位，须提供相关有效声明材料，中小企业划型标准依据工信部联企业〔2011〕300号文件的规定。</w:t>
      </w:r>
    </w:p>
    <w:p w14:paraId="580046BB">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szCs w:val="24"/>
          <w:shd w:val="clear" w:color="auto" w:fill="FFFFFF"/>
        </w:rPr>
        <w:t>3、本项目的特定资格要求</w:t>
      </w:r>
    </w:p>
    <w:p w14:paraId="1664283D">
      <w:pPr>
        <w:pStyle w:val="22"/>
        <w:adjustRightInd w:val="0"/>
        <w:snapToGrid w:val="0"/>
        <w:spacing w:beforeAutospacing="0" w:afterAutospacing="0" w:line="372" w:lineRule="auto"/>
        <w:ind w:firstLine="480" w:firstLineChars="200"/>
        <w:rPr>
          <w:rFonts w:ascii="宋体" w:hAnsi="宋体" w:eastAsia="宋体" w:cs="宋体"/>
          <w:bCs/>
          <w:szCs w:val="24"/>
        </w:rPr>
      </w:pPr>
      <w:r>
        <w:rPr>
          <w:rFonts w:hint="eastAsia" w:ascii="宋体" w:hAnsi="宋体" w:eastAsia="宋体" w:cs="宋体"/>
          <w:bCs/>
          <w:szCs w:val="24"/>
        </w:rPr>
        <w:t>3.1供应商须具有独立承担民事责任的能力，持有有效的统一社会信用代码营业执照（提供有效的营业执照扫描件或复印件，也可提供电子营业执照）；</w:t>
      </w:r>
    </w:p>
    <w:p w14:paraId="2B36F96D">
      <w:pPr>
        <w:pStyle w:val="22"/>
        <w:adjustRightInd w:val="0"/>
        <w:snapToGrid w:val="0"/>
        <w:spacing w:beforeAutospacing="0" w:afterAutospacing="0" w:line="372" w:lineRule="auto"/>
        <w:ind w:firstLine="480" w:firstLineChars="200"/>
        <w:rPr>
          <w:rFonts w:ascii="宋体" w:hAnsi="宋体" w:eastAsia="宋体" w:cs="宋体"/>
          <w:bCs/>
          <w:szCs w:val="24"/>
        </w:rPr>
      </w:pPr>
      <w:r>
        <w:rPr>
          <w:rFonts w:hint="eastAsia" w:ascii="宋体" w:hAnsi="宋体" w:eastAsia="宋体" w:cs="宋体"/>
          <w:bCs/>
          <w:szCs w:val="24"/>
        </w:rPr>
        <w:t>3.2</w:t>
      </w:r>
      <w:r>
        <w:rPr>
          <w:rFonts w:hint="eastAsia" w:ascii="宋体" w:hAnsi="宋体" w:eastAsia="宋体" w:cs="宋体"/>
        </w:rPr>
        <w:t>供应商须具有公安机关核发的有效期内的《保安服务许可证》</w:t>
      </w:r>
      <w:r>
        <w:rPr>
          <w:rFonts w:hint="eastAsia" w:ascii="宋体" w:hAnsi="宋体" w:eastAsia="宋体" w:cs="宋体"/>
          <w:bCs/>
          <w:szCs w:val="24"/>
        </w:rPr>
        <w:t>；</w:t>
      </w:r>
    </w:p>
    <w:p w14:paraId="7AC30EFA">
      <w:pPr>
        <w:pStyle w:val="22"/>
        <w:adjustRightInd w:val="0"/>
        <w:snapToGrid w:val="0"/>
        <w:spacing w:beforeAutospacing="0" w:afterAutospacing="0" w:line="372" w:lineRule="auto"/>
        <w:ind w:firstLine="480" w:firstLineChars="200"/>
        <w:rPr>
          <w:rFonts w:ascii="宋体" w:hAnsi="宋体" w:eastAsia="宋体" w:cs="宋体"/>
          <w:bCs/>
          <w:szCs w:val="24"/>
        </w:rPr>
      </w:pPr>
      <w:r>
        <w:rPr>
          <w:rFonts w:hint="eastAsia" w:ascii="宋体" w:hAnsi="宋体" w:eastAsia="宋体" w:cs="宋体"/>
          <w:bCs/>
          <w:szCs w:val="24"/>
        </w:rPr>
        <w:t>3.3具有良好的商业信誉和健全的财务会计制度（提供承诺函，格式自拟）；</w:t>
      </w:r>
    </w:p>
    <w:p w14:paraId="04A64D01">
      <w:pPr>
        <w:pStyle w:val="22"/>
        <w:adjustRightInd w:val="0"/>
        <w:snapToGrid w:val="0"/>
        <w:spacing w:beforeAutospacing="0" w:afterAutospacing="0" w:line="372" w:lineRule="auto"/>
        <w:ind w:firstLine="480" w:firstLineChars="200"/>
        <w:rPr>
          <w:rFonts w:ascii="宋体" w:hAnsi="宋体" w:eastAsia="宋体" w:cs="宋体"/>
          <w:bCs/>
          <w:szCs w:val="24"/>
        </w:rPr>
      </w:pPr>
      <w:r>
        <w:rPr>
          <w:rFonts w:hint="eastAsia" w:ascii="宋体" w:hAnsi="宋体" w:eastAsia="宋体" w:cs="宋体"/>
          <w:bCs/>
          <w:szCs w:val="24"/>
        </w:rPr>
        <w:t>3.4具有履行合同所必需的设备和专业技术能力（提供承诺函，格式自拟）；</w:t>
      </w:r>
    </w:p>
    <w:p w14:paraId="30F556E3">
      <w:pPr>
        <w:pStyle w:val="22"/>
        <w:adjustRightInd w:val="0"/>
        <w:snapToGrid w:val="0"/>
        <w:spacing w:beforeAutospacing="0" w:afterAutospacing="0" w:line="372" w:lineRule="auto"/>
        <w:ind w:firstLine="480" w:firstLineChars="200"/>
        <w:rPr>
          <w:rFonts w:ascii="宋体" w:hAnsi="宋体" w:eastAsia="宋体" w:cs="宋体"/>
          <w:bCs/>
          <w:szCs w:val="24"/>
        </w:rPr>
      </w:pPr>
      <w:r>
        <w:rPr>
          <w:rFonts w:hint="eastAsia" w:ascii="宋体" w:hAnsi="宋体" w:eastAsia="宋体" w:cs="宋体"/>
          <w:bCs/>
          <w:szCs w:val="24"/>
        </w:rPr>
        <w:t>3.5具有依法缴纳税收和社会保障资金的良好记录（提供承诺函，格式自拟）；</w:t>
      </w:r>
    </w:p>
    <w:p w14:paraId="66501DBA">
      <w:pPr>
        <w:pStyle w:val="22"/>
        <w:adjustRightInd w:val="0"/>
        <w:snapToGrid w:val="0"/>
        <w:spacing w:beforeAutospacing="0" w:afterAutospacing="0" w:line="372" w:lineRule="auto"/>
        <w:ind w:firstLine="480" w:firstLineChars="200"/>
        <w:rPr>
          <w:rFonts w:ascii="宋体" w:hAnsi="宋体" w:eastAsia="宋体" w:cs="宋体"/>
          <w:bCs/>
          <w:szCs w:val="24"/>
        </w:rPr>
      </w:pPr>
      <w:r>
        <w:rPr>
          <w:rFonts w:hint="eastAsia" w:ascii="宋体" w:hAnsi="宋体" w:eastAsia="宋体" w:cs="宋体"/>
          <w:bCs/>
          <w:szCs w:val="24"/>
        </w:rPr>
        <w:t>3.6</w:t>
      </w:r>
      <w:bookmarkStart w:id="3" w:name="OLE_LINK7"/>
      <w:r>
        <w:rPr>
          <w:rFonts w:hint="eastAsia" w:ascii="宋体" w:hAnsi="宋体" w:eastAsia="宋体" w:cs="宋体"/>
          <w:bCs/>
          <w:szCs w:val="24"/>
        </w:rPr>
        <w:t>参加政府采购活动近三年内，在经营活动中没有重大的违法记录（供应商自行承诺，格式自拟）；</w:t>
      </w:r>
    </w:p>
    <w:p w14:paraId="14A5D1EB">
      <w:pPr>
        <w:pStyle w:val="22"/>
        <w:adjustRightInd w:val="0"/>
        <w:snapToGrid w:val="0"/>
        <w:spacing w:beforeAutospacing="0" w:afterAutospacing="0" w:line="372" w:lineRule="auto"/>
        <w:ind w:firstLine="480" w:firstLineChars="200"/>
        <w:rPr>
          <w:rFonts w:ascii="宋体" w:hAnsi="宋体" w:eastAsia="宋体" w:cs="宋体"/>
          <w:bCs/>
          <w:szCs w:val="24"/>
        </w:rPr>
      </w:pPr>
      <w:r>
        <w:rPr>
          <w:rFonts w:hint="eastAsia" w:ascii="宋体" w:hAnsi="宋体" w:eastAsia="宋体" w:cs="宋体"/>
          <w:bCs/>
          <w:szCs w:val="24"/>
        </w:rPr>
        <w:t>3.7供应商未被列入“信用中国”网站的 “重大税收违法失信主体”、“中国执行信息公开网”网站的“失信被执行人”和“中国政府采购网”网站的“政府采购严重违法失信行为记录名单”，若</w:t>
      </w:r>
      <w:r>
        <w:rPr>
          <w:rFonts w:hint="eastAsia" w:ascii="宋体" w:hAnsi="宋体" w:eastAsia="宋体" w:cs="宋体"/>
          <w:bCs/>
          <w:szCs w:val="24"/>
          <w:lang w:val="zh-CN"/>
        </w:rPr>
        <w:t>有不良记录</w:t>
      </w:r>
      <w:r>
        <w:rPr>
          <w:rFonts w:hint="eastAsia" w:ascii="宋体" w:hAnsi="宋体" w:eastAsia="宋体" w:cs="宋体"/>
          <w:bCs/>
          <w:szCs w:val="24"/>
        </w:rPr>
        <w:t>，执行财库〔2016〕125号文</w:t>
      </w:r>
      <w:bookmarkEnd w:id="3"/>
      <w:r>
        <w:rPr>
          <w:rFonts w:hint="eastAsia" w:ascii="宋体" w:hAnsi="宋体" w:eastAsia="宋体" w:cs="宋体"/>
          <w:bCs/>
          <w:szCs w:val="24"/>
        </w:rPr>
        <w:t>；</w:t>
      </w:r>
    </w:p>
    <w:p w14:paraId="4ED619C5">
      <w:pPr>
        <w:pStyle w:val="22"/>
        <w:adjustRightInd w:val="0"/>
        <w:snapToGrid w:val="0"/>
        <w:spacing w:beforeAutospacing="0" w:afterAutospacing="0" w:line="372" w:lineRule="auto"/>
        <w:ind w:firstLine="480" w:firstLineChars="200"/>
        <w:rPr>
          <w:rFonts w:ascii="宋体" w:hAnsi="宋体" w:eastAsia="宋体" w:cs="宋体"/>
          <w:bCs/>
          <w:szCs w:val="24"/>
        </w:rPr>
      </w:pPr>
      <w:r>
        <w:rPr>
          <w:rFonts w:hint="eastAsia" w:ascii="宋体" w:hAnsi="宋体" w:eastAsia="宋体" w:cs="宋体"/>
        </w:rPr>
        <w:t>3.8单位负责人为同一人或者存在直接控股、管理关系的不同供应商，不得同时参加同一合同项下的政府采购活动（提供承诺函,格式自拟）；</w:t>
      </w:r>
    </w:p>
    <w:p w14:paraId="19427D1A">
      <w:pPr>
        <w:pStyle w:val="22"/>
        <w:adjustRightInd w:val="0"/>
        <w:snapToGrid w:val="0"/>
        <w:spacing w:beforeAutospacing="0" w:afterAutospacing="0" w:line="372" w:lineRule="auto"/>
        <w:ind w:firstLine="480" w:firstLineChars="200"/>
        <w:rPr>
          <w:rFonts w:ascii="宋体" w:hAnsi="宋体" w:eastAsia="宋体" w:cs="宋体"/>
          <w:bCs/>
          <w:szCs w:val="24"/>
        </w:rPr>
      </w:pPr>
      <w:r>
        <w:rPr>
          <w:rFonts w:hint="eastAsia" w:ascii="宋体" w:hAnsi="宋体" w:eastAsia="宋体" w:cs="宋体"/>
          <w:bCs/>
          <w:szCs w:val="24"/>
        </w:rPr>
        <w:t>3.9本项目不接受联合体投标，资格审查方式为资格后审，不允许分包、转包。</w:t>
      </w:r>
    </w:p>
    <w:p w14:paraId="232093DF">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注：供应商所提供资料必须真实有效并提供资料真实有效的承诺书，愿意承担因提供虚假资料随时视为放弃中标资格并承担由此引起的一切不良和法律后果；</w:t>
      </w:r>
      <w:r>
        <w:rPr>
          <w:rFonts w:hint="eastAsia" w:ascii="宋体" w:hAnsi="宋体" w:cs="宋体"/>
          <w:sz w:val="24"/>
        </w:rPr>
        <w:t>采购人有权在任何时间对其真实性进行核实,供应商对核实须配合</w:t>
      </w:r>
      <w:r>
        <w:rPr>
          <w:rFonts w:hint="eastAsia" w:ascii="宋体" w:hAnsi="宋体" w:cs="宋体"/>
          <w:kern w:val="0"/>
          <w:sz w:val="24"/>
          <w:szCs w:val="24"/>
        </w:rPr>
        <w:t>（</w:t>
      </w:r>
      <w:r>
        <w:rPr>
          <w:rFonts w:hint="eastAsia" w:ascii="宋体" w:hAnsi="宋体" w:cs="宋体"/>
          <w:spacing w:val="-5"/>
          <w:sz w:val="24"/>
          <w:szCs w:val="24"/>
        </w:rPr>
        <w:t>提供承诺函，格</w:t>
      </w:r>
      <w:r>
        <w:rPr>
          <w:rFonts w:hint="eastAsia" w:ascii="宋体" w:hAnsi="宋体" w:cs="宋体"/>
          <w:spacing w:val="-6"/>
          <w:sz w:val="24"/>
          <w:szCs w:val="24"/>
        </w:rPr>
        <w:t>式自拟</w:t>
      </w:r>
      <w:r>
        <w:rPr>
          <w:rFonts w:hint="eastAsia" w:ascii="宋体" w:hAnsi="宋体" w:cs="宋体"/>
          <w:kern w:val="0"/>
          <w:sz w:val="24"/>
          <w:szCs w:val="24"/>
        </w:rPr>
        <w:t>）。</w:t>
      </w:r>
    </w:p>
    <w:p w14:paraId="7CCB5F0C">
      <w:pPr>
        <w:pStyle w:val="22"/>
        <w:shd w:val="clear" w:color="auto" w:fill="FFFFFF"/>
        <w:adjustRightInd w:val="0"/>
        <w:snapToGrid w:val="0"/>
        <w:spacing w:beforeAutospacing="0" w:afterAutospacing="0" w:line="372" w:lineRule="auto"/>
        <w:rPr>
          <w:rFonts w:ascii="宋体" w:hAnsi="宋体" w:eastAsia="宋体" w:cs="宋体"/>
          <w:szCs w:val="24"/>
        </w:rPr>
      </w:pPr>
      <w:r>
        <w:rPr>
          <w:rFonts w:hint="eastAsia" w:ascii="宋体" w:hAnsi="宋体" w:eastAsia="宋体" w:cs="宋体"/>
          <w:b/>
          <w:szCs w:val="24"/>
          <w:shd w:val="clear" w:color="auto" w:fill="FFFFFF"/>
        </w:rPr>
        <w:t>三、获取采购文件：</w:t>
      </w:r>
    </w:p>
    <w:p w14:paraId="764DA55E">
      <w:pPr>
        <w:widowControl/>
        <w:adjustRightInd w:val="0"/>
        <w:snapToGrid w:val="0"/>
        <w:spacing w:line="360" w:lineRule="auto"/>
        <w:ind w:firstLine="482" w:firstLineChars="200"/>
        <w:rPr>
          <w:rFonts w:ascii="宋体" w:hAnsi="宋体" w:cs="宋体"/>
          <w:sz w:val="24"/>
          <w:szCs w:val="24"/>
        </w:rPr>
      </w:pPr>
      <w:r>
        <w:rPr>
          <w:rFonts w:hint="eastAsia" w:ascii="宋体" w:hAnsi="宋体" w:cs="宋体"/>
          <w:b/>
          <w:sz w:val="24"/>
          <w:szCs w:val="24"/>
          <w:shd w:val="clear" w:color="auto" w:fill="FFFFFF"/>
        </w:rPr>
        <w:t>1.时间：</w:t>
      </w:r>
      <w:r>
        <w:rPr>
          <w:rFonts w:hint="eastAsia" w:ascii="宋体" w:hAnsi="宋体" w:cs="宋体"/>
          <w:b/>
          <w:bCs/>
          <w:sz w:val="24"/>
          <w:szCs w:val="24"/>
          <w:shd w:val="clear" w:color="auto" w:fill="FFFFFF"/>
        </w:rPr>
        <w:t>2025年12月10日至2025年12月22日</w:t>
      </w:r>
      <w:r>
        <w:rPr>
          <w:rFonts w:hint="eastAsia" w:ascii="宋体" w:hAnsi="宋体" w:cs="宋体"/>
          <w:sz w:val="24"/>
          <w:szCs w:val="24"/>
          <w:shd w:val="clear" w:color="auto" w:fill="FFFFFF"/>
        </w:rPr>
        <w:t>，</w:t>
      </w:r>
      <w:r>
        <w:rPr>
          <w:rFonts w:hint="eastAsia" w:ascii="宋体" w:hAnsi="宋体" w:cs="宋体"/>
          <w:sz w:val="24"/>
          <w:szCs w:val="24"/>
        </w:rPr>
        <w:t>每天上午00:00至12:00，下午12:00至23:59</w:t>
      </w:r>
      <w:r>
        <w:rPr>
          <w:rFonts w:hint="eastAsia" w:ascii="宋体" w:hAnsi="宋体" w:cs="宋体"/>
          <w:kern w:val="0"/>
          <w:sz w:val="24"/>
          <w:szCs w:val="24"/>
          <w:shd w:val="clear" w:color="auto" w:fill="FFFFFF"/>
        </w:rPr>
        <w:t>（北京时间，法定节假日除外）。</w:t>
      </w:r>
    </w:p>
    <w:p w14:paraId="409611EB">
      <w:pPr>
        <w:pStyle w:val="22"/>
        <w:shd w:val="clear" w:color="auto" w:fill="FFFFFF"/>
        <w:adjustRightInd w:val="0"/>
        <w:snapToGrid w:val="0"/>
        <w:spacing w:beforeAutospacing="0" w:afterAutospacing="0" w:line="372" w:lineRule="auto"/>
        <w:ind w:firstLine="422" w:firstLineChars="175"/>
        <w:rPr>
          <w:rFonts w:ascii="宋体" w:hAnsi="宋体" w:eastAsia="宋体" w:cs="宋体"/>
          <w:szCs w:val="24"/>
          <w:shd w:val="clear" w:color="auto" w:fill="FFFFFF"/>
        </w:rPr>
      </w:pPr>
      <w:r>
        <w:rPr>
          <w:rFonts w:hint="eastAsia" w:ascii="宋体" w:hAnsi="宋体" w:eastAsia="宋体" w:cs="宋体"/>
          <w:b/>
          <w:szCs w:val="24"/>
          <w:shd w:val="clear" w:color="auto" w:fill="FFFFFF"/>
        </w:rPr>
        <w:t>2.地点：</w:t>
      </w:r>
      <w:r>
        <w:rPr>
          <w:rFonts w:hint="eastAsia" w:ascii="宋体" w:hAnsi="宋体" w:eastAsia="宋体" w:cs="宋体"/>
          <w:szCs w:val="24"/>
          <w:shd w:val="clear" w:color="auto" w:fill="FFFFFF"/>
        </w:rPr>
        <w:t>《全国公共资源交</w:t>
      </w:r>
      <w:r>
        <w:rPr>
          <w:rFonts w:hint="eastAsia" w:ascii="宋体" w:hAnsi="宋体" w:eastAsia="宋体" w:cs="宋体"/>
        </w:rPr>
        <w:t>易平台（河南省·平顶山市）》（</w:t>
      </w:r>
      <w:r>
        <w:rPr>
          <w:rFonts w:hint="eastAsia" w:ascii="宋体" w:hAnsi="宋体" w:eastAsia="宋体" w:cs="宋体"/>
          <w:szCs w:val="21"/>
        </w:rPr>
        <w:t>http://ggzy.pds.gov.cn</w:t>
      </w:r>
      <w:r>
        <w:rPr>
          <w:rFonts w:hint="eastAsia" w:ascii="宋体" w:hAnsi="宋体" w:eastAsia="宋体" w:cs="宋体"/>
        </w:rPr>
        <w:t>）</w:t>
      </w:r>
    </w:p>
    <w:p w14:paraId="28D7E898">
      <w:pPr>
        <w:pStyle w:val="22"/>
        <w:shd w:val="clear" w:color="auto" w:fill="FFFFFF"/>
        <w:adjustRightInd w:val="0"/>
        <w:snapToGrid w:val="0"/>
        <w:spacing w:beforeAutospacing="0" w:afterAutospacing="0" w:line="372" w:lineRule="auto"/>
        <w:ind w:firstLine="422" w:firstLineChars="175"/>
        <w:rPr>
          <w:rFonts w:ascii="宋体" w:hAnsi="宋体" w:eastAsia="宋体" w:cs="宋体"/>
          <w:szCs w:val="24"/>
          <w:shd w:val="clear" w:color="auto" w:fill="FFFFFF"/>
        </w:rPr>
      </w:pPr>
      <w:r>
        <w:rPr>
          <w:rFonts w:hint="eastAsia" w:ascii="宋体" w:hAnsi="宋体" w:eastAsia="宋体" w:cs="宋体"/>
          <w:b/>
          <w:szCs w:val="24"/>
          <w:shd w:val="clear" w:color="auto" w:fill="FFFFFF"/>
        </w:rPr>
        <w:t>3.方式：</w:t>
      </w:r>
      <w:r>
        <w:rPr>
          <w:rFonts w:hint="eastAsia" w:ascii="宋体" w:hAnsi="宋体" w:eastAsia="宋体" w:cs="宋体"/>
          <w:szCs w:val="24"/>
          <w:shd w:val="clear" w:color="auto" w:fill="FFFFFF"/>
        </w:rPr>
        <w:t>潜在供应商需凭CA数字证书通过平顶山市公共资源交易中心网（网址：</w:t>
      </w:r>
      <w:r>
        <w:rPr>
          <w:rFonts w:hint="eastAsia" w:ascii="宋体" w:hAnsi="宋体" w:eastAsia="宋体" w:cs="宋体"/>
          <w:szCs w:val="24"/>
        </w:rPr>
        <w:t>http://ggzy.pds.gov.cn/cas/login</w:t>
      </w:r>
      <w:r>
        <w:rPr>
          <w:rFonts w:hint="eastAsia" w:ascii="宋体" w:hAnsi="宋体" w:eastAsia="宋体" w:cs="宋体"/>
          <w:szCs w:val="24"/>
          <w:shd w:val="clear" w:color="auto" w:fill="FFFFFF"/>
        </w:rPr>
        <w:t>）“交易主体登录”入口进入电子交易系统下载磋商文件。具体操作请查看以下链接：</w:t>
      </w:r>
    </w:p>
    <w:p w14:paraId="5347925F">
      <w:pPr>
        <w:pStyle w:val="22"/>
        <w:shd w:val="clear" w:color="auto" w:fill="FFFFFF"/>
        <w:adjustRightInd w:val="0"/>
        <w:snapToGrid w:val="0"/>
        <w:spacing w:beforeAutospacing="0" w:afterAutospacing="0" w:line="372" w:lineRule="auto"/>
        <w:ind w:firstLine="420" w:firstLineChars="175"/>
        <w:rPr>
          <w:rStyle w:val="35"/>
          <w:rFonts w:ascii="宋体" w:hAnsi="宋体" w:eastAsia="宋体" w:cs="宋体"/>
          <w:color w:val="auto"/>
          <w:sz w:val="24"/>
          <w:szCs w:val="24"/>
          <w:shd w:val="clear" w:color="auto" w:fill="FFFFFF"/>
        </w:rPr>
      </w:pPr>
      <w:r>
        <w:rPr>
          <w:rFonts w:hint="eastAsia" w:ascii="宋体" w:hAnsi="宋体" w:eastAsia="宋体" w:cs="宋体"/>
          <w:szCs w:val="24"/>
          <w:shd w:val="clear" w:color="auto" w:fill="FFFFFF"/>
        </w:rPr>
        <w:t>链接地址</w:t>
      </w:r>
      <w:r>
        <w:rPr>
          <w:rStyle w:val="35"/>
          <w:rFonts w:hint="eastAsia" w:ascii="宋体" w:hAnsi="宋体" w:eastAsia="宋体" w:cs="宋体"/>
          <w:color w:val="auto"/>
          <w:sz w:val="24"/>
          <w:szCs w:val="24"/>
          <w:shd w:val="clear" w:color="auto" w:fill="FFFFFF"/>
        </w:rPr>
        <w:t>：</w:t>
      </w:r>
      <w:r>
        <w:fldChar w:fldCharType="begin"/>
      </w:r>
      <w:r>
        <w:instrText xml:space="preserve"> HYPERLINK "http://ggzy.pds.gov.cn/fwzn/11020.jhtml" </w:instrText>
      </w:r>
      <w:r>
        <w:fldChar w:fldCharType="separate"/>
      </w:r>
      <w:r>
        <w:rPr>
          <w:rStyle w:val="35"/>
          <w:rFonts w:hint="eastAsia" w:ascii="宋体" w:hAnsi="宋体" w:eastAsia="宋体" w:cs="宋体"/>
          <w:color w:val="auto"/>
          <w:sz w:val="24"/>
          <w:szCs w:val="24"/>
          <w:shd w:val="clear" w:color="auto" w:fill="FFFFFF"/>
        </w:rPr>
        <w:t>http://ggzy.pds.gov.cn/fwzn/11020.jhtml</w:t>
      </w:r>
      <w:r>
        <w:rPr>
          <w:rStyle w:val="35"/>
          <w:rFonts w:hint="eastAsia" w:ascii="宋体" w:hAnsi="宋体" w:eastAsia="宋体" w:cs="宋体"/>
          <w:color w:val="auto"/>
          <w:sz w:val="24"/>
          <w:szCs w:val="24"/>
          <w:shd w:val="clear" w:color="auto" w:fill="FFFFFF"/>
        </w:rPr>
        <w:fldChar w:fldCharType="end"/>
      </w:r>
    </w:p>
    <w:p w14:paraId="582F4537">
      <w:pPr>
        <w:pStyle w:val="22"/>
        <w:shd w:val="clear" w:color="auto" w:fill="FFFFFF"/>
        <w:adjustRightInd w:val="0"/>
        <w:snapToGrid w:val="0"/>
        <w:spacing w:beforeAutospacing="0" w:afterAutospacing="0" w:line="372" w:lineRule="auto"/>
        <w:ind w:firstLine="420" w:firstLineChars="175"/>
        <w:rPr>
          <w:rStyle w:val="35"/>
          <w:rFonts w:ascii="宋体" w:hAnsi="宋体" w:eastAsia="宋体" w:cs="宋体"/>
          <w:color w:val="auto"/>
          <w:sz w:val="24"/>
          <w:szCs w:val="24"/>
          <w:shd w:val="clear" w:color="auto" w:fill="FFFFFF"/>
        </w:rPr>
      </w:pPr>
      <w:r>
        <w:rPr>
          <w:rStyle w:val="35"/>
          <w:rFonts w:hint="eastAsia" w:ascii="宋体" w:hAnsi="宋体" w:eastAsia="宋体" w:cs="宋体"/>
          <w:color w:val="auto"/>
          <w:sz w:val="24"/>
          <w:szCs w:val="24"/>
          <w:shd w:val="clear" w:color="auto" w:fill="FFFFFF"/>
        </w:rPr>
        <w:t>办理CA证书：</w:t>
      </w:r>
      <w:r>
        <w:fldChar w:fldCharType="begin"/>
      </w:r>
      <w:r>
        <w:instrText xml:space="preserve"> HYPERLINK "http://ggzy.pds.gov.cn/tzgg/10814.jhtml" </w:instrText>
      </w:r>
      <w:r>
        <w:fldChar w:fldCharType="separate"/>
      </w:r>
      <w:r>
        <w:rPr>
          <w:rStyle w:val="35"/>
          <w:rFonts w:hint="eastAsia" w:ascii="宋体" w:hAnsi="宋体" w:eastAsia="宋体" w:cs="宋体"/>
          <w:color w:val="auto"/>
          <w:sz w:val="24"/>
          <w:szCs w:val="24"/>
          <w:shd w:val="clear" w:color="auto" w:fill="FFFFFF"/>
        </w:rPr>
        <w:t>http://ggzy.pds.gov.cn/tzgg/10814.jhtml</w:t>
      </w:r>
      <w:r>
        <w:rPr>
          <w:rStyle w:val="35"/>
          <w:rFonts w:hint="eastAsia" w:ascii="宋体" w:hAnsi="宋体" w:eastAsia="宋体" w:cs="宋体"/>
          <w:color w:val="auto"/>
          <w:sz w:val="24"/>
          <w:szCs w:val="24"/>
          <w:shd w:val="clear" w:color="auto" w:fill="FFFFFF"/>
        </w:rPr>
        <w:fldChar w:fldCharType="end"/>
      </w:r>
    </w:p>
    <w:p w14:paraId="69B9CD93">
      <w:pPr>
        <w:widowControl/>
        <w:spacing w:line="360" w:lineRule="auto"/>
        <w:ind w:firstLine="480" w:firstLineChars="200"/>
        <w:rPr>
          <w:rStyle w:val="35"/>
          <w:rFonts w:ascii="宋体" w:hAnsi="宋体" w:cs="宋体"/>
          <w:color w:val="auto"/>
          <w:sz w:val="24"/>
          <w:szCs w:val="24"/>
          <w:shd w:val="clear" w:color="auto" w:fill="FFFFFF"/>
        </w:rPr>
      </w:pPr>
      <w:r>
        <w:rPr>
          <w:rFonts w:hint="eastAsia" w:ascii="宋体" w:hAnsi="宋体" w:cs="宋体"/>
          <w:sz w:val="24"/>
          <w:szCs w:val="24"/>
          <w:shd w:val="clear" w:color="auto" w:fill="FFFFFF"/>
        </w:rPr>
        <w:t>在磋商文件获取截止时间前，于全国公共资源交易平台（河南省•平顶山市）电子招投标系统自行下载EGP版本磋商文件；供应商未通过全国公共资源交易平台（河南省•平顶山市）电子招投标系统下载EGP磋商文件的，其响应文件于系统内无法上传；</w:t>
      </w:r>
    </w:p>
    <w:p w14:paraId="22448D10">
      <w:pPr>
        <w:pStyle w:val="22"/>
        <w:shd w:val="clear" w:color="auto" w:fill="FFFFFF"/>
        <w:adjustRightInd w:val="0"/>
        <w:snapToGrid w:val="0"/>
        <w:spacing w:beforeAutospacing="0" w:afterAutospacing="0" w:line="372" w:lineRule="auto"/>
        <w:ind w:firstLine="422" w:firstLineChars="175"/>
        <w:rPr>
          <w:rFonts w:ascii="宋体" w:hAnsi="宋体" w:eastAsia="宋体" w:cs="宋体"/>
          <w:szCs w:val="24"/>
        </w:rPr>
      </w:pPr>
      <w:r>
        <w:rPr>
          <w:rFonts w:hint="eastAsia" w:ascii="宋体" w:hAnsi="宋体" w:eastAsia="宋体" w:cs="宋体"/>
          <w:b/>
          <w:szCs w:val="24"/>
          <w:shd w:val="clear" w:color="auto" w:fill="FFFFFF"/>
        </w:rPr>
        <w:t>4.售价：</w:t>
      </w:r>
      <w:r>
        <w:rPr>
          <w:rFonts w:hint="eastAsia" w:ascii="宋体" w:hAnsi="宋体" w:eastAsia="宋体" w:cs="宋体"/>
          <w:szCs w:val="24"/>
          <w:shd w:val="clear" w:color="auto" w:fill="FFFFFF"/>
        </w:rPr>
        <w:t>0元</w:t>
      </w:r>
    </w:p>
    <w:p w14:paraId="7E69B0AC">
      <w:pPr>
        <w:pStyle w:val="22"/>
        <w:shd w:val="clear" w:color="auto" w:fill="FFFFFF"/>
        <w:adjustRightInd w:val="0"/>
        <w:snapToGrid w:val="0"/>
        <w:spacing w:beforeAutospacing="0" w:afterAutospacing="0" w:line="372" w:lineRule="auto"/>
        <w:rPr>
          <w:rFonts w:ascii="宋体" w:hAnsi="宋体" w:eastAsia="宋体" w:cs="宋体"/>
          <w:szCs w:val="24"/>
        </w:rPr>
      </w:pPr>
      <w:r>
        <w:rPr>
          <w:rFonts w:hint="eastAsia" w:ascii="宋体" w:hAnsi="宋体" w:eastAsia="宋体" w:cs="宋体"/>
          <w:b/>
          <w:szCs w:val="24"/>
          <w:shd w:val="clear" w:color="auto" w:fill="FFFFFF"/>
        </w:rPr>
        <w:t>四、响应文件提交：</w:t>
      </w:r>
    </w:p>
    <w:p w14:paraId="6B75A7BF">
      <w:pPr>
        <w:pStyle w:val="22"/>
        <w:shd w:val="clear" w:color="auto" w:fill="FFFFFF"/>
        <w:adjustRightInd w:val="0"/>
        <w:snapToGrid w:val="0"/>
        <w:spacing w:beforeAutospacing="0" w:afterAutospacing="0" w:line="372" w:lineRule="auto"/>
        <w:ind w:firstLine="420" w:firstLineChars="175"/>
        <w:rPr>
          <w:rFonts w:ascii="宋体" w:hAnsi="宋体" w:eastAsia="宋体" w:cs="宋体"/>
          <w:color w:val="FF0000"/>
          <w:szCs w:val="24"/>
        </w:rPr>
      </w:pPr>
      <w:r>
        <w:rPr>
          <w:rFonts w:hint="eastAsia" w:ascii="宋体" w:hAnsi="宋体" w:eastAsia="宋体" w:cs="宋体"/>
          <w:szCs w:val="24"/>
          <w:shd w:val="clear" w:color="auto" w:fill="FFFFFF"/>
        </w:rPr>
        <w:t>1.时间：</w:t>
      </w:r>
      <w:r>
        <w:rPr>
          <w:rFonts w:hint="eastAsia" w:ascii="宋体" w:hAnsi="宋体" w:eastAsia="宋体" w:cs="宋体"/>
          <w:b/>
          <w:bCs/>
          <w:szCs w:val="24"/>
        </w:rPr>
        <w:t>2025年</w:t>
      </w:r>
      <w:r>
        <w:rPr>
          <w:rFonts w:hint="eastAsia" w:ascii="宋体" w:hAnsi="宋体" w:cs="宋体"/>
          <w:b/>
          <w:bCs/>
          <w:szCs w:val="24"/>
        </w:rPr>
        <w:t>1</w:t>
      </w:r>
      <w:r>
        <w:rPr>
          <w:rFonts w:hint="eastAsia" w:ascii="宋体" w:hAnsi="宋体" w:eastAsia="宋体" w:cs="宋体"/>
          <w:b/>
          <w:bCs/>
          <w:szCs w:val="24"/>
        </w:rPr>
        <w:t>2月</w:t>
      </w:r>
      <w:r>
        <w:rPr>
          <w:rFonts w:hint="eastAsia" w:ascii="宋体" w:hAnsi="宋体" w:cs="宋体"/>
          <w:b/>
          <w:bCs/>
          <w:szCs w:val="24"/>
        </w:rPr>
        <w:t>23</w:t>
      </w:r>
      <w:r>
        <w:rPr>
          <w:rFonts w:hint="eastAsia" w:ascii="宋体" w:hAnsi="宋体" w:eastAsia="宋体" w:cs="宋体"/>
          <w:b/>
          <w:bCs/>
          <w:szCs w:val="24"/>
        </w:rPr>
        <w:t>日</w:t>
      </w:r>
      <w:r>
        <w:rPr>
          <w:rFonts w:hint="eastAsia" w:ascii="宋体" w:hAnsi="宋体" w:cs="宋体"/>
          <w:b/>
          <w:bCs/>
          <w:szCs w:val="24"/>
        </w:rPr>
        <w:t>9</w:t>
      </w:r>
      <w:r>
        <w:rPr>
          <w:rFonts w:hint="eastAsia" w:ascii="宋体" w:hAnsi="宋体" w:eastAsia="宋体" w:cs="宋体"/>
          <w:b/>
          <w:bCs/>
          <w:szCs w:val="24"/>
        </w:rPr>
        <w:t>时</w:t>
      </w:r>
      <w:r>
        <w:rPr>
          <w:rFonts w:hint="eastAsia" w:ascii="宋体" w:hAnsi="宋体" w:cs="宋体"/>
          <w:b/>
          <w:bCs/>
          <w:szCs w:val="24"/>
        </w:rPr>
        <w:t>30</w:t>
      </w:r>
      <w:r>
        <w:rPr>
          <w:rFonts w:hint="eastAsia" w:ascii="宋体" w:hAnsi="宋体" w:eastAsia="宋体" w:cs="宋体"/>
          <w:b/>
          <w:bCs/>
          <w:szCs w:val="24"/>
        </w:rPr>
        <w:t>分</w:t>
      </w:r>
      <w:r>
        <w:rPr>
          <w:rFonts w:hint="eastAsia" w:ascii="宋体" w:hAnsi="宋体" w:eastAsia="宋体" w:cs="宋体"/>
          <w:szCs w:val="24"/>
          <w:shd w:val="clear" w:color="auto" w:fill="FFFFFF"/>
        </w:rPr>
        <w:t>（北京时间）</w:t>
      </w:r>
    </w:p>
    <w:p w14:paraId="40538BB6">
      <w:pPr>
        <w:pStyle w:val="22"/>
        <w:shd w:val="clear" w:color="auto" w:fill="FFFFFF"/>
        <w:adjustRightInd w:val="0"/>
        <w:snapToGrid w:val="0"/>
        <w:spacing w:beforeAutospacing="0" w:afterAutospacing="0" w:line="372" w:lineRule="auto"/>
        <w:ind w:firstLine="420" w:firstLineChars="175"/>
        <w:rPr>
          <w:rFonts w:ascii="宋体" w:hAnsi="宋体" w:eastAsia="宋体" w:cs="宋体"/>
          <w:szCs w:val="24"/>
        </w:rPr>
      </w:pPr>
      <w:r>
        <w:rPr>
          <w:rFonts w:hint="eastAsia" w:ascii="宋体" w:hAnsi="宋体" w:eastAsia="宋体" w:cs="宋体"/>
          <w:szCs w:val="24"/>
          <w:shd w:val="clear" w:color="auto" w:fill="FFFFFF"/>
        </w:rPr>
        <w:t>2.地点：平顶山市公共资源交易系统</w:t>
      </w:r>
    </w:p>
    <w:p w14:paraId="6E37BBBF">
      <w:pPr>
        <w:pStyle w:val="22"/>
        <w:shd w:val="clear" w:color="auto" w:fill="FFFFFF"/>
        <w:adjustRightInd w:val="0"/>
        <w:snapToGrid w:val="0"/>
        <w:spacing w:beforeAutospacing="0" w:afterAutospacing="0" w:line="372" w:lineRule="auto"/>
        <w:rPr>
          <w:rFonts w:ascii="宋体" w:hAnsi="宋体" w:eastAsia="宋体" w:cs="宋体"/>
          <w:szCs w:val="24"/>
        </w:rPr>
      </w:pPr>
      <w:r>
        <w:rPr>
          <w:rFonts w:hint="eastAsia" w:ascii="宋体" w:hAnsi="宋体" w:eastAsia="宋体" w:cs="宋体"/>
          <w:b/>
          <w:szCs w:val="24"/>
          <w:shd w:val="clear" w:color="auto" w:fill="FFFFFF"/>
        </w:rPr>
        <w:t>五、响应文件开启：</w:t>
      </w:r>
    </w:p>
    <w:p w14:paraId="73732F2D">
      <w:pPr>
        <w:pStyle w:val="22"/>
        <w:shd w:val="clear" w:color="auto" w:fill="FFFFFF"/>
        <w:adjustRightInd w:val="0"/>
        <w:snapToGrid w:val="0"/>
        <w:spacing w:beforeAutospacing="0" w:afterAutospacing="0" w:line="372" w:lineRule="auto"/>
        <w:ind w:firstLine="420" w:firstLineChars="175"/>
        <w:rPr>
          <w:rFonts w:ascii="宋体" w:hAnsi="宋体" w:eastAsia="宋体" w:cs="宋体"/>
          <w:szCs w:val="24"/>
        </w:rPr>
      </w:pPr>
      <w:r>
        <w:rPr>
          <w:rFonts w:hint="eastAsia" w:ascii="宋体" w:hAnsi="宋体" w:eastAsia="宋体" w:cs="宋体"/>
          <w:szCs w:val="24"/>
          <w:shd w:val="clear" w:color="auto" w:fill="FFFFFF"/>
        </w:rPr>
        <w:t>1.时间：</w:t>
      </w:r>
      <w:r>
        <w:rPr>
          <w:rFonts w:hint="eastAsia" w:ascii="宋体" w:hAnsi="宋体" w:eastAsia="宋体" w:cs="宋体"/>
          <w:b/>
          <w:bCs/>
          <w:szCs w:val="24"/>
        </w:rPr>
        <w:t>2025年12月</w:t>
      </w:r>
      <w:r>
        <w:rPr>
          <w:rFonts w:hint="eastAsia" w:ascii="宋体" w:hAnsi="宋体" w:cs="宋体"/>
          <w:b/>
          <w:bCs/>
          <w:szCs w:val="24"/>
        </w:rPr>
        <w:t>23</w:t>
      </w:r>
      <w:r>
        <w:rPr>
          <w:rFonts w:hint="eastAsia" w:ascii="宋体" w:hAnsi="宋体" w:eastAsia="宋体" w:cs="宋体"/>
          <w:b/>
          <w:bCs/>
          <w:szCs w:val="24"/>
        </w:rPr>
        <w:t>日</w:t>
      </w:r>
      <w:r>
        <w:rPr>
          <w:rFonts w:hint="eastAsia" w:ascii="宋体" w:hAnsi="宋体" w:cs="宋体"/>
          <w:b/>
          <w:bCs/>
          <w:szCs w:val="24"/>
        </w:rPr>
        <w:t>9</w:t>
      </w:r>
      <w:r>
        <w:rPr>
          <w:rFonts w:hint="eastAsia" w:ascii="宋体" w:hAnsi="宋体" w:eastAsia="宋体" w:cs="宋体"/>
          <w:b/>
          <w:bCs/>
          <w:szCs w:val="24"/>
        </w:rPr>
        <w:t>时</w:t>
      </w:r>
      <w:r>
        <w:rPr>
          <w:rFonts w:hint="eastAsia" w:ascii="宋体" w:hAnsi="宋体" w:cs="宋体"/>
          <w:b/>
          <w:bCs/>
          <w:szCs w:val="24"/>
        </w:rPr>
        <w:t>30</w:t>
      </w:r>
      <w:r>
        <w:rPr>
          <w:rFonts w:hint="eastAsia" w:ascii="宋体" w:hAnsi="宋体" w:eastAsia="宋体" w:cs="宋体"/>
          <w:b/>
          <w:bCs/>
          <w:szCs w:val="24"/>
        </w:rPr>
        <w:t>分</w:t>
      </w:r>
      <w:r>
        <w:rPr>
          <w:rFonts w:hint="eastAsia" w:ascii="宋体" w:hAnsi="宋体" w:eastAsia="宋体" w:cs="宋体"/>
          <w:szCs w:val="24"/>
          <w:shd w:val="clear" w:color="auto" w:fill="FFFFFF"/>
        </w:rPr>
        <w:t>（北京时间）</w:t>
      </w:r>
    </w:p>
    <w:p w14:paraId="1E5976A8">
      <w:pPr>
        <w:pStyle w:val="22"/>
        <w:shd w:val="clear" w:color="auto" w:fill="FFFFFF"/>
        <w:adjustRightInd w:val="0"/>
        <w:snapToGrid w:val="0"/>
        <w:spacing w:beforeAutospacing="0" w:afterAutospacing="0" w:line="372" w:lineRule="auto"/>
        <w:ind w:firstLine="420" w:firstLineChars="175"/>
        <w:rPr>
          <w:rFonts w:ascii="宋体" w:hAnsi="宋体" w:eastAsia="宋体" w:cs="宋体"/>
          <w:szCs w:val="24"/>
        </w:rPr>
      </w:pPr>
      <w:r>
        <w:rPr>
          <w:rFonts w:hint="eastAsia" w:ascii="宋体" w:hAnsi="宋体" w:eastAsia="宋体" w:cs="宋体"/>
          <w:szCs w:val="24"/>
          <w:shd w:val="clear" w:color="auto" w:fill="FFFFFF"/>
        </w:rPr>
        <w:t>2.地点：</w:t>
      </w:r>
      <w:r>
        <w:rPr>
          <w:rFonts w:hint="eastAsia" w:ascii="宋体" w:hAnsi="宋体" w:eastAsia="宋体" w:cs="宋体"/>
          <w:shd w:val="clear" w:color="auto" w:fill="FFFFFF"/>
        </w:rPr>
        <w:t>平顶山市公共资源交易</w:t>
      </w:r>
      <w:r>
        <w:rPr>
          <w:rFonts w:hint="eastAsia" w:ascii="宋体" w:hAnsi="宋体" w:eastAsia="宋体" w:cs="宋体"/>
        </w:rPr>
        <w:t>中心不见面开标大厅</w:t>
      </w:r>
    </w:p>
    <w:p w14:paraId="505E18B1">
      <w:pPr>
        <w:pStyle w:val="22"/>
        <w:shd w:val="clear" w:color="auto" w:fill="FFFFFF"/>
        <w:adjustRightInd w:val="0"/>
        <w:snapToGrid w:val="0"/>
        <w:spacing w:beforeAutospacing="0" w:afterAutospacing="0" w:line="372" w:lineRule="auto"/>
        <w:rPr>
          <w:rFonts w:ascii="宋体" w:hAnsi="宋体" w:eastAsia="宋体" w:cs="宋体"/>
          <w:szCs w:val="24"/>
        </w:rPr>
      </w:pPr>
      <w:r>
        <w:rPr>
          <w:rFonts w:hint="eastAsia" w:ascii="宋体" w:hAnsi="宋体" w:eastAsia="宋体" w:cs="宋体"/>
          <w:b/>
          <w:szCs w:val="24"/>
          <w:shd w:val="clear" w:color="auto" w:fill="FFFFFF"/>
        </w:rPr>
        <w:t>六、发布公告的媒介及公告期限：</w:t>
      </w:r>
    </w:p>
    <w:p w14:paraId="61ACA2B9">
      <w:pPr>
        <w:pStyle w:val="16"/>
        <w:adjustRightInd w:val="0"/>
        <w:snapToGrid w:val="0"/>
        <w:spacing w:line="372" w:lineRule="auto"/>
        <w:ind w:firstLine="461"/>
        <w:rPr>
          <w:rFonts w:cs="宋体"/>
          <w:kern w:val="2"/>
          <w:sz w:val="24"/>
          <w:szCs w:val="24"/>
        </w:rPr>
      </w:pPr>
      <w:r>
        <w:rPr>
          <w:rFonts w:hint="eastAsia" w:cs="宋体"/>
          <w:sz w:val="24"/>
          <w:szCs w:val="24"/>
        </w:rPr>
        <w:t>本公告在</w:t>
      </w:r>
      <w:r>
        <w:rPr>
          <w:rFonts w:hint="eastAsia" w:cs="宋体"/>
          <w:color w:val="000000"/>
          <w:sz w:val="24"/>
        </w:rPr>
        <w:t>《河南省政府采购网》《平顶山市政府采购网》</w:t>
      </w:r>
      <w:r>
        <w:rPr>
          <w:rFonts w:hint="eastAsia" w:cs="宋体"/>
          <w:sz w:val="24"/>
          <w:szCs w:val="24"/>
        </w:rPr>
        <w:t>《全国公共资源交易平台（河南省·平顶山市）》《中国招标投标公共服务平台》《法正集团电子交易平台》上发布，招标公告期限为三个工作日。</w:t>
      </w:r>
    </w:p>
    <w:p w14:paraId="4857D3EF">
      <w:pPr>
        <w:pStyle w:val="22"/>
        <w:shd w:val="clear" w:color="auto" w:fill="FFFFFF"/>
        <w:adjustRightInd w:val="0"/>
        <w:snapToGrid w:val="0"/>
        <w:spacing w:beforeAutospacing="0" w:afterAutospacing="0" w:line="372" w:lineRule="auto"/>
        <w:rPr>
          <w:rFonts w:ascii="宋体" w:hAnsi="宋体" w:eastAsia="宋体" w:cs="宋体"/>
          <w:b/>
          <w:szCs w:val="24"/>
          <w:shd w:val="clear" w:color="auto" w:fill="FFFFFF"/>
        </w:rPr>
      </w:pPr>
      <w:r>
        <w:rPr>
          <w:rFonts w:hint="eastAsia" w:ascii="宋体" w:hAnsi="宋体" w:eastAsia="宋体" w:cs="宋体"/>
          <w:b/>
          <w:szCs w:val="24"/>
          <w:shd w:val="clear" w:color="auto" w:fill="FFFFFF"/>
        </w:rPr>
        <w:t>七、其他补充事项：</w:t>
      </w:r>
    </w:p>
    <w:p w14:paraId="1D9CE0A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1.本项目如有变化，请各潜在供应商及时关注相关网站。</w:t>
      </w:r>
    </w:p>
    <w:p w14:paraId="5D4204E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平顶山市公共资源交易中心全面实行在线“不见面”开标，供应商远程在线解密投标文件，不再到开标现场，供应商开标前应仔细阅读《“不见面”开标注意事项及操作流程》和《关于“不见面开标系统”升级的通知》；</w:t>
      </w:r>
    </w:p>
    <w:p w14:paraId="6C954B2E">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网址：http://ggzy.pds.gov.cn/tzgg/48949.jhtml。</w:t>
      </w:r>
    </w:p>
    <w:p w14:paraId="62C7ED68">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投标人或其他利害关系人对本次招标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1004FBF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监督部门：平顶山市财政局</w:t>
      </w:r>
    </w:p>
    <w:p w14:paraId="158B22E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联系方式：0375-2627595。</w:t>
      </w:r>
    </w:p>
    <w:p w14:paraId="245A02F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4.该公告已同步至“平顶山市公共资源交易中心微信公众号” ，可通过公众号中的服务栏目进行查阅</w:t>
      </w:r>
    </w:p>
    <w:p w14:paraId="0FF8B5C0">
      <w:pPr>
        <w:pStyle w:val="22"/>
        <w:shd w:val="clear" w:color="auto" w:fill="FFFFFF"/>
        <w:adjustRightInd w:val="0"/>
        <w:snapToGrid w:val="0"/>
        <w:spacing w:beforeAutospacing="0" w:afterAutospacing="0" w:line="372" w:lineRule="auto"/>
        <w:rPr>
          <w:rFonts w:ascii="宋体" w:hAnsi="宋体" w:eastAsia="宋体" w:cs="宋体"/>
          <w:b/>
          <w:szCs w:val="24"/>
          <w:shd w:val="clear" w:color="auto" w:fill="FFFFFF"/>
        </w:rPr>
      </w:pPr>
      <w:r>
        <w:rPr>
          <w:rFonts w:hint="eastAsia" w:ascii="宋体" w:hAnsi="宋体" w:eastAsia="宋体" w:cs="宋体"/>
          <w:b/>
          <w:szCs w:val="24"/>
          <w:shd w:val="clear" w:color="auto" w:fill="FFFFFF"/>
        </w:rPr>
        <w:t>八、凡对本次招标提出询问，请按照以下方式联系</w:t>
      </w:r>
    </w:p>
    <w:p w14:paraId="43066E40">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1、采购</w:t>
      </w:r>
      <w:r>
        <w:rPr>
          <w:rFonts w:hint="eastAsia" w:ascii="宋体" w:hAnsi="宋体" w:cs="宋体"/>
          <w:kern w:val="0"/>
          <w:sz w:val="24"/>
          <w:szCs w:val="24"/>
        </w:rPr>
        <w:t>人</w:t>
      </w:r>
      <w:r>
        <w:rPr>
          <w:rFonts w:hint="eastAsia" w:ascii="宋体" w:hAnsi="宋体" w:cs="宋体"/>
          <w:kern w:val="0"/>
          <w:sz w:val="24"/>
          <w:szCs w:val="24"/>
          <w:lang w:val="zh-CN"/>
        </w:rPr>
        <w:t>信息：</w:t>
      </w:r>
    </w:p>
    <w:p w14:paraId="6D1A9EC1">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采购</w:t>
      </w:r>
      <w:r>
        <w:rPr>
          <w:rFonts w:hint="eastAsia" w:ascii="宋体" w:hAnsi="宋体" w:cs="宋体"/>
          <w:kern w:val="0"/>
          <w:sz w:val="24"/>
          <w:szCs w:val="24"/>
        </w:rPr>
        <w:t>人</w:t>
      </w:r>
      <w:r>
        <w:rPr>
          <w:rFonts w:hint="eastAsia" w:ascii="宋体" w:hAnsi="宋体" w:cs="宋体"/>
          <w:kern w:val="0"/>
          <w:sz w:val="24"/>
          <w:szCs w:val="24"/>
          <w:lang w:val="zh-CN"/>
        </w:rPr>
        <w:t>：平顶山市财政局</w:t>
      </w:r>
    </w:p>
    <w:p w14:paraId="2863BAC1">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地址：</w:t>
      </w:r>
      <w:r>
        <w:rPr>
          <w:rFonts w:hint="eastAsia" w:ascii="宋体" w:hAnsi="宋体" w:cs="宋体"/>
          <w:color w:val="000000"/>
          <w:kern w:val="0"/>
          <w:sz w:val="24"/>
        </w:rPr>
        <w:t>平顶山市新华区长安大道与和谐路交叉口西130米路北</w:t>
      </w:r>
    </w:p>
    <w:p w14:paraId="5114DCF6">
      <w:pPr>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联系人：方先生</w:t>
      </w:r>
    </w:p>
    <w:p w14:paraId="47CC910C">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zh-CN"/>
        </w:rPr>
        <w:t>联系电话：0375-</w:t>
      </w:r>
      <w:r>
        <w:rPr>
          <w:rFonts w:hint="eastAsia" w:ascii="宋体" w:hAnsi="宋体" w:cs="宋体"/>
          <w:kern w:val="0"/>
          <w:sz w:val="24"/>
          <w:szCs w:val="24"/>
        </w:rPr>
        <w:t>2627972</w:t>
      </w:r>
    </w:p>
    <w:p w14:paraId="4F60C2D4">
      <w:pPr>
        <w:adjustRightInd w:val="0"/>
        <w:snapToGrid w:val="0"/>
        <w:spacing w:line="372"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2、采购代理机构信息：</w:t>
      </w:r>
    </w:p>
    <w:p w14:paraId="54C7872A">
      <w:pPr>
        <w:adjustRightInd w:val="0"/>
        <w:snapToGrid w:val="0"/>
        <w:spacing w:line="372"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代理机构：法正项目管理集团有限公司</w:t>
      </w:r>
    </w:p>
    <w:p w14:paraId="74C5341D">
      <w:pPr>
        <w:adjustRightInd w:val="0"/>
        <w:snapToGrid w:val="0"/>
        <w:spacing w:line="372"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地址：菏泽市人民路数码大厦A座5楼</w:t>
      </w:r>
    </w:p>
    <w:p w14:paraId="07B814D4">
      <w:pPr>
        <w:adjustRightInd w:val="0"/>
        <w:snapToGrid w:val="0"/>
        <w:spacing w:line="372"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联系人：王女士</w:t>
      </w:r>
    </w:p>
    <w:p w14:paraId="563A8C93">
      <w:pPr>
        <w:adjustRightInd w:val="0"/>
        <w:snapToGrid w:val="0"/>
        <w:spacing w:line="372"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联系电话：0375-3382066  15037528052</w:t>
      </w:r>
    </w:p>
    <w:p w14:paraId="5E286091">
      <w:pPr>
        <w:numPr>
          <w:ilvl w:val="0"/>
          <w:numId w:val="1"/>
        </w:numPr>
        <w:adjustRightInd w:val="0"/>
        <w:snapToGrid w:val="0"/>
        <w:spacing w:line="372"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项目联系方式：</w:t>
      </w:r>
    </w:p>
    <w:p w14:paraId="4601B6A2">
      <w:pPr>
        <w:adjustRightInd w:val="0"/>
        <w:snapToGrid w:val="0"/>
        <w:spacing w:line="372"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联系人：王女士</w:t>
      </w:r>
    </w:p>
    <w:p w14:paraId="13C473D2">
      <w:pPr>
        <w:adjustRightInd w:val="0"/>
        <w:snapToGrid w:val="0"/>
        <w:spacing w:line="372"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联系电话：0375-3382066  15037528052</w:t>
      </w:r>
    </w:p>
    <w:p w14:paraId="67520CC7">
      <w:pPr>
        <w:wordWrap w:val="0"/>
        <w:adjustRightInd w:val="0"/>
        <w:snapToGrid w:val="0"/>
        <w:spacing w:line="372" w:lineRule="auto"/>
        <w:ind w:firstLine="480" w:firstLineChars="200"/>
        <w:jc w:val="right"/>
        <w:rPr>
          <w:rFonts w:ascii="宋体" w:hAnsi="宋体" w:cs="宋体"/>
          <w:color w:val="FF0000"/>
          <w:kern w:val="0"/>
          <w:sz w:val="24"/>
          <w:szCs w:val="22"/>
          <w:lang w:val="zh-CN"/>
        </w:rPr>
      </w:pPr>
    </w:p>
    <w:p w14:paraId="71B14CE3">
      <w:pPr>
        <w:pStyle w:val="2"/>
        <w:rPr>
          <w:rFonts w:hAnsi="宋体"/>
          <w:lang w:val="zh-CN"/>
        </w:rPr>
      </w:pPr>
    </w:p>
    <w:p w14:paraId="5740C9BD">
      <w:pPr>
        <w:adjustRightInd w:val="0"/>
        <w:snapToGrid w:val="0"/>
        <w:spacing w:line="372" w:lineRule="auto"/>
        <w:ind w:firstLine="480" w:firstLineChars="200"/>
        <w:jc w:val="right"/>
        <w:rPr>
          <w:rFonts w:ascii="宋体" w:hAnsi="宋体" w:cs="宋体"/>
          <w:color w:val="FF0000"/>
          <w:kern w:val="0"/>
          <w:sz w:val="24"/>
          <w:szCs w:val="22"/>
          <w:lang w:val="zh-CN"/>
        </w:rPr>
      </w:pPr>
    </w:p>
    <w:p w14:paraId="1BE3F737">
      <w:pPr>
        <w:pStyle w:val="44"/>
        <w:adjustRightInd w:val="0"/>
        <w:snapToGrid w:val="0"/>
        <w:spacing w:line="372" w:lineRule="auto"/>
        <w:rPr>
          <w:rFonts w:ascii="宋体" w:hAnsi="宋体" w:cs="宋体"/>
        </w:rPr>
      </w:pPr>
      <w:bookmarkStart w:id="4" w:name="_Toc25160322"/>
      <w:bookmarkStart w:id="5" w:name="_Toc25160826"/>
      <w:r>
        <w:rPr>
          <w:rFonts w:hint="eastAsia" w:ascii="宋体" w:hAnsi="宋体" w:cs="宋体"/>
          <w:b/>
        </w:rPr>
        <w:t>温馨提示</w:t>
      </w:r>
    </w:p>
    <w:p w14:paraId="345FB5BA">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本项目为全流程电子化交易项目，请认真阅读采购文件，并注意以下事项。</w:t>
      </w:r>
    </w:p>
    <w:p w14:paraId="263A55D2">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1、投标人应按采购文件规定编制、提交电子投标文件（不用提交纸质文件）。</w:t>
      </w:r>
    </w:p>
    <w:p w14:paraId="3E6E9242">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2、本项目供应商不用再提供纸质响应文件。</w:t>
      </w:r>
    </w:p>
    <w:p w14:paraId="193FBAD8">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3、电子文件下载、制作、提交期间和开标（电子投标文件的解密）环节，投标人须使用CA数字证书（证书须在有效期内）。</w:t>
      </w:r>
    </w:p>
    <w:p w14:paraId="16457E04">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4、电子投标文件的制作</w:t>
      </w:r>
    </w:p>
    <w:p w14:paraId="08BC538F">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（1）投标人登录《全国公共资源交易平台（河南省▪平顶山市）》电子化交易系统（http://ggzy.pds.gov.cn/ggzy/）下载“平顶山投标文件制作系统”，按采购文件要求制作电子投标文件。</w:t>
      </w:r>
    </w:p>
    <w:p w14:paraId="0FEEA965">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电子投标文件的制作，参考《全国公共资源交易平台（河南省▪平顶山市）》电子化交易系统——组件下载——交易系统操作手册（投标人、投标人）。</w:t>
      </w:r>
    </w:p>
    <w:p w14:paraId="515EFBFF">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（2）投标人须将采购文件要求的资质、业绩、荣誉及相关人员证明材料等资料原件扫描件（或图片）制作到所提交的电子投标文件中。</w:t>
      </w:r>
    </w:p>
    <w:p w14:paraId="150A9266">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（3）投标人对同一项目多个标段进行投标的，应分别下载所投标段的采购文件，按标段制作电子投标文件，并按采购文件要求在相应位置加盖投标人电子印章和法人电子印章。</w:t>
      </w:r>
    </w:p>
    <w:p w14:paraId="56FE756E">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一个标段对应生成一个文件夹（xxxx项目xx标段），其中包含2个文件和1个文件夹。后缀名为“.file”的文件用于电子投标使用。</w:t>
      </w:r>
    </w:p>
    <w:p w14:paraId="62F6F15D">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4、加密电子投标文件的提交</w:t>
      </w:r>
    </w:p>
    <w:p w14:paraId="16DAD730">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（1）加密电子投标文件应在采购文件规定的投标截止时间（开标时间）之前成功提交至《全国公共资源交易平台（河南省▪平顶山市）》电子化交易系统（http://ggzy.pds.gov.cn/ggzy/）。</w:t>
      </w:r>
    </w:p>
    <w:p w14:paraId="1A8D628E">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投标人应充分考虑并预留技术处理和上传数据所需时间。</w:t>
      </w:r>
    </w:p>
    <w:p w14:paraId="0A8AA12F">
      <w:pPr>
        <w:widowControl/>
        <w:shd w:val="clear" w:color="auto" w:fill="FFFFFF"/>
        <w:adjustRightInd w:val="0"/>
        <w:snapToGrid w:val="0"/>
        <w:spacing w:line="372" w:lineRule="auto"/>
        <w:ind w:firstLine="420"/>
        <w:rPr>
          <w:rFonts w:ascii="宋体" w:hAnsi="宋体" w:cs="宋体"/>
          <w:sz w:val="24"/>
          <w:szCs w:val="24"/>
        </w:rPr>
      </w:pPr>
      <w:r>
        <w:rPr>
          <w:rFonts w:hint="eastAsia" w:ascii="宋体" w:hAnsi="宋体" w:cs="宋体"/>
          <w:sz w:val="24"/>
          <w:szCs w:val="24"/>
        </w:rPr>
        <w:t>（2）投标人对同一项目多个标段进行投标的，加密电子投标文件应按标段分别提交。</w:t>
      </w:r>
    </w:p>
    <w:p w14:paraId="6DD66262">
      <w:pPr>
        <w:widowControl/>
        <w:spacing w:line="440" w:lineRule="exact"/>
        <w:ind w:firstLine="480" w:firstLineChars="200"/>
        <w:rPr>
          <w:rFonts w:ascii="宋体" w:hAnsi="宋体" w:cs="宋体"/>
          <w:sz w:val="24"/>
          <w:szCs w:val="24"/>
        </w:rPr>
      </w:pPr>
      <w:r>
        <w:rPr>
          <w:rFonts w:hint="eastAsia" w:ascii="宋体" w:hAnsi="宋体" w:cs="宋体"/>
          <w:sz w:val="24"/>
          <w:szCs w:val="24"/>
        </w:rPr>
        <w:t>5、加密电子响应文件的提交</w:t>
      </w:r>
    </w:p>
    <w:p w14:paraId="4D5285DF">
      <w:pPr>
        <w:widowControl/>
        <w:spacing w:line="440" w:lineRule="exact"/>
        <w:ind w:firstLine="480" w:firstLineChars="200"/>
        <w:rPr>
          <w:rFonts w:ascii="宋体" w:hAnsi="宋体" w:cs="宋体"/>
          <w:sz w:val="24"/>
          <w:szCs w:val="24"/>
        </w:rPr>
      </w:pPr>
      <w:r>
        <w:rPr>
          <w:rFonts w:hint="eastAsia" w:ascii="宋体" w:hAnsi="宋体" w:cs="宋体"/>
          <w:sz w:val="24"/>
          <w:szCs w:val="24"/>
        </w:rPr>
        <w:t>（1）加密电子响应文件应在采购文件规定的投标截止时间（开标时间）之前成功提交至《全国公共资源交易平台（河南省▪平顶山市）》公共资源交易系统（http://ggzy.pds.gov.cn/ggzy/）。供应商应充分考虑并预留技术处理和上传数据所需时间。</w:t>
      </w:r>
    </w:p>
    <w:p w14:paraId="3C102E45">
      <w:pPr>
        <w:widowControl/>
        <w:spacing w:line="440" w:lineRule="exact"/>
        <w:ind w:firstLine="480" w:firstLineChars="200"/>
        <w:rPr>
          <w:rFonts w:ascii="宋体" w:hAnsi="宋体" w:cs="宋体"/>
          <w:sz w:val="24"/>
          <w:szCs w:val="24"/>
        </w:rPr>
      </w:pPr>
      <w:r>
        <w:rPr>
          <w:rFonts w:hint="eastAsia" w:ascii="宋体" w:hAnsi="宋体" w:cs="宋体"/>
          <w:sz w:val="24"/>
          <w:szCs w:val="24"/>
        </w:rPr>
        <w:t>（2）供应商对同一项目多个标段进行投标的，加密电子响应文件应按标段分别提交。</w:t>
      </w:r>
    </w:p>
    <w:p w14:paraId="0104E43D">
      <w:pPr>
        <w:widowControl/>
        <w:spacing w:line="440" w:lineRule="exact"/>
        <w:ind w:firstLine="480" w:firstLineChars="200"/>
        <w:rPr>
          <w:rFonts w:ascii="宋体" w:hAnsi="宋体" w:cs="宋体"/>
          <w:sz w:val="24"/>
          <w:szCs w:val="24"/>
        </w:rPr>
      </w:pPr>
      <w:r>
        <w:rPr>
          <w:rFonts w:hint="eastAsia" w:ascii="宋体" w:hAnsi="宋体" w:cs="宋体"/>
          <w:sz w:val="24"/>
          <w:szCs w:val="24"/>
        </w:rPr>
        <w:t>不见面开标注意事项及操作流程</w:t>
      </w:r>
    </w:p>
    <w:p w14:paraId="38815F7D">
      <w:pPr>
        <w:widowControl/>
        <w:spacing w:line="440" w:lineRule="exact"/>
        <w:ind w:firstLine="480" w:firstLineChars="200"/>
        <w:rPr>
          <w:rFonts w:ascii="宋体" w:hAnsi="宋体" w:cs="宋体"/>
          <w:sz w:val="24"/>
          <w:szCs w:val="24"/>
        </w:rPr>
      </w:pPr>
      <w:r>
        <w:rPr>
          <w:rFonts w:hint="eastAsia" w:ascii="宋体" w:hAnsi="宋体" w:cs="宋体"/>
          <w:sz w:val="24"/>
          <w:szCs w:val="24"/>
        </w:rPr>
        <w:t>1.招标人和代理机构应当提前做好各项准备工作，准时开标。</w:t>
      </w:r>
    </w:p>
    <w:p w14:paraId="20B7C919">
      <w:pPr>
        <w:widowControl/>
        <w:spacing w:line="440" w:lineRule="exact"/>
        <w:ind w:firstLine="480" w:firstLineChars="200"/>
        <w:rPr>
          <w:rFonts w:ascii="宋体" w:hAnsi="宋体" w:cs="宋体"/>
          <w:sz w:val="24"/>
          <w:szCs w:val="24"/>
        </w:rPr>
      </w:pPr>
      <w:r>
        <w:rPr>
          <w:rFonts w:hint="eastAsia" w:ascii="宋体" w:hAnsi="宋体" w:cs="宋体"/>
          <w:sz w:val="24"/>
          <w:szCs w:val="24"/>
        </w:rPr>
        <w:t>2.开标时，供应商采用网上远程异地解密时，请用CA证书登录平顶山市公共资源交易中心业务系统，进入本项目开标大厅点击解密来完成响应文件的解密工作。每位供应商的解密时间从开标时间起60分钟内完成，超过规定时间解密的响应文件不予接收。</w:t>
      </w:r>
    </w:p>
    <w:p w14:paraId="79090B5E">
      <w:pPr>
        <w:widowControl/>
        <w:spacing w:line="440" w:lineRule="exact"/>
        <w:ind w:firstLine="480" w:firstLineChars="200"/>
        <w:rPr>
          <w:rFonts w:ascii="宋体" w:hAnsi="宋体" w:cs="宋体"/>
          <w:sz w:val="24"/>
          <w:szCs w:val="24"/>
        </w:rPr>
      </w:pPr>
      <w:r>
        <w:rPr>
          <w:rFonts w:hint="eastAsia" w:ascii="宋体" w:hAnsi="宋体" w:cs="宋体"/>
          <w:sz w:val="24"/>
          <w:szCs w:val="24"/>
        </w:rPr>
        <w:t>3.如出现供应商的电子响应文件无法解密的情况，供应商应及时联系招标人（代理机构）进行说明。响应文件解密异常，按以下步骤进行处理：</w:t>
      </w:r>
    </w:p>
    <w:p w14:paraId="44EBF494">
      <w:pPr>
        <w:widowControl/>
        <w:spacing w:line="440" w:lineRule="exact"/>
        <w:ind w:firstLine="480" w:firstLineChars="200"/>
        <w:rPr>
          <w:rFonts w:ascii="宋体" w:hAnsi="宋体" w:cs="宋体"/>
          <w:sz w:val="24"/>
          <w:szCs w:val="24"/>
        </w:rPr>
      </w:pPr>
      <w:r>
        <w:rPr>
          <w:rFonts w:hint="eastAsia" w:ascii="宋体" w:hAnsi="宋体" w:cs="宋体"/>
          <w:sz w:val="24"/>
          <w:szCs w:val="24"/>
        </w:rPr>
        <w:t>（1）如果是响应文件自身问题导致响应文件无法解密的，该响应文件将不予接收、解密。</w:t>
      </w:r>
    </w:p>
    <w:p w14:paraId="20383411">
      <w:pPr>
        <w:widowControl/>
        <w:spacing w:line="440" w:lineRule="exact"/>
        <w:ind w:firstLine="480" w:firstLineChars="200"/>
        <w:rPr>
          <w:rFonts w:ascii="宋体" w:hAnsi="宋体" w:cs="宋体"/>
          <w:sz w:val="24"/>
          <w:szCs w:val="24"/>
        </w:rPr>
      </w:pPr>
      <w:r>
        <w:rPr>
          <w:rFonts w:hint="eastAsia" w:ascii="宋体" w:hAnsi="宋体" w:cs="宋体"/>
          <w:sz w:val="24"/>
          <w:szCs w:val="24"/>
        </w:rPr>
        <w:t>（2）如果是电子化交易系统问题造成响应文件无法解密的，将由技术人员进行排查处理。如短时间内问题无法解决的，将由招标人（代理机构）联系监督部门申请暂停开标，待问题解决后继续开标。</w:t>
      </w:r>
    </w:p>
    <w:p w14:paraId="7D7BC7BD">
      <w:pPr>
        <w:widowControl/>
        <w:spacing w:line="440" w:lineRule="exact"/>
        <w:ind w:firstLine="480" w:firstLineChars="200"/>
        <w:rPr>
          <w:rFonts w:ascii="宋体" w:hAnsi="宋体" w:cs="宋体"/>
          <w:sz w:val="24"/>
          <w:szCs w:val="24"/>
        </w:rPr>
      </w:pPr>
      <w:r>
        <w:rPr>
          <w:rFonts w:hint="eastAsia" w:ascii="宋体" w:hAnsi="宋体" w:cs="宋体"/>
          <w:sz w:val="24"/>
          <w:szCs w:val="24"/>
        </w:rPr>
        <w:t>4.所有响应文件解密完成后，由招标人（代理机构）操作，对开标结果进行公示。</w:t>
      </w:r>
    </w:p>
    <w:p w14:paraId="419A89E5">
      <w:pPr>
        <w:widowControl/>
        <w:spacing w:line="440" w:lineRule="exact"/>
        <w:ind w:firstLine="480" w:firstLineChars="200"/>
        <w:rPr>
          <w:rFonts w:ascii="宋体" w:hAnsi="宋体" w:cs="宋体"/>
          <w:sz w:val="24"/>
          <w:szCs w:val="24"/>
        </w:rPr>
      </w:pPr>
      <w:r>
        <w:rPr>
          <w:rFonts w:hint="eastAsia" w:ascii="宋体" w:hAnsi="宋体" w:cs="宋体"/>
          <w:sz w:val="24"/>
          <w:szCs w:val="24"/>
        </w:rPr>
        <w:t>5.供应商应保证在开标期间电话、电脑、网络等能够正常使用，供应商因停电、电脑病毒、网络堵塞等原因，未在规定的解密时间内对响应文件进行解密的，其响应文件不予接收。</w:t>
      </w:r>
    </w:p>
    <w:p w14:paraId="13F1978F">
      <w:pPr>
        <w:widowControl/>
        <w:spacing w:line="440" w:lineRule="exact"/>
        <w:ind w:firstLine="480" w:firstLineChars="200"/>
        <w:rPr>
          <w:rFonts w:ascii="宋体" w:hAnsi="宋体" w:cs="宋体"/>
          <w:sz w:val="24"/>
          <w:szCs w:val="24"/>
        </w:rPr>
      </w:pPr>
      <w:r>
        <w:rPr>
          <w:rFonts w:hint="eastAsia" w:ascii="宋体" w:hAnsi="宋体" w:cs="宋体"/>
          <w:sz w:val="24"/>
          <w:szCs w:val="24"/>
        </w:rPr>
        <w:t>6.解密完成后，供应商可登录到交易系统查看自己的投标报价。如对自己的报价内容有异议的，应在报价内容显示后20分钟内联系招标人（代理机构）进行质疑，供应商未在规定时间内提出质疑的，视为认可开标结果显示内容。</w:t>
      </w:r>
    </w:p>
    <w:p w14:paraId="397440EF">
      <w:pPr>
        <w:pStyle w:val="23"/>
        <w:rPr>
          <w:rStyle w:val="40"/>
          <w:rFonts w:ascii="宋体" w:hAnsi="宋体" w:eastAsia="宋体" w:cs="宋体"/>
          <w:b/>
          <w:bCs w:val="0"/>
        </w:rPr>
      </w:pPr>
      <w:r>
        <w:rPr>
          <w:rStyle w:val="40"/>
          <w:rFonts w:hint="eastAsia" w:ascii="宋体" w:hAnsi="宋体" w:eastAsia="宋体" w:cs="宋体"/>
          <w:b w:val="0"/>
          <w:bCs w:val="0"/>
          <w:sz w:val="30"/>
          <w:szCs w:val="30"/>
        </w:rPr>
        <w:br w:type="page"/>
      </w:r>
      <w:bookmarkStart w:id="6" w:name="_Toc6975"/>
      <w:r>
        <w:rPr>
          <w:rStyle w:val="40"/>
          <w:rFonts w:hint="eastAsia" w:ascii="宋体" w:hAnsi="宋体" w:eastAsia="宋体" w:cs="宋体"/>
          <w:b/>
          <w:bCs w:val="0"/>
        </w:rPr>
        <w:t>第二章  供应商须知</w:t>
      </w:r>
      <w:bookmarkEnd w:id="4"/>
      <w:bookmarkEnd w:id="5"/>
      <w:bookmarkEnd w:id="6"/>
    </w:p>
    <w:p w14:paraId="2935B4E0">
      <w:pPr>
        <w:jc w:val="center"/>
        <w:rPr>
          <w:rFonts w:ascii="宋体" w:hAnsi="宋体" w:cs="宋体"/>
          <w:b/>
          <w:bCs/>
          <w:w w:val="99"/>
          <w:kern w:val="0"/>
          <w:sz w:val="28"/>
          <w:szCs w:val="28"/>
        </w:rPr>
      </w:pPr>
      <w:r>
        <w:rPr>
          <w:rFonts w:hint="eastAsia" w:ascii="宋体" w:hAnsi="宋体" w:cs="宋体"/>
          <w:b/>
          <w:bCs/>
          <w:w w:val="99"/>
          <w:kern w:val="0"/>
          <w:sz w:val="28"/>
          <w:szCs w:val="28"/>
        </w:rPr>
        <w:t>供应商须知前附表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686"/>
        <w:gridCol w:w="7087"/>
      </w:tblGrid>
      <w:tr w14:paraId="3DE9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0" w:type="auto"/>
            <w:vAlign w:val="center"/>
          </w:tcPr>
          <w:p w14:paraId="17771894">
            <w:pPr>
              <w:pStyle w:val="57"/>
              <w:shd w:val="clear" w:color="auto" w:fill="auto"/>
              <w:adjustRightInd w:val="0"/>
              <w:snapToGrid w:val="0"/>
              <w:spacing w:before="0" w:line="312" w:lineRule="auto"/>
              <w:jc w:val="center"/>
              <w:rPr>
                <w:rFonts w:cs="宋体"/>
                <w:b/>
                <w:bCs/>
                <w:sz w:val="24"/>
                <w:szCs w:val="24"/>
                <w:lang w:bidi="zh-CN"/>
              </w:rPr>
            </w:pPr>
            <w:r>
              <w:rPr>
                <w:rStyle w:val="56"/>
                <w:rFonts w:hint="eastAsia"/>
                <w:b/>
                <w:bCs/>
                <w:color w:val="auto"/>
                <w:sz w:val="24"/>
                <w:szCs w:val="24"/>
              </w:rPr>
              <w:t>序号</w:t>
            </w:r>
          </w:p>
        </w:tc>
        <w:tc>
          <w:tcPr>
            <w:tcW w:w="0" w:type="auto"/>
            <w:vAlign w:val="center"/>
          </w:tcPr>
          <w:p w14:paraId="1C07AB2C">
            <w:pPr>
              <w:pStyle w:val="57"/>
              <w:shd w:val="clear" w:color="auto" w:fill="auto"/>
              <w:adjustRightInd w:val="0"/>
              <w:snapToGrid w:val="0"/>
              <w:spacing w:before="0" w:line="312" w:lineRule="auto"/>
              <w:jc w:val="center"/>
              <w:rPr>
                <w:rFonts w:cs="宋体"/>
                <w:b/>
                <w:bCs/>
                <w:sz w:val="24"/>
                <w:szCs w:val="24"/>
                <w:lang w:bidi="zh-CN"/>
              </w:rPr>
            </w:pPr>
            <w:r>
              <w:rPr>
                <w:rStyle w:val="56"/>
                <w:rFonts w:hint="eastAsia"/>
                <w:b/>
                <w:bCs/>
                <w:color w:val="auto"/>
                <w:sz w:val="24"/>
                <w:szCs w:val="24"/>
              </w:rPr>
              <w:t>条款名称</w:t>
            </w:r>
          </w:p>
        </w:tc>
        <w:tc>
          <w:tcPr>
            <w:tcW w:w="0" w:type="auto"/>
            <w:vAlign w:val="center"/>
          </w:tcPr>
          <w:p w14:paraId="6E887F24">
            <w:pPr>
              <w:pStyle w:val="57"/>
              <w:shd w:val="clear" w:color="auto" w:fill="auto"/>
              <w:adjustRightInd w:val="0"/>
              <w:snapToGrid w:val="0"/>
              <w:spacing w:before="0" w:line="312" w:lineRule="auto"/>
              <w:jc w:val="center"/>
              <w:rPr>
                <w:rFonts w:cs="宋体"/>
                <w:b/>
                <w:bCs/>
                <w:sz w:val="24"/>
                <w:szCs w:val="24"/>
                <w:lang w:bidi="zh-CN"/>
              </w:rPr>
            </w:pPr>
            <w:r>
              <w:rPr>
                <w:rStyle w:val="58"/>
                <w:rFonts w:hint="eastAsia"/>
                <w:b/>
                <w:bCs/>
                <w:color w:val="auto"/>
                <w:sz w:val="24"/>
                <w:szCs w:val="24"/>
              </w:rPr>
              <w:t>编列内容</w:t>
            </w:r>
          </w:p>
        </w:tc>
      </w:tr>
      <w:tr w14:paraId="516C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0" w:type="auto"/>
            <w:vAlign w:val="center"/>
          </w:tcPr>
          <w:p w14:paraId="1F95F395">
            <w:pPr>
              <w:pStyle w:val="57"/>
              <w:shd w:val="clear" w:color="auto" w:fill="auto"/>
              <w:adjustRightInd w:val="0"/>
              <w:snapToGrid w:val="0"/>
              <w:spacing w:before="0" w:line="312" w:lineRule="auto"/>
              <w:jc w:val="center"/>
              <w:rPr>
                <w:rFonts w:cs="宋体"/>
                <w:sz w:val="24"/>
                <w:szCs w:val="24"/>
                <w:lang w:bidi="zh-CN"/>
              </w:rPr>
            </w:pPr>
            <w:r>
              <w:rPr>
                <w:rStyle w:val="58"/>
                <w:rFonts w:hint="eastAsia"/>
                <w:color w:val="auto"/>
                <w:sz w:val="24"/>
                <w:szCs w:val="24"/>
              </w:rPr>
              <w:t>1</w:t>
            </w:r>
          </w:p>
        </w:tc>
        <w:tc>
          <w:tcPr>
            <w:tcW w:w="0" w:type="auto"/>
            <w:vAlign w:val="center"/>
          </w:tcPr>
          <w:p w14:paraId="4554A597">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rPr>
              <w:t>采购人</w:t>
            </w:r>
          </w:p>
        </w:tc>
        <w:tc>
          <w:tcPr>
            <w:tcW w:w="0" w:type="auto"/>
            <w:vAlign w:val="center"/>
          </w:tcPr>
          <w:p w14:paraId="37561615">
            <w:pPr>
              <w:adjustRightInd w:val="0"/>
              <w:snapToGrid w:val="0"/>
              <w:spacing w:line="312" w:lineRule="auto"/>
              <w:rPr>
                <w:rFonts w:ascii="宋体" w:hAnsi="宋体" w:cs="宋体"/>
                <w:sz w:val="24"/>
                <w:szCs w:val="24"/>
                <w:lang w:val="zh-CN"/>
              </w:rPr>
            </w:pPr>
            <w:r>
              <w:rPr>
                <w:rFonts w:hint="eastAsia" w:ascii="宋体" w:hAnsi="宋体" w:cs="宋体"/>
                <w:sz w:val="24"/>
                <w:szCs w:val="24"/>
                <w:lang w:val="zh-CN"/>
              </w:rPr>
              <w:t>采购</w:t>
            </w:r>
            <w:r>
              <w:rPr>
                <w:rFonts w:hint="eastAsia" w:ascii="宋体" w:hAnsi="宋体" w:cs="宋体"/>
                <w:sz w:val="24"/>
                <w:szCs w:val="24"/>
              </w:rPr>
              <w:t>人</w:t>
            </w:r>
            <w:r>
              <w:rPr>
                <w:rFonts w:hint="eastAsia" w:ascii="宋体" w:hAnsi="宋体" w:cs="宋体"/>
                <w:sz w:val="24"/>
                <w:szCs w:val="24"/>
                <w:lang w:val="zh-CN"/>
              </w:rPr>
              <w:t>：平顶山市财政局</w:t>
            </w:r>
          </w:p>
          <w:p w14:paraId="4EE24DAE">
            <w:pPr>
              <w:adjustRightInd w:val="0"/>
              <w:snapToGrid w:val="0"/>
              <w:spacing w:line="312" w:lineRule="auto"/>
              <w:rPr>
                <w:rFonts w:ascii="宋体" w:hAnsi="宋体" w:cs="宋体"/>
                <w:sz w:val="24"/>
                <w:szCs w:val="24"/>
                <w:lang w:val="zh-CN"/>
              </w:rPr>
            </w:pPr>
            <w:r>
              <w:rPr>
                <w:rFonts w:hint="eastAsia" w:ascii="宋体" w:hAnsi="宋体" w:cs="宋体"/>
                <w:sz w:val="24"/>
                <w:szCs w:val="24"/>
                <w:lang w:val="zh-CN"/>
              </w:rPr>
              <w:t>联系人：方先生</w:t>
            </w:r>
          </w:p>
          <w:p w14:paraId="43959357">
            <w:pPr>
              <w:adjustRightInd w:val="0"/>
              <w:snapToGrid w:val="0"/>
              <w:spacing w:line="312" w:lineRule="auto"/>
              <w:rPr>
                <w:rFonts w:ascii="宋体" w:hAnsi="宋体" w:cs="宋体"/>
                <w:sz w:val="24"/>
                <w:szCs w:val="24"/>
              </w:rPr>
            </w:pPr>
            <w:r>
              <w:rPr>
                <w:rFonts w:hint="eastAsia" w:ascii="宋体" w:hAnsi="宋体" w:cs="宋体"/>
                <w:sz w:val="24"/>
                <w:szCs w:val="24"/>
                <w:lang w:val="zh-CN"/>
              </w:rPr>
              <w:t>联系电话：0375-</w:t>
            </w:r>
            <w:r>
              <w:rPr>
                <w:rFonts w:hint="eastAsia" w:ascii="宋体" w:hAnsi="宋体" w:cs="宋体"/>
                <w:sz w:val="24"/>
                <w:szCs w:val="24"/>
              </w:rPr>
              <w:t>2627972</w:t>
            </w:r>
          </w:p>
          <w:p w14:paraId="6D75FD27">
            <w:pPr>
              <w:adjustRightInd w:val="0"/>
              <w:snapToGrid w:val="0"/>
              <w:spacing w:line="312" w:lineRule="auto"/>
              <w:rPr>
                <w:rFonts w:ascii="宋体" w:hAnsi="宋体" w:cs="宋体"/>
                <w:sz w:val="24"/>
                <w:szCs w:val="24"/>
              </w:rPr>
            </w:pPr>
            <w:r>
              <w:rPr>
                <w:rFonts w:hint="eastAsia" w:ascii="宋体" w:hAnsi="宋体" w:cs="宋体"/>
                <w:sz w:val="24"/>
                <w:szCs w:val="24"/>
                <w:lang w:val="zh-CN"/>
              </w:rPr>
              <w:t>地址：</w:t>
            </w:r>
            <w:r>
              <w:rPr>
                <w:rFonts w:hint="eastAsia" w:ascii="宋体" w:hAnsi="宋体" w:cs="宋体"/>
                <w:sz w:val="24"/>
                <w:szCs w:val="24"/>
              </w:rPr>
              <w:t>平顶山市新华区长安大道与和谐路交叉口西130米路北</w:t>
            </w:r>
          </w:p>
        </w:tc>
      </w:tr>
      <w:tr w14:paraId="1589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0" w:type="auto"/>
            <w:vAlign w:val="center"/>
          </w:tcPr>
          <w:p w14:paraId="3F45949F">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rPr>
              <w:t>2</w:t>
            </w:r>
          </w:p>
        </w:tc>
        <w:tc>
          <w:tcPr>
            <w:tcW w:w="0" w:type="auto"/>
            <w:vAlign w:val="center"/>
          </w:tcPr>
          <w:p w14:paraId="6F6CBEB9">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rPr>
              <w:t>采购代理机构</w:t>
            </w:r>
          </w:p>
        </w:tc>
        <w:tc>
          <w:tcPr>
            <w:tcW w:w="0" w:type="auto"/>
            <w:vAlign w:val="center"/>
          </w:tcPr>
          <w:p w14:paraId="70A4DC9D">
            <w:pPr>
              <w:adjustRightInd w:val="0"/>
              <w:snapToGrid w:val="0"/>
              <w:spacing w:line="312" w:lineRule="auto"/>
              <w:rPr>
                <w:rFonts w:ascii="宋体" w:hAnsi="宋体" w:cs="宋体"/>
                <w:sz w:val="24"/>
                <w:szCs w:val="24"/>
              </w:rPr>
            </w:pPr>
            <w:r>
              <w:rPr>
                <w:rFonts w:hint="eastAsia" w:ascii="宋体" w:hAnsi="宋体" w:cs="宋体"/>
                <w:sz w:val="24"/>
                <w:szCs w:val="24"/>
              </w:rPr>
              <w:t>采购代理机构：法正项目管理集团有限公司</w:t>
            </w:r>
          </w:p>
          <w:p w14:paraId="709E82B9">
            <w:pPr>
              <w:adjustRightInd w:val="0"/>
              <w:snapToGrid w:val="0"/>
              <w:spacing w:line="312" w:lineRule="auto"/>
              <w:rPr>
                <w:rFonts w:ascii="宋体" w:hAnsi="宋体" w:cs="宋体"/>
                <w:sz w:val="24"/>
                <w:szCs w:val="24"/>
              </w:rPr>
            </w:pPr>
            <w:r>
              <w:rPr>
                <w:rFonts w:hint="eastAsia" w:ascii="宋体" w:hAnsi="宋体" w:cs="宋体"/>
                <w:sz w:val="24"/>
                <w:szCs w:val="24"/>
              </w:rPr>
              <w:t>联系人：王女士</w:t>
            </w:r>
          </w:p>
          <w:p w14:paraId="374C95D6">
            <w:pPr>
              <w:adjustRightInd w:val="0"/>
              <w:snapToGrid w:val="0"/>
              <w:spacing w:line="312" w:lineRule="auto"/>
              <w:rPr>
                <w:rFonts w:ascii="宋体" w:hAnsi="宋体" w:cs="宋体"/>
                <w:sz w:val="24"/>
                <w:szCs w:val="24"/>
              </w:rPr>
            </w:pPr>
            <w:r>
              <w:rPr>
                <w:rFonts w:hint="eastAsia" w:ascii="宋体" w:hAnsi="宋体" w:cs="宋体"/>
                <w:sz w:val="24"/>
                <w:szCs w:val="24"/>
              </w:rPr>
              <w:t>联系电话：0375-3382066  15037528052</w:t>
            </w:r>
          </w:p>
          <w:p w14:paraId="25497855">
            <w:pPr>
              <w:adjustRightInd w:val="0"/>
              <w:snapToGrid w:val="0"/>
              <w:spacing w:line="312" w:lineRule="auto"/>
              <w:rPr>
                <w:rFonts w:ascii="宋体" w:hAnsi="宋体" w:cs="宋体"/>
                <w:sz w:val="24"/>
                <w:szCs w:val="24"/>
              </w:rPr>
            </w:pPr>
            <w:r>
              <w:rPr>
                <w:rFonts w:hint="eastAsia" w:ascii="宋体" w:hAnsi="宋体" w:cs="宋体"/>
                <w:bCs/>
                <w:sz w:val="24"/>
                <w:szCs w:val="24"/>
              </w:rPr>
              <w:t>地址：菏泽市人民路数码大厦A座5楼</w:t>
            </w:r>
          </w:p>
        </w:tc>
      </w:tr>
      <w:tr w14:paraId="308A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bottom"/>
          </w:tcPr>
          <w:p w14:paraId="3A4140E9">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rPr>
              <w:t>3</w:t>
            </w:r>
          </w:p>
        </w:tc>
        <w:tc>
          <w:tcPr>
            <w:tcW w:w="0" w:type="auto"/>
            <w:vAlign w:val="center"/>
          </w:tcPr>
          <w:p w14:paraId="22129A9C">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rPr>
              <w:t>项目名称</w:t>
            </w:r>
          </w:p>
        </w:tc>
        <w:tc>
          <w:tcPr>
            <w:tcW w:w="0" w:type="auto"/>
            <w:vAlign w:val="center"/>
          </w:tcPr>
          <w:p w14:paraId="0A717729">
            <w:pPr>
              <w:pStyle w:val="57"/>
              <w:shd w:val="clear" w:color="auto" w:fill="auto"/>
              <w:adjustRightInd w:val="0"/>
              <w:snapToGrid w:val="0"/>
              <w:spacing w:before="0" w:line="312" w:lineRule="auto"/>
              <w:rPr>
                <w:rFonts w:cs="宋体"/>
                <w:sz w:val="24"/>
                <w:szCs w:val="24"/>
                <w:lang w:bidi="zh-CN"/>
              </w:rPr>
            </w:pPr>
            <w:r>
              <w:rPr>
                <w:rFonts w:hint="eastAsia" w:cs="宋体"/>
                <w:bCs/>
                <w:kern w:val="0"/>
                <w:sz w:val="24"/>
                <w:szCs w:val="24"/>
              </w:rPr>
              <w:t>平顶山市财政局2026至2027年保安服务项目</w:t>
            </w:r>
          </w:p>
        </w:tc>
      </w:tr>
      <w:tr w14:paraId="0B04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0" w:type="auto"/>
            <w:vAlign w:val="center"/>
          </w:tcPr>
          <w:p w14:paraId="3F3006BE">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4</w:t>
            </w:r>
          </w:p>
        </w:tc>
        <w:tc>
          <w:tcPr>
            <w:tcW w:w="0" w:type="auto"/>
            <w:vAlign w:val="center"/>
          </w:tcPr>
          <w:p w14:paraId="2F57AD79">
            <w:pPr>
              <w:pStyle w:val="57"/>
              <w:shd w:val="clear" w:color="auto" w:fill="auto"/>
              <w:adjustRightInd w:val="0"/>
              <w:snapToGrid w:val="0"/>
              <w:spacing w:before="0" w:line="312" w:lineRule="auto"/>
              <w:jc w:val="center"/>
              <w:rPr>
                <w:rStyle w:val="56"/>
                <w:color w:val="auto"/>
                <w:sz w:val="24"/>
                <w:szCs w:val="24"/>
              </w:rPr>
            </w:pPr>
            <w:r>
              <w:rPr>
                <w:rFonts w:hint="eastAsia" w:cs="宋体"/>
                <w:bCs/>
                <w:kern w:val="0"/>
                <w:sz w:val="24"/>
                <w:szCs w:val="24"/>
              </w:rPr>
              <w:t>服务地点</w:t>
            </w:r>
          </w:p>
        </w:tc>
        <w:tc>
          <w:tcPr>
            <w:tcW w:w="0" w:type="auto"/>
            <w:vAlign w:val="center"/>
          </w:tcPr>
          <w:p w14:paraId="054038ED">
            <w:pPr>
              <w:pStyle w:val="57"/>
              <w:shd w:val="clear" w:color="auto" w:fill="auto"/>
              <w:adjustRightInd w:val="0"/>
              <w:snapToGrid w:val="0"/>
              <w:spacing w:before="0" w:line="312" w:lineRule="auto"/>
              <w:rPr>
                <w:rStyle w:val="56"/>
                <w:color w:val="auto"/>
                <w:sz w:val="24"/>
                <w:szCs w:val="24"/>
              </w:rPr>
            </w:pPr>
            <w:r>
              <w:rPr>
                <w:rFonts w:hint="eastAsia" w:cs="宋体"/>
                <w:sz w:val="24"/>
                <w:szCs w:val="24"/>
                <w:shd w:val="clear" w:color="auto" w:fill="FFFFFF"/>
              </w:rPr>
              <w:t>平顶山市财政局，采购人指定地点</w:t>
            </w:r>
          </w:p>
        </w:tc>
      </w:tr>
      <w:tr w14:paraId="30BB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0" w:type="auto"/>
            <w:vAlign w:val="center"/>
          </w:tcPr>
          <w:p w14:paraId="7AB711B4">
            <w:pPr>
              <w:pStyle w:val="57"/>
              <w:shd w:val="clear" w:color="auto" w:fill="auto"/>
              <w:adjustRightInd w:val="0"/>
              <w:snapToGrid w:val="0"/>
              <w:spacing w:before="0" w:line="312" w:lineRule="auto"/>
              <w:jc w:val="center"/>
              <w:rPr>
                <w:rStyle w:val="56"/>
                <w:color w:val="auto"/>
                <w:sz w:val="24"/>
                <w:szCs w:val="24"/>
              </w:rPr>
            </w:pPr>
            <w:r>
              <w:rPr>
                <w:rStyle w:val="56"/>
                <w:rFonts w:hint="eastAsia"/>
                <w:color w:val="auto"/>
                <w:sz w:val="24"/>
                <w:szCs w:val="24"/>
                <w:lang w:val="en-US"/>
              </w:rPr>
              <w:t>5</w:t>
            </w:r>
          </w:p>
        </w:tc>
        <w:tc>
          <w:tcPr>
            <w:tcW w:w="0" w:type="auto"/>
            <w:vAlign w:val="center"/>
          </w:tcPr>
          <w:p w14:paraId="6AD777CF">
            <w:pPr>
              <w:pStyle w:val="57"/>
              <w:shd w:val="clear" w:color="auto" w:fill="auto"/>
              <w:adjustRightInd w:val="0"/>
              <w:snapToGrid w:val="0"/>
              <w:spacing w:before="0" w:line="312" w:lineRule="auto"/>
              <w:jc w:val="center"/>
              <w:rPr>
                <w:rFonts w:cs="宋体"/>
                <w:bCs/>
                <w:kern w:val="0"/>
                <w:sz w:val="24"/>
                <w:szCs w:val="24"/>
              </w:rPr>
            </w:pPr>
            <w:r>
              <w:rPr>
                <w:rStyle w:val="56"/>
                <w:rFonts w:hint="eastAsia"/>
                <w:color w:val="auto"/>
                <w:sz w:val="24"/>
                <w:szCs w:val="24"/>
              </w:rPr>
              <w:t>资金来源及落实情况</w:t>
            </w:r>
          </w:p>
        </w:tc>
        <w:tc>
          <w:tcPr>
            <w:tcW w:w="0" w:type="auto"/>
            <w:vAlign w:val="center"/>
          </w:tcPr>
          <w:p w14:paraId="6F8A5C25">
            <w:pPr>
              <w:pStyle w:val="57"/>
              <w:shd w:val="clear" w:color="auto" w:fill="auto"/>
              <w:adjustRightInd w:val="0"/>
              <w:snapToGrid w:val="0"/>
              <w:spacing w:before="0" w:line="312" w:lineRule="auto"/>
              <w:rPr>
                <w:rFonts w:cs="宋体"/>
                <w:bCs/>
                <w:kern w:val="0"/>
                <w:sz w:val="24"/>
                <w:szCs w:val="24"/>
              </w:rPr>
            </w:pPr>
            <w:r>
              <w:rPr>
                <w:rStyle w:val="56"/>
                <w:rFonts w:hint="eastAsia"/>
                <w:color w:val="auto"/>
                <w:sz w:val="24"/>
                <w:szCs w:val="24"/>
              </w:rPr>
              <w:t>财政资金，</w:t>
            </w:r>
            <w:r>
              <w:rPr>
                <w:rFonts w:hint="eastAsia" w:cs="宋体"/>
                <w:sz w:val="24"/>
                <w:szCs w:val="24"/>
                <w:lang w:bidi="zh-CN"/>
              </w:rPr>
              <w:t>已落实</w:t>
            </w:r>
          </w:p>
        </w:tc>
      </w:tr>
      <w:tr w14:paraId="3848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exact"/>
        </w:trPr>
        <w:tc>
          <w:tcPr>
            <w:tcW w:w="0" w:type="auto"/>
            <w:vAlign w:val="center"/>
          </w:tcPr>
          <w:p w14:paraId="667B410B">
            <w:pPr>
              <w:pStyle w:val="57"/>
              <w:shd w:val="clear" w:color="auto" w:fill="auto"/>
              <w:adjustRightInd w:val="0"/>
              <w:snapToGrid w:val="0"/>
              <w:spacing w:before="0" w:line="312" w:lineRule="auto"/>
              <w:jc w:val="center"/>
              <w:rPr>
                <w:rStyle w:val="56"/>
                <w:color w:val="auto"/>
                <w:sz w:val="24"/>
                <w:szCs w:val="24"/>
              </w:rPr>
            </w:pPr>
            <w:r>
              <w:rPr>
                <w:rStyle w:val="56"/>
                <w:rFonts w:hint="eastAsia"/>
                <w:color w:val="auto"/>
                <w:sz w:val="24"/>
                <w:szCs w:val="24"/>
                <w:lang w:val="en-US"/>
              </w:rPr>
              <w:t>6</w:t>
            </w:r>
          </w:p>
        </w:tc>
        <w:tc>
          <w:tcPr>
            <w:tcW w:w="0" w:type="auto"/>
            <w:vAlign w:val="center"/>
          </w:tcPr>
          <w:p w14:paraId="2FF51CFF">
            <w:pPr>
              <w:pStyle w:val="57"/>
              <w:shd w:val="clear" w:color="auto" w:fill="auto"/>
              <w:adjustRightInd w:val="0"/>
              <w:snapToGrid w:val="0"/>
              <w:spacing w:before="0" w:line="312" w:lineRule="auto"/>
              <w:jc w:val="center"/>
              <w:rPr>
                <w:rFonts w:cs="宋体"/>
                <w:bCs/>
                <w:kern w:val="0"/>
                <w:sz w:val="24"/>
                <w:szCs w:val="24"/>
              </w:rPr>
            </w:pPr>
            <w:r>
              <w:rPr>
                <w:rStyle w:val="56"/>
                <w:rFonts w:hint="eastAsia"/>
                <w:color w:val="auto"/>
                <w:sz w:val="24"/>
                <w:szCs w:val="24"/>
              </w:rPr>
              <w:t>采购</w:t>
            </w:r>
            <w:r>
              <w:rPr>
                <w:rFonts w:hint="eastAsia" w:cs="宋体"/>
                <w:sz w:val="24"/>
                <w:szCs w:val="24"/>
                <w:shd w:val="clear" w:color="auto" w:fill="FFFFFF"/>
              </w:rPr>
              <w:t>内容</w:t>
            </w:r>
          </w:p>
        </w:tc>
        <w:tc>
          <w:tcPr>
            <w:tcW w:w="0" w:type="auto"/>
            <w:vAlign w:val="center"/>
          </w:tcPr>
          <w:p w14:paraId="4CECBDC6">
            <w:pPr>
              <w:pStyle w:val="22"/>
              <w:shd w:val="clear" w:color="auto" w:fill="FFFFFF"/>
              <w:adjustRightInd w:val="0"/>
              <w:snapToGrid w:val="0"/>
              <w:spacing w:beforeAutospacing="0" w:afterAutospacing="0" w:line="372" w:lineRule="auto"/>
              <w:rPr>
                <w:rFonts w:ascii="宋体" w:hAnsi="宋体" w:eastAsia="宋体" w:cs="宋体"/>
                <w:szCs w:val="24"/>
                <w:shd w:val="clear" w:color="auto" w:fill="FFFFFF"/>
              </w:rPr>
            </w:pPr>
            <w:r>
              <w:rPr>
                <w:rFonts w:hint="eastAsia" w:ascii="宋体" w:hAnsi="宋体" w:eastAsia="宋体" w:cs="宋体"/>
                <w:szCs w:val="24"/>
                <w:shd w:val="clear" w:color="auto" w:fill="FFFFFF"/>
              </w:rPr>
              <w:t>平顶山市财政局2026至2027年保安服务项目，包含以下服务：甲方指定办公区域来访人员的证件检验、登记；门卫、守护和巡逻，公共秩序维护，治安及其他突发事件处理；防盗、防火报警监控设备运行维修管理；院内道路交通管理，机动车和非机动车停放管理等；甲方安排的其他临时性工作任务。</w:t>
            </w:r>
          </w:p>
          <w:p w14:paraId="5A83194E">
            <w:pPr>
              <w:pStyle w:val="57"/>
              <w:shd w:val="clear" w:color="auto" w:fill="auto"/>
              <w:adjustRightInd w:val="0"/>
              <w:snapToGrid w:val="0"/>
              <w:spacing w:before="0" w:line="312" w:lineRule="auto"/>
              <w:rPr>
                <w:rFonts w:cs="宋体"/>
                <w:bCs/>
                <w:kern w:val="0"/>
                <w:sz w:val="24"/>
                <w:szCs w:val="24"/>
              </w:rPr>
            </w:pPr>
          </w:p>
        </w:tc>
      </w:tr>
      <w:tr w14:paraId="72E1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0" w:type="auto"/>
            <w:vAlign w:val="center"/>
          </w:tcPr>
          <w:p w14:paraId="1C7C8DA1">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7</w:t>
            </w:r>
          </w:p>
        </w:tc>
        <w:tc>
          <w:tcPr>
            <w:tcW w:w="0" w:type="auto"/>
            <w:vAlign w:val="center"/>
          </w:tcPr>
          <w:p w14:paraId="653A8CB6">
            <w:pPr>
              <w:pStyle w:val="57"/>
              <w:shd w:val="clear" w:color="auto" w:fill="auto"/>
              <w:adjustRightInd w:val="0"/>
              <w:snapToGrid w:val="0"/>
              <w:spacing w:before="0" w:line="312" w:lineRule="auto"/>
              <w:jc w:val="center"/>
              <w:rPr>
                <w:rStyle w:val="56"/>
                <w:color w:val="auto"/>
                <w:sz w:val="24"/>
                <w:szCs w:val="24"/>
              </w:rPr>
            </w:pPr>
            <w:r>
              <w:rPr>
                <w:rStyle w:val="56"/>
                <w:rFonts w:hint="eastAsia"/>
                <w:color w:val="auto"/>
                <w:sz w:val="24"/>
                <w:szCs w:val="24"/>
              </w:rPr>
              <w:t>采购方式</w:t>
            </w:r>
          </w:p>
        </w:tc>
        <w:tc>
          <w:tcPr>
            <w:tcW w:w="0" w:type="auto"/>
            <w:vAlign w:val="center"/>
          </w:tcPr>
          <w:p w14:paraId="747AD808">
            <w:pPr>
              <w:pStyle w:val="57"/>
              <w:shd w:val="clear" w:color="auto" w:fill="auto"/>
              <w:adjustRightInd w:val="0"/>
              <w:snapToGrid w:val="0"/>
              <w:spacing w:before="0" w:line="312" w:lineRule="auto"/>
              <w:rPr>
                <w:rFonts w:cs="宋体"/>
                <w:bCs/>
                <w:kern w:val="0"/>
                <w:sz w:val="24"/>
                <w:szCs w:val="24"/>
              </w:rPr>
            </w:pPr>
            <w:r>
              <w:rPr>
                <w:rFonts w:hint="eastAsia" w:cs="宋体"/>
                <w:bCs/>
                <w:kern w:val="0"/>
                <w:sz w:val="24"/>
                <w:szCs w:val="24"/>
              </w:rPr>
              <w:t>竞争性磋商</w:t>
            </w:r>
          </w:p>
        </w:tc>
      </w:tr>
      <w:tr w14:paraId="128F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0" w:type="auto"/>
            <w:vAlign w:val="center"/>
          </w:tcPr>
          <w:p w14:paraId="07CA59D3">
            <w:pPr>
              <w:pStyle w:val="57"/>
              <w:shd w:val="clear" w:color="auto" w:fill="auto"/>
              <w:adjustRightInd w:val="0"/>
              <w:snapToGrid w:val="0"/>
              <w:spacing w:before="0" w:line="312" w:lineRule="auto"/>
              <w:jc w:val="center"/>
              <w:rPr>
                <w:rFonts w:cs="宋体"/>
                <w:sz w:val="24"/>
                <w:szCs w:val="24"/>
                <w:lang w:bidi="zh-CN"/>
              </w:rPr>
            </w:pPr>
            <w:r>
              <w:rPr>
                <w:rFonts w:hint="eastAsia" w:cs="宋体"/>
                <w:sz w:val="24"/>
                <w:szCs w:val="24"/>
                <w:lang w:bidi="zh-CN"/>
              </w:rPr>
              <w:t>8</w:t>
            </w:r>
          </w:p>
        </w:tc>
        <w:tc>
          <w:tcPr>
            <w:tcW w:w="0" w:type="auto"/>
            <w:vAlign w:val="center"/>
          </w:tcPr>
          <w:p w14:paraId="3919E88C">
            <w:pPr>
              <w:adjustRightInd w:val="0"/>
              <w:snapToGrid w:val="0"/>
              <w:spacing w:line="312" w:lineRule="auto"/>
              <w:jc w:val="center"/>
              <w:rPr>
                <w:rStyle w:val="56"/>
                <w:color w:val="auto"/>
                <w:sz w:val="24"/>
                <w:szCs w:val="24"/>
              </w:rPr>
            </w:pPr>
            <w:r>
              <w:rPr>
                <w:rFonts w:hint="eastAsia" w:ascii="宋体" w:hAnsi="宋体" w:cs="宋体"/>
                <w:sz w:val="24"/>
                <w:szCs w:val="24"/>
              </w:rPr>
              <w:t>采购项目属性</w:t>
            </w:r>
          </w:p>
        </w:tc>
        <w:tc>
          <w:tcPr>
            <w:tcW w:w="0" w:type="auto"/>
            <w:vAlign w:val="center"/>
          </w:tcPr>
          <w:p w14:paraId="5D882ADE">
            <w:pPr>
              <w:adjustRightInd w:val="0"/>
              <w:snapToGrid w:val="0"/>
              <w:spacing w:line="312" w:lineRule="auto"/>
              <w:rPr>
                <w:rStyle w:val="56"/>
                <w:color w:val="auto"/>
                <w:sz w:val="24"/>
                <w:szCs w:val="24"/>
              </w:rPr>
            </w:pPr>
            <w:r>
              <w:rPr>
                <w:rFonts w:hint="eastAsia" w:ascii="宋体" w:hAnsi="宋体" w:cs="宋体"/>
                <w:sz w:val="24"/>
                <w:szCs w:val="24"/>
              </w:rPr>
              <w:t>□货物       ☑服务       □工程</w:t>
            </w:r>
          </w:p>
        </w:tc>
      </w:tr>
      <w:tr w14:paraId="7849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0" w:type="auto"/>
            <w:vAlign w:val="center"/>
          </w:tcPr>
          <w:p w14:paraId="616E31E9">
            <w:pPr>
              <w:pStyle w:val="57"/>
              <w:shd w:val="clear" w:color="auto" w:fill="auto"/>
              <w:adjustRightInd w:val="0"/>
              <w:snapToGrid w:val="0"/>
              <w:spacing w:before="0" w:line="312" w:lineRule="auto"/>
              <w:jc w:val="center"/>
              <w:rPr>
                <w:rFonts w:cs="宋体"/>
                <w:sz w:val="24"/>
                <w:szCs w:val="24"/>
                <w:lang w:bidi="zh-CN"/>
              </w:rPr>
            </w:pPr>
            <w:r>
              <w:rPr>
                <w:rFonts w:hint="eastAsia" w:cs="宋体"/>
                <w:sz w:val="24"/>
                <w:szCs w:val="24"/>
                <w:lang w:bidi="zh-CN"/>
              </w:rPr>
              <w:t>9</w:t>
            </w:r>
          </w:p>
        </w:tc>
        <w:tc>
          <w:tcPr>
            <w:tcW w:w="0" w:type="auto"/>
            <w:vAlign w:val="center"/>
          </w:tcPr>
          <w:p w14:paraId="3E7845E1">
            <w:pPr>
              <w:pStyle w:val="57"/>
              <w:shd w:val="clear" w:color="auto" w:fill="auto"/>
              <w:adjustRightInd w:val="0"/>
              <w:snapToGrid w:val="0"/>
              <w:spacing w:before="0" w:line="312" w:lineRule="auto"/>
              <w:jc w:val="center"/>
              <w:rPr>
                <w:rFonts w:cs="宋体"/>
                <w:sz w:val="24"/>
                <w:szCs w:val="24"/>
                <w:lang w:bidi="zh-CN"/>
              </w:rPr>
            </w:pPr>
            <w:r>
              <w:rPr>
                <w:rFonts w:hint="eastAsia" w:cs="宋体"/>
                <w:kern w:val="0"/>
                <w:sz w:val="24"/>
                <w:szCs w:val="24"/>
              </w:rPr>
              <w:t>服务期限</w:t>
            </w:r>
          </w:p>
        </w:tc>
        <w:tc>
          <w:tcPr>
            <w:tcW w:w="0" w:type="auto"/>
            <w:vAlign w:val="center"/>
          </w:tcPr>
          <w:p w14:paraId="05BE7E2B">
            <w:pPr>
              <w:pStyle w:val="57"/>
              <w:shd w:val="clear" w:color="auto" w:fill="auto"/>
              <w:adjustRightInd w:val="0"/>
              <w:snapToGrid w:val="0"/>
              <w:spacing w:before="0" w:line="312" w:lineRule="auto"/>
              <w:rPr>
                <w:rFonts w:cs="宋体"/>
                <w:sz w:val="24"/>
                <w:szCs w:val="24"/>
                <w:lang w:bidi="zh-CN"/>
              </w:rPr>
            </w:pPr>
            <w:r>
              <w:rPr>
                <w:rFonts w:hint="eastAsia" w:cs="宋体"/>
                <w:kern w:val="0"/>
                <w:sz w:val="24"/>
                <w:szCs w:val="24"/>
              </w:rPr>
              <w:t>两年</w:t>
            </w:r>
          </w:p>
        </w:tc>
      </w:tr>
      <w:tr w14:paraId="7EEF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0ADD8FA9">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rPr>
              <w:t>10</w:t>
            </w:r>
          </w:p>
        </w:tc>
        <w:tc>
          <w:tcPr>
            <w:tcW w:w="0" w:type="auto"/>
            <w:vAlign w:val="center"/>
          </w:tcPr>
          <w:p w14:paraId="4F2F8715">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rPr>
              <w:t>质量要求</w:t>
            </w:r>
          </w:p>
        </w:tc>
        <w:tc>
          <w:tcPr>
            <w:tcW w:w="0" w:type="auto"/>
            <w:vAlign w:val="center"/>
          </w:tcPr>
          <w:p w14:paraId="6C32FB3C">
            <w:pPr>
              <w:pStyle w:val="57"/>
              <w:shd w:val="clear" w:color="auto" w:fill="auto"/>
              <w:adjustRightInd w:val="0"/>
              <w:snapToGrid w:val="0"/>
              <w:spacing w:before="0" w:line="312" w:lineRule="auto"/>
              <w:rPr>
                <w:rFonts w:cs="宋体"/>
                <w:sz w:val="24"/>
                <w:szCs w:val="24"/>
                <w:lang w:bidi="zh-CN"/>
              </w:rPr>
            </w:pPr>
            <w:r>
              <w:rPr>
                <w:rFonts w:hint="eastAsia" w:cs="宋体"/>
                <w:kern w:val="0"/>
                <w:sz w:val="24"/>
                <w:szCs w:val="24"/>
              </w:rPr>
              <w:t>合格，符合国家及行业标准</w:t>
            </w:r>
          </w:p>
        </w:tc>
      </w:tr>
      <w:tr w14:paraId="5AE0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0" w:type="auto"/>
            <w:vAlign w:val="center"/>
          </w:tcPr>
          <w:p w14:paraId="6C493B74">
            <w:pPr>
              <w:pStyle w:val="57"/>
              <w:shd w:val="clear" w:color="auto" w:fill="auto"/>
              <w:adjustRightInd w:val="0"/>
              <w:snapToGrid w:val="0"/>
              <w:spacing w:before="0" w:line="312" w:lineRule="auto"/>
              <w:jc w:val="center"/>
              <w:rPr>
                <w:rFonts w:cs="宋体"/>
                <w:sz w:val="24"/>
                <w:szCs w:val="24"/>
                <w:lang w:bidi="zh-CN"/>
              </w:rPr>
            </w:pPr>
            <w:r>
              <w:rPr>
                <w:rFonts w:hint="eastAsia" w:cs="宋体"/>
                <w:sz w:val="24"/>
                <w:szCs w:val="24"/>
                <w:lang w:bidi="zh-CN"/>
              </w:rPr>
              <w:t>11</w:t>
            </w:r>
          </w:p>
        </w:tc>
        <w:tc>
          <w:tcPr>
            <w:tcW w:w="0" w:type="auto"/>
            <w:vAlign w:val="center"/>
          </w:tcPr>
          <w:p w14:paraId="782B487C">
            <w:pPr>
              <w:pStyle w:val="57"/>
              <w:shd w:val="clear" w:color="auto" w:fill="auto"/>
              <w:adjustRightInd w:val="0"/>
              <w:snapToGrid w:val="0"/>
              <w:spacing w:before="0" w:line="312" w:lineRule="auto"/>
              <w:jc w:val="center"/>
              <w:rPr>
                <w:rFonts w:cs="宋体"/>
                <w:kern w:val="0"/>
                <w:sz w:val="24"/>
                <w:szCs w:val="24"/>
              </w:rPr>
            </w:pPr>
            <w:r>
              <w:rPr>
                <w:rFonts w:hint="eastAsia" w:cs="宋体"/>
                <w:kern w:val="0"/>
                <w:sz w:val="24"/>
                <w:szCs w:val="24"/>
              </w:rPr>
              <w:t>供应商资格要求</w:t>
            </w:r>
          </w:p>
        </w:tc>
        <w:tc>
          <w:tcPr>
            <w:tcW w:w="0" w:type="auto"/>
            <w:vAlign w:val="center"/>
          </w:tcPr>
          <w:p w14:paraId="26860A32">
            <w:pPr>
              <w:pStyle w:val="57"/>
              <w:shd w:val="clear" w:color="auto" w:fill="auto"/>
              <w:adjustRightInd w:val="0"/>
              <w:snapToGrid w:val="0"/>
              <w:spacing w:before="0" w:line="312" w:lineRule="auto"/>
              <w:rPr>
                <w:rFonts w:cs="宋体"/>
                <w:sz w:val="24"/>
                <w:szCs w:val="24"/>
                <w:lang w:bidi="zh-CN"/>
              </w:rPr>
            </w:pPr>
            <w:r>
              <w:rPr>
                <w:rFonts w:hint="eastAsia" w:cs="宋体"/>
                <w:bCs/>
                <w:kern w:val="0"/>
                <w:sz w:val="24"/>
                <w:szCs w:val="24"/>
              </w:rPr>
              <w:t>详见竞争性磋商公告“二、申请人资格要求”</w:t>
            </w:r>
          </w:p>
        </w:tc>
      </w:tr>
      <w:tr w14:paraId="4997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0" w:type="auto"/>
            <w:vAlign w:val="center"/>
          </w:tcPr>
          <w:p w14:paraId="5E6FBB77">
            <w:pPr>
              <w:pStyle w:val="57"/>
              <w:adjustRightInd w:val="0"/>
              <w:snapToGrid w:val="0"/>
              <w:spacing w:before="0" w:line="312" w:lineRule="auto"/>
              <w:jc w:val="center"/>
              <w:rPr>
                <w:rFonts w:cs="宋体"/>
                <w:sz w:val="24"/>
                <w:szCs w:val="24"/>
                <w:lang w:bidi="zh-CN"/>
              </w:rPr>
            </w:pPr>
            <w:r>
              <w:rPr>
                <w:rStyle w:val="56"/>
                <w:rFonts w:hint="eastAsia"/>
                <w:color w:val="auto"/>
                <w:sz w:val="24"/>
                <w:szCs w:val="24"/>
                <w:lang w:val="en-US"/>
              </w:rPr>
              <w:t>12</w:t>
            </w:r>
          </w:p>
        </w:tc>
        <w:tc>
          <w:tcPr>
            <w:tcW w:w="0" w:type="auto"/>
            <w:vAlign w:val="center"/>
          </w:tcPr>
          <w:p w14:paraId="7A801B87">
            <w:pPr>
              <w:pStyle w:val="57"/>
              <w:shd w:val="clear" w:color="auto" w:fill="auto"/>
              <w:adjustRightInd w:val="0"/>
              <w:snapToGrid w:val="0"/>
              <w:spacing w:before="0" w:line="312" w:lineRule="auto"/>
              <w:jc w:val="center"/>
              <w:rPr>
                <w:rFonts w:cs="宋体"/>
                <w:kern w:val="0"/>
                <w:sz w:val="24"/>
                <w:szCs w:val="24"/>
              </w:rPr>
            </w:pPr>
            <w:r>
              <w:rPr>
                <w:rFonts w:hint="eastAsia" w:cs="宋体"/>
                <w:kern w:val="0"/>
                <w:sz w:val="24"/>
                <w:szCs w:val="24"/>
              </w:rPr>
              <w:t>是否接受联合体投标</w:t>
            </w:r>
          </w:p>
        </w:tc>
        <w:tc>
          <w:tcPr>
            <w:tcW w:w="0" w:type="auto"/>
            <w:vAlign w:val="center"/>
          </w:tcPr>
          <w:p w14:paraId="720F6C03">
            <w:pPr>
              <w:pStyle w:val="57"/>
              <w:shd w:val="clear" w:color="auto" w:fill="auto"/>
              <w:adjustRightInd w:val="0"/>
              <w:snapToGrid w:val="0"/>
              <w:spacing w:before="0" w:line="312" w:lineRule="auto"/>
              <w:rPr>
                <w:rFonts w:cs="宋体"/>
                <w:sz w:val="24"/>
                <w:szCs w:val="24"/>
                <w:lang w:bidi="zh-CN"/>
              </w:rPr>
            </w:pPr>
            <w:r>
              <w:rPr>
                <w:rFonts w:hint="eastAsia" w:cs="宋体"/>
                <w:bCs/>
                <w:kern w:val="0"/>
                <w:sz w:val="24"/>
                <w:szCs w:val="24"/>
              </w:rPr>
              <w:t>不接受</w:t>
            </w:r>
          </w:p>
        </w:tc>
      </w:tr>
      <w:tr w14:paraId="4FFF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0" w:type="auto"/>
            <w:vAlign w:val="center"/>
          </w:tcPr>
          <w:p w14:paraId="0A4D0CD2">
            <w:pPr>
              <w:pStyle w:val="57"/>
              <w:adjustRightInd w:val="0"/>
              <w:snapToGrid w:val="0"/>
              <w:spacing w:before="0" w:line="312" w:lineRule="auto"/>
              <w:jc w:val="center"/>
              <w:rPr>
                <w:rFonts w:cs="宋体"/>
                <w:sz w:val="24"/>
                <w:szCs w:val="24"/>
                <w:lang w:bidi="zh-CN"/>
              </w:rPr>
            </w:pPr>
            <w:r>
              <w:rPr>
                <w:rStyle w:val="56"/>
                <w:rFonts w:hint="eastAsia"/>
                <w:color w:val="auto"/>
                <w:sz w:val="24"/>
                <w:szCs w:val="24"/>
                <w:lang w:val="en-US"/>
              </w:rPr>
              <w:t>13</w:t>
            </w:r>
          </w:p>
        </w:tc>
        <w:tc>
          <w:tcPr>
            <w:tcW w:w="0" w:type="auto"/>
            <w:vAlign w:val="center"/>
          </w:tcPr>
          <w:p w14:paraId="4B08EC7D">
            <w:pPr>
              <w:adjustRightInd w:val="0"/>
              <w:snapToGrid w:val="0"/>
              <w:spacing w:line="312" w:lineRule="auto"/>
              <w:jc w:val="center"/>
              <w:rPr>
                <w:rFonts w:ascii="宋体" w:hAnsi="宋体" w:cs="宋体"/>
                <w:bCs/>
                <w:kern w:val="0"/>
                <w:sz w:val="24"/>
                <w:szCs w:val="24"/>
              </w:rPr>
            </w:pPr>
            <w:r>
              <w:rPr>
                <w:rFonts w:hint="eastAsia" w:ascii="宋体" w:hAnsi="宋体" w:cs="宋体"/>
                <w:sz w:val="24"/>
                <w:szCs w:val="24"/>
              </w:rPr>
              <w:t>踏勘现场及答疑</w:t>
            </w:r>
          </w:p>
        </w:tc>
        <w:tc>
          <w:tcPr>
            <w:tcW w:w="0" w:type="auto"/>
            <w:vAlign w:val="center"/>
          </w:tcPr>
          <w:p w14:paraId="52F4E54B">
            <w:pPr>
              <w:adjustRightInd w:val="0"/>
              <w:snapToGrid w:val="0"/>
              <w:spacing w:line="312" w:lineRule="auto"/>
              <w:rPr>
                <w:rFonts w:ascii="宋体" w:hAnsi="宋体" w:cs="宋体"/>
                <w:bCs/>
                <w:kern w:val="0"/>
                <w:sz w:val="24"/>
                <w:szCs w:val="24"/>
              </w:rPr>
            </w:pPr>
            <w:r>
              <w:rPr>
                <w:rFonts w:hint="eastAsia" w:ascii="宋体" w:hAnsi="宋体" w:cs="宋体"/>
                <w:sz w:val="24"/>
                <w:szCs w:val="24"/>
              </w:rPr>
              <w:t>不组织</w:t>
            </w:r>
          </w:p>
        </w:tc>
      </w:tr>
      <w:tr w14:paraId="7344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78A2B9BE">
            <w:pPr>
              <w:pStyle w:val="57"/>
              <w:adjustRightInd w:val="0"/>
              <w:snapToGrid w:val="0"/>
              <w:spacing w:before="0" w:line="312" w:lineRule="auto"/>
              <w:jc w:val="center"/>
              <w:rPr>
                <w:rStyle w:val="56"/>
                <w:color w:val="auto"/>
                <w:sz w:val="24"/>
                <w:szCs w:val="24"/>
              </w:rPr>
            </w:pPr>
            <w:r>
              <w:rPr>
                <w:rStyle w:val="56"/>
                <w:rFonts w:hint="eastAsia"/>
                <w:color w:val="auto"/>
                <w:sz w:val="24"/>
                <w:szCs w:val="24"/>
                <w:lang w:val="en-US"/>
              </w:rPr>
              <w:t>14</w:t>
            </w:r>
          </w:p>
        </w:tc>
        <w:tc>
          <w:tcPr>
            <w:tcW w:w="0" w:type="auto"/>
            <w:vAlign w:val="center"/>
          </w:tcPr>
          <w:p w14:paraId="5CE90BA2">
            <w:pPr>
              <w:adjustRightInd w:val="0"/>
              <w:snapToGrid w:val="0"/>
              <w:spacing w:line="312" w:lineRule="auto"/>
              <w:jc w:val="center"/>
              <w:rPr>
                <w:rStyle w:val="56"/>
                <w:color w:val="auto"/>
                <w:sz w:val="24"/>
                <w:szCs w:val="24"/>
              </w:rPr>
            </w:pPr>
            <w:r>
              <w:rPr>
                <w:rFonts w:hint="eastAsia" w:ascii="宋体" w:hAnsi="宋体" w:cs="宋体"/>
                <w:sz w:val="24"/>
                <w:szCs w:val="24"/>
              </w:rPr>
              <w:t>投标预备会</w:t>
            </w:r>
          </w:p>
        </w:tc>
        <w:tc>
          <w:tcPr>
            <w:tcW w:w="0" w:type="auto"/>
            <w:vAlign w:val="center"/>
          </w:tcPr>
          <w:p w14:paraId="5EF733D9">
            <w:pPr>
              <w:adjustRightInd w:val="0"/>
              <w:snapToGrid w:val="0"/>
              <w:spacing w:line="312" w:lineRule="auto"/>
              <w:rPr>
                <w:rStyle w:val="56"/>
                <w:color w:val="auto"/>
                <w:sz w:val="24"/>
                <w:szCs w:val="24"/>
              </w:rPr>
            </w:pPr>
            <w:r>
              <w:rPr>
                <w:rFonts w:hint="eastAsia" w:ascii="宋体" w:hAnsi="宋体" w:cs="宋体"/>
                <w:sz w:val="24"/>
                <w:szCs w:val="24"/>
              </w:rPr>
              <w:t>不召开</w:t>
            </w:r>
          </w:p>
        </w:tc>
      </w:tr>
      <w:tr w14:paraId="7AD3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exact"/>
        </w:trPr>
        <w:tc>
          <w:tcPr>
            <w:tcW w:w="0" w:type="auto"/>
            <w:vAlign w:val="center"/>
          </w:tcPr>
          <w:p w14:paraId="0AD395B7">
            <w:pPr>
              <w:pStyle w:val="57"/>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15</w:t>
            </w:r>
          </w:p>
        </w:tc>
        <w:tc>
          <w:tcPr>
            <w:tcW w:w="0" w:type="auto"/>
            <w:vAlign w:val="center"/>
          </w:tcPr>
          <w:p w14:paraId="6D5B8D14">
            <w:pPr>
              <w:adjustRightInd w:val="0"/>
              <w:snapToGrid w:val="0"/>
              <w:spacing w:line="312" w:lineRule="auto"/>
              <w:jc w:val="center"/>
              <w:rPr>
                <w:rFonts w:ascii="宋体" w:hAnsi="宋体" w:cs="宋体"/>
                <w:sz w:val="24"/>
                <w:szCs w:val="24"/>
              </w:rPr>
            </w:pPr>
            <w:r>
              <w:rPr>
                <w:rFonts w:hint="eastAsia" w:ascii="宋体" w:hAnsi="宋体" w:cs="宋体"/>
                <w:sz w:val="24"/>
                <w:szCs w:val="24"/>
              </w:rPr>
              <w:t>构成磋商文件的其他材料</w:t>
            </w:r>
          </w:p>
        </w:tc>
        <w:tc>
          <w:tcPr>
            <w:tcW w:w="0" w:type="auto"/>
            <w:vAlign w:val="center"/>
          </w:tcPr>
          <w:p w14:paraId="243B1798">
            <w:pPr>
              <w:adjustRightInd w:val="0"/>
              <w:snapToGrid w:val="0"/>
              <w:spacing w:line="312" w:lineRule="auto"/>
              <w:rPr>
                <w:rFonts w:ascii="宋体" w:hAnsi="宋体" w:cs="宋体"/>
                <w:sz w:val="24"/>
                <w:szCs w:val="24"/>
              </w:rPr>
            </w:pPr>
            <w:r>
              <w:rPr>
                <w:rFonts w:hint="eastAsia" w:ascii="宋体" w:hAnsi="宋体" w:cs="宋体"/>
                <w:sz w:val="24"/>
                <w:szCs w:val="24"/>
              </w:rPr>
              <w:t>竞争性磋商文件补充文件、澄清、修改、答疑等。</w:t>
            </w:r>
          </w:p>
          <w:p w14:paraId="3A9D7483">
            <w:pPr>
              <w:adjustRightInd w:val="0"/>
              <w:snapToGrid w:val="0"/>
              <w:spacing w:line="312" w:lineRule="auto"/>
              <w:rPr>
                <w:rFonts w:ascii="宋体" w:hAnsi="宋体" w:cs="宋体"/>
                <w:sz w:val="24"/>
                <w:szCs w:val="24"/>
              </w:rPr>
            </w:pPr>
            <w:r>
              <w:rPr>
                <w:rFonts w:hint="eastAsia" w:ascii="宋体" w:hAnsi="宋体" w:cs="宋体"/>
                <w:sz w:val="24"/>
                <w:szCs w:val="24"/>
              </w:rPr>
              <w:t>竞争性磋商文件的澄清、修改、答疑或补充文件的内容均以电子交易系统发布的内容为准。</w:t>
            </w:r>
          </w:p>
          <w:p w14:paraId="7A340967">
            <w:pPr>
              <w:adjustRightInd w:val="0"/>
              <w:snapToGrid w:val="0"/>
              <w:spacing w:line="312" w:lineRule="auto"/>
              <w:rPr>
                <w:rFonts w:ascii="宋体" w:hAnsi="宋体" w:cs="宋体"/>
                <w:sz w:val="24"/>
                <w:szCs w:val="24"/>
              </w:rPr>
            </w:pPr>
            <w:r>
              <w:rPr>
                <w:rFonts w:hint="eastAsia" w:ascii="宋体" w:hAnsi="宋体" w:cs="宋体"/>
                <w:sz w:val="24"/>
                <w:szCs w:val="24"/>
              </w:rPr>
              <w:t>竞争性磋商文件的澄清、修改、答疑或补充文件在解释顺序方面优于该类文件之前的文件。当招标文件及其澄清、修改、答疑、图纸或补充文件对同一内容表述不一致时，以最后发出的文件为准。</w:t>
            </w:r>
          </w:p>
        </w:tc>
      </w:tr>
      <w:tr w14:paraId="515D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0" w:type="auto"/>
            <w:vAlign w:val="center"/>
          </w:tcPr>
          <w:p w14:paraId="33ABB30A">
            <w:pPr>
              <w:pStyle w:val="57"/>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16</w:t>
            </w:r>
          </w:p>
        </w:tc>
        <w:tc>
          <w:tcPr>
            <w:tcW w:w="0" w:type="auto"/>
            <w:vAlign w:val="center"/>
          </w:tcPr>
          <w:p w14:paraId="233E21DD">
            <w:pPr>
              <w:adjustRightInd w:val="0"/>
              <w:snapToGrid w:val="0"/>
              <w:spacing w:line="312" w:lineRule="auto"/>
              <w:jc w:val="center"/>
              <w:rPr>
                <w:rFonts w:ascii="宋体" w:hAnsi="宋体" w:cs="宋体"/>
                <w:sz w:val="24"/>
                <w:szCs w:val="24"/>
              </w:rPr>
            </w:pPr>
            <w:r>
              <w:rPr>
                <w:rFonts w:hint="eastAsia" w:ascii="宋体" w:hAnsi="宋体" w:cs="宋体"/>
                <w:sz w:val="24"/>
                <w:szCs w:val="24"/>
              </w:rPr>
              <w:t>供应商提出问题的截止时间</w:t>
            </w:r>
          </w:p>
        </w:tc>
        <w:tc>
          <w:tcPr>
            <w:tcW w:w="0" w:type="auto"/>
            <w:vAlign w:val="center"/>
          </w:tcPr>
          <w:p w14:paraId="432B5FF8">
            <w:pPr>
              <w:adjustRightInd w:val="0"/>
              <w:snapToGrid w:val="0"/>
              <w:spacing w:line="312" w:lineRule="auto"/>
              <w:rPr>
                <w:rFonts w:ascii="宋体" w:hAnsi="宋体" w:cs="宋体"/>
                <w:sz w:val="24"/>
                <w:szCs w:val="24"/>
              </w:rPr>
            </w:pPr>
            <w:r>
              <w:rPr>
                <w:rFonts w:hint="eastAsia" w:ascii="宋体" w:hAnsi="宋体" w:cs="宋体"/>
                <w:sz w:val="24"/>
                <w:szCs w:val="24"/>
              </w:rPr>
              <w:t>响应文件递交截止之日5日前</w:t>
            </w:r>
          </w:p>
        </w:tc>
      </w:tr>
      <w:tr w14:paraId="7804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trPr>
        <w:tc>
          <w:tcPr>
            <w:tcW w:w="0" w:type="auto"/>
            <w:vAlign w:val="center"/>
          </w:tcPr>
          <w:p w14:paraId="1F0293F5">
            <w:pPr>
              <w:pStyle w:val="57"/>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17</w:t>
            </w:r>
          </w:p>
        </w:tc>
        <w:tc>
          <w:tcPr>
            <w:tcW w:w="0" w:type="auto"/>
            <w:vAlign w:val="center"/>
          </w:tcPr>
          <w:p w14:paraId="5D730C53">
            <w:pPr>
              <w:adjustRightInd w:val="0"/>
              <w:snapToGrid w:val="0"/>
              <w:spacing w:line="312" w:lineRule="auto"/>
              <w:jc w:val="center"/>
              <w:rPr>
                <w:rStyle w:val="56"/>
                <w:color w:val="auto"/>
                <w:sz w:val="24"/>
                <w:szCs w:val="24"/>
              </w:rPr>
            </w:pPr>
            <w:r>
              <w:rPr>
                <w:rFonts w:hint="eastAsia" w:ascii="宋体" w:hAnsi="宋体" w:cs="宋体"/>
                <w:sz w:val="24"/>
                <w:szCs w:val="24"/>
              </w:rPr>
              <w:t>采购人澄清、修改磋商文件的时间</w:t>
            </w:r>
          </w:p>
        </w:tc>
        <w:tc>
          <w:tcPr>
            <w:tcW w:w="0" w:type="auto"/>
            <w:vAlign w:val="center"/>
          </w:tcPr>
          <w:p w14:paraId="76342354">
            <w:pPr>
              <w:adjustRightInd w:val="0"/>
              <w:snapToGrid w:val="0"/>
              <w:spacing w:line="312" w:lineRule="auto"/>
              <w:rPr>
                <w:rStyle w:val="56"/>
                <w:color w:val="auto"/>
                <w:sz w:val="24"/>
                <w:szCs w:val="24"/>
              </w:rPr>
            </w:pPr>
            <w:r>
              <w:rPr>
                <w:rFonts w:hint="eastAsia" w:ascii="宋体" w:hAnsi="宋体" w:cs="宋体"/>
                <w:sz w:val="24"/>
                <w:szCs w:val="24"/>
              </w:rPr>
              <w:t>响应文件递交截止之日5日前</w:t>
            </w:r>
          </w:p>
        </w:tc>
      </w:tr>
      <w:tr w14:paraId="7809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trPr>
        <w:tc>
          <w:tcPr>
            <w:tcW w:w="0" w:type="auto"/>
            <w:vAlign w:val="center"/>
          </w:tcPr>
          <w:p w14:paraId="5917B14D">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rPr>
              <w:t>1</w:t>
            </w:r>
            <w:r>
              <w:rPr>
                <w:rStyle w:val="56"/>
                <w:rFonts w:hint="eastAsia"/>
                <w:color w:val="auto"/>
                <w:sz w:val="24"/>
                <w:szCs w:val="24"/>
                <w:lang w:val="en-US"/>
              </w:rPr>
              <w:t>8</w:t>
            </w:r>
          </w:p>
        </w:tc>
        <w:tc>
          <w:tcPr>
            <w:tcW w:w="0" w:type="auto"/>
            <w:vAlign w:val="center"/>
          </w:tcPr>
          <w:p w14:paraId="39FC9268">
            <w:pPr>
              <w:adjustRightInd w:val="0"/>
              <w:snapToGrid w:val="0"/>
              <w:spacing w:line="312" w:lineRule="auto"/>
              <w:jc w:val="center"/>
              <w:rPr>
                <w:rStyle w:val="56"/>
                <w:color w:val="auto"/>
                <w:sz w:val="24"/>
                <w:szCs w:val="24"/>
              </w:rPr>
            </w:pPr>
            <w:r>
              <w:rPr>
                <w:rFonts w:hint="eastAsia" w:ascii="宋体" w:hAnsi="宋体" w:cs="宋体"/>
                <w:sz w:val="24"/>
                <w:szCs w:val="24"/>
              </w:rPr>
              <w:t>响应文件递交截止时间及地点</w:t>
            </w:r>
          </w:p>
        </w:tc>
        <w:tc>
          <w:tcPr>
            <w:tcW w:w="0" w:type="auto"/>
            <w:vAlign w:val="center"/>
          </w:tcPr>
          <w:p w14:paraId="4E963E25">
            <w:pPr>
              <w:adjustRightInd w:val="0"/>
              <w:snapToGrid w:val="0"/>
              <w:spacing w:line="312" w:lineRule="auto"/>
              <w:rPr>
                <w:rFonts w:ascii="宋体" w:hAnsi="宋体" w:cs="宋体"/>
                <w:sz w:val="24"/>
                <w:szCs w:val="24"/>
              </w:rPr>
            </w:pPr>
            <w:r>
              <w:rPr>
                <w:rFonts w:hint="eastAsia" w:ascii="宋体" w:hAnsi="宋体" w:cs="宋体"/>
                <w:sz w:val="24"/>
                <w:szCs w:val="24"/>
              </w:rPr>
              <w:t>时间</w:t>
            </w:r>
            <w:r>
              <w:rPr>
                <w:rFonts w:hint="eastAsia" w:ascii="宋体" w:hAnsi="宋体" w:cs="宋体"/>
                <w:b/>
                <w:bCs/>
                <w:sz w:val="24"/>
                <w:szCs w:val="24"/>
              </w:rPr>
              <w:t>：2025年12月23日9时30分（北京时间）</w:t>
            </w:r>
          </w:p>
          <w:p w14:paraId="7F1ADCD8">
            <w:pPr>
              <w:pStyle w:val="10"/>
              <w:adjustRightInd w:val="0"/>
              <w:snapToGrid w:val="0"/>
              <w:spacing w:line="312" w:lineRule="auto"/>
              <w:rPr>
                <w:rFonts w:ascii="宋体" w:hAnsi="宋体" w:cs="宋体"/>
                <w:sz w:val="24"/>
                <w:szCs w:val="24"/>
              </w:rPr>
            </w:pPr>
            <w:r>
              <w:rPr>
                <w:rFonts w:hint="eastAsia" w:ascii="宋体" w:hAnsi="宋体" w:cs="宋体"/>
                <w:sz w:val="24"/>
                <w:szCs w:val="24"/>
              </w:rPr>
              <w:t>地点：平顶山市公共资源交易中心电子交易系统</w:t>
            </w:r>
          </w:p>
          <w:p w14:paraId="1CE51C16">
            <w:pPr>
              <w:adjustRightInd w:val="0"/>
              <w:snapToGrid w:val="0"/>
              <w:spacing w:line="312" w:lineRule="auto"/>
              <w:rPr>
                <w:rStyle w:val="56"/>
                <w:color w:val="auto"/>
                <w:sz w:val="24"/>
                <w:szCs w:val="24"/>
              </w:rPr>
            </w:pPr>
            <w:r>
              <w:rPr>
                <w:rFonts w:hint="eastAsia" w:ascii="宋体" w:hAnsi="宋体" w:cs="宋体"/>
                <w:sz w:val="24"/>
                <w:szCs w:val="24"/>
              </w:rPr>
              <w:t>注：全面实行在线“不见面”开标，供应商远程在线解密响应文件，不再到开标现场，供应商开标前应仔细阅读《“不见面”开标注意事项及操作流程》。</w:t>
            </w:r>
          </w:p>
        </w:tc>
      </w:tr>
      <w:tr w14:paraId="2845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0" w:type="auto"/>
            <w:vAlign w:val="center"/>
          </w:tcPr>
          <w:p w14:paraId="3B4441E2">
            <w:pPr>
              <w:pStyle w:val="57"/>
              <w:shd w:val="clear" w:color="auto" w:fill="auto"/>
              <w:adjustRightInd w:val="0"/>
              <w:snapToGrid w:val="0"/>
              <w:spacing w:before="0" w:line="312" w:lineRule="auto"/>
              <w:jc w:val="center"/>
              <w:rPr>
                <w:rStyle w:val="56"/>
                <w:color w:val="auto"/>
                <w:sz w:val="24"/>
                <w:szCs w:val="24"/>
                <w:lang w:val="en-US"/>
              </w:rPr>
            </w:pPr>
            <w:r>
              <w:rPr>
                <w:rFonts w:hint="eastAsia" w:cs="宋体"/>
                <w:sz w:val="24"/>
                <w:szCs w:val="24"/>
                <w:lang w:bidi="zh-CN"/>
              </w:rPr>
              <w:t>19</w:t>
            </w:r>
          </w:p>
        </w:tc>
        <w:tc>
          <w:tcPr>
            <w:tcW w:w="0" w:type="auto"/>
            <w:vAlign w:val="center"/>
          </w:tcPr>
          <w:p w14:paraId="26E586C2">
            <w:pPr>
              <w:adjustRightInd w:val="0"/>
              <w:snapToGrid w:val="0"/>
              <w:spacing w:line="312" w:lineRule="auto"/>
              <w:jc w:val="center"/>
              <w:rPr>
                <w:rStyle w:val="56"/>
                <w:color w:val="auto"/>
                <w:sz w:val="24"/>
                <w:szCs w:val="24"/>
              </w:rPr>
            </w:pPr>
            <w:r>
              <w:rPr>
                <w:rFonts w:hint="eastAsia" w:ascii="宋体" w:hAnsi="宋体" w:cs="宋体"/>
                <w:sz w:val="24"/>
                <w:szCs w:val="24"/>
              </w:rPr>
              <w:t>开标时间和地点</w:t>
            </w:r>
          </w:p>
        </w:tc>
        <w:tc>
          <w:tcPr>
            <w:tcW w:w="0" w:type="auto"/>
            <w:vAlign w:val="center"/>
          </w:tcPr>
          <w:p w14:paraId="10FB5AEB">
            <w:pPr>
              <w:adjustRightInd w:val="0"/>
              <w:snapToGrid w:val="0"/>
              <w:spacing w:line="312" w:lineRule="auto"/>
              <w:rPr>
                <w:rStyle w:val="56"/>
                <w:color w:val="auto"/>
                <w:sz w:val="24"/>
                <w:szCs w:val="24"/>
              </w:rPr>
            </w:pPr>
            <w:r>
              <w:rPr>
                <w:rFonts w:hint="eastAsia" w:ascii="宋体" w:hAnsi="宋体" w:cs="宋体"/>
                <w:sz w:val="24"/>
                <w:szCs w:val="24"/>
              </w:rPr>
              <w:t>同响应文件递交截止时间及地点</w:t>
            </w:r>
          </w:p>
        </w:tc>
      </w:tr>
      <w:tr w14:paraId="1115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0" w:type="auto"/>
            <w:vAlign w:val="center"/>
          </w:tcPr>
          <w:p w14:paraId="29378525">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20</w:t>
            </w:r>
          </w:p>
        </w:tc>
        <w:tc>
          <w:tcPr>
            <w:tcW w:w="0" w:type="auto"/>
            <w:vAlign w:val="center"/>
          </w:tcPr>
          <w:p w14:paraId="435C91CE">
            <w:pPr>
              <w:adjustRightInd w:val="0"/>
              <w:snapToGrid w:val="0"/>
              <w:spacing w:line="312" w:lineRule="auto"/>
              <w:jc w:val="center"/>
              <w:rPr>
                <w:rStyle w:val="56"/>
                <w:color w:val="auto"/>
                <w:sz w:val="24"/>
                <w:szCs w:val="24"/>
              </w:rPr>
            </w:pPr>
            <w:r>
              <w:rPr>
                <w:rFonts w:hint="eastAsia" w:ascii="宋体" w:hAnsi="宋体" w:cs="宋体"/>
                <w:sz w:val="24"/>
                <w:szCs w:val="24"/>
              </w:rPr>
              <w:t>响应文件电子版</w:t>
            </w:r>
          </w:p>
        </w:tc>
        <w:tc>
          <w:tcPr>
            <w:tcW w:w="0" w:type="auto"/>
            <w:vAlign w:val="center"/>
          </w:tcPr>
          <w:p w14:paraId="5CFEF083">
            <w:pPr>
              <w:adjustRightInd w:val="0"/>
              <w:snapToGrid w:val="0"/>
              <w:spacing w:line="312" w:lineRule="auto"/>
              <w:rPr>
                <w:rStyle w:val="56"/>
                <w:color w:val="auto"/>
                <w:sz w:val="24"/>
                <w:szCs w:val="24"/>
              </w:rPr>
            </w:pPr>
            <w:r>
              <w:rPr>
                <w:rFonts w:hint="eastAsia" w:ascii="宋体" w:hAnsi="宋体" w:cs="宋体"/>
                <w:sz w:val="24"/>
                <w:szCs w:val="24"/>
              </w:rPr>
              <w:t>加密版响应文件1份（.file格式），并按规定进行上传。</w:t>
            </w:r>
          </w:p>
        </w:tc>
      </w:tr>
      <w:tr w14:paraId="41BC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2A000297">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21</w:t>
            </w:r>
          </w:p>
        </w:tc>
        <w:tc>
          <w:tcPr>
            <w:tcW w:w="0" w:type="auto"/>
            <w:vAlign w:val="center"/>
          </w:tcPr>
          <w:p w14:paraId="4F84FC5F">
            <w:pPr>
              <w:pStyle w:val="57"/>
              <w:shd w:val="clear" w:color="auto" w:fill="auto"/>
              <w:adjustRightInd w:val="0"/>
              <w:snapToGrid w:val="0"/>
              <w:spacing w:before="0" w:line="312" w:lineRule="auto"/>
              <w:jc w:val="center"/>
              <w:rPr>
                <w:rStyle w:val="56"/>
                <w:color w:val="auto"/>
                <w:sz w:val="24"/>
                <w:szCs w:val="24"/>
              </w:rPr>
            </w:pPr>
            <w:r>
              <w:rPr>
                <w:rStyle w:val="56"/>
                <w:rFonts w:hint="eastAsia"/>
                <w:color w:val="auto"/>
                <w:sz w:val="24"/>
                <w:szCs w:val="24"/>
              </w:rPr>
              <w:t>磋商有效期</w:t>
            </w:r>
          </w:p>
        </w:tc>
        <w:tc>
          <w:tcPr>
            <w:tcW w:w="0" w:type="auto"/>
            <w:vAlign w:val="center"/>
          </w:tcPr>
          <w:p w14:paraId="3FB0DA1E">
            <w:pPr>
              <w:pStyle w:val="57"/>
              <w:shd w:val="clear" w:color="auto" w:fill="auto"/>
              <w:adjustRightInd w:val="0"/>
              <w:snapToGrid w:val="0"/>
              <w:spacing w:before="0" w:line="312" w:lineRule="auto"/>
              <w:rPr>
                <w:rStyle w:val="56"/>
                <w:color w:val="auto"/>
                <w:sz w:val="24"/>
                <w:szCs w:val="24"/>
              </w:rPr>
            </w:pPr>
            <w:r>
              <w:rPr>
                <w:rStyle w:val="56"/>
                <w:rFonts w:hint="eastAsia"/>
                <w:color w:val="auto"/>
                <w:sz w:val="24"/>
                <w:szCs w:val="24"/>
              </w:rPr>
              <w:t>60日历天（响应文件递交截止之日起）</w:t>
            </w:r>
          </w:p>
        </w:tc>
      </w:tr>
      <w:tr w14:paraId="5660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Merge w:val="restart"/>
            <w:vAlign w:val="center"/>
          </w:tcPr>
          <w:p w14:paraId="500874BD">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lang w:val="en-US"/>
              </w:rPr>
              <w:t>22</w:t>
            </w:r>
          </w:p>
        </w:tc>
        <w:tc>
          <w:tcPr>
            <w:tcW w:w="0" w:type="auto"/>
            <w:vAlign w:val="center"/>
          </w:tcPr>
          <w:p w14:paraId="2F97398F">
            <w:pPr>
              <w:adjustRightInd w:val="0"/>
              <w:snapToGrid w:val="0"/>
              <w:spacing w:line="312" w:lineRule="auto"/>
              <w:jc w:val="center"/>
              <w:rPr>
                <w:rStyle w:val="56"/>
                <w:color w:val="auto"/>
                <w:sz w:val="24"/>
                <w:szCs w:val="24"/>
              </w:rPr>
            </w:pPr>
            <w:r>
              <w:rPr>
                <w:rFonts w:hint="eastAsia" w:ascii="宋体" w:hAnsi="宋体" w:cs="宋体"/>
                <w:bCs/>
                <w:sz w:val="24"/>
                <w:szCs w:val="24"/>
              </w:rPr>
              <w:t>磋商文件费</w:t>
            </w:r>
          </w:p>
        </w:tc>
        <w:tc>
          <w:tcPr>
            <w:tcW w:w="0" w:type="auto"/>
            <w:vAlign w:val="center"/>
          </w:tcPr>
          <w:p w14:paraId="4219194A">
            <w:pPr>
              <w:adjustRightInd w:val="0"/>
              <w:snapToGrid w:val="0"/>
              <w:spacing w:line="312" w:lineRule="auto"/>
              <w:rPr>
                <w:rStyle w:val="56"/>
                <w:color w:val="auto"/>
                <w:sz w:val="24"/>
                <w:szCs w:val="24"/>
              </w:rPr>
            </w:pPr>
            <w:r>
              <w:rPr>
                <w:rFonts w:hint="eastAsia" w:ascii="宋体" w:hAnsi="宋体" w:cs="宋体"/>
                <w:bCs/>
                <w:sz w:val="24"/>
                <w:szCs w:val="24"/>
              </w:rPr>
              <w:t>不收取</w:t>
            </w:r>
          </w:p>
        </w:tc>
      </w:tr>
      <w:tr w14:paraId="6DF5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Merge w:val="continue"/>
            <w:vAlign w:val="center"/>
          </w:tcPr>
          <w:p w14:paraId="6C55CFB2">
            <w:pPr>
              <w:pStyle w:val="57"/>
              <w:adjustRightInd w:val="0"/>
              <w:snapToGrid w:val="0"/>
              <w:spacing w:before="0" w:line="312" w:lineRule="auto"/>
              <w:jc w:val="center"/>
              <w:rPr>
                <w:rStyle w:val="56"/>
                <w:color w:val="auto"/>
                <w:sz w:val="24"/>
                <w:szCs w:val="24"/>
                <w:lang w:val="en-US"/>
              </w:rPr>
            </w:pPr>
          </w:p>
        </w:tc>
        <w:tc>
          <w:tcPr>
            <w:tcW w:w="0" w:type="auto"/>
            <w:vAlign w:val="center"/>
          </w:tcPr>
          <w:p w14:paraId="7FAC31E2">
            <w:pPr>
              <w:adjustRightInd w:val="0"/>
              <w:snapToGrid w:val="0"/>
              <w:spacing w:line="312" w:lineRule="auto"/>
              <w:jc w:val="center"/>
              <w:rPr>
                <w:rStyle w:val="56"/>
                <w:color w:val="auto"/>
                <w:sz w:val="24"/>
                <w:szCs w:val="24"/>
              </w:rPr>
            </w:pPr>
            <w:r>
              <w:rPr>
                <w:rFonts w:hint="eastAsia" w:ascii="宋体" w:hAnsi="宋体" w:cs="宋体"/>
                <w:bCs/>
                <w:sz w:val="24"/>
                <w:szCs w:val="24"/>
              </w:rPr>
              <w:t>磋商保证金</w:t>
            </w:r>
          </w:p>
        </w:tc>
        <w:tc>
          <w:tcPr>
            <w:tcW w:w="0" w:type="auto"/>
            <w:vAlign w:val="center"/>
          </w:tcPr>
          <w:p w14:paraId="39C1FBE0">
            <w:pPr>
              <w:adjustRightInd w:val="0"/>
              <w:snapToGrid w:val="0"/>
              <w:spacing w:line="312" w:lineRule="auto"/>
              <w:rPr>
                <w:rStyle w:val="56"/>
                <w:color w:val="auto"/>
                <w:sz w:val="24"/>
                <w:szCs w:val="24"/>
              </w:rPr>
            </w:pPr>
            <w:r>
              <w:rPr>
                <w:rFonts w:hint="eastAsia" w:ascii="宋体" w:hAnsi="宋体" w:cs="宋体"/>
                <w:bCs/>
                <w:sz w:val="24"/>
                <w:szCs w:val="24"/>
              </w:rPr>
              <w:t>不收取</w:t>
            </w:r>
          </w:p>
        </w:tc>
      </w:tr>
      <w:tr w14:paraId="58DB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Merge w:val="continue"/>
            <w:vAlign w:val="center"/>
          </w:tcPr>
          <w:p w14:paraId="34FAFE61">
            <w:pPr>
              <w:pStyle w:val="57"/>
              <w:adjustRightInd w:val="0"/>
              <w:snapToGrid w:val="0"/>
              <w:spacing w:before="0" w:line="312" w:lineRule="auto"/>
              <w:jc w:val="center"/>
              <w:rPr>
                <w:rFonts w:cs="宋体"/>
                <w:sz w:val="24"/>
                <w:szCs w:val="24"/>
                <w:lang w:bidi="zh-CN"/>
              </w:rPr>
            </w:pPr>
          </w:p>
        </w:tc>
        <w:tc>
          <w:tcPr>
            <w:tcW w:w="0" w:type="auto"/>
            <w:vAlign w:val="center"/>
          </w:tcPr>
          <w:p w14:paraId="16879D51">
            <w:pPr>
              <w:adjustRightInd w:val="0"/>
              <w:snapToGrid w:val="0"/>
              <w:spacing w:line="312" w:lineRule="auto"/>
              <w:jc w:val="center"/>
              <w:rPr>
                <w:rFonts w:ascii="宋体" w:hAnsi="宋体" w:cs="宋体"/>
                <w:sz w:val="24"/>
                <w:szCs w:val="24"/>
                <w:lang w:bidi="zh-CN"/>
              </w:rPr>
            </w:pPr>
            <w:r>
              <w:rPr>
                <w:rFonts w:hint="eastAsia" w:ascii="宋体" w:hAnsi="宋体" w:cs="宋体"/>
                <w:bCs/>
                <w:sz w:val="24"/>
                <w:szCs w:val="24"/>
              </w:rPr>
              <w:t>质量保证金</w:t>
            </w:r>
          </w:p>
        </w:tc>
        <w:tc>
          <w:tcPr>
            <w:tcW w:w="0" w:type="auto"/>
            <w:vAlign w:val="center"/>
          </w:tcPr>
          <w:p w14:paraId="3934E9E9">
            <w:pPr>
              <w:adjustRightInd w:val="0"/>
              <w:snapToGrid w:val="0"/>
              <w:spacing w:line="312" w:lineRule="auto"/>
              <w:rPr>
                <w:rFonts w:ascii="宋体" w:hAnsi="宋体" w:cs="宋体"/>
                <w:sz w:val="24"/>
                <w:szCs w:val="24"/>
                <w:lang w:bidi="zh-CN"/>
              </w:rPr>
            </w:pPr>
            <w:r>
              <w:rPr>
                <w:rFonts w:hint="eastAsia" w:ascii="宋体" w:hAnsi="宋体" w:cs="宋体"/>
                <w:bCs/>
                <w:sz w:val="24"/>
                <w:szCs w:val="24"/>
              </w:rPr>
              <w:t>不收取</w:t>
            </w:r>
          </w:p>
        </w:tc>
      </w:tr>
      <w:tr w14:paraId="06A0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Merge w:val="continue"/>
            <w:vAlign w:val="center"/>
          </w:tcPr>
          <w:p w14:paraId="099733A3">
            <w:pPr>
              <w:pStyle w:val="57"/>
              <w:adjustRightInd w:val="0"/>
              <w:snapToGrid w:val="0"/>
              <w:spacing w:before="0" w:line="312" w:lineRule="auto"/>
              <w:jc w:val="center"/>
              <w:rPr>
                <w:rFonts w:cs="宋体"/>
                <w:sz w:val="24"/>
                <w:szCs w:val="24"/>
                <w:lang w:bidi="zh-CN"/>
              </w:rPr>
            </w:pPr>
          </w:p>
        </w:tc>
        <w:tc>
          <w:tcPr>
            <w:tcW w:w="0" w:type="auto"/>
            <w:vAlign w:val="center"/>
          </w:tcPr>
          <w:p w14:paraId="0C3DF489">
            <w:pPr>
              <w:adjustRightInd w:val="0"/>
              <w:snapToGrid w:val="0"/>
              <w:spacing w:line="312" w:lineRule="auto"/>
              <w:jc w:val="center"/>
              <w:rPr>
                <w:rFonts w:ascii="宋体" w:hAnsi="宋体" w:cs="宋体"/>
                <w:sz w:val="24"/>
                <w:szCs w:val="24"/>
                <w:lang w:bidi="zh-CN"/>
              </w:rPr>
            </w:pPr>
            <w:r>
              <w:rPr>
                <w:rFonts w:hint="eastAsia" w:ascii="宋体" w:hAnsi="宋体" w:cs="宋体"/>
                <w:bCs/>
                <w:sz w:val="24"/>
                <w:szCs w:val="24"/>
              </w:rPr>
              <w:t>履约保证金</w:t>
            </w:r>
          </w:p>
        </w:tc>
        <w:tc>
          <w:tcPr>
            <w:tcW w:w="0" w:type="auto"/>
            <w:vAlign w:val="center"/>
          </w:tcPr>
          <w:p w14:paraId="1FB0DA70">
            <w:pPr>
              <w:adjustRightInd w:val="0"/>
              <w:snapToGrid w:val="0"/>
              <w:spacing w:line="312" w:lineRule="auto"/>
              <w:rPr>
                <w:rStyle w:val="56"/>
                <w:color w:val="auto"/>
                <w:sz w:val="24"/>
                <w:szCs w:val="24"/>
              </w:rPr>
            </w:pPr>
            <w:r>
              <w:rPr>
                <w:rFonts w:hint="eastAsia" w:ascii="宋体" w:hAnsi="宋体" w:cs="宋体"/>
                <w:bCs/>
                <w:sz w:val="24"/>
                <w:szCs w:val="24"/>
              </w:rPr>
              <w:t>不收取</w:t>
            </w:r>
          </w:p>
        </w:tc>
      </w:tr>
      <w:tr w14:paraId="5BF6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0" w:type="auto"/>
            <w:vAlign w:val="center"/>
          </w:tcPr>
          <w:p w14:paraId="7E0B5C82">
            <w:pPr>
              <w:pStyle w:val="57"/>
              <w:shd w:val="clear" w:color="auto" w:fill="auto"/>
              <w:adjustRightInd w:val="0"/>
              <w:snapToGrid w:val="0"/>
              <w:spacing w:before="0" w:line="312" w:lineRule="auto"/>
              <w:jc w:val="center"/>
              <w:rPr>
                <w:rStyle w:val="56"/>
                <w:color w:val="auto"/>
                <w:sz w:val="24"/>
                <w:szCs w:val="24"/>
              </w:rPr>
            </w:pPr>
            <w:r>
              <w:rPr>
                <w:rStyle w:val="56"/>
                <w:rFonts w:hint="eastAsia"/>
                <w:color w:val="auto"/>
                <w:sz w:val="24"/>
                <w:szCs w:val="24"/>
                <w:lang w:val="en-US"/>
              </w:rPr>
              <w:t>23</w:t>
            </w:r>
          </w:p>
        </w:tc>
        <w:tc>
          <w:tcPr>
            <w:tcW w:w="0" w:type="auto"/>
            <w:vAlign w:val="center"/>
          </w:tcPr>
          <w:p w14:paraId="7B7233AC">
            <w:pPr>
              <w:adjustRightInd w:val="0"/>
              <w:snapToGrid w:val="0"/>
              <w:spacing w:line="312" w:lineRule="auto"/>
              <w:jc w:val="center"/>
              <w:rPr>
                <w:rFonts w:ascii="宋体" w:hAnsi="宋体" w:cs="宋体"/>
                <w:sz w:val="24"/>
                <w:szCs w:val="24"/>
              </w:rPr>
            </w:pPr>
            <w:r>
              <w:rPr>
                <w:rFonts w:hint="eastAsia" w:ascii="宋体" w:hAnsi="宋体" w:cs="宋体"/>
                <w:sz w:val="24"/>
                <w:szCs w:val="24"/>
              </w:rPr>
              <w:t>电子化投标文件的签章</w:t>
            </w:r>
          </w:p>
        </w:tc>
        <w:tc>
          <w:tcPr>
            <w:tcW w:w="0" w:type="auto"/>
            <w:vAlign w:val="center"/>
          </w:tcPr>
          <w:p w14:paraId="7311D78F">
            <w:pPr>
              <w:adjustRightInd w:val="0"/>
              <w:snapToGrid w:val="0"/>
              <w:spacing w:line="312" w:lineRule="auto"/>
              <w:rPr>
                <w:rFonts w:ascii="宋体" w:hAnsi="宋体" w:cs="宋体"/>
                <w:sz w:val="24"/>
                <w:szCs w:val="24"/>
              </w:rPr>
            </w:pPr>
            <w:r>
              <w:rPr>
                <w:rFonts w:hint="eastAsia" w:ascii="宋体" w:hAnsi="宋体" w:cs="宋体"/>
                <w:sz w:val="24"/>
                <w:szCs w:val="24"/>
              </w:rPr>
              <w:t>电子化投标文件的签章</w:t>
            </w:r>
          </w:p>
          <w:p w14:paraId="294C40EC">
            <w:pPr>
              <w:adjustRightInd w:val="0"/>
              <w:snapToGrid w:val="0"/>
              <w:spacing w:line="312" w:lineRule="auto"/>
              <w:rPr>
                <w:rFonts w:ascii="宋体" w:hAnsi="宋体" w:cs="宋体"/>
                <w:sz w:val="24"/>
                <w:szCs w:val="24"/>
              </w:rPr>
            </w:pPr>
            <w:r>
              <w:rPr>
                <w:rFonts w:hint="eastAsia" w:ascii="宋体" w:hAnsi="宋体" w:cs="宋体"/>
                <w:sz w:val="24"/>
                <w:szCs w:val="24"/>
              </w:rPr>
              <w:t>1、投标人在生成电子化投标文件后，应对电子化投标文件进行签章，未进行签章的视为无效响应。</w:t>
            </w:r>
          </w:p>
          <w:p w14:paraId="5FCED67E">
            <w:pPr>
              <w:adjustRightInd w:val="0"/>
              <w:snapToGrid w:val="0"/>
              <w:spacing w:line="312" w:lineRule="auto"/>
              <w:rPr>
                <w:rFonts w:ascii="宋体" w:hAnsi="宋体" w:cs="宋体"/>
                <w:sz w:val="24"/>
                <w:szCs w:val="24"/>
              </w:rPr>
            </w:pPr>
            <w:r>
              <w:rPr>
                <w:rFonts w:hint="eastAsia" w:ascii="宋体" w:hAnsi="宋体" w:cs="宋体"/>
                <w:sz w:val="24"/>
                <w:szCs w:val="24"/>
              </w:rPr>
              <w:t>2、投标文件中要求加盖单位公章、法定代表人或授权委托人签字或盖章的，投标人在电子化投标文件加盖单位电子印章，若授权委托人签字或盖章的，投标文件中应附法定代表人有效授权委托书。（系统电子投标文件签字盖章要求：按磋商文件要求，需要法定代表人或委托代理人签字或盖章的地方以法定代表人CA密钥进行电子签字或签章为准；需要投标人盖章的地方以企业CA密钥进行电子签章为准，“申请人资格要求”部分除外）电子化投标文件制作教材请投标人通过CA证书登录平顶山市公共资源电子化交易系统在右上角“组件下载”中查看。</w:t>
            </w:r>
          </w:p>
        </w:tc>
      </w:tr>
      <w:tr w14:paraId="231F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0" w:type="auto"/>
            <w:vAlign w:val="center"/>
          </w:tcPr>
          <w:p w14:paraId="172A8340">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lang w:val="en-US"/>
              </w:rPr>
              <w:t>24</w:t>
            </w:r>
          </w:p>
        </w:tc>
        <w:tc>
          <w:tcPr>
            <w:tcW w:w="0" w:type="auto"/>
            <w:vAlign w:val="center"/>
          </w:tcPr>
          <w:p w14:paraId="7A535F05">
            <w:pPr>
              <w:adjustRightInd w:val="0"/>
              <w:snapToGrid w:val="0"/>
              <w:spacing w:line="312" w:lineRule="auto"/>
              <w:jc w:val="center"/>
              <w:rPr>
                <w:rFonts w:ascii="宋体" w:hAnsi="宋体" w:cs="宋体"/>
                <w:sz w:val="24"/>
                <w:szCs w:val="24"/>
              </w:rPr>
            </w:pPr>
            <w:r>
              <w:rPr>
                <w:rFonts w:hint="eastAsia" w:ascii="宋体" w:hAnsi="宋体" w:cs="宋体"/>
                <w:sz w:val="24"/>
                <w:szCs w:val="24"/>
              </w:rPr>
              <w:t>投标文件格式及递交方式</w:t>
            </w:r>
          </w:p>
        </w:tc>
        <w:tc>
          <w:tcPr>
            <w:tcW w:w="0" w:type="auto"/>
          </w:tcPr>
          <w:p w14:paraId="558190DC">
            <w:pPr>
              <w:adjustRightInd w:val="0"/>
              <w:snapToGrid w:val="0"/>
              <w:spacing w:line="312" w:lineRule="auto"/>
              <w:rPr>
                <w:rFonts w:ascii="宋体" w:hAnsi="宋体" w:cs="宋体"/>
                <w:sz w:val="24"/>
                <w:szCs w:val="24"/>
              </w:rPr>
            </w:pPr>
            <w:r>
              <w:rPr>
                <w:rFonts w:hint="eastAsia" w:ascii="宋体" w:hAnsi="宋体" w:cs="宋体"/>
                <w:sz w:val="24"/>
                <w:szCs w:val="24"/>
              </w:rPr>
              <w:t>1、投标人所上传的电子化投标文件，应是通过中心投标文件制作系统制作的，经过签章和加密后生成的电子版投标文件。 生成的电子版投标文件中的主文件（项目文件格式为：xxx 公司  _ 项目名称.file）上传至平顶山市公共资源交易中心交易系统。</w:t>
            </w:r>
          </w:p>
          <w:p w14:paraId="2505AAFF">
            <w:pPr>
              <w:adjustRightInd w:val="0"/>
              <w:snapToGrid w:val="0"/>
              <w:spacing w:line="312" w:lineRule="auto"/>
              <w:rPr>
                <w:rFonts w:ascii="宋体" w:hAnsi="宋体" w:cs="宋体"/>
                <w:sz w:val="24"/>
                <w:szCs w:val="24"/>
              </w:rPr>
            </w:pPr>
            <w:r>
              <w:rPr>
                <w:rFonts w:hint="eastAsia" w:ascii="宋体" w:hAnsi="宋体" w:cs="宋体"/>
                <w:sz w:val="24"/>
                <w:szCs w:val="24"/>
              </w:rPr>
              <w:t>2、生成的用于应急补救的投标文件备份文件（项目文件格式 为：xxx 公司_  项目名称.bin），备份文件主要用于电子化开标出现技术问题后的补救。</w:t>
            </w:r>
          </w:p>
          <w:p w14:paraId="02997AF6">
            <w:pPr>
              <w:adjustRightInd w:val="0"/>
              <w:snapToGrid w:val="0"/>
              <w:spacing w:line="312" w:lineRule="auto"/>
              <w:rPr>
                <w:rFonts w:ascii="宋体" w:hAnsi="宋体" w:cs="宋体"/>
                <w:sz w:val="24"/>
                <w:szCs w:val="24"/>
              </w:rPr>
            </w:pPr>
            <w:r>
              <w:rPr>
                <w:rFonts w:hint="eastAsia" w:ascii="宋体" w:hAnsi="宋体" w:cs="宋体"/>
                <w:sz w:val="24"/>
                <w:szCs w:val="24"/>
              </w:rPr>
              <w:t>注：电子化投标文件应在投标截止时间前成功上传至平顶山市公共资源电子化交易系统。至投标截止时间止，仍未上传成功的电子化投标文件将不予接收。（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14:paraId="7B04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0" w:type="auto"/>
            <w:vAlign w:val="center"/>
          </w:tcPr>
          <w:p w14:paraId="608110DC">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lang w:val="en-US"/>
              </w:rPr>
              <w:t>25</w:t>
            </w:r>
          </w:p>
        </w:tc>
        <w:tc>
          <w:tcPr>
            <w:tcW w:w="0" w:type="auto"/>
            <w:vAlign w:val="center"/>
          </w:tcPr>
          <w:p w14:paraId="70B8F71D">
            <w:pPr>
              <w:adjustRightInd w:val="0"/>
              <w:snapToGrid w:val="0"/>
              <w:spacing w:line="312" w:lineRule="auto"/>
              <w:jc w:val="center"/>
              <w:rPr>
                <w:rFonts w:ascii="宋体" w:hAnsi="宋体" w:cs="宋体"/>
                <w:b/>
                <w:bCs/>
                <w:spacing w:val="-4"/>
                <w:sz w:val="24"/>
                <w:szCs w:val="24"/>
              </w:rPr>
            </w:pPr>
            <w:r>
              <w:rPr>
                <w:rFonts w:hint="eastAsia" w:ascii="宋体" w:hAnsi="宋体" w:cs="宋体"/>
                <w:sz w:val="24"/>
                <w:szCs w:val="24"/>
              </w:rPr>
              <w:t>投标文件份数</w:t>
            </w:r>
          </w:p>
        </w:tc>
        <w:tc>
          <w:tcPr>
            <w:tcW w:w="0" w:type="auto"/>
            <w:vAlign w:val="center"/>
          </w:tcPr>
          <w:p w14:paraId="3CB9087D">
            <w:pPr>
              <w:adjustRightInd w:val="0"/>
              <w:snapToGrid w:val="0"/>
              <w:spacing w:line="312" w:lineRule="auto"/>
              <w:rPr>
                <w:rFonts w:ascii="宋体" w:hAnsi="宋体" w:cs="宋体"/>
                <w:sz w:val="24"/>
                <w:szCs w:val="24"/>
              </w:rPr>
            </w:pPr>
            <w:r>
              <w:rPr>
                <w:rFonts w:hint="eastAsia" w:ascii="宋体" w:hAnsi="宋体" w:cs="宋体"/>
                <w:sz w:val="24"/>
                <w:szCs w:val="24"/>
              </w:rPr>
              <w:t>加密电子投标文件一份，加密电子投标文件应在招标文件规定的投标截止时间 (开标时间) 之前成功提交至《全国公共资源交易平台(河南省▪平顶山市)》公共资源交易系统</w:t>
            </w:r>
          </w:p>
          <w:p w14:paraId="1EA7A1CA">
            <w:pPr>
              <w:adjustRightInd w:val="0"/>
              <w:snapToGrid w:val="0"/>
              <w:spacing w:line="312" w:lineRule="auto"/>
              <w:rPr>
                <w:rFonts w:ascii="宋体" w:hAnsi="宋体" w:cs="宋体"/>
                <w:sz w:val="24"/>
                <w:szCs w:val="24"/>
              </w:rPr>
            </w:pPr>
            <w:r>
              <w:rPr>
                <w:rFonts w:hint="eastAsia" w:ascii="宋体" w:hAnsi="宋体" w:cs="宋体"/>
                <w:sz w:val="24"/>
                <w:szCs w:val="24"/>
              </w:rPr>
              <w:t>(http://ggzy.pds.gov.cn/ggzy/)</w:t>
            </w:r>
          </w:p>
        </w:tc>
      </w:tr>
      <w:tr w14:paraId="3B06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0" w:type="auto"/>
            <w:vAlign w:val="center"/>
          </w:tcPr>
          <w:p w14:paraId="4DC998B6">
            <w:pPr>
              <w:pStyle w:val="57"/>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26</w:t>
            </w:r>
          </w:p>
        </w:tc>
        <w:tc>
          <w:tcPr>
            <w:tcW w:w="0" w:type="auto"/>
          </w:tcPr>
          <w:p w14:paraId="10F14DC2">
            <w:pPr>
              <w:adjustRightInd w:val="0"/>
              <w:snapToGrid w:val="0"/>
              <w:spacing w:line="312" w:lineRule="auto"/>
              <w:jc w:val="center"/>
              <w:textAlignment w:val="baseline"/>
              <w:rPr>
                <w:rFonts w:ascii="宋体" w:hAnsi="宋体" w:cs="宋体"/>
                <w:sz w:val="24"/>
                <w:szCs w:val="24"/>
              </w:rPr>
            </w:pPr>
          </w:p>
          <w:p w14:paraId="4B6E7504">
            <w:pPr>
              <w:adjustRightInd w:val="0"/>
              <w:snapToGrid w:val="0"/>
              <w:spacing w:line="312" w:lineRule="auto"/>
              <w:jc w:val="center"/>
              <w:textAlignment w:val="baseline"/>
              <w:rPr>
                <w:rFonts w:ascii="宋体" w:hAnsi="宋体" w:cs="宋体"/>
                <w:sz w:val="24"/>
                <w:szCs w:val="24"/>
              </w:rPr>
            </w:pPr>
          </w:p>
          <w:p w14:paraId="48865892">
            <w:pPr>
              <w:adjustRightInd w:val="0"/>
              <w:snapToGrid w:val="0"/>
              <w:spacing w:line="312" w:lineRule="auto"/>
              <w:jc w:val="center"/>
              <w:textAlignment w:val="baseline"/>
              <w:rPr>
                <w:rStyle w:val="56"/>
                <w:color w:val="auto"/>
                <w:sz w:val="24"/>
                <w:szCs w:val="24"/>
              </w:rPr>
            </w:pPr>
            <w:r>
              <w:rPr>
                <w:rStyle w:val="56"/>
                <w:rFonts w:hint="eastAsia"/>
                <w:color w:val="auto"/>
                <w:sz w:val="24"/>
                <w:szCs w:val="24"/>
                <w:lang w:val="en-US"/>
              </w:rPr>
              <w:t>开标程序</w:t>
            </w:r>
          </w:p>
        </w:tc>
        <w:tc>
          <w:tcPr>
            <w:tcW w:w="0" w:type="auto"/>
          </w:tcPr>
          <w:p w14:paraId="354025F3">
            <w:pPr>
              <w:widowControl/>
              <w:shd w:val="clear" w:color="auto" w:fill="FFFFFF"/>
              <w:adjustRightInd w:val="0"/>
              <w:snapToGrid w:val="0"/>
              <w:spacing w:line="312" w:lineRule="auto"/>
              <w:rPr>
                <w:rFonts w:ascii="宋体" w:hAnsi="宋体" w:cs="宋体"/>
                <w:sz w:val="24"/>
                <w:szCs w:val="24"/>
              </w:rPr>
            </w:pPr>
            <w:r>
              <w:rPr>
                <w:rFonts w:hint="eastAsia" w:ascii="宋体" w:hAnsi="宋体" w:cs="宋体"/>
                <w:sz w:val="24"/>
                <w:szCs w:val="24"/>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6EF21D93">
            <w:pPr>
              <w:adjustRightInd w:val="0"/>
              <w:snapToGrid w:val="0"/>
              <w:spacing w:line="312" w:lineRule="auto"/>
              <w:rPr>
                <w:rFonts w:ascii="宋体" w:hAnsi="宋体" w:cs="宋体"/>
                <w:sz w:val="24"/>
                <w:szCs w:val="24"/>
              </w:rPr>
            </w:pPr>
            <w:r>
              <w:rPr>
                <w:rFonts w:hint="eastAsia" w:ascii="宋体" w:hAnsi="宋体" w:cs="宋体"/>
                <w:sz w:val="24"/>
                <w:szCs w:val="24"/>
              </w:rPr>
              <w:t>（2）待所有投标人投标文件解密完成后，由代理机构操作，对所有已解密投标文件进行唱标。</w:t>
            </w:r>
          </w:p>
        </w:tc>
      </w:tr>
      <w:tr w14:paraId="4E3A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0" w:type="auto"/>
            <w:vAlign w:val="center"/>
          </w:tcPr>
          <w:p w14:paraId="34440E47">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27</w:t>
            </w:r>
          </w:p>
        </w:tc>
        <w:tc>
          <w:tcPr>
            <w:tcW w:w="0" w:type="auto"/>
            <w:vAlign w:val="center"/>
          </w:tcPr>
          <w:p w14:paraId="7B1A8D05">
            <w:pPr>
              <w:adjustRightInd w:val="0"/>
              <w:snapToGrid w:val="0"/>
              <w:spacing w:line="312" w:lineRule="auto"/>
              <w:jc w:val="center"/>
              <w:rPr>
                <w:rStyle w:val="56"/>
                <w:color w:val="auto"/>
                <w:sz w:val="24"/>
                <w:szCs w:val="24"/>
              </w:rPr>
            </w:pPr>
            <w:r>
              <w:rPr>
                <w:rFonts w:hint="eastAsia" w:ascii="宋体" w:hAnsi="宋体" w:cs="宋体"/>
                <w:sz w:val="24"/>
                <w:szCs w:val="24"/>
              </w:rPr>
              <w:t>磋商小组的组建</w:t>
            </w:r>
          </w:p>
        </w:tc>
        <w:tc>
          <w:tcPr>
            <w:tcW w:w="0" w:type="auto"/>
            <w:vAlign w:val="bottom"/>
          </w:tcPr>
          <w:p w14:paraId="388B2909">
            <w:pPr>
              <w:widowControl/>
              <w:shd w:val="clear" w:color="auto" w:fill="FFFFFF"/>
              <w:adjustRightInd w:val="0"/>
              <w:snapToGrid w:val="0"/>
              <w:spacing w:line="312" w:lineRule="auto"/>
              <w:rPr>
                <w:rFonts w:ascii="宋体" w:hAnsi="宋体" w:cs="宋体"/>
                <w:sz w:val="24"/>
                <w:szCs w:val="24"/>
              </w:rPr>
            </w:pPr>
            <w:r>
              <w:rPr>
                <w:rFonts w:hint="eastAsia" w:ascii="宋体" w:hAnsi="宋体" w:cs="宋体"/>
                <w:sz w:val="24"/>
                <w:szCs w:val="24"/>
              </w:rPr>
              <w:t>磋商小组由采购人代表和有关技术、经济等方面的专家组成，成员人数为3人以上单数，其中技术、经济等方面的专家不得少于成员总数的2／3。</w:t>
            </w:r>
            <w:r>
              <w:rPr>
                <w:rFonts w:hint="eastAsia" w:ascii="宋体" w:hAnsi="宋体" w:cs="宋体"/>
                <w:sz w:val="24"/>
                <w:szCs w:val="24"/>
              </w:rPr>
              <w:br w:type="textWrapping"/>
            </w:r>
            <w:r>
              <w:rPr>
                <w:rFonts w:hint="eastAsia" w:ascii="宋体" w:hAnsi="宋体" w:cs="宋体"/>
                <w:sz w:val="24"/>
                <w:szCs w:val="24"/>
              </w:rPr>
              <w:t>磋商小组确定方式：开标前在河南省政府采购专家库中随机抽取。</w:t>
            </w:r>
          </w:p>
          <w:p w14:paraId="32692138">
            <w:pPr>
              <w:widowControl/>
              <w:shd w:val="clear" w:color="auto" w:fill="FFFFFF"/>
              <w:adjustRightInd w:val="0"/>
              <w:snapToGrid w:val="0"/>
              <w:spacing w:line="312" w:lineRule="auto"/>
              <w:rPr>
                <w:rFonts w:ascii="宋体" w:hAnsi="宋体" w:cs="宋体"/>
                <w:sz w:val="24"/>
                <w:szCs w:val="24"/>
              </w:rPr>
            </w:pPr>
            <w:r>
              <w:rPr>
                <w:rFonts w:hint="eastAsia" w:ascii="宋体" w:hAnsi="宋体" w:cs="宋体"/>
                <w:sz w:val="24"/>
                <w:szCs w:val="24"/>
              </w:rPr>
              <w:t>上述规定为一组评标专家委员会组成方式，根据项目标段数量和评标工作量，可由多组专家委员会完成评审，但一个标段只能由一组评标专家评审。</w:t>
            </w:r>
          </w:p>
        </w:tc>
      </w:tr>
      <w:tr w14:paraId="64B3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0" w:type="auto"/>
            <w:vAlign w:val="center"/>
          </w:tcPr>
          <w:p w14:paraId="22F86FAD">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28</w:t>
            </w:r>
          </w:p>
        </w:tc>
        <w:tc>
          <w:tcPr>
            <w:tcW w:w="0" w:type="auto"/>
            <w:vAlign w:val="center"/>
          </w:tcPr>
          <w:p w14:paraId="0B035AC2">
            <w:pPr>
              <w:adjustRightInd w:val="0"/>
              <w:snapToGrid w:val="0"/>
              <w:spacing w:line="312" w:lineRule="auto"/>
              <w:jc w:val="center"/>
              <w:rPr>
                <w:rStyle w:val="56"/>
                <w:color w:val="auto"/>
                <w:sz w:val="24"/>
                <w:szCs w:val="24"/>
              </w:rPr>
            </w:pPr>
            <w:r>
              <w:rPr>
                <w:rFonts w:hint="eastAsia" w:ascii="宋体" w:hAnsi="宋体" w:cs="宋体"/>
                <w:sz w:val="24"/>
                <w:szCs w:val="24"/>
              </w:rPr>
              <w:t>是否授权磋商小组确定成交人</w:t>
            </w:r>
          </w:p>
        </w:tc>
        <w:tc>
          <w:tcPr>
            <w:tcW w:w="0" w:type="auto"/>
            <w:vAlign w:val="center"/>
          </w:tcPr>
          <w:p w14:paraId="52616A53">
            <w:pPr>
              <w:adjustRightInd w:val="0"/>
              <w:snapToGrid w:val="0"/>
              <w:spacing w:line="312" w:lineRule="auto"/>
              <w:rPr>
                <w:rFonts w:ascii="宋体" w:hAnsi="宋体" w:cs="宋体"/>
                <w:sz w:val="24"/>
                <w:szCs w:val="24"/>
              </w:rPr>
            </w:pPr>
            <w:r>
              <w:rPr>
                <w:rFonts w:hint="eastAsia" w:ascii="宋体" w:hAnsi="宋体" w:cs="宋体"/>
                <w:sz w:val="24"/>
                <w:szCs w:val="24"/>
              </w:rPr>
              <w:t>否，推荐3名成交候选人。</w:t>
            </w:r>
          </w:p>
        </w:tc>
      </w:tr>
      <w:tr w14:paraId="1BBE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0" w:type="auto"/>
            <w:vAlign w:val="center"/>
          </w:tcPr>
          <w:p w14:paraId="56648D21">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29</w:t>
            </w:r>
          </w:p>
        </w:tc>
        <w:tc>
          <w:tcPr>
            <w:tcW w:w="0" w:type="auto"/>
            <w:vAlign w:val="center"/>
          </w:tcPr>
          <w:p w14:paraId="110CC186">
            <w:pPr>
              <w:adjustRightInd w:val="0"/>
              <w:snapToGrid w:val="0"/>
              <w:spacing w:line="312" w:lineRule="auto"/>
              <w:jc w:val="center"/>
              <w:rPr>
                <w:rStyle w:val="56"/>
                <w:color w:val="auto"/>
                <w:sz w:val="24"/>
                <w:szCs w:val="24"/>
              </w:rPr>
            </w:pPr>
            <w:r>
              <w:rPr>
                <w:rFonts w:hint="eastAsia" w:ascii="宋体" w:hAnsi="宋体" w:cs="宋体"/>
                <w:sz w:val="24"/>
                <w:szCs w:val="24"/>
              </w:rPr>
              <w:t>结果公告媒介</w:t>
            </w:r>
          </w:p>
        </w:tc>
        <w:tc>
          <w:tcPr>
            <w:tcW w:w="0" w:type="auto"/>
            <w:vAlign w:val="center"/>
          </w:tcPr>
          <w:p w14:paraId="623E9DFD">
            <w:pPr>
              <w:adjustRightInd w:val="0"/>
              <w:snapToGrid w:val="0"/>
              <w:spacing w:line="312" w:lineRule="auto"/>
              <w:rPr>
                <w:rStyle w:val="56"/>
                <w:color w:val="auto"/>
                <w:sz w:val="24"/>
                <w:szCs w:val="24"/>
              </w:rPr>
            </w:pPr>
            <w:r>
              <w:rPr>
                <w:rFonts w:hint="eastAsia" w:ascii="宋体" w:hAnsi="宋体" w:cs="宋体"/>
                <w:sz w:val="24"/>
                <w:szCs w:val="24"/>
              </w:rPr>
              <w:t>同发布磋商公告的媒介。公示期限：1个工作日。</w:t>
            </w:r>
          </w:p>
        </w:tc>
      </w:tr>
      <w:tr w14:paraId="0E51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0" w:type="auto"/>
            <w:vAlign w:val="center"/>
          </w:tcPr>
          <w:p w14:paraId="7A2AA6E4">
            <w:pPr>
              <w:pStyle w:val="57"/>
              <w:shd w:val="clear" w:color="auto" w:fill="auto"/>
              <w:adjustRightInd w:val="0"/>
              <w:snapToGrid w:val="0"/>
              <w:spacing w:before="0" w:line="312" w:lineRule="auto"/>
              <w:jc w:val="center"/>
              <w:rPr>
                <w:rFonts w:cs="宋体"/>
                <w:sz w:val="24"/>
                <w:szCs w:val="24"/>
                <w:lang w:bidi="zh-CN"/>
              </w:rPr>
            </w:pPr>
            <w:r>
              <w:rPr>
                <w:rFonts w:hint="eastAsia" w:cs="宋体"/>
                <w:sz w:val="24"/>
                <w:szCs w:val="24"/>
                <w:lang w:bidi="zh-CN"/>
              </w:rPr>
              <w:t>30</w:t>
            </w:r>
          </w:p>
        </w:tc>
        <w:tc>
          <w:tcPr>
            <w:tcW w:w="0" w:type="auto"/>
            <w:vAlign w:val="center"/>
          </w:tcPr>
          <w:p w14:paraId="77A38EC1">
            <w:pPr>
              <w:adjustRightInd w:val="0"/>
              <w:snapToGrid w:val="0"/>
              <w:spacing w:line="312" w:lineRule="auto"/>
              <w:jc w:val="center"/>
              <w:rPr>
                <w:rFonts w:ascii="宋体" w:hAnsi="宋体" w:cs="宋体"/>
                <w:sz w:val="24"/>
                <w:szCs w:val="24"/>
                <w:lang w:bidi="zh-CN"/>
              </w:rPr>
            </w:pPr>
            <w:r>
              <w:rPr>
                <w:rFonts w:hint="eastAsia" w:ascii="宋体" w:hAnsi="宋体" w:cs="宋体"/>
                <w:sz w:val="24"/>
                <w:szCs w:val="24"/>
              </w:rPr>
              <w:t>接收质疑函的方式和联系方式</w:t>
            </w:r>
          </w:p>
        </w:tc>
        <w:tc>
          <w:tcPr>
            <w:tcW w:w="0" w:type="auto"/>
            <w:vAlign w:val="center"/>
          </w:tcPr>
          <w:p w14:paraId="2695AEEF">
            <w:pPr>
              <w:pStyle w:val="2"/>
              <w:snapToGrid w:val="0"/>
              <w:spacing w:line="312" w:lineRule="auto"/>
              <w:jc w:val="both"/>
              <w:rPr>
                <w:rFonts w:hAnsi="宋体"/>
                <w:color w:val="auto"/>
              </w:rPr>
            </w:pPr>
            <w:r>
              <w:rPr>
                <w:rFonts w:hint="eastAsia" w:hAnsi="宋体"/>
                <w:color w:val="auto"/>
              </w:rPr>
              <w:t>1、质疑提出：</w:t>
            </w:r>
          </w:p>
          <w:p w14:paraId="1FCAC442">
            <w:pPr>
              <w:pStyle w:val="2"/>
              <w:snapToGrid w:val="0"/>
              <w:spacing w:line="312" w:lineRule="auto"/>
              <w:jc w:val="both"/>
              <w:rPr>
                <w:rFonts w:hAnsi="宋体"/>
                <w:color w:val="auto"/>
              </w:rPr>
            </w:pPr>
            <w:r>
              <w:rPr>
                <w:rFonts w:hint="eastAsia" w:hAnsi="宋体"/>
                <w:color w:val="auto"/>
              </w:rPr>
              <w:t>（1）供应商认为采购文件、采购过程、中标或者成交结果使自己的权益受到损害的，可以在知道或者应知其权益受到损害之日起7个工作日内，按中华人民共和国财政部令第94号《政府采购质疑和投诉办法》的相关规定，在规定时间内，向采购人和采购代理机构提出质疑。逾期未提交或未按照要求提交的质疑函将不予受理。</w:t>
            </w:r>
          </w:p>
          <w:p w14:paraId="18735181">
            <w:pPr>
              <w:pStyle w:val="2"/>
              <w:snapToGrid w:val="0"/>
              <w:spacing w:line="312" w:lineRule="auto"/>
              <w:jc w:val="both"/>
              <w:rPr>
                <w:rFonts w:hAnsi="宋体"/>
                <w:color w:val="auto"/>
              </w:rPr>
            </w:pPr>
            <w:r>
              <w:rPr>
                <w:rFonts w:hint="eastAsia" w:hAnsi="宋体"/>
                <w:color w:val="auto"/>
              </w:rPr>
              <w:t>（2）质疑函的内容、格式：应符合《政府采购质疑和投诉办法》（财政部第94号令）相关规定和财政部门制定的《政府采购质疑函范本》格式。</w:t>
            </w:r>
          </w:p>
          <w:p w14:paraId="62C79A4B">
            <w:pPr>
              <w:pStyle w:val="2"/>
              <w:snapToGrid w:val="0"/>
              <w:spacing w:line="312" w:lineRule="auto"/>
              <w:jc w:val="both"/>
              <w:rPr>
                <w:rFonts w:hAnsi="宋体"/>
                <w:color w:val="auto"/>
              </w:rPr>
            </w:pPr>
            <w:r>
              <w:rPr>
                <w:rFonts w:hint="eastAsia" w:hAnsi="宋体"/>
                <w:color w:val="auto"/>
              </w:rPr>
              <w:t>（3）投标人应在法定质疑期内一次性提出针对同一采购程序环节的质疑。</w:t>
            </w:r>
          </w:p>
          <w:p w14:paraId="59EBA659">
            <w:pPr>
              <w:pStyle w:val="2"/>
              <w:snapToGrid w:val="0"/>
              <w:spacing w:line="312" w:lineRule="auto"/>
              <w:jc w:val="both"/>
              <w:rPr>
                <w:rFonts w:hAnsi="宋体"/>
                <w:color w:val="auto"/>
              </w:rPr>
            </w:pPr>
            <w:r>
              <w:rPr>
                <w:rFonts w:hint="eastAsia" w:hAnsi="宋体"/>
                <w:color w:val="auto"/>
              </w:rPr>
              <w:t>2、接收质疑函的方式、联系部门、联系电话和通讯地址：同竞争性磋商公告采购人和采购代理机构联系人信息。</w:t>
            </w:r>
          </w:p>
          <w:p w14:paraId="092002AA">
            <w:pPr>
              <w:adjustRightInd w:val="0"/>
              <w:snapToGrid w:val="0"/>
              <w:spacing w:line="360" w:lineRule="auto"/>
              <w:rPr>
                <w:rFonts w:ascii="宋体" w:hAnsi="宋体" w:cs="宋体"/>
                <w:b/>
                <w:bCs/>
                <w:kern w:val="0"/>
                <w:sz w:val="24"/>
                <w:szCs w:val="24"/>
              </w:rPr>
            </w:pPr>
            <w:r>
              <w:rPr>
                <w:rFonts w:hint="eastAsia" w:ascii="宋体" w:hAnsi="宋体" w:cs="宋体"/>
                <w:b/>
                <w:bCs/>
                <w:kern w:val="0"/>
                <w:sz w:val="24"/>
                <w:szCs w:val="24"/>
              </w:rPr>
              <w:t>联系人：王女士       联系电话：15037528052</w:t>
            </w:r>
          </w:p>
          <w:p w14:paraId="36B860AC">
            <w:pPr>
              <w:pStyle w:val="2"/>
              <w:snapToGrid w:val="0"/>
              <w:spacing w:line="312" w:lineRule="auto"/>
              <w:jc w:val="both"/>
              <w:rPr>
                <w:rFonts w:hAnsi="宋体"/>
                <w:color w:val="auto"/>
              </w:rPr>
            </w:pPr>
            <w:r>
              <w:rPr>
                <w:rFonts w:hint="eastAsia" w:hAnsi="宋体"/>
                <w:color w:val="auto"/>
              </w:rPr>
              <w:t>3、质疑供应商对采购人、采购代理机构的答复不满意，或者采购人、采购代理机构未在规定时间内作出答复的，可以在答复期满后15个工作日内向有关监督部门提起投诉。</w:t>
            </w:r>
          </w:p>
        </w:tc>
      </w:tr>
      <w:tr w14:paraId="7DF9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0" w:type="auto"/>
            <w:vAlign w:val="center"/>
          </w:tcPr>
          <w:p w14:paraId="2B02E162">
            <w:pPr>
              <w:pStyle w:val="57"/>
              <w:shd w:val="clear" w:color="auto" w:fill="auto"/>
              <w:adjustRightInd w:val="0"/>
              <w:snapToGrid w:val="0"/>
              <w:spacing w:before="0" w:line="312" w:lineRule="auto"/>
              <w:jc w:val="center"/>
              <w:rPr>
                <w:rFonts w:cs="宋体"/>
                <w:sz w:val="24"/>
                <w:szCs w:val="24"/>
                <w:lang w:bidi="zh-CN"/>
              </w:rPr>
            </w:pPr>
            <w:r>
              <w:rPr>
                <w:rFonts w:hint="eastAsia" w:cs="宋体"/>
                <w:sz w:val="24"/>
                <w:szCs w:val="24"/>
                <w:lang w:bidi="zh-CN"/>
              </w:rPr>
              <w:t>31</w:t>
            </w:r>
          </w:p>
        </w:tc>
        <w:tc>
          <w:tcPr>
            <w:tcW w:w="0" w:type="auto"/>
            <w:vAlign w:val="center"/>
          </w:tcPr>
          <w:p w14:paraId="68732FB3">
            <w:pPr>
              <w:adjustRightInd w:val="0"/>
              <w:snapToGrid w:val="0"/>
              <w:spacing w:line="312" w:lineRule="auto"/>
              <w:jc w:val="center"/>
              <w:textAlignment w:val="baseline"/>
              <w:rPr>
                <w:rFonts w:ascii="宋体" w:hAnsi="宋体" w:cs="宋体"/>
                <w:sz w:val="24"/>
                <w:szCs w:val="24"/>
              </w:rPr>
            </w:pPr>
            <w:r>
              <w:rPr>
                <w:rFonts w:hint="eastAsia" w:ascii="宋体" w:hAnsi="宋体" w:cs="宋体"/>
                <w:sz w:val="24"/>
                <w:szCs w:val="24"/>
              </w:rPr>
              <w:t>最高投标限价</w:t>
            </w:r>
          </w:p>
        </w:tc>
        <w:tc>
          <w:tcPr>
            <w:tcW w:w="0" w:type="auto"/>
          </w:tcPr>
          <w:p w14:paraId="5D0515D2">
            <w:pPr>
              <w:adjustRightInd w:val="0"/>
              <w:snapToGrid w:val="0"/>
              <w:spacing w:line="312" w:lineRule="auto"/>
              <w:rPr>
                <w:rFonts w:ascii="宋体" w:hAnsi="宋体" w:cs="宋体"/>
                <w:sz w:val="24"/>
                <w:szCs w:val="24"/>
                <w:highlight w:val="yellow"/>
              </w:rPr>
            </w:pPr>
            <w:r>
              <w:rPr>
                <w:rFonts w:hint="eastAsia" w:ascii="宋体" w:hAnsi="宋体" w:cs="宋体"/>
                <w:sz w:val="24"/>
                <w:szCs w:val="24"/>
              </w:rPr>
              <w:t>最高投标限价</w:t>
            </w:r>
            <w:r>
              <w:rPr>
                <w:rFonts w:hint="eastAsia" w:ascii="宋体" w:hAnsi="宋体" w:cs="宋体"/>
                <w:b/>
                <w:bCs/>
                <w:sz w:val="24"/>
                <w:szCs w:val="24"/>
              </w:rPr>
              <w:t>：1500000.00元</w:t>
            </w:r>
          </w:p>
          <w:p w14:paraId="335C4810">
            <w:pPr>
              <w:adjustRightInd w:val="0"/>
              <w:snapToGrid w:val="0"/>
              <w:spacing w:line="312" w:lineRule="auto"/>
              <w:rPr>
                <w:rFonts w:ascii="宋体" w:hAnsi="宋体" w:cs="宋体"/>
                <w:sz w:val="24"/>
                <w:szCs w:val="24"/>
              </w:rPr>
            </w:pPr>
            <w:r>
              <w:rPr>
                <w:rFonts w:hint="eastAsia" w:ascii="宋体" w:hAnsi="宋体" w:cs="宋体"/>
                <w:sz w:val="24"/>
                <w:szCs w:val="24"/>
              </w:rPr>
              <w:t>1.各供应商的报价均不得超过此价格，否则其响应文件将按废标处理；</w:t>
            </w:r>
          </w:p>
          <w:p w14:paraId="5E200263">
            <w:pPr>
              <w:adjustRightInd w:val="0"/>
              <w:snapToGrid w:val="0"/>
              <w:spacing w:line="312" w:lineRule="auto"/>
              <w:rPr>
                <w:rFonts w:ascii="宋体" w:hAnsi="宋体" w:cs="宋体"/>
                <w:sz w:val="24"/>
                <w:szCs w:val="24"/>
              </w:rPr>
            </w:pPr>
            <w:r>
              <w:rPr>
                <w:rFonts w:hint="eastAsia" w:ascii="宋体" w:hAnsi="宋体" w:cs="宋体"/>
                <w:sz w:val="24"/>
                <w:szCs w:val="24"/>
              </w:rPr>
              <w:t>2.如报价表中的大写金额和小写金额不一致的，以大写金额为准。</w:t>
            </w:r>
          </w:p>
          <w:p w14:paraId="6A02298E">
            <w:pPr>
              <w:adjustRightInd w:val="0"/>
              <w:snapToGrid w:val="0"/>
              <w:spacing w:line="312" w:lineRule="auto"/>
              <w:rPr>
                <w:rFonts w:ascii="宋体" w:hAnsi="宋体" w:cs="宋体"/>
                <w:sz w:val="24"/>
                <w:szCs w:val="24"/>
              </w:rPr>
            </w:pPr>
            <w:r>
              <w:rPr>
                <w:rFonts w:hint="eastAsia" w:ascii="宋体" w:hAnsi="宋体" w:cs="宋体"/>
                <w:sz w:val="24"/>
                <w:szCs w:val="24"/>
              </w:rPr>
              <w:t>3.在评审过程中，磋商小组发现供应商的报价明显低于其他投标报价，使得其投标报价可能低于成本的，应当要求该供应商作出说明并提供相关证明材料。供应商不能合理说明或者不能提供相关证明材料的，由磋商小组认定该供应商以低于成本报价竞标，其投标应作无效标处理。</w:t>
            </w:r>
          </w:p>
        </w:tc>
      </w:tr>
      <w:tr w14:paraId="2E98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0" w:type="auto"/>
            <w:vAlign w:val="center"/>
          </w:tcPr>
          <w:p w14:paraId="3B3304C8">
            <w:pPr>
              <w:pStyle w:val="57"/>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32</w:t>
            </w:r>
          </w:p>
        </w:tc>
        <w:tc>
          <w:tcPr>
            <w:tcW w:w="0" w:type="auto"/>
            <w:vAlign w:val="center"/>
          </w:tcPr>
          <w:p w14:paraId="54FF6EBA">
            <w:pPr>
              <w:adjustRightInd w:val="0"/>
              <w:snapToGrid w:val="0"/>
              <w:spacing w:line="312" w:lineRule="auto"/>
              <w:jc w:val="center"/>
              <w:rPr>
                <w:rFonts w:ascii="宋体" w:hAnsi="宋体" w:cs="宋体"/>
                <w:sz w:val="24"/>
                <w:szCs w:val="24"/>
              </w:rPr>
            </w:pPr>
            <w:r>
              <w:rPr>
                <w:rFonts w:hint="eastAsia" w:ascii="宋体" w:hAnsi="宋体" w:cs="宋体"/>
                <w:sz w:val="24"/>
                <w:szCs w:val="24"/>
              </w:rPr>
              <w:t>付款办法</w:t>
            </w:r>
          </w:p>
        </w:tc>
        <w:tc>
          <w:tcPr>
            <w:tcW w:w="0" w:type="auto"/>
            <w:vAlign w:val="bottom"/>
          </w:tcPr>
          <w:p w14:paraId="3619649C">
            <w:pPr>
              <w:pStyle w:val="10"/>
              <w:adjustRightInd w:val="0"/>
              <w:snapToGrid w:val="0"/>
              <w:spacing w:line="312" w:lineRule="auto"/>
              <w:rPr>
                <w:rFonts w:ascii="宋体" w:hAnsi="宋体" w:cs="宋体"/>
                <w:sz w:val="24"/>
                <w:szCs w:val="24"/>
              </w:rPr>
            </w:pPr>
            <w:r>
              <w:rPr>
                <w:rFonts w:hint="eastAsia" w:ascii="宋体" w:hAnsi="宋体" w:cs="宋体"/>
                <w:sz w:val="24"/>
                <w:szCs w:val="24"/>
              </w:rPr>
              <w:t>本服务项目无预付款，按月支付，供应商每月月初向采购人开具上个月服务费用的正式发票，经甲方评价考核合格后，支付上月的服务费，依此类推。</w:t>
            </w:r>
            <w:r>
              <w:rPr>
                <w:rFonts w:hint="eastAsia" w:ascii="宋体" w:hAnsi="宋体" w:cs="宋体"/>
                <w:sz w:val="24"/>
                <w:szCs w:val="24"/>
              </w:rPr>
              <w:br w:type="textWrapping"/>
            </w:r>
            <w:r>
              <w:rPr>
                <w:rFonts w:hint="eastAsia" w:ascii="宋体" w:hAnsi="宋体" w:cs="宋体"/>
                <w:sz w:val="24"/>
                <w:szCs w:val="24"/>
              </w:rPr>
              <w:t>每月保安服务费=最终磋商报价（即合同总金额）÷24个月；</w:t>
            </w:r>
          </w:p>
        </w:tc>
      </w:tr>
      <w:tr w14:paraId="4EC0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center"/>
          </w:tcPr>
          <w:p w14:paraId="3E0B9A54">
            <w:pPr>
              <w:pStyle w:val="57"/>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33</w:t>
            </w:r>
          </w:p>
        </w:tc>
        <w:tc>
          <w:tcPr>
            <w:tcW w:w="0" w:type="auto"/>
            <w:vAlign w:val="center"/>
          </w:tcPr>
          <w:p w14:paraId="1BD3AAE2">
            <w:pPr>
              <w:adjustRightInd w:val="0"/>
              <w:snapToGrid w:val="0"/>
              <w:spacing w:line="312" w:lineRule="auto"/>
              <w:jc w:val="center"/>
              <w:rPr>
                <w:rFonts w:ascii="宋体" w:hAnsi="宋体" w:cs="宋体"/>
                <w:sz w:val="24"/>
                <w:szCs w:val="24"/>
              </w:rPr>
            </w:pPr>
            <w:r>
              <w:rPr>
                <w:rFonts w:hint="eastAsia" w:ascii="宋体" w:hAnsi="宋体" w:cs="宋体"/>
                <w:sz w:val="24"/>
                <w:szCs w:val="24"/>
              </w:rPr>
              <w:t>解释权</w:t>
            </w:r>
          </w:p>
        </w:tc>
        <w:tc>
          <w:tcPr>
            <w:tcW w:w="0" w:type="auto"/>
            <w:vAlign w:val="center"/>
          </w:tcPr>
          <w:p w14:paraId="3B09C9BE">
            <w:pPr>
              <w:adjustRightInd w:val="0"/>
              <w:snapToGrid w:val="0"/>
              <w:spacing w:line="312" w:lineRule="auto"/>
              <w:rPr>
                <w:rFonts w:ascii="宋体" w:hAnsi="宋体" w:cs="宋体"/>
                <w:sz w:val="24"/>
                <w:szCs w:val="24"/>
              </w:rPr>
            </w:pPr>
            <w:r>
              <w:rPr>
                <w:rFonts w:hint="eastAsia" w:ascii="宋体" w:hAnsi="宋体" w:cs="宋体"/>
                <w:sz w:val="24"/>
                <w:szCs w:val="24"/>
              </w:rPr>
              <w:t>构成本磋商文件的各个组成文件应互为解释，互为说明；</w:t>
            </w:r>
            <w:r>
              <w:rPr>
                <w:rFonts w:hint="eastAsia" w:ascii="宋体" w:hAnsi="宋体" w:cs="宋体"/>
                <w:kern w:val="0"/>
                <w:sz w:val="24"/>
                <w:szCs w:val="24"/>
              </w:rPr>
              <w:t>如本表中内容与本磋商文件其他处（评标办法、合同条款及格式除外）要求内容不一致的，以本表内容为准。</w:t>
            </w:r>
            <w:r>
              <w:rPr>
                <w:rFonts w:hint="eastAsia" w:ascii="宋体" w:hAnsi="宋体" w:cs="宋体"/>
                <w:sz w:val="24"/>
                <w:szCs w:val="24"/>
              </w:rPr>
              <w:t>同一组成文件不同版本之间有不一致的，以形成时间在后者为准。按本款前述规定仍不能形成结论的，由采购人及代理机构负责解释。</w:t>
            </w:r>
            <w:r>
              <w:rPr>
                <w:rFonts w:hint="eastAsia" w:ascii="宋体" w:hAnsi="宋体" w:cs="宋体"/>
                <w:kern w:val="0"/>
                <w:sz w:val="24"/>
                <w:szCs w:val="24"/>
              </w:rPr>
              <w:t>未尽事宜，按照国家有关法律法规执行。供应商参加本项目招标视同接受本招标文件所有条款。</w:t>
            </w:r>
          </w:p>
        </w:tc>
      </w:tr>
      <w:tr w14:paraId="6340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0" w:type="auto"/>
            <w:vAlign w:val="center"/>
          </w:tcPr>
          <w:p w14:paraId="71FB8A54">
            <w:pPr>
              <w:pStyle w:val="57"/>
              <w:shd w:val="clear" w:color="auto" w:fill="auto"/>
              <w:adjustRightInd w:val="0"/>
              <w:snapToGrid w:val="0"/>
              <w:spacing w:before="0" w:line="312" w:lineRule="auto"/>
              <w:jc w:val="center"/>
              <w:rPr>
                <w:rFonts w:cs="宋体"/>
                <w:sz w:val="24"/>
                <w:szCs w:val="24"/>
                <w:lang w:bidi="zh-CN"/>
              </w:rPr>
            </w:pPr>
            <w:r>
              <w:rPr>
                <w:rStyle w:val="56"/>
                <w:rFonts w:hint="eastAsia"/>
                <w:color w:val="auto"/>
                <w:sz w:val="24"/>
                <w:szCs w:val="24"/>
                <w:lang w:val="en-US"/>
              </w:rPr>
              <w:t>34</w:t>
            </w:r>
          </w:p>
        </w:tc>
        <w:tc>
          <w:tcPr>
            <w:tcW w:w="0" w:type="auto"/>
            <w:vAlign w:val="center"/>
          </w:tcPr>
          <w:p w14:paraId="05541D3D">
            <w:pPr>
              <w:adjustRightInd w:val="0"/>
              <w:snapToGrid w:val="0"/>
              <w:spacing w:line="312" w:lineRule="auto"/>
              <w:jc w:val="center"/>
              <w:rPr>
                <w:rFonts w:ascii="宋体" w:hAnsi="宋体" w:cs="宋体"/>
                <w:sz w:val="24"/>
                <w:szCs w:val="24"/>
              </w:rPr>
            </w:pPr>
            <w:r>
              <w:rPr>
                <w:rStyle w:val="56"/>
                <w:rFonts w:hint="eastAsia"/>
                <w:color w:val="auto"/>
                <w:sz w:val="24"/>
                <w:szCs w:val="24"/>
              </w:rPr>
              <w:t>招标代理服务费</w:t>
            </w:r>
          </w:p>
        </w:tc>
        <w:tc>
          <w:tcPr>
            <w:tcW w:w="0" w:type="auto"/>
            <w:vAlign w:val="bottom"/>
          </w:tcPr>
          <w:p w14:paraId="29DF9527">
            <w:pPr>
              <w:pStyle w:val="9"/>
              <w:adjustRightInd w:val="0"/>
              <w:snapToGrid w:val="0"/>
              <w:spacing w:line="312" w:lineRule="auto"/>
              <w:rPr>
                <w:rFonts w:ascii="宋体" w:hAnsi="宋体" w:cs="宋体"/>
                <w:sz w:val="24"/>
                <w:szCs w:val="24"/>
              </w:rPr>
            </w:pPr>
            <w:r>
              <w:rPr>
                <w:rFonts w:hint="eastAsia" w:ascii="宋体" w:hAnsi="宋体" w:cs="宋体"/>
                <w:sz w:val="24"/>
                <w:szCs w:val="24"/>
              </w:rPr>
              <w:t>招标代理服务费由中标人支付，招标代理服务费依据发改价格【2015】299号文，按照豫招协【2023】002号文附件规定的标准由中标人支付。</w:t>
            </w:r>
          </w:p>
          <w:p w14:paraId="33572E52">
            <w:pPr>
              <w:adjustRightInd w:val="0"/>
              <w:snapToGrid w:val="0"/>
              <w:spacing w:line="312" w:lineRule="auto"/>
              <w:rPr>
                <w:rFonts w:ascii="宋体" w:hAnsi="宋体" w:cs="宋体"/>
                <w:sz w:val="24"/>
                <w:szCs w:val="24"/>
              </w:rPr>
            </w:pPr>
            <w:r>
              <w:rPr>
                <w:rFonts w:hint="eastAsia" w:ascii="宋体" w:hAnsi="宋体" w:cs="宋体"/>
                <w:sz w:val="24"/>
                <w:szCs w:val="24"/>
              </w:rPr>
              <w:t>此费用由投标人综合考虑到投标报价中，不再单独列项。中标人以现金、电汇等形式一次性向招标代理机构缴纳招标代理服务费。</w:t>
            </w:r>
          </w:p>
        </w:tc>
      </w:tr>
      <w:tr w14:paraId="4268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0" w:type="auto"/>
            <w:vAlign w:val="center"/>
          </w:tcPr>
          <w:p w14:paraId="4138AF12">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35</w:t>
            </w:r>
          </w:p>
        </w:tc>
        <w:tc>
          <w:tcPr>
            <w:tcW w:w="0" w:type="auto"/>
            <w:vAlign w:val="center"/>
          </w:tcPr>
          <w:p w14:paraId="64D3DF95">
            <w:pPr>
              <w:adjustRightInd w:val="0"/>
              <w:snapToGrid w:val="0"/>
              <w:spacing w:line="312" w:lineRule="auto"/>
              <w:jc w:val="center"/>
              <w:rPr>
                <w:rStyle w:val="56"/>
                <w:color w:val="auto"/>
                <w:sz w:val="24"/>
                <w:szCs w:val="24"/>
              </w:rPr>
            </w:pPr>
            <w:r>
              <w:rPr>
                <w:rFonts w:hint="eastAsia" w:ascii="宋体" w:hAnsi="宋体" w:cs="宋体"/>
                <w:b/>
                <w:color w:val="000000"/>
                <w:sz w:val="24"/>
                <w:szCs w:val="24"/>
              </w:rPr>
              <w:t>政采领域优化营商环境相关政策</w:t>
            </w:r>
          </w:p>
        </w:tc>
        <w:tc>
          <w:tcPr>
            <w:tcW w:w="0" w:type="auto"/>
            <w:vAlign w:val="center"/>
          </w:tcPr>
          <w:p w14:paraId="4087FECF">
            <w:pPr>
              <w:adjustRightInd w:val="0"/>
              <w:snapToGrid w:val="0"/>
              <w:spacing w:line="312" w:lineRule="auto"/>
              <w:rPr>
                <w:rFonts w:ascii="宋体" w:hAnsi="宋体" w:cs="宋体"/>
                <w:b/>
                <w:color w:val="000000"/>
                <w:sz w:val="24"/>
                <w:szCs w:val="24"/>
              </w:rPr>
            </w:pPr>
            <w:r>
              <w:rPr>
                <w:rFonts w:hint="eastAsia" w:ascii="宋体" w:hAnsi="宋体" w:cs="宋体"/>
                <w:b/>
                <w:color w:val="000000"/>
                <w:sz w:val="24"/>
                <w:szCs w:val="24"/>
              </w:rPr>
              <w:t>一、落实四个“一日办”精神：</w:t>
            </w:r>
          </w:p>
          <w:p w14:paraId="27A8131E">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按照《平顶山市财政局关于压减政府采购各环节时限 进一步优化政府采购营商环境的通知》（平财购〔2021〕34号）通知，落实四个“一日办”精神：</w:t>
            </w:r>
          </w:p>
          <w:p w14:paraId="171BBB97">
            <w:pPr>
              <w:adjustRightInd w:val="0"/>
              <w:snapToGrid w:val="0"/>
              <w:spacing w:line="312" w:lineRule="auto"/>
              <w:rPr>
                <w:rFonts w:ascii="宋体" w:hAnsi="宋体" w:cs="宋体"/>
                <w:color w:val="000000"/>
                <w:sz w:val="24"/>
                <w:szCs w:val="24"/>
              </w:rPr>
            </w:pPr>
            <w:r>
              <w:rPr>
                <w:rFonts w:hint="eastAsia" w:ascii="宋体" w:hAnsi="宋体" w:cs="宋体"/>
                <w:color w:val="000000"/>
                <w:sz w:val="24"/>
                <w:szCs w:val="24"/>
              </w:rPr>
              <w:t>（1）在评审结束后1日内确定采购结果，同时对中标单位发出中标或成交通知书，并在网上进行公告；</w:t>
            </w:r>
          </w:p>
          <w:p w14:paraId="4F13CC0E">
            <w:pPr>
              <w:adjustRightInd w:val="0"/>
              <w:snapToGrid w:val="0"/>
              <w:spacing w:line="312" w:lineRule="auto"/>
              <w:rPr>
                <w:rFonts w:ascii="宋体" w:hAnsi="宋体" w:cs="宋体"/>
                <w:color w:val="000000"/>
                <w:sz w:val="24"/>
                <w:szCs w:val="24"/>
              </w:rPr>
            </w:pPr>
            <w:r>
              <w:rPr>
                <w:rFonts w:hint="eastAsia" w:ascii="宋体" w:hAnsi="宋体" w:cs="宋体"/>
                <w:color w:val="000000"/>
                <w:sz w:val="24"/>
                <w:szCs w:val="24"/>
              </w:rPr>
              <w:t>（2）中标或成交通知书发出后，1日内与中标或成交供应商签订合同，合同签订当日完成合同备案工作；</w:t>
            </w:r>
          </w:p>
          <w:p w14:paraId="285D4C29">
            <w:pPr>
              <w:adjustRightInd w:val="0"/>
              <w:snapToGrid w:val="0"/>
              <w:spacing w:line="312" w:lineRule="auto"/>
              <w:rPr>
                <w:rFonts w:ascii="宋体" w:hAnsi="宋体" w:cs="宋体"/>
                <w:color w:val="000000"/>
                <w:sz w:val="24"/>
                <w:szCs w:val="24"/>
              </w:rPr>
            </w:pPr>
            <w:r>
              <w:rPr>
                <w:rFonts w:hint="eastAsia" w:ascii="宋体" w:hAnsi="宋体" w:cs="宋体"/>
                <w:color w:val="000000"/>
                <w:sz w:val="24"/>
                <w:szCs w:val="24"/>
              </w:rPr>
              <w:t>（3）政府采购项目供应商履约完成后，采购人应在供应商提出验收申请1个工作日内完成验收，同时在平顶山市政府采购网发布验收结果公告；</w:t>
            </w:r>
          </w:p>
          <w:p w14:paraId="25C471DF">
            <w:pPr>
              <w:adjustRightInd w:val="0"/>
              <w:snapToGrid w:val="0"/>
              <w:spacing w:line="312" w:lineRule="auto"/>
              <w:rPr>
                <w:rFonts w:ascii="宋体" w:hAnsi="宋体" w:cs="宋体"/>
                <w:color w:val="000000"/>
                <w:sz w:val="24"/>
                <w:szCs w:val="24"/>
              </w:rPr>
            </w:pPr>
            <w:r>
              <w:rPr>
                <w:rFonts w:hint="eastAsia" w:ascii="宋体" w:hAnsi="宋体" w:cs="宋体"/>
                <w:color w:val="000000"/>
                <w:sz w:val="24"/>
                <w:szCs w:val="24"/>
              </w:rPr>
              <w:t>（4）验收合格具备付款条件的项目，采购人要在1个工作日内按照合同约定支付项目资金。</w:t>
            </w:r>
          </w:p>
          <w:p w14:paraId="11246F90">
            <w:pPr>
              <w:adjustRightInd w:val="0"/>
              <w:snapToGrid w:val="0"/>
              <w:spacing w:line="312" w:lineRule="auto"/>
              <w:rPr>
                <w:rFonts w:ascii="宋体" w:hAnsi="宋体" w:cs="宋体"/>
                <w:color w:val="000000"/>
                <w:sz w:val="24"/>
                <w:szCs w:val="24"/>
              </w:rPr>
            </w:pPr>
            <w:r>
              <w:rPr>
                <w:rFonts w:hint="eastAsia" w:ascii="宋体" w:hAnsi="宋体" w:cs="宋体"/>
                <w:color w:val="000000"/>
                <w:sz w:val="24"/>
                <w:szCs w:val="24"/>
              </w:rPr>
              <w:t>注：签合同需法定代表人携带本人身份证（如为授权委托人，则携带法定代表人授权委托书及本人身份证）、单位公章、合同纸质版本一式六份及合同电子版。</w:t>
            </w:r>
          </w:p>
          <w:p w14:paraId="6BFF808C">
            <w:pPr>
              <w:adjustRightInd w:val="0"/>
              <w:snapToGrid w:val="0"/>
              <w:spacing w:line="312" w:lineRule="auto"/>
              <w:rPr>
                <w:rFonts w:ascii="宋体" w:hAnsi="宋体" w:cs="宋体"/>
                <w:b/>
                <w:color w:val="000000"/>
                <w:sz w:val="24"/>
                <w:szCs w:val="24"/>
              </w:rPr>
            </w:pPr>
            <w:r>
              <w:rPr>
                <w:rFonts w:hint="eastAsia" w:ascii="宋体" w:hAnsi="宋体" w:cs="宋体"/>
                <w:b/>
                <w:color w:val="000000"/>
                <w:sz w:val="24"/>
                <w:szCs w:val="24"/>
              </w:rPr>
              <w:t>二、维护企业在政府采购活动中的知情权</w:t>
            </w:r>
          </w:p>
          <w:p w14:paraId="1A9B011C">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9ABCB6C">
            <w:pPr>
              <w:adjustRightInd w:val="0"/>
              <w:snapToGrid w:val="0"/>
              <w:spacing w:line="312" w:lineRule="auto"/>
              <w:rPr>
                <w:rFonts w:ascii="宋体" w:hAnsi="宋体" w:cs="宋体"/>
                <w:b/>
                <w:color w:val="000000"/>
                <w:sz w:val="24"/>
                <w:szCs w:val="24"/>
              </w:rPr>
            </w:pPr>
            <w:r>
              <w:rPr>
                <w:rFonts w:hint="eastAsia" w:ascii="宋体" w:hAnsi="宋体" w:cs="宋体"/>
                <w:b/>
                <w:color w:val="000000"/>
                <w:sz w:val="24"/>
                <w:szCs w:val="24"/>
              </w:rPr>
              <w:t>三、提供中小企业声明函格式</w:t>
            </w:r>
          </w:p>
          <w:p w14:paraId="6C9445F0">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在采购文件中，采购代理机构应按照财政部、工信部印发的《政府采购促进中小企业发展管理办法》的通知精神（财库〔2020〕46号）提供中小企业声明函格式。</w:t>
            </w:r>
          </w:p>
          <w:p w14:paraId="2579F5BE">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根据《政府采购促进中小企业发展管理办法》（财库〔2020〕46号）第四条：在政府采购活动中，供应商提供的货物、工程或者服务符合下列情形的，享受本办法规定的中小企业扶持政策：</w:t>
            </w:r>
          </w:p>
          <w:p w14:paraId="2D9F18B2">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（一）在货物采购项目中，货物由中小企业制造，即货物由中小企业生产且使用该中小企业商号或者注册商标；</w:t>
            </w:r>
          </w:p>
          <w:p w14:paraId="5930D6BE">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（二）在工程采购项目中，工程由中小企业承建，即工程施工单位为中小企业；</w:t>
            </w:r>
          </w:p>
          <w:p w14:paraId="091EFD1F">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（三）在服务采购项目中，服务由中小企业承接，即提供服务的人员为中小企业依照《中华人民共和国劳动合同法》订立劳动合同的从业人员。</w:t>
            </w:r>
          </w:p>
          <w:p w14:paraId="480015BE">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在货物采购项目中，供应商提供的货物既有中小企业制</w:t>
            </w:r>
          </w:p>
          <w:p w14:paraId="799DA3F6">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造货物，也有大型企业制造货物的，不享受本办法规定的中小企业扶持政策。</w:t>
            </w:r>
          </w:p>
          <w:p w14:paraId="1C172B37">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以联合体形式参加政府采购活动，联合体各方均为中小企业的，联合体视同中小企业。其中，联合体各方均为小微企业的，联合体视同小微企业。</w:t>
            </w:r>
          </w:p>
          <w:p w14:paraId="3E77E998">
            <w:pPr>
              <w:adjustRightInd w:val="0"/>
              <w:snapToGrid w:val="0"/>
              <w:spacing w:line="312" w:lineRule="auto"/>
              <w:rPr>
                <w:rFonts w:ascii="宋体" w:hAnsi="宋体" w:cs="宋体"/>
                <w:b/>
                <w:color w:val="000000"/>
                <w:sz w:val="24"/>
                <w:szCs w:val="24"/>
              </w:rPr>
            </w:pPr>
            <w:r>
              <w:rPr>
                <w:rFonts w:hint="eastAsia" w:ascii="宋体" w:hAnsi="宋体" w:cs="宋体"/>
                <w:b/>
                <w:color w:val="000000"/>
                <w:sz w:val="24"/>
                <w:szCs w:val="24"/>
              </w:rPr>
              <w:t>四、推广政府采购合同融资</w:t>
            </w:r>
          </w:p>
          <w:p w14:paraId="60B1AFD1">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要求采购人和代理机构将“政府采购合同融资告知函”写入招标文件，鼓励中标供应商凭借采购合同申请贷款，助力解决中小企业融资难、融资贵的问题。</w:t>
            </w:r>
          </w:p>
          <w:p w14:paraId="06EBF085">
            <w:pPr>
              <w:adjustRightInd w:val="0"/>
              <w:snapToGrid w:val="0"/>
              <w:spacing w:line="312" w:lineRule="auto"/>
              <w:rPr>
                <w:rFonts w:ascii="宋体" w:hAnsi="宋体" w:cs="宋体"/>
                <w:b/>
                <w:color w:val="000000"/>
                <w:sz w:val="24"/>
                <w:szCs w:val="24"/>
              </w:rPr>
            </w:pPr>
            <w:r>
              <w:rPr>
                <w:rFonts w:hint="eastAsia" w:ascii="宋体" w:hAnsi="宋体" w:cs="宋体"/>
                <w:b/>
                <w:color w:val="000000"/>
                <w:sz w:val="24"/>
                <w:szCs w:val="24"/>
              </w:rPr>
              <w:t>五、落实预留采购份额</w:t>
            </w:r>
          </w:p>
          <w:p w14:paraId="1319AF20">
            <w:pPr>
              <w:adjustRightInd w:val="0"/>
              <w:snapToGrid w:val="0"/>
              <w:spacing w:line="312" w:lineRule="auto"/>
              <w:ind w:firstLine="240" w:firstLineChars="100"/>
              <w:rPr>
                <w:rFonts w:ascii="宋体" w:hAnsi="宋体" w:cs="宋体"/>
                <w:color w:val="000000"/>
                <w:sz w:val="24"/>
                <w:szCs w:val="24"/>
              </w:rPr>
            </w:pPr>
            <w:r>
              <w:rPr>
                <w:rFonts w:hint="eastAsia" w:ascii="宋体" w:hAnsi="宋体" w:cs="宋体"/>
                <w:color w:val="000000"/>
                <w:sz w:val="24"/>
                <w:szCs w:val="24"/>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0F099747">
            <w:pPr>
              <w:adjustRightInd w:val="0"/>
              <w:snapToGrid w:val="0"/>
              <w:spacing w:line="312" w:lineRule="auto"/>
              <w:rPr>
                <w:rFonts w:ascii="宋体" w:hAnsi="宋体" w:cs="宋体"/>
                <w:b/>
                <w:color w:val="000000"/>
                <w:sz w:val="24"/>
                <w:szCs w:val="24"/>
              </w:rPr>
            </w:pPr>
            <w:r>
              <w:rPr>
                <w:rFonts w:hint="eastAsia" w:ascii="宋体" w:hAnsi="宋体" w:cs="宋体"/>
                <w:b/>
                <w:color w:val="000000"/>
                <w:sz w:val="24"/>
                <w:szCs w:val="24"/>
              </w:rPr>
              <w:t>六、落实价格评审优惠政策</w:t>
            </w:r>
          </w:p>
          <w:p w14:paraId="7B80AA3B">
            <w:pPr>
              <w:adjustRightInd w:val="0"/>
              <w:snapToGrid w:val="0"/>
              <w:spacing w:line="312" w:lineRule="auto"/>
              <w:ind w:firstLine="240" w:firstLineChars="100"/>
              <w:rPr>
                <w:rFonts w:ascii="宋体" w:hAnsi="宋体" w:cs="宋体"/>
                <w:sz w:val="24"/>
                <w:szCs w:val="24"/>
              </w:rPr>
            </w:pPr>
            <w:r>
              <w:rPr>
                <w:rFonts w:hint="eastAsia" w:ascii="宋体" w:hAnsi="宋体" w:cs="宋体"/>
                <w:color w:val="000000"/>
                <w:sz w:val="24"/>
                <w:szCs w:val="24"/>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r>
              <w:rPr>
                <w:rFonts w:hint="eastAsia" w:ascii="宋体" w:hAnsi="宋体" w:cs="宋体"/>
                <w:b/>
                <w:color w:val="000000"/>
                <w:sz w:val="24"/>
                <w:szCs w:val="24"/>
              </w:rPr>
              <w:t>注：本项目专门面向中小企业采购，不再进行价格扣除。</w:t>
            </w:r>
          </w:p>
        </w:tc>
      </w:tr>
      <w:tr w14:paraId="781D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0" w:type="auto"/>
            <w:vAlign w:val="center"/>
          </w:tcPr>
          <w:p w14:paraId="2321EA4B">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36</w:t>
            </w:r>
          </w:p>
        </w:tc>
        <w:tc>
          <w:tcPr>
            <w:tcW w:w="0" w:type="auto"/>
            <w:vAlign w:val="center"/>
          </w:tcPr>
          <w:p w14:paraId="7218F5CF">
            <w:pPr>
              <w:adjustRightInd w:val="0"/>
              <w:snapToGrid w:val="0"/>
              <w:spacing w:line="312" w:lineRule="auto"/>
              <w:jc w:val="center"/>
              <w:rPr>
                <w:rFonts w:ascii="宋体" w:hAnsi="宋体" w:cs="宋体"/>
                <w:b/>
                <w:bCs/>
                <w:sz w:val="24"/>
                <w:szCs w:val="24"/>
              </w:rPr>
            </w:pPr>
            <w:r>
              <w:rPr>
                <w:rFonts w:hint="eastAsia" w:ascii="宋体" w:hAnsi="宋体" w:cs="宋体"/>
                <w:b/>
                <w:color w:val="000000"/>
                <w:sz w:val="24"/>
                <w:szCs w:val="24"/>
              </w:rPr>
              <w:t>本项目所属行业</w:t>
            </w:r>
          </w:p>
        </w:tc>
        <w:tc>
          <w:tcPr>
            <w:tcW w:w="0" w:type="auto"/>
            <w:vAlign w:val="center"/>
          </w:tcPr>
          <w:p w14:paraId="47FD05B3">
            <w:pPr>
              <w:adjustRightInd w:val="0"/>
              <w:snapToGrid w:val="0"/>
              <w:spacing w:line="312" w:lineRule="auto"/>
              <w:rPr>
                <w:rFonts w:ascii="宋体" w:hAnsi="宋体" w:cs="宋体"/>
                <w:b/>
                <w:color w:val="000000"/>
                <w:sz w:val="24"/>
                <w:szCs w:val="24"/>
              </w:rPr>
            </w:pPr>
            <w:r>
              <w:rPr>
                <w:rFonts w:hint="eastAsia" w:ascii="宋体" w:hAnsi="宋体" w:cs="宋体"/>
                <w:b/>
                <w:color w:val="000000"/>
                <w:sz w:val="24"/>
                <w:szCs w:val="24"/>
              </w:rPr>
              <w:t>所属行业：租赁和商务服务业</w:t>
            </w:r>
          </w:p>
          <w:p w14:paraId="09EDFEB7">
            <w:pPr>
              <w:adjustRightInd w:val="0"/>
              <w:snapToGrid w:val="0"/>
              <w:spacing w:line="312" w:lineRule="auto"/>
              <w:rPr>
                <w:rFonts w:ascii="宋体" w:hAnsi="宋体" w:cs="宋体"/>
                <w:sz w:val="24"/>
                <w:szCs w:val="24"/>
                <w:lang w:val="zh-TW"/>
              </w:rPr>
            </w:pPr>
            <w:r>
              <w:rPr>
                <w:rFonts w:hint="eastAsia" w:ascii="宋体" w:hAnsi="宋体" w:cs="宋体"/>
                <w:color w:val="000000"/>
                <w:sz w:val="24"/>
                <w:szCs w:val="24"/>
              </w:rPr>
              <w:t>中小微企业划分按照《国家统计局关于印发&lt;统计上大中小微型企业划分办法（2017）&gt;的通知》国统字【2017】213 号文件及《工业和信息化部、国家统计局、国家发展和改革委员会、财政部关于印发&lt;中小企业划型标准规定&gt;的通知》（工信部联企业〔2011〕300 号）规定的划分标准为依据。</w:t>
            </w:r>
          </w:p>
        </w:tc>
      </w:tr>
      <w:tr w14:paraId="39C7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0" w:type="auto"/>
            <w:vAlign w:val="center"/>
          </w:tcPr>
          <w:p w14:paraId="31A8240B">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37</w:t>
            </w:r>
          </w:p>
        </w:tc>
        <w:tc>
          <w:tcPr>
            <w:tcW w:w="0" w:type="auto"/>
            <w:vAlign w:val="center"/>
          </w:tcPr>
          <w:p w14:paraId="1DA19575">
            <w:pPr>
              <w:adjustRightInd w:val="0"/>
              <w:snapToGrid w:val="0"/>
              <w:spacing w:line="312" w:lineRule="auto"/>
              <w:jc w:val="center"/>
              <w:rPr>
                <w:rFonts w:ascii="宋体" w:hAnsi="宋体" w:cs="宋体"/>
                <w:b/>
                <w:color w:val="000000"/>
                <w:sz w:val="24"/>
                <w:szCs w:val="24"/>
              </w:rPr>
            </w:pPr>
            <w:r>
              <w:rPr>
                <w:rFonts w:hint="eastAsia" w:ascii="宋体" w:hAnsi="宋体" w:cs="宋体"/>
                <w:b/>
                <w:color w:val="000000"/>
                <w:sz w:val="24"/>
                <w:szCs w:val="24"/>
              </w:rPr>
              <w:t>★专家特别注意</w:t>
            </w:r>
          </w:p>
          <w:p w14:paraId="091B1203">
            <w:pPr>
              <w:adjustRightInd w:val="0"/>
              <w:snapToGrid w:val="0"/>
              <w:spacing w:line="312" w:lineRule="auto"/>
              <w:jc w:val="center"/>
              <w:rPr>
                <w:rFonts w:ascii="宋体" w:hAnsi="宋体" w:cs="宋体"/>
                <w:b/>
                <w:bCs/>
                <w:sz w:val="24"/>
                <w:szCs w:val="24"/>
              </w:rPr>
            </w:pPr>
            <w:r>
              <w:rPr>
                <w:rFonts w:hint="eastAsia" w:ascii="宋体" w:hAnsi="宋体" w:cs="宋体"/>
                <w:color w:val="000000"/>
                <w:sz w:val="24"/>
                <w:szCs w:val="24"/>
              </w:rPr>
              <w:t>“四方信用评价”须知（采购人、代理机构、</w:t>
            </w:r>
            <w:r>
              <w:rPr>
                <w:rFonts w:hint="eastAsia" w:ascii="宋体" w:hAnsi="宋体" w:cs="宋体"/>
                <w:b/>
                <w:color w:val="000000"/>
                <w:sz w:val="24"/>
                <w:szCs w:val="24"/>
              </w:rPr>
              <w:t>本项目评审专家、本项目中标供应商</w:t>
            </w:r>
            <w:r>
              <w:rPr>
                <w:rFonts w:hint="eastAsia" w:ascii="宋体" w:hAnsi="宋体" w:cs="宋体"/>
                <w:color w:val="000000"/>
                <w:sz w:val="24"/>
                <w:szCs w:val="24"/>
              </w:rPr>
              <w:t>）</w:t>
            </w:r>
          </w:p>
        </w:tc>
        <w:tc>
          <w:tcPr>
            <w:tcW w:w="0" w:type="auto"/>
            <w:vAlign w:val="center"/>
          </w:tcPr>
          <w:p w14:paraId="04FDF107">
            <w:pPr>
              <w:pStyle w:val="25"/>
              <w:adjustRightInd w:val="0"/>
              <w:snapToGrid w:val="0"/>
              <w:spacing w:after="0" w:line="312" w:lineRule="auto"/>
              <w:ind w:firstLine="480" w:firstLineChars="200"/>
              <w:rPr>
                <w:rFonts w:ascii="宋体" w:hAnsi="宋体" w:cs="宋体"/>
                <w:color w:val="000000"/>
                <w:sz w:val="24"/>
              </w:rPr>
            </w:pPr>
            <w:r>
              <w:rPr>
                <w:rFonts w:hint="eastAsia" w:ascii="宋体" w:hAnsi="宋体" w:cs="宋体"/>
                <w:color w:val="000000"/>
                <w:sz w:val="24"/>
              </w:rPr>
              <w:t>《河南省政府采购网》目前已增加“四方信用评价”功能。请本项目</w:t>
            </w:r>
            <w:r>
              <w:rPr>
                <w:rFonts w:hint="eastAsia" w:ascii="宋体" w:hAnsi="宋体" w:cs="宋体"/>
                <w:b/>
                <w:color w:val="000000"/>
                <w:sz w:val="24"/>
              </w:rPr>
              <w:t>采购人、代理机构、本项目评审专家、本项目中标供应商</w:t>
            </w:r>
            <w:r>
              <w:rPr>
                <w:rFonts w:hint="eastAsia" w:ascii="宋体" w:hAnsi="宋体" w:cs="宋体"/>
                <w:color w:val="000000"/>
                <w:sz w:val="24"/>
              </w:rPr>
              <w:t>，按照评价时间节点按时完成评价工作。</w:t>
            </w:r>
          </w:p>
          <w:p w14:paraId="6351A48A">
            <w:pPr>
              <w:pStyle w:val="25"/>
              <w:adjustRightInd w:val="0"/>
              <w:snapToGrid w:val="0"/>
              <w:spacing w:after="0" w:line="312" w:lineRule="auto"/>
              <w:ind w:firstLine="480" w:firstLineChars="200"/>
              <w:rPr>
                <w:rFonts w:ascii="宋体" w:hAnsi="宋体" w:cs="宋体"/>
                <w:color w:val="000000"/>
                <w:sz w:val="24"/>
              </w:rPr>
            </w:pPr>
            <w:r>
              <w:rPr>
                <w:rFonts w:hint="eastAsia" w:ascii="宋体" w:hAnsi="宋体" w:cs="宋体"/>
                <w:color w:val="000000"/>
                <w:sz w:val="24"/>
              </w:rPr>
              <w:t>时间节点在</w:t>
            </w:r>
            <w:r>
              <w:rPr>
                <w:rFonts w:hint="eastAsia" w:ascii="宋体" w:hAnsi="宋体" w:cs="宋体"/>
                <w:b/>
                <w:color w:val="000000"/>
                <w:sz w:val="24"/>
              </w:rPr>
              <w:t>评审结束后的五个工作日内</w:t>
            </w:r>
            <w:r>
              <w:rPr>
                <w:rFonts w:hint="eastAsia" w:ascii="宋体" w:hAnsi="宋体" w:cs="宋体"/>
                <w:color w:val="000000"/>
                <w:sz w:val="24"/>
              </w:rPr>
              <w:t>。如果超期未评价，系统会默认超期不让评价。</w:t>
            </w:r>
            <w:r>
              <w:rPr>
                <w:rFonts w:hint="eastAsia" w:ascii="宋体" w:hAnsi="宋体" w:cs="宋体"/>
                <w:b/>
                <w:color w:val="000000"/>
                <w:sz w:val="24"/>
              </w:rPr>
              <w:t>注：请各方注意时间，避免因超期未评价影响自身信用！</w:t>
            </w:r>
          </w:p>
          <w:p w14:paraId="38AAA2D2">
            <w:pPr>
              <w:pStyle w:val="25"/>
              <w:adjustRightInd w:val="0"/>
              <w:snapToGrid w:val="0"/>
              <w:spacing w:after="0" w:line="312" w:lineRule="auto"/>
              <w:ind w:firstLine="480" w:firstLineChars="200"/>
              <w:rPr>
                <w:rFonts w:ascii="宋体" w:hAnsi="宋体" w:cs="宋体"/>
                <w:color w:val="000000"/>
                <w:sz w:val="24"/>
              </w:rPr>
            </w:pPr>
            <w:r>
              <w:rPr>
                <w:rFonts w:hint="eastAsia" w:ascii="宋体" w:hAnsi="宋体" w:cs="宋体"/>
                <w:color w:val="000000"/>
                <w:sz w:val="24"/>
              </w:rPr>
              <w:t>1.采购人、采购代理机构应当在</w:t>
            </w:r>
            <w:r>
              <w:rPr>
                <w:rFonts w:hint="eastAsia" w:ascii="宋体" w:hAnsi="宋体" w:cs="宋体"/>
                <w:b/>
                <w:color w:val="000000"/>
                <w:sz w:val="24"/>
              </w:rPr>
              <w:t>评审工作结束后五个工作日内</w:t>
            </w:r>
            <w:r>
              <w:rPr>
                <w:rFonts w:hint="eastAsia" w:ascii="宋体" w:hAnsi="宋体" w:cs="宋体"/>
                <w:color w:val="000000"/>
                <w:sz w:val="24"/>
              </w:rPr>
              <w:t>对评审专家进行评价。</w:t>
            </w:r>
          </w:p>
          <w:p w14:paraId="4E373E4A">
            <w:pPr>
              <w:pStyle w:val="25"/>
              <w:adjustRightInd w:val="0"/>
              <w:snapToGrid w:val="0"/>
              <w:spacing w:after="0" w:line="312" w:lineRule="auto"/>
              <w:ind w:firstLine="480" w:firstLineChars="200"/>
              <w:rPr>
                <w:rFonts w:ascii="宋体" w:hAnsi="宋体" w:cs="宋体"/>
                <w:color w:val="000000"/>
                <w:sz w:val="24"/>
              </w:rPr>
            </w:pPr>
            <w:r>
              <w:rPr>
                <w:rFonts w:hint="eastAsia" w:ascii="宋体" w:hAnsi="宋体" w:cs="宋体"/>
                <w:color w:val="000000"/>
                <w:sz w:val="24"/>
              </w:rPr>
              <w:t>2.采购人、</w:t>
            </w:r>
            <w:r>
              <w:rPr>
                <w:rFonts w:hint="eastAsia" w:ascii="宋体" w:hAnsi="宋体" w:cs="宋体"/>
                <w:b/>
                <w:color w:val="000000"/>
                <w:sz w:val="24"/>
              </w:rPr>
              <w:t>评审专家</w:t>
            </w:r>
            <w:r>
              <w:rPr>
                <w:rFonts w:hint="eastAsia" w:ascii="宋体" w:hAnsi="宋体" w:cs="宋体"/>
                <w:color w:val="000000"/>
                <w:sz w:val="24"/>
              </w:rPr>
              <w:t>、供应商应当在</w:t>
            </w:r>
            <w:r>
              <w:rPr>
                <w:rFonts w:hint="eastAsia" w:ascii="宋体" w:hAnsi="宋体" w:cs="宋体"/>
                <w:b/>
                <w:color w:val="000000"/>
                <w:sz w:val="24"/>
              </w:rPr>
              <w:t>评审工作结束后五个工作日内</w:t>
            </w:r>
            <w:r>
              <w:rPr>
                <w:rFonts w:hint="eastAsia" w:ascii="宋体" w:hAnsi="宋体" w:cs="宋体"/>
                <w:color w:val="000000"/>
                <w:sz w:val="24"/>
              </w:rPr>
              <w:t>对代理机构进行评价。</w:t>
            </w:r>
          </w:p>
          <w:p w14:paraId="759B9E79">
            <w:pPr>
              <w:pStyle w:val="25"/>
              <w:adjustRightInd w:val="0"/>
              <w:snapToGrid w:val="0"/>
              <w:spacing w:after="0" w:line="312" w:lineRule="auto"/>
              <w:ind w:firstLine="480" w:firstLineChars="200"/>
              <w:rPr>
                <w:rFonts w:ascii="宋体" w:hAnsi="宋体" w:cs="宋体"/>
                <w:color w:val="000000"/>
                <w:sz w:val="24"/>
              </w:rPr>
            </w:pPr>
            <w:r>
              <w:rPr>
                <w:rFonts w:hint="eastAsia" w:ascii="宋体" w:hAnsi="宋体" w:cs="宋体"/>
                <w:color w:val="000000"/>
                <w:sz w:val="24"/>
              </w:rPr>
              <w:t>3.采购人应当</w:t>
            </w:r>
            <w:r>
              <w:rPr>
                <w:rFonts w:hint="eastAsia" w:ascii="宋体" w:hAnsi="宋体" w:cs="宋体"/>
                <w:b/>
                <w:color w:val="000000"/>
                <w:sz w:val="24"/>
              </w:rPr>
              <w:t>在合同履约完成后</w:t>
            </w:r>
            <w:r>
              <w:rPr>
                <w:rFonts w:hint="eastAsia" w:ascii="宋体" w:hAnsi="宋体" w:cs="宋体"/>
                <w:color w:val="000000"/>
                <w:sz w:val="24"/>
              </w:rPr>
              <w:t>对中标供应商进行评价。</w:t>
            </w:r>
          </w:p>
          <w:p w14:paraId="5320ACB7">
            <w:pPr>
              <w:pStyle w:val="25"/>
              <w:adjustRightInd w:val="0"/>
              <w:snapToGrid w:val="0"/>
              <w:spacing w:after="0" w:line="312" w:lineRule="auto"/>
              <w:ind w:firstLine="480" w:firstLineChars="200"/>
              <w:rPr>
                <w:rFonts w:ascii="宋体" w:hAnsi="宋体" w:cs="宋体"/>
                <w:sz w:val="24"/>
                <w:lang w:val="zh-TW"/>
              </w:rPr>
            </w:pPr>
            <w:r>
              <w:rPr>
                <w:rFonts w:hint="eastAsia" w:ascii="宋体" w:hAnsi="宋体" w:cs="宋体"/>
                <w:color w:val="000000"/>
                <w:sz w:val="24"/>
              </w:rPr>
              <w:t>4.中标供应商应当</w:t>
            </w:r>
            <w:r>
              <w:rPr>
                <w:rFonts w:hint="eastAsia" w:ascii="宋体" w:hAnsi="宋体" w:cs="宋体"/>
                <w:b/>
                <w:color w:val="000000"/>
                <w:sz w:val="24"/>
              </w:rPr>
              <w:t>在合同履约完成后</w:t>
            </w:r>
            <w:r>
              <w:rPr>
                <w:rFonts w:hint="eastAsia" w:ascii="宋体" w:hAnsi="宋体" w:cs="宋体"/>
                <w:color w:val="000000"/>
                <w:sz w:val="24"/>
              </w:rPr>
              <w:t>对采购人进行评价。</w:t>
            </w:r>
          </w:p>
        </w:tc>
      </w:tr>
      <w:tr w14:paraId="442C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0" w:type="auto"/>
            <w:vAlign w:val="center"/>
          </w:tcPr>
          <w:p w14:paraId="6B955ADB">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38</w:t>
            </w:r>
          </w:p>
        </w:tc>
        <w:tc>
          <w:tcPr>
            <w:tcW w:w="0" w:type="auto"/>
            <w:vAlign w:val="center"/>
          </w:tcPr>
          <w:p w14:paraId="79A43572">
            <w:pPr>
              <w:adjustRightInd w:val="0"/>
              <w:snapToGrid w:val="0"/>
              <w:spacing w:line="312" w:lineRule="auto"/>
              <w:jc w:val="center"/>
              <w:rPr>
                <w:rFonts w:ascii="宋体" w:hAnsi="宋体" w:cs="宋体"/>
                <w:b/>
                <w:bCs/>
                <w:sz w:val="24"/>
                <w:szCs w:val="24"/>
              </w:rPr>
            </w:pPr>
            <w:r>
              <w:rPr>
                <w:rFonts w:hint="eastAsia" w:ascii="宋体" w:hAnsi="宋体" w:cs="宋体"/>
                <w:b/>
                <w:bCs/>
                <w:sz w:val="24"/>
                <w:szCs w:val="24"/>
              </w:rPr>
              <w:t>合同签订方式</w:t>
            </w:r>
          </w:p>
        </w:tc>
        <w:tc>
          <w:tcPr>
            <w:tcW w:w="0" w:type="auto"/>
            <w:vAlign w:val="center"/>
          </w:tcPr>
          <w:p w14:paraId="7B4B5AAB">
            <w:pPr>
              <w:adjustRightInd w:val="0"/>
              <w:snapToGrid w:val="0"/>
              <w:spacing w:line="312" w:lineRule="auto"/>
              <w:rPr>
                <w:rFonts w:ascii="宋体" w:hAnsi="宋体" w:cs="宋体"/>
                <w:sz w:val="24"/>
                <w:szCs w:val="24"/>
              </w:rPr>
            </w:pPr>
            <w:r>
              <w:rPr>
                <w:rFonts w:hint="eastAsia" w:ascii="宋体" w:hAnsi="宋体" w:cs="宋体"/>
                <w:sz w:val="24"/>
                <w:szCs w:val="24"/>
              </w:rPr>
              <w:t>本项目须在平顶山市公共资源交易中心电子交易系统实行合同在线签订。</w:t>
            </w:r>
          </w:p>
          <w:p w14:paraId="4B0CED83">
            <w:pPr>
              <w:adjustRightInd w:val="0"/>
              <w:snapToGrid w:val="0"/>
              <w:spacing w:line="312" w:lineRule="auto"/>
              <w:rPr>
                <w:rFonts w:ascii="宋体" w:hAnsi="宋体" w:cs="宋体"/>
                <w:sz w:val="24"/>
                <w:szCs w:val="24"/>
                <w:lang w:val="zh-TW"/>
              </w:rPr>
            </w:pPr>
            <w:r>
              <w:rPr>
                <w:rFonts w:hint="eastAsia" w:ascii="宋体" w:hAnsi="宋体" w:cs="宋体"/>
                <w:sz w:val="24"/>
                <w:szCs w:val="24"/>
                <w:lang w:val="zh-TW"/>
              </w:rPr>
              <w:t>招标人（采购人）与中标人（供应商）利用平顶山公共资源交易平台“合同在线签订模块”，将电子合同推送至对方进行审核，经双方确认均无异议通过后，进行在线签章，完成合同签订并公示。</w:t>
            </w:r>
          </w:p>
        </w:tc>
      </w:tr>
      <w:tr w14:paraId="7636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0" w:type="auto"/>
            <w:vAlign w:val="center"/>
          </w:tcPr>
          <w:p w14:paraId="4F486C9D">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39</w:t>
            </w:r>
          </w:p>
        </w:tc>
        <w:tc>
          <w:tcPr>
            <w:tcW w:w="0" w:type="auto"/>
            <w:vAlign w:val="center"/>
          </w:tcPr>
          <w:p w14:paraId="72A26577">
            <w:pPr>
              <w:adjustRightInd w:val="0"/>
              <w:snapToGrid w:val="0"/>
              <w:spacing w:line="312" w:lineRule="auto"/>
              <w:jc w:val="center"/>
              <w:rPr>
                <w:rFonts w:ascii="宋体" w:hAnsi="宋体" w:cs="宋体"/>
                <w:b/>
                <w:bCs/>
                <w:sz w:val="24"/>
                <w:szCs w:val="24"/>
              </w:rPr>
            </w:pPr>
            <w:r>
              <w:rPr>
                <w:rFonts w:hint="eastAsia" w:ascii="宋体" w:hAnsi="宋体" w:cs="宋体"/>
                <w:b/>
                <w:color w:val="000000"/>
                <w:sz w:val="24"/>
                <w:szCs w:val="24"/>
              </w:rPr>
              <w:t>供应商特别注意</w:t>
            </w:r>
          </w:p>
        </w:tc>
        <w:tc>
          <w:tcPr>
            <w:tcW w:w="0" w:type="auto"/>
            <w:vAlign w:val="center"/>
          </w:tcPr>
          <w:p w14:paraId="1EA2D38B">
            <w:pPr>
              <w:pStyle w:val="25"/>
              <w:adjustRightInd w:val="0"/>
              <w:snapToGrid w:val="0"/>
              <w:spacing w:after="0" w:line="312" w:lineRule="auto"/>
              <w:ind w:firstLine="0" w:firstLineChars="0"/>
              <w:rPr>
                <w:rFonts w:ascii="宋体" w:hAnsi="宋体" w:cs="宋体"/>
                <w:color w:val="000000"/>
                <w:sz w:val="24"/>
              </w:rPr>
            </w:pPr>
            <w:r>
              <w:rPr>
                <w:rFonts w:hint="eastAsia" w:ascii="宋体" w:hAnsi="宋体" w:cs="宋体"/>
                <w:b/>
                <w:color w:val="000000"/>
                <w:sz w:val="24"/>
              </w:rPr>
              <w:t>开标前需在“河南省政府采购网”完成供应商注册，以备中标后合同公示能够提取到供应商相关信息。</w:t>
            </w:r>
          </w:p>
        </w:tc>
      </w:tr>
      <w:tr w14:paraId="1FD9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0" w:type="auto"/>
            <w:vAlign w:val="center"/>
          </w:tcPr>
          <w:p w14:paraId="44ED084B">
            <w:pPr>
              <w:pStyle w:val="57"/>
              <w:shd w:val="clear" w:color="auto" w:fill="auto"/>
              <w:adjustRightInd w:val="0"/>
              <w:snapToGrid w:val="0"/>
              <w:spacing w:before="0" w:line="312" w:lineRule="auto"/>
              <w:jc w:val="center"/>
              <w:rPr>
                <w:rStyle w:val="56"/>
                <w:color w:val="auto"/>
                <w:sz w:val="24"/>
                <w:szCs w:val="24"/>
                <w:lang w:val="en-US"/>
              </w:rPr>
            </w:pPr>
            <w:r>
              <w:rPr>
                <w:rStyle w:val="56"/>
                <w:rFonts w:hint="eastAsia"/>
                <w:color w:val="auto"/>
                <w:sz w:val="24"/>
                <w:szCs w:val="24"/>
                <w:lang w:val="en-US"/>
              </w:rPr>
              <w:t>40</w:t>
            </w:r>
          </w:p>
        </w:tc>
        <w:tc>
          <w:tcPr>
            <w:tcW w:w="0" w:type="auto"/>
            <w:vAlign w:val="center"/>
          </w:tcPr>
          <w:p w14:paraId="5CFED1A1">
            <w:pPr>
              <w:adjustRightInd w:val="0"/>
              <w:snapToGrid w:val="0"/>
              <w:spacing w:line="312" w:lineRule="auto"/>
              <w:jc w:val="center"/>
              <w:rPr>
                <w:rFonts w:ascii="宋体" w:hAnsi="宋体" w:cs="宋体"/>
                <w:b/>
                <w:bCs/>
                <w:sz w:val="24"/>
                <w:szCs w:val="24"/>
              </w:rPr>
            </w:pPr>
            <w:r>
              <w:rPr>
                <w:rFonts w:hint="eastAsia" w:ascii="宋体" w:hAnsi="宋体" w:cs="宋体"/>
                <w:b/>
                <w:color w:val="000000"/>
                <w:sz w:val="24"/>
                <w:szCs w:val="24"/>
              </w:rPr>
              <w:t>河南省政府采购合同融资政策告知函</w:t>
            </w:r>
          </w:p>
        </w:tc>
        <w:tc>
          <w:tcPr>
            <w:tcW w:w="0" w:type="auto"/>
            <w:vAlign w:val="center"/>
          </w:tcPr>
          <w:p w14:paraId="3BC05147">
            <w:pPr>
              <w:adjustRightInd w:val="0"/>
              <w:snapToGrid w:val="0"/>
              <w:spacing w:line="312" w:lineRule="auto"/>
              <w:jc w:val="center"/>
              <w:rPr>
                <w:rFonts w:ascii="宋体" w:hAnsi="宋体" w:cs="宋体"/>
                <w:b/>
                <w:color w:val="000000"/>
                <w:sz w:val="24"/>
                <w:szCs w:val="24"/>
              </w:rPr>
            </w:pPr>
            <w:r>
              <w:rPr>
                <w:rFonts w:hint="eastAsia" w:ascii="宋体" w:hAnsi="宋体" w:cs="宋体"/>
                <w:b/>
                <w:color w:val="000000"/>
                <w:sz w:val="24"/>
                <w:szCs w:val="24"/>
              </w:rPr>
              <w:t>河南省政府采购合同融资政策告知函</w:t>
            </w:r>
          </w:p>
          <w:p w14:paraId="10A533AF">
            <w:pPr>
              <w:adjustRightInd w:val="0"/>
              <w:snapToGrid w:val="0"/>
              <w:spacing w:line="312" w:lineRule="auto"/>
              <w:rPr>
                <w:rFonts w:ascii="宋体" w:hAnsi="宋体" w:cs="宋体"/>
                <w:color w:val="000000"/>
                <w:sz w:val="24"/>
                <w:szCs w:val="24"/>
              </w:rPr>
            </w:pPr>
            <w:r>
              <w:rPr>
                <w:rFonts w:hint="eastAsia" w:ascii="宋体" w:hAnsi="宋体" w:cs="宋体"/>
                <w:color w:val="000000"/>
                <w:sz w:val="24"/>
                <w:szCs w:val="24"/>
              </w:rPr>
              <w:t xml:space="preserve">各投标人： </w:t>
            </w:r>
          </w:p>
          <w:p w14:paraId="415AEADB">
            <w:pPr>
              <w:adjustRightInd w:val="0"/>
              <w:snapToGrid w:val="0"/>
              <w:spacing w:line="312" w:lineRule="auto"/>
              <w:ind w:firstLine="480" w:firstLineChars="200"/>
              <w:rPr>
                <w:rFonts w:ascii="宋体" w:hAnsi="宋体" w:cs="宋体"/>
                <w:color w:val="000000"/>
                <w:sz w:val="24"/>
                <w:szCs w:val="24"/>
              </w:rPr>
            </w:pPr>
            <w:r>
              <w:rPr>
                <w:rFonts w:hint="eastAsia" w:ascii="宋体" w:hAnsi="宋体" w:cs="宋体"/>
                <w:color w:val="000000"/>
                <w:sz w:val="24"/>
                <w:szCs w:val="24"/>
              </w:rPr>
              <w:t>欢迎贵公司参与河南省政府采购活动！</w:t>
            </w:r>
          </w:p>
          <w:p w14:paraId="4A24209F">
            <w:pPr>
              <w:adjustRightInd w:val="0"/>
              <w:snapToGrid w:val="0"/>
              <w:spacing w:line="312" w:lineRule="auto"/>
              <w:ind w:firstLine="480" w:firstLineChars="200"/>
              <w:rPr>
                <w:rFonts w:ascii="宋体" w:hAnsi="宋体" w:cs="宋体"/>
                <w:color w:val="000000"/>
                <w:sz w:val="24"/>
                <w:szCs w:val="24"/>
              </w:rPr>
            </w:pPr>
            <w:r>
              <w:rPr>
                <w:rFonts w:hint="eastAsia" w:ascii="宋体" w:hAnsi="宋体" w:cs="宋体"/>
                <w:color w:val="000000"/>
                <w:sz w:val="24"/>
                <w:szCs w:val="24"/>
              </w:rPr>
              <w:t>政府采购合同融资是河南省财政厅支持中小微企业发展，针对参与政府采购活动的投标人融 资难、融资贵问题推出的一项融资政策。贵公司若成为本次政府采购项目的中标成交投标人，可持 政府采购合同向金融机构申请贷款，无需抵押、担保，融资机构将根据《河南省政府采购合同融资 工作实施方案》（豫财购〔2017〕10 号），按照双方自愿的原则提供便捷、优惠的贷款服务。</w:t>
            </w:r>
          </w:p>
          <w:p w14:paraId="68A8AD63">
            <w:pPr>
              <w:adjustRightInd w:val="0"/>
              <w:snapToGrid w:val="0"/>
              <w:spacing w:line="312" w:lineRule="auto"/>
              <w:rPr>
                <w:rFonts w:ascii="宋体" w:hAnsi="宋体" w:cs="宋体"/>
                <w:color w:val="000000"/>
                <w:sz w:val="24"/>
                <w:szCs w:val="24"/>
              </w:rPr>
            </w:pPr>
            <w:r>
              <w:rPr>
                <w:rFonts w:hint="eastAsia" w:ascii="宋体" w:hAnsi="宋体" w:cs="宋体"/>
                <w:color w:val="000000"/>
                <w:sz w:val="24"/>
                <w:szCs w:val="24"/>
              </w:rPr>
              <w:t xml:space="preserve">    贷款渠道和提供贷款的金融机构，可在河南省政府采购网“河南省政府采购合同融资平台” 查询联系。</w:t>
            </w:r>
          </w:p>
        </w:tc>
      </w:tr>
    </w:tbl>
    <w:p w14:paraId="11804BCE">
      <w:pPr>
        <w:pStyle w:val="16"/>
        <w:spacing w:line="312" w:lineRule="auto"/>
        <w:ind w:firstLine="535"/>
        <w:rPr>
          <w:rFonts w:cs="宋体"/>
          <w:b/>
          <w:bCs/>
          <w:w w:val="99"/>
          <w:szCs w:val="28"/>
        </w:rPr>
      </w:pPr>
    </w:p>
    <w:p w14:paraId="297AA49F">
      <w:pPr>
        <w:widowControl/>
        <w:spacing w:line="360" w:lineRule="auto"/>
        <w:outlineLvl w:val="1"/>
        <w:rPr>
          <w:rFonts w:ascii="宋体" w:hAnsi="宋体" w:cs="宋体"/>
          <w:kern w:val="0"/>
          <w:sz w:val="28"/>
          <w:szCs w:val="28"/>
        </w:rPr>
      </w:pPr>
      <w:bookmarkStart w:id="7" w:name="_Toc25160323"/>
      <w:bookmarkStart w:id="8" w:name="_Toc25160827"/>
      <w:bookmarkStart w:id="9" w:name="_Toc12466"/>
      <w:r>
        <w:rPr>
          <w:rFonts w:hint="eastAsia" w:ascii="宋体" w:hAnsi="宋体" w:cs="宋体"/>
          <w:b/>
          <w:kern w:val="0"/>
          <w:sz w:val="28"/>
          <w:szCs w:val="28"/>
        </w:rPr>
        <w:t>一、总则</w:t>
      </w:r>
      <w:bookmarkEnd w:id="7"/>
      <w:bookmarkEnd w:id="8"/>
      <w:bookmarkEnd w:id="9"/>
    </w:p>
    <w:p w14:paraId="618FDF16">
      <w:pPr>
        <w:spacing w:line="360" w:lineRule="auto"/>
        <w:ind w:firstLine="480" w:firstLineChars="200"/>
        <w:jc w:val="left"/>
        <w:rPr>
          <w:rFonts w:ascii="宋体" w:hAnsi="宋体" w:cs="宋体"/>
          <w:sz w:val="24"/>
          <w:szCs w:val="24"/>
        </w:rPr>
      </w:pPr>
      <w:r>
        <w:rPr>
          <w:rFonts w:hint="eastAsia" w:ascii="宋体" w:hAnsi="宋体" w:cs="宋体"/>
          <w:sz w:val="24"/>
          <w:szCs w:val="24"/>
        </w:rPr>
        <w:t>根据《中华人民共和国政府采购法》《中华人民共和国政府采购法实施条例》《政府采购竞争性磋商采购方式管理暂行办法》等有关法律、法规和规章的规定，本项目已具备磋商条件，现对本项目进行磋商采购。</w:t>
      </w:r>
    </w:p>
    <w:p w14:paraId="5A7432E6">
      <w:pPr>
        <w:widowControl/>
        <w:spacing w:line="360" w:lineRule="auto"/>
        <w:jc w:val="left"/>
        <w:rPr>
          <w:rFonts w:ascii="宋体" w:hAnsi="宋体" w:cs="宋体"/>
          <w:b/>
          <w:sz w:val="24"/>
          <w:szCs w:val="24"/>
        </w:rPr>
      </w:pPr>
      <w:r>
        <w:rPr>
          <w:rFonts w:hint="eastAsia" w:ascii="宋体" w:hAnsi="宋体" w:cs="宋体"/>
          <w:b/>
          <w:sz w:val="24"/>
          <w:szCs w:val="24"/>
        </w:rPr>
        <w:t>1.项目概况</w:t>
      </w:r>
    </w:p>
    <w:p w14:paraId="1C0BEAC6">
      <w:pPr>
        <w:spacing w:line="360" w:lineRule="auto"/>
        <w:ind w:firstLine="480" w:firstLineChars="200"/>
        <w:jc w:val="left"/>
        <w:rPr>
          <w:rFonts w:ascii="宋体" w:hAnsi="宋体" w:cs="宋体"/>
          <w:sz w:val="24"/>
          <w:szCs w:val="24"/>
        </w:rPr>
      </w:pPr>
      <w:r>
        <w:rPr>
          <w:rFonts w:hint="eastAsia" w:ascii="宋体" w:hAnsi="宋体" w:cs="宋体"/>
          <w:sz w:val="24"/>
          <w:szCs w:val="24"/>
        </w:rPr>
        <w:t>1.1采购人：见供应商须知前附表。</w:t>
      </w:r>
    </w:p>
    <w:p w14:paraId="73DBE62A">
      <w:pPr>
        <w:spacing w:line="360" w:lineRule="auto"/>
        <w:ind w:firstLine="480" w:firstLineChars="200"/>
        <w:jc w:val="left"/>
        <w:rPr>
          <w:rFonts w:ascii="宋体" w:hAnsi="宋体" w:cs="宋体"/>
          <w:sz w:val="24"/>
          <w:szCs w:val="24"/>
        </w:rPr>
      </w:pPr>
      <w:r>
        <w:rPr>
          <w:rFonts w:hint="eastAsia" w:ascii="宋体" w:hAnsi="宋体" w:cs="宋体"/>
          <w:sz w:val="24"/>
          <w:szCs w:val="24"/>
        </w:rPr>
        <w:t>1.2采购代理机构：见供应商须知前附表。</w:t>
      </w:r>
    </w:p>
    <w:p w14:paraId="52FC6158">
      <w:pPr>
        <w:spacing w:line="360" w:lineRule="auto"/>
        <w:ind w:firstLine="480" w:firstLineChars="200"/>
        <w:jc w:val="left"/>
        <w:rPr>
          <w:rFonts w:ascii="宋体" w:hAnsi="宋体" w:cs="宋体"/>
          <w:sz w:val="24"/>
          <w:szCs w:val="24"/>
        </w:rPr>
      </w:pPr>
      <w:r>
        <w:rPr>
          <w:rFonts w:hint="eastAsia" w:ascii="宋体" w:hAnsi="宋体" w:cs="宋体"/>
          <w:sz w:val="24"/>
          <w:szCs w:val="24"/>
        </w:rPr>
        <w:t>1.3项目名称：平顶山市财政局2026至2027年保安服务项目。</w:t>
      </w:r>
    </w:p>
    <w:p w14:paraId="5C3D10FC">
      <w:pPr>
        <w:widowControl/>
        <w:spacing w:line="360" w:lineRule="auto"/>
        <w:jc w:val="left"/>
        <w:rPr>
          <w:rFonts w:ascii="宋体" w:hAnsi="宋体" w:cs="宋体"/>
          <w:sz w:val="24"/>
          <w:szCs w:val="24"/>
        </w:rPr>
      </w:pPr>
      <w:r>
        <w:rPr>
          <w:rFonts w:hint="eastAsia" w:ascii="宋体" w:hAnsi="宋体" w:cs="宋体"/>
          <w:b/>
          <w:bCs/>
          <w:sz w:val="24"/>
          <w:szCs w:val="24"/>
        </w:rPr>
        <w:t>2.资</w:t>
      </w:r>
      <w:r>
        <w:rPr>
          <w:rFonts w:hint="eastAsia" w:ascii="宋体" w:hAnsi="宋体" w:cs="宋体"/>
          <w:b/>
          <w:sz w:val="24"/>
          <w:szCs w:val="24"/>
        </w:rPr>
        <w:t>金来源和落实情况</w:t>
      </w:r>
    </w:p>
    <w:p w14:paraId="0CDE8B6C">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2.1资金来源：见供应商须知前附表。</w:t>
      </w:r>
    </w:p>
    <w:p w14:paraId="71AC0106">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2.2资金落实情况：见供应商须知前附表。</w:t>
      </w:r>
    </w:p>
    <w:p w14:paraId="7C2D0E9B">
      <w:pPr>
        <w:widowControl/>
        <w:spacing w:line="360" w:lineRule="auto"/>
        <w:jc w:val="left"/>
        <w:rPr>
          <w:rFonts w:ascii="宋体" w:hAnsi="宋体" w:cs="宋体"/>
          <w:b/>
          <w:bCs/>
          <w:sz w:val="24"/>
          <w:szCs w:val="24"/>
        </w:rPr>
      </w:pPr>
      <w:r>
        <w:rPr>
          <w:rFonts w:hint="eastAsia" w:ascii="宋体" w:hAnsi="宋体" w:cs="宋体"/>
          <w:b/>
          <w:bCs/>
          <w:sz w:val="24"/>
          <w:szCs w:val="24"/>
        </w:rPr>
        <w:t>3.采购内容、服务期限、质量要求</w:t>
      </w:r>
    </w:p>
    <w:p w14:paraId="1A89786C">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3.1采购内容：见供应商须知前附表。</w:t>
      </w:r>
    </w:p>
    <w:p w14:paraId="1AEBF940">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3.2服务期限：见供应商须知前附表。</w:t>
      </w:r>
    </w:p>
    <w:p w14:paraId="52BAC71D">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3.3质量要求：见供应商须知前附表。</w:t>
      </w:r>
    </w:p>
    <w:p w14:paraId="7BF6DA06">
      <w:pPr>
        <w:numPr>
          <w:ilvl w:val="0"/>
          <w:numId w:val="2"/>
        </w:numPr>
        <w:adjustRightInd w:val="0"/>
        <w:snapToGrid w:val="0"/>
        <w:spacing w:line="360" w:lineRule="auto"/>
        <w:rPr>
          <w:rFonts w:ascii="宋体" w:hAnsi="宋体" w:cs="宋体"/>
          <w:b/>
          <w:sz w:val="24"/>
          <w:szCs w:val="24"/>
        </w:rPr>
      </w:pPr>
      <w:r>
        <w:rPr>
          <w:rFonts w:hint="eastAsia" w:ascii="宋体" w:hAnsi="宋体" w:cs="宋体"/>
          <w:b/>
          <w:sz w:val="24"/>
          <w:szCs w:val="24"/>
        </w:rPr>
        <w:t>供应商资格要求：</w:t>
      </w:r>
    </w:p>
    <w:p w14:paraId="184557F5">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4.1符合供应商须知前附表中“供应商资格要求”并下载磋商文件的潜在供应商。</w:t>
      </w:r>
    </w:p>
    <w:p w14:paraId="63DF3AAC">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4.2供应商不得存在下列情形：</w:t>
      </w:r>
    </w:p>
    <w:p w14:paraId="7F84FC1D">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 xml:space="preserve">（1）为采购人不具有独立法人资格的附属机构（单位）； </w:t>
      </w:r>
    </w:p>
    <w:p w14:paraId="2939E7DF">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（2）为本项目提供招标代理服务的；</w:t>
      </w:r>
    </w:p>
    <w:p w14:paraId="4964CA4A">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（3）与本项目的采购代理机构同为一个法定代表人的；</w:t>
      </w:r>
    </w:p>
    <w:p w14:paraId="0723DAA4">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（4）与本项目的采购代理机构相互控股或参股的；</w:t>
      </w:r>
    </w:p>
    <w:p w14:paraId="56E5E692">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（5）与本项目的采购代理机构相互任职或工作的；</w:t>
      </w:r>
    </w:p>
    <w:p w14:paraId="031D29AF">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（6）被责令停业的；</w:t>
      </w:r>
    </w:p>
    <w:p w14:paraId="526FD724">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（7）被暂停或取消投标资格的；</w:t>
      </w:r>
    </w:p>
    <w:p w14:paraId="105A6076">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（8）财产被接管或冻结的；</w:t>
      </w:r>
    </w:p>
    <w:p w14:paraId="5AA081E4">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（9）在最近三年内有骗取中标或严重违约的。</w:t>
      </w:r>
    </w:p>
    <w:p w14:paraId="3395EB9A">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4.3参与同一个标段（包）的供应商存在下列情形之一的，其投标（响应）文件无效：</w:t>
      </w:r>
    </w:p>
    <w:p w14:paraId="6AFAFF0C">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（1）不同供应商的电子投标（响应）文件上传计算机的网卡MAC地址、CPU序列号和硬盘序列号等硬件信息相同的；</w:t>
      </w:r>
    </w:p>
    <w:p w14:paraId="4BC0FECE">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（2）不同供应商的投标（响应）文件由同一电子设备编制、打印加密或者上传：</w:t>
      </w:r>
    </w:p>
    <w:p w14:paraId="75300FD2">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（3）不同供应商的投标（响应）文件由同一电子设备打印、复印；</w:t>
      </w:r>
    </w:p>
    <w:p w14:paraId="446D504B">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（4）不同供应商的投标（响应）文件由同一人送达或者分发，或者不同供应商联系人为同一人或不同联系人的联系电话一致的；</w:t>
      </w:r>
    </w:p>
    <w:p w14:paraId="550F127F">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（5）不同供应商的投标（响应）文件的内容存在两处以上细节错误一致：</w:t>
      </w:r>
    </w:p>
    <w:p w14:paraId="32F126D5">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（6）不同供应商的法定代表人、委托代理人、项目经理、项目负责人等由同一个单位缴纳社会保险或者领取报酬的；</w:t>
      </w:r>
    </w:p>
    <w:p w14:paraId="05EDE155">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（7）不同供应商投标（响应）文件中法定代表人或者负责人签字出自同一人之手；</w:t>
      </w:r>
    </w:p>
    <w:p w14:paraId="6C14BB20">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（8）其它涉嫌串通的情形。</w:t>
      </w:r>
    </w:p>
    <w:p w14:paraId="3E0F73E6">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4.4</w:t>
      </w:r>
      <w:r>
        <w:rPr>
          <w:rFonts w:hint="eastAsia" w:ascii="宋体" w:hAnsi="宋体" w:cs="宋体"/>
          <w:sz w:val="24"/>
        </w:rPr>
        <w:t>单位负责人为同一人或者存在控股、管理关系的不同单位，不得同时参加本招标项目投标。</w:t>
      </w:r>
    </w:p>
    <w:p w14:paraId="6F6E3FF3">
      <w:pPr>
        <w:spacing w:line="360" w:lineRule="auto"/>
        <w:rPr>
          <w:rFonts w:ascii="宋体" w:hAnsi="宋体" w:cs="宋体"/>
          <w:sz w:val="24"/>
          <w:szCs w:val="24"/>
        </w:rPr>
      </w:pPr>
      <w:r>
        <w:rPr>
          <w:rFonts w:hint="eastAsia" w:ascii="宋体" w:hAnsi="宋体" w:cs="宋体"/>
          <w:b/>
          <w:bCs/>
          <w:sz w:val="24"/>
          <w:szCs w:val="24"/>
        </w:rPr>
        <w:t>5.</w:t>
      </w:r>
      <w:r>
        <w:rPr>
          <w:rFonts w:hint="eastAsia" w:ascii="宋体" w:hAnsi="宋体" w:cs="宋体"/>
          <w:b/>
          <w:sz w:val="24"/>
          <w:szCs w:val="24"/>
        </w:rPr>
        <w:t>投标费用</w:t>
      </w:r>
    </w:p>
    <w:p w14:paraId="4919D7CD">
      <w:pPr>
        <w:spacing w:line="360" w:lineRule="auto"/>
        <w:ind w:firstLine="480" w:firstLineChars="200"/>
        <w:rPr>
          <w:rFonts w:ascii="宋体" w:hAnsi="宋体" w:cs="宋体"/>
          <w:sz w:val="24"/>
          <w:szCs w:val="24"/>
        </w:rPr>
      </w:pPr>
      <w:r>
        <w:rPr>
          <w:rFonts w:hint="eastAsia" w:ascii="宋体" w:hAnsi="宋体" w:cs="宋体"/>
          <w:sz w:val="24"/>
          <w:szCs w:val="24"/>
        </w:rPr>
        <w:t>供应商应承担响应文件编制与递交所涉及的一切费用，采购人和采购代理机构对上述费用均不承担任何责任。</w:t>
      </w:r>
    </w:p>
    <w:p w14:paraId="7893B0DB">
      <w:pPr>
        <w:spacing w:line="360" w:lineRule="auto"/>
        <w:rPr>
          <w:rFonts w:ascii="宋体" w:hAnsi="宋体" w:cs="宋体"/>
          <w:b/>
          <w:bCs/>
          <w:sz w:val="24"/>
          <w:szCs w:val="24"/>
        </w:rPr>
      </w:pPr>
      <w:r>
        <w:rPr>
          <w:rFonts w:hint="eastAsia" w:ascii="宋体" w:hAnsi="宋体" w:cs="宋体"/>
          <w:b/>
          <w:bCs/>
          <w:sz w:val="24"/>
          <w:szCs w:val="24"/>
        </w:rPr>
        <w:t>7.踏勘现场</w:t>
      </w:r>
    </w:p>
    <w:p w14:paraId="1BB6F041">
      <w:pPr>
        <w:spacing w:line="360" w:lineRule="auto"/>
        <w:rPr>
          <w:rFonts w:ascii="宋体" w:hAnsi="宋体" w:cs="宋体"/>
          <w:bCs/>
          <w:sz w:val="24"/>
          <w:szCs w:val="24"/>
        </w:rPr>
      </w:pPr>
      <w:r>
        <w:rPr>
          <w:rFonts w:hint="eastAsia" w:ascii="宋体" w:hAnsi="宋体" w:cs="宋体"/>
          <w:bCs/>
          <w:sz w:val="24"/>
          <w:szCs w:val="24"/>
        </w:rPr>
        <w:t xml:space="preserve">    见供应商须知前附表。</w:t>
      </w:r>
    </w:p>
    <w:p w14:paraId="0DC24713">
      <w:pPr>
        <w:spacing w:line="360" w:lineRule="auto"/>
        <w:rPr>
          <w:rFonts w:ascii="宋体" w:hAnsi="宋体" w:cs="宋体"/>
          <w:b/>
          <w:bCs/>
          <w:sz w:val="24"/>
          <w:szCs w:val="24"/>
        </w:rPr>
      </w:pPr>
      <w:r>
        <w:rPr>
          <w:rFonts w:hint="eastAsia" w:ascii="宋体" w:hAnsi="宋体" w:cs="宋体"/>
          <w:b/>
          <w:bCs/>
          <w:sz w:val="24"/>
          <w:szCs w:val="24"/>
        </w:rPr>
        <w:t>8.保密</w:t>
      </w:r>
    </w:p>
    <w:p w14:paraId="4F896AFF">
      <w:pPr>
        <w:pStyle w:val="16"/>
        <w:spacing w:line="360" w:lineRule="auto"/>
        <w:ind w:firstLine="410" w:firstLineChars="171"/>
        <w:rPr>
          <w:rFonts w:cs="宋体"/>
          <w:bCs/>
          <w:kern w:val="2"/>
          <w:sz w:val="24"/>
          <w:szCs w:val="24"/>
        </w:rPr>
      </w:pPr>
      <w:r>
        <w:rPr>
          <w:rFonts w:hint="eastAsia" w:cs="宋体"/>
          <w:bCs/>
          <w:kern w:val="2"/>
          <w:sz w:val="24"/>
          <w:szCs w:val="24"/>
        </w:rPr>
        <w:t>参与招标投标活动的各方应对磋商文件和响应文件中的商业和技术等秘密保密，否则应承担相应的法律责任。</w:t>
      </w:r>
    </w:p>
    <w:p w14:paraId="38D79875">
      <w:pPr>
        <w:widowControl/>
        <w:spacing w:line="360" w:lineRule="auto"/>
        <w:outlineLvl w:val="1"/>
        <w:rPr>
          <w:rFonts w:ascii="宋体" w:hAnsi="宋体" w:cs="宋体"/>
          <w:b/>
          <w:kern w:val="0"/>
          <w:sz w:val="28"/>
          <w:szCs w:val="28"/>
        </w:rPr>
      </w:pPr>
      <w:bookmarkStart w:id="10" w:name="_Toc25160828"/>
      <w:bookmarkStart w:id="11" w:name="_Toc25160324"/>
      <w:bookmarkStart w:id="12" w:name="_Toc23045"/>
      <w:r>
        <w:rPr>
          <w:rFonts w:hint="eastAsia" w:ascii="宋体" w:hAnsi="宋体" w:cs="宋体"/>
          <w:b/>
          <w:kern w:val="0"/>
          <w:sz w:val="28"/>
          <w:szCs w:val="28"/>
        </w:rPr>
        <w:t>二、竞争性磋商文件内容</w:t>
      </w:r>
      <w:bookmarkEnd w:id="10"/>
      <w:bookmarkEnd w:id="11"/>
      <w:bookmarkEnd w:id="12"/>
    </w:p>
    <w:p w14:paraId="317031F8">
      <w:pPr>
        <w:spacing w:line="360" w:lineRule="auto"/>
        <w:rPr>
          <w:rFonts w:ascii="宋体" w:hAnsi="宋体" w:cs="宋体"/>
          <w:sz w:val="24"/>
          <w:szCs w:val="24"/>
        </w:rPr>
      </w:pPr>
      <w:r>
        <w:rPr>
          <w:rFonts w:hint="eastAsia" w:ascii="宋体" w:hAnsi="宋体" w:cs="宋体"/>
          <w:sz w:val="24"/>
          <w:szCs w:val="24"/>
        </w:rPr>
        <w:t>1.供应商应认真审阅磋商文件中所有的供应商须知、技术规范、规定格式等。如果供应商的响应文件不符合磋商文件的要求，责任由供应商自己承担。实质上不响应磋商文件要求的投标将被拒绝。</w:t>
      </w:r>
    </w:p>
    <w:p w14:paraId="4C8BF4A1">
      <w:pPr>
        <w:spacing w:line="360" w:lineRule="auto"/>
        <w:rPr>
          <w:rFonts w:ascii="宋体" w:hAnsi="宋体" w:cs="宋体"/>
          <w:sz w:val="24"/>
          <w:szCs w:val="24"/>
        </w:rPr>
      </w:pPr>
      <w:r>
        <w:rPr>
          <w:rFonts w:hint="eastAsia" w:ascii="宋体" w:hAnsi="宋体" w:cs="宋体"/>
          <w:sz w:val="24"/>
          <w:szCs w:val="24"/>
        </w:rPr>
        <w:t>2.磋商文件内容包括补充说明和采购答疑；</w:t>
      </w:r>
    </w:p>
    <w:p w14:paraId="6D981971">
      <w:pPr>
        <w:spacing w:line="360" w:lineRule="auto"/>
        <w:rPr>
          <w:rFonts w:ascii="宋体" w:hAnsi="宋体" w:cs="宋体"/>
          <w:sz w:val="24"/>
          <w:szCs w:val="24"/>
        </w:rPr>
      </w:pPr>
      <w:r>
        <w:rPr>
          <w:rFonts w:hint="eastAsia" w:ascii="宋体" w:hAnsi="宋体" w:cs="宋体"/>
          <w:sz w:val="24"/>
          <w:szCs w:val="24"/>
        </w:rPr>
        <w:t>3.磋商文件的构成</w:t>
      </w:r>
    </w:p>
    <w:p w14:paraId="49416036">
      <w:pPr>
        <w:spacing w:line="360" w:lineRule="auto"/>
        <w:ind w:firstLine="480" w:firstLineChars="200"/>
        <w:rPr>
          <w:rFonts w:ascii="宋体" w:hAnsi="宋体" w:cs="宋体"/>
          <w:sz w:val="24"/>
          <w:szCs w:val="24"/>
        </w:rPr>
      </w:pPr>
      <w:r>
        <w:rPr>
          <w:rFonts w:hint="eastAsia" w:ascii="宋体" w:hAnsi="宋体" w:cs="宋体"/>
          <w:sz w:val="24"/>
          <w:szCs w:val="24"/>
        </w:rPr>
        <w:t>3.1磋商公告</w:t>
      </w:r>
    </w:p>
    <w:p w14:paraId="59B6D8EF">
      <w:pPr>
        <w:spacing w:line="360" w:lineRule="auto"/>
        <w:ind w:firstLine="480" w:firstLineChars="200"/>
        <w:rPr>
          <w:rFonts w:ascii="宋体" w:hAnsi="宋体" w:cs="宋体"/>
          <w:sz w:val="24"/>
          <w:szCs w:val="24"/>
        </w:rPr>
      </w:pPr>
      <w:r>
        <w:rPr>
          <w:rFonts w:hint="eastAsia" w:ascii="宋体" w:hAnsi="宋体" w:cs="宋体"/>
          <w:sz w:val="24"/>
          <w:szCs w:val="24"/>
        </w:rPr>
        <w:t>3.2供应商须知</w:t>
      </w:r>
    </w:p>
    <w:p w14:paraId="1A3A9209">
      <w:pPr>
        <w:spacing w:line="360" w:lineRule="auto"/>
        <w:ind w:firstLine="480" w:firstLineChars="200"/>
        <w:rPr>
          <w:rFonts w:ascii="宋体" w:hAnsi="宋体" w:cs="宋体"/>
          <w:sz w:val="24"/>
          <w:szCs w:val="24"/>
        </w:rPr>
      </w:pPr>
      <w:r>
        <w:rPr>
          <w:rFonts w:hint="eastAsia" w:ascii="宋体" w:hAnsi="宋体" w:cs="宋体"/>
          <w:sz w:val="24"/>
          <w:szCs w:val="24"/>
        </w:rPr>
        <w:t>3.3磋商办法及标准</w:t>
      </w:r>
    </w:p>
    <w:p w14:paraId="4126A1A8">
      <w:pPr>
        <w:spacing w:line="360" w:lineRule="auto"/>
        <w:ind w:firstLine="480" w:firstLineChars="200"/>
        <w:rPr>
          <w:rFonts w:ascii="宋体" w:hAnsi="宋体" w:cs="宋体"/>
          <w:sz w:val="24"/>
          <w:szCs w:val="24"/>
        </w:rPr>
      </w:pPr>
      <w:r>
        <w:rPr>
          <w:rFonts w:hint="eastAsia" w:ascii="宋体" w:hAnsi="宋体" w:cs="宋体"/>
          <w:sz w:val="24"/>
          <w:szCs w:val="24"/>
        </w:rPr>
        <w:t>3.4服务内容和要求</w:t>
      </w:r>
    </w:p>
    <w:p w14:paraId="112CD243">
      <w:pPr>
        <w:spacing w:line="360" w:lineRule="auto"/>
        <w:ind w:firstLine="480" w:firstLineChars="200"/>
        <w:rPr>
          <w:rFonts w:ascii="宋体" w:hAnsi="宋体" w:cs="宋体"/>
          <w:sz w:val="24"/>
          <w:szCs w:val="24"/>
        </w:rPr>
      </w:pPr>
      <w:r>
        <w:rPr>
          <w:rFonts w:hint="eastAsia" w:ascii="宋体" w:hAnsi="宋体" w:cs="宋体"/>
          <w:sz w:val="24"/>
          <w:szCs w:val="24"/>
        </w:rPr>
        <w:t>3.5合同条款及格式</w:t>
      </w:r>
    </w:p>
    <w:p w14:paraId="10FFEBD7">
      <w:pPr>
        <w:spacing w:line="360" w:lineRule="auto"/>
        <w:ind w:firstLine="480" w:firstLineChars="200"/>
        <w:rPr>
          <w:rFonts w:ascii="宋体" w:hAnsi="宋体" w:cs="宋体"/>
          <w:sz w:val="24"/>
          <w:szCs w:val="24"/>
        </w:rPr>
      </w:pPr>
      <w:r>
        <w:rPr>
          <w:rFonts w:hint="eastAsia" w:ascii="宋体" w:hAnsi="宋体" w:cs="宋体"/>
          <w:sz w:val="24"/>
          <w:szCs w:val="24"/>
        </w:rPr>
        <w:t>3.6响应文件格式</w:t>
      </w:r>
    </w:p>
    <w:p w14:paraId="498DA263">
      <w:pPr>
        <w:tabs>
          <w:tab w:val="left" w:pos="0"/>
        </w:tabs>
        <w:spacing w:line="360" w:lineRule="auto"/>
        <w:ind w:firstLine="460" w:firstLineChars="192"/>
        <w:rPr>
          <w:rFonts w:ascii="宋体" w:hAnsi="宋体" w:cs="宋体"/>
        </w:rPr>
      </w:pPr>
      <w:r>
        <w:rPr>
          <w:rFonts w:hint="eastAsia" w:ascii="宋体" w:hAnsi="宋体" w:cs="宋体"/>
          <w:sz w:val="24"/>
        </w:rPr>
        <w:t>根据本章第4款和第5款对竞争性磋商文件所作的澄清、修改，构成竞争性磋商文件的组成部分。</w:t>
      </w:r>
    </w:p>
    <w:p w14:paraId="0E107EAA">
      <w:pPr>
        <w:spacing w:line="360" w:lineRule="auto"/>
        <w:rPr>
          <w:rFonts w:ascii="宋体" w:hAnsi="宋体" w:cs="宋体"/>
          <w:sz w:val="24"/>
          <w:szCs w:val="24"/>
        </w:rPr>
      </w:pPr>
      <w:r>
        <w:rPr>
          <w:rFonts w:hint="eastAsia" w:ascii="宋体" w:hAnsi="宋体" w:cs="宋体"/>
          <w:sz w:val="24"/>
          <w:szCs w:val="24"/>
        </w:rPr>
        <w:t>4.磋商文件的澄清</w:t>
      </w:r>
    </w:p>
    <w:p w14:paraId="35A43D96">
      <w:pPr>
        <w:tabs>
          <w:tab w:val="left" w:pos="0"/>
        </w:tabs>
        <w:spacing w:line="360" w:lineRule="auto"/>
        <w:ind w:firstLine="460" w:firstLineChars="192"/>
        <w:rPr>
          <w:rFonts w:ascii="宋体" w:hAnsi="宋体" w:cs="宋体"/>
          <w:sz w:val="24"/>
        </w:rPr>
      </w:pPr>
      <w:r>
        <w:rPr>
          <w:rFonts w:hint="eastAsia" w:ascii="宋体" w:hAnsi="宋体" w:cs="宋体"/>
          <w:sz w:val="24"/>
        </w:rPr>
        <w:t>4.1供应商应仔细阅读和检查竞争性磋商文件的全部内容。如发现缺页或附件不全，应及时向采购人或代理机构提出，以便补齐。如有疑问，应在供应商须知前附表规定的时间前在电子交易系统中提出，要求采购人或</w:t>
      </w:r>
      <w:r>
        <w:rPr>
          <w:rFonts w:hint="eastAsia" w:ascii="宋体" w:hAnsi="宋体" w:cs="宋体"/>
          <w:sz w:val="24"/>
          <w:szCs w:val="24"/>
        </w:rPr>
        <w:t>采购代理机构</w:t>
      </w:r>
      <w:r>
        <w:rPr>
          <w:rFonts w:hint="eastAsia" w:ascii="宋体" w:hAnsi="宋体" w:cs="宋体"/>
          <w:sz w:val="24"/>
        </w:rPr>
        <w:t>对竞争性磋商文件予以澄清。采购人或</w:t>
      </w:r>
      <w:r>
        <w:rPr>
          <w:rFonts w:hint="eastAsia" w:ascii="宋体" w:hAnsi="宋体" w:cs="宋体"/>
          <w:sz w:val="24"/>
          <w:szCs w:val="24"/>
        </w:rPr>
        <w:t>采购代理机构将视情况在供应商须知前附表中所述的响应文件递交截止日期3日前予以答复。</w:t>
      </w:r>
    </w:p>
    <w:p w14:paraId="55EC3A89">
      <w:pPr>
        <w:tabs>
          <w:tab w:val="left" w:pos="0"/>
        </w:tabs>
        <w:spacing w:line="360" w:lineRule="auto"/>
        <w:ind w:firstLine="460" w:firstLineChars="192"/>
        <w:rPr>
          <w:rFonts w:ascii="宋体" w:hAnsi="宋体" w:cs="宋体"/>
          <w:sz w:val="24"/>
        </w:rPr>
      </w:pPr>
      <w:r>
        <w:rPr>
          <w:rFonts w:hint="eastAsia" w:ascii="宋体" w:hAnsi="宋体" w:cs="宋体"/>
          <w:sz w:val="24"/>
        </w:rPr>
        <w:t>4.2竞争性磋商文件的澄清将在供应商须知前附表规定的响应文件递交截止时间5天前在电子交易系统中以澄清形式公示给所有下载竞争性磋商文件的供应商，但不指明澄清问题的来源。如果澄清发出的时间距响应文件递交截止时间不足5天，相应延长响应文件递交截止时间。</w:t>
      </w:r>
    </w:p>
    <w:p w14:paraId="2A539DB9">
      <w:pPr>
        <w:tabs>
          <w:tab w:val="left" w:pos="0"/>
        </w:tabs>
        <w:spacing w:line="360" w:lineRule="auto"/>
        <w:rPr>
          <w:rFonts w:ascii="宋体" w:hAnsi="宋体" w:cs="宋体"/>
          <w:sz w:val="24"/>
        </w:rPr>
      </w:pPr>
      <w:r>
        <w:rPr>
          <w:rFonts w:hint="eastAsia" w:ascii="宋体" w:hAnsi="宋体" w:cs="宋体"/>
          <w:sz w:val="24"/>
        </w:rPr>
        <w:t>5.</w:t>
      </w:r>
      <w:bookmarkStart w:id="13" w:name="_Toc27428620"/>
      <w:bookmarkStart w:id="14" w:name="_Toc43915724"/>
      <w:bookmarkStart w:id="15" w:name="_Toc152045545"/>
      <w:bookmarkStart w:id="16" w:name="_Toc152042321"/>
      <w:bookmarkStart w:id="17" w:name="_Toc179632563"/>
      <w:bookmarkStart w:id="18" w:name="_Toc144974513"/>
      <w:bookmarkStart w:id="19" w:name="_Toc485232614"/>
      <w:bookmarkStart w:id="20" w:name="_Toc43823032"/>
      <w:bookmarkStart w:id="21" w:name="_Toc486261783"/>
      <w:r>
        <w:rPr>
          <w:rFonts w:hint="eastAsia" w:ascii="宋体" w:hAnsi="宋体" w:cs="宋体"/>
          <w:sz w:val="24"/>
        </w:rPr>
        <w:t>竞争性磋商文件的修改</w:t>
      </w:r>
      <w:bookmarkEnd w:id="13"/>
      <w:bookmarkEnd w:id="14"/>
      <w:bookmarkEnd w:id="15"/>
      <w:bookmarkEnd w:id="16"/>
      <w:bookmarkEnd w:id="17"/>
      <w:bookmarkEnd w:id="18"/>
      <w:bookmarkEnd w:id="19"/>
      <w:bookmarkEnd w:id="20"/>
      <w:bookmarkEnd w:id="21"/>
      <w:r>
        <w:rPr>
          <w:rFonts w:hint="eastAsia" w:ascii="宋体" w:hAnsi="宋体" w:cs="宋体"/>
          <w:sz w:val="24"/>
        </w:rPr>
        <w:t>与补充</w:t>
      </w:r>
    </w:p>
    <w:p w14:paraId="19EF8370">
      <w:pPr>
        <w:tabs>
          <w:tab w:val="left" w:pos="0"/>
        </w:tabs>
        <w:spacing w:line="360" w:lineRule="auto"/>
        <w:ind w:firstLine="460" w:firstLineChars="192"/>
        <w:rPr>
          <w:rFonts w:ascii="宋体" w:hAnsi="宋体" w:cs="宋体"/>
          <w:sz w:val="24"/>
        </w:rPr>
      </w:pPr>
      <w:r>
        <w:rPr>
          <w:rFonts w:hint="eastAsia" w:ascii="宋体" w:hAnsi="宋体" w:cs="宋体"/>
          <w:sz w:val="24"/>
        </w:rPr>
        <w:t>在响应文件递交截止时间5天前，采购人可以在电子交易系统中修改竞争性磋商文件，并公示给所有已下载竞争性磋商文件的供应商。如果修改竞争性磋商文件的时间距响应文件递交截止时间不足5天，相应延长响应文件递交截止时间。</w:t>
      </w:r>
    </w:p>
    <w:p w14:paraId="764046F0">
      <w:pPr>
        <w:widowControl/>
        <w:spacing w:line="360" w:lineRule="auto"/>
        <w:outlineLvl w:val="1"/>
        <w:rPr>
          <w:rFonts w:ascii="宋体" w:hAnsi="宋体" w:cs="宋体"/>
          <w:b/>
          <w:kern w:val="0"/>
          <w:sz w:val="28"/>
          <w:szCs w:val="28"/>
        </w:rPr>
      </w:pPr>
      <w:bookmarkStart w:id="22" w:name="_Toc25160829"/>
      <w:bookmarkStart w:id="23" w:name="_Toc25160325"/>
      <w:bookmarkStart w:id="24" w:name="_Toc14770"/>
      <w:r>
        <w:rPr>
          <w:rFonts w:hint="eastAsia" w:ascii="宋体" w:hAnsi="宋体" w:cs="宋体"/>
          <w:b/>
          <w:kern w:val="0"/>
          <w:sz w:val="28"/>
          <w:szCs w:val="28"/>
        </w:rPr>
        <w:t>三、响应文件编制</w:t>
      </w:r>
      <w:bookmarkEnd w:id="22"/>
      <w:bookmarkEnd w:id="23"/>
      <w:bookmarkEnd w:id="24"/>
    </w:p>
    <w:p w14:paraId="29E8AC71">
      <w:pPr>
        <w:tabs>
          <w:tab w:val="left" w:pos="4200"/>
        </w:tabs>
        <w:autoSpaceDE w:val="0"/>
        <w:autoSpaceDN w:val="0"/>
        <w:adjustRightInd w:val="0"/>
        <w:spacing w:before="1" w:line="360" w:lineRule="auto"/>
        <w:ind w:right="-45" w:firstLine="480" w:firstLineChars="200"/>
        <w:rPr>
          <w:rFonts w:ascii="宋体" w:hAnsi="宋体" w:cs="宋体"/>
          <w:bCs/>
          <w:sz w:val="24"/>
          <w:szCs w:val="24"/>
        </w:rPr>
      </w:pPr>
      <w:r>
        <w:rPr>
          <w:rFonts w:hint="eastAsia" w:ascii="宋体" w:hAnsi="宋体" w:cs="宋体"/>
          <w:bCs/>
          <w:sz w:val="24"/>
          <w:szCs w:val="24"/>
        </w:rPr>
        <w:t>供应商应仔细阅读磋商文件中所有的事项、格式、条款和技术要求，按磋商文件要求提出响应文件，并保证所提供的全部资料的真实性。如果响应文件没有按照磋商文件要求提供全部资料，或者响应文件没有对磋商文件在各方面都做出实质性响应，其投标将被拒绝，其风险应由供应商承担。</w:t>
      </w:r>
    </w:p>
    <w:p w14:paraId="0FBDAFDD">
      <w:pPr>
        <w:tabs>
          <w:tab w:val="left" w:pos="4200"/>
        </w:tabs>
        <w:autoSpaceDE w:val="0"/>
        <w:autoSpaceDN w:val="0"/>
        <w:adjustRightInd w:val="0"/>
        <w:spacing w:before="1" w:line="360" w:lineRule="auto"/>
        <w:ind w:right="-214"/>
        <w:rPr>
          <w:rFonts w:ascii="宋体" w:hAnsi="宋体" w:cs="宋体"/>
          <w:bCs/>
          <w:sz w:val="24"/>
          <w:szCs w:val="24"/>
        </w:rPr>
      </w:pPr>
      <w:r>
        <w:rPr>
          <w:rFonts w:hint="eastAsia" w:ascii="宋体" w:hAnsi="宋体" w:cs="宋体"/>
          <w:bCs/>
          <w:sz w:val="24"/>
          <w:szCs w:val="24"/>
        </w:rPr>
        <w:t>1.响应文件的语言及计量单位</w:t>
      </w:r>
    </w:p>
    <w:p w14:paraId="35CC647E">
      <w:pPr>
        <w:tabs>
          <w:tab w:val="left" w:pos="4200"/>
        </w:tabs>
        <w:autoSpaceDE w:val="0"/>
        <w:autoSpaceDN w:val="0"/>
        <w:adjustRightInd w:val="0"/>
        <w:spacing w:before="1" w:line="360" w:lineRule="auto"/>
        <w:ind w:right="-214" w:firstLine="360" w:firstLineChars="150"/>
        <w:rPr>
          <w:rFonts w:ascii="宋体" w:hAnsi="宋体" w:cs="宋体"/>
          <w:bCs/>
          <w:sz w:val="24"/>
          <w:szCs w:val="24"/>
        </w:rPr>
      </w:pPr>
      <w:r>
        <w:rPr>
          <w:rFonts w:hint="eastAsia" w:ascii="宋体" w:hAnsi="宋体" w:cs="宋体"/>
          <w:bCs/>
          <w:sz w:val="24"/>
          <w:szCs w:val="24"/>
        </w:rPr>
        <w:t>1.1除专用术语外，与采购投标有关的语言均使用中文。</w:t>
      </w:r>
    </w:p>
    <w:p w14:paraId="39A5108C">
      <w:pPr>
        <w:tabs>
          <w:tab w:val="left" w:pos="4200"/>
        </w:tabs>
        <w:autoSpaceDE w:val="0"/>
        <w:autoSpaceDN w:val="0"/>
        <w:adjustRightInd w:val="0"/>
        <w:spacing w:before="1" w:line="360" w:lineRule="auto"/>
        <w:ind w:right="-214" w:firstLine="360" w:firstLineChars="150"/>
        <w:rPr>
          <w:rFonts w:ascii="宋体" w:hAnsi="宋体" w:cs="宋体"/>
          <w:bCs/>
          <w:sz w:val="24"/>
          <w:szCs w:val="24"/>
        </w:rPr>
      </w:pPr>
      <w:r>
        <w:rPr>
          <w:rFonts w:hint="eastAsia" w:ascii="宋体" w:hAnsi="宋体" w:cs="宋体"/>
          <w:bCs/>
          <w:sz w:val="24"/>
          <w:szCs w:val="24"/>
        </w:rPr>
        <w:t>1.2所有计量均采用中华人民共和国法定计量单位。</w:t>
      </w:r>
    </w:p>
    <w:p w14:paraId="72FCC20C">
      <w:pPr>
        <w:tabs>
          <w:tab w:val="left" w:pos="4200"/>
        </w:tabs>
        <w:autoSpaceDE w:val="0"/>
        <w:autoSpaceDN w:val="0"/>
        <w:adjustRightInd w:val="0"/>
        <w:spacing w:before="1" w:line="360" w:lineRule="auto"/>
        <w:ind w:right="-45"/>
        <w:rPr>
          <w:rFonts w:ascii="宋体" w:hAnsi="宋体" w:cs="宋体"/>
          <w:bCs/>
          <w:sz w:val="24"/>
          <w:szCs w:val="24"/>
        </w:rPr>
      </w:pPr>
      <w:r>
        <w:rPr>
          <w:rFonts w:hint="eastAsia" w:ascii="宋体" w:hAnsi="宋体" w:cs="宋体"/>
          <w:bCs/>
          <w:sz w:val="24"/>
          <w:szCs w:val="24"/>
        </w:rPr>
        <w:t>2.响应文件的组成</w:t>
      </w:r>
    </w:p>
    <w:p w14:paraId="01D98D29">
      <w:pPr>
        <w:tabs>
          <w:tab w:val="left" w:pos="4200"/>
        </w:tabs>
        <w:autoSpaceDE w:val="0"/>
        <w:autoSpaceDN w:val="0"/>
        <w:adjustRightInd w:val="0"/>
        <w:spacing w:before="1" w:line="360" w:lineRule="auto"/>
        <w:ind w:right="-214" w:firstLine="480" w:firstLineChars="200"/>
        <w:rPr>
          <w:rFonts w:ascii="宋体" w:hAnsi="宋体" w:cs="宋体"/>
          <w:bCs/>
          <w:sz w:val="24"/>
          <w:szCs w:val="24"/>
        </w:rPr>
      </w:pPr>
      <w:r>
        <w:rPr>
          <w:rFonts w:hint="eastAsia" w:ascii="宋体" w:hAnsi="宋体" w:cs="宋体"/>
          <w:bCs/>
          <w:sz w:val="24"/>
          <w:szCs w:val="24"/>
        </w:rPr>
        <w:t>响应文件应按第六章“响应文件格式”进行编写；</w:t>
      </w:r>
    </w:p>
    <w:p w14:paraId="5D002BE3">
      <w:pPr>
        <w:tabs>
          <w:tab w:val="left" w:pos="4200"/>
        </w:tabs>
        <w:autoSpaceDE w:val="0"/>
        <w:autoSpaceDN w:val="0"/>
        <w:adjustRightInd w:val="0"/>
        <w:spacing w:before="1" w:line="360" w:lineRule="auto"/>
        <w:ind w:right="-214" w:firstLine="480" w:firstLineChars="200"/>
        <w:rPr>
          <w:rFonts w:ascii="宋体" w:hAnsi="宋体" w:cs="宋体"/>
          <w:bCs/>
          <w:sz w:val="24"/>
          <w:szCs w:val="24"/>
        </w:rPr>
      </w:pPr>
      <w:r>
        <w:rPr>
          <w:rFonts w:hint="eastAsia" w:ascii="宋体" w:hAnsi="宋体" w:cs="宋体"/>
          <w:bCs/>
          <w:sz w:val="24"/>
          <w:szCs w:val="24"/>
        </w:rPr>
        <w:t>响应文件应当对竞争性磋商文件有关服务期限、磋商有效期、质量、采购内容等实质性内容作出响应。</w:t>
      </w:r>
    </w:p>
    <w:p w14:paraId="44F7B5DF">
      <w:pPr>
        <w:tabs>
          <w:tab w:val="left" w:pos="4200"/>
        </w:tabs>
        <w:autoSpaceDE w:val="0"/>
        <w:autoSpaceDN w:val="0"/>
        <w:adjustRightInd w:val="0"/>
        <w:spacing w:before="1" w:line="360" w:lineRule="auto"/>
        <w:ind w:right="-45"/>
        <w:rPr>
          <w:rFonts w:ascii="宋体" w:hAnsi="宋体" w:cs="宋体"/>
          <w:bCs/>
          <w:sz w:val="24"/>
          <w:szCs w:val="24"/>
        </w:rPr>
      </w:pPr>
      <w:r>
        <w:rPr>
          <w:rFonts w:hint="eastAsia" w:ascii="宋体" w:hAnsi="宋体" w:cs="宋体"/>
          <w:bCs/>
          <w:sz w:val="24"/>
          <w:szCs w:val="24"/>
        </w:rPr>
        <w:t>3.响应文件的格式</w:t>
      </w:r>
    </w:p>
    <w:p w14:paraId="6F7D7659">
      <w:pPr>
        <w:tabs>
          <w:tab w:val="left" w:pos="4200"/>
        </w:tabs>
        <w:autoSpaceDE w:val="0"/>
        <w:autoSpaceDN w:val="0"/>
        <w:adjustRightInd w:val="0"/>
        <w:spacing w:before="1" w:line="360" w:lineRule="auto"/>
        <w:ind w:right="-214" w:firstLine="480" w:firstLineChars="200"/>
        <w:rPr>
          <w:rFonts w:ascii="宋体" w:hAnsi="宋体" w:cs="宋体"/>
          <w:bCs/>
          <w:sz w:val="24"/>
          <w:szCs w:val="24"/>
        </w:rPr>
      </w:pPr>
      <w:r>
        <w:rPr>
          <w:rFonts w:hint="eastAsia" w:ascii="宋体" w:hAnsi="宋体" w:cs="宋体"/>
          <w:bCs/>
          <w:sz w:val="24"/>
          <w:szCs w:val="24"/>
        </w:rPr>
        <w:t>供应商应按磋商文件中提供的响应文件格式填写。</w:t>
      </w:r>
    </w:p>
    <w:p w14:paraId="0D7DE8BF">
      <w:pPr>
        <w:tabs>
          <w:tab w:val="left" w:pos="4200"/>
        </w:tabs>
        <w:autoSpaceDE w:val="0"/>
        <w:autoSpaceDN w:val="0"/>
        <w:adjustRightInd w:val="0"/>
        <w:spacing w:before="1" w:line="360" w:lineRule="auto"/>
        <w:ind w:right="-214"/>
        <w:rPr>
          <w:rFonts w:ascii="宋体" w:hAnsi="宋体" w:cs="宋体"/>
          <w:sz w:val="24"/>
          <w:szCs w:val="24"/>
        </w:rPr>
      </w:pPr>
      <w:r>
        <w:rPr>
          <w:rFonts w:hint="eastAsia" w:ascii="宋体" w:hAnsi="宋体" w:cs="宋体"/>
          <w:bCs/>
          <w:sz w:val="24"/>
          <w:szCs w:val="24"/>
        </w:rPr>
        <w:t>4.</w:t>
      </w:r>
      <w:r>
        <w:rPr>
          <w:rFonts w:hint="eastAsia" w:ascii="宋体" w:hAnsi="宋体" w:cs="宋体"/>
          <w:sz w:val="24"/>
          <w:szCs w:val="24"/>
        </w:rPr>
        <w:t>磋商报价</w:t>
      </w:r>
    </w:p>
    <w:p w14:paraId="5F069F9E">
      <w:pPr>
        <w:tabs>
          <w:tab w:val="left" w:pos="4200"/>
        </w:tabs>
        <w:autoSpaceDE w:val="0"/>
        <w:autoSpaceDN w:val="0"/>
        <w:adjustRightInd w:val="0"/>
        <w:spacing w:before="1" w:line="360" w:lineRule="auto"/>
        <w:ind w:right="-45" w:firstLine="480" w:firstLineChars="200"/>
        <w:rPr>
          <w:rFonts w:ascii="宋体" w:hAnsi="宋体" w:cs="宋体"/>
          <w:bCs/>
          <w:sz w:val="24"/>
          <w:szCs w:val="24"/>
        </w:rPr>
      </w:pPr>
      <w:r>
        <w:rPr>
          <w:rFonts w:hint="eastAsia" w:ascii="宋体" w:hAnsi="宋体" w:cs="宋体"/>
          <w:bCs/>
          <w:sz w:val="24"/>
          <w:szCs w:val="24"/>
        </w:rPr>
        <w:t>4.1供应商的投标报价考虑人员费、节假日和重大活动保安人员的费用、食宿费、加班费、福利、业务培训费、设备费、设备折旧费、服装费、保险费、利润、管理费、税金、办公经费等供应商在服务管理过程中可能发生的所有费用；</w:t>
      </w:r>
    </w:p>
    <w:p w14:paraId="2A26A9B7">
      <w:pPr>
        <w:tabs>
          <w:tab w:val="left" w:pos="4200"/>
        </w:tabs>
        <w:autoSpaceDE w:val="0"/>
        <w:autoSpaceDN w:val="0"/>
        <w:adjustRightInd w:val="0"/>
        <w:spacing w:before="1" w:line="360" w:lineRule="auto"/>
        <w:ind w:right="-45"/>
        <w:rPr>
          <w:rFonts w:ascii="宋体" w:hAnsi="宋体" w:cs="宋体"/>
          <w:bCs/>
          <w:sz w:val="24"/>
          <w:szCs w:val="24"/>
        </w:rPr>
      </w:pPr>
      <w:r>
        <w:rPr>
          <w:rFonts w:hint="eastAsia" w:ascii="宋体" w:hAnsi="宋体" w:cs="宋体"/>
          <w:bCs/>
          <w:sz w:val="24"/>
          <w:szCs w:val="24"/>
        </w:rPr>
        <w:t xml:space="preserve">    4.2因供应商对本项目拟投入各项费用考虑不足导致中标后的费用增加的，采购人不予支付；</w:t>
      </w:r>
    </w:p>
    <w:p w14:paraId="2AFC0BE4">
      <w:pPr>
        <w:tabs>
          <w:tab w:val="left" w:pos="4200"/>
        </w:tabs>
        <w:autoSpaceDE w:val="0"/>
        <w:autoSpaceDN w:val="0"/>
        <w:adjustRightInd w:val="0"/>
        <w:spacing w:before="1" w:line="360" w:lineRule="auto"/>
        <w:ind w:right="-45"/>
        <w:rPr>
          <w:rFonts w:ascii="宋体" w:hAnsi="宋体" w:cs="宋体"/>
          <w:bCs/>
          <w:sz w:val="24"/>
          <w:szCs w:val="24"/>
        </w:rPr>
      </w:pPr>
      <w:r>
        <w:rPr>
          <w:rFonts w:hint="eastAsia" w:ascii="宋体" w:hAnsi="宋体" w:cs="宋体"/>
          <w:bCs/>
          <w:sz w:val="24"/>
          <w:szCs w:val="24"/>
        </w:rPr>
        <w:t xml:space="preserve">    4.3供应商的投标报价应结合各自的自身实力、市场行情、招标文件服务要求规定的内容等综合考虑后自主报价；</w:t>
      </w:r>
    </w:p>
    <w:p w14:paraId="0C0C88E0">
      <w:pPr>
        <w:tabs>
          <w:tab w:val="left" w:pos="4200"/>
        </w:tabs>
        <w:autoSpaceDE w:val="0"/>
        <w:autoSpaceDN w:val="0"/>
        <w:adjustRightInd w:val="0"/>
        <w:spacing w:before="1" w:line="360" w:lineRule="auto"/>
        <w:ind w:right="-45" w:firstLine="480"/>
        <w:rPr>
          <w:rFonts w:ascii="宋体" w:hAnsi="宋体" w:cs="宋体"/>
          <w:bCs/>
          <w:sz w:val="24"/>
          <w:szCs w:val="24"/>
        </w:rPr>
      </w:pPr>
      <w:r>
        <w:rPr>
          <w:rFonts w:hint="eastAsia" w:ascii="宋体" w:hAnsi="宋体" w:cs="宋体"/>
          <w:bCs/>
          <w:sz w:val="24"/>
          <w:szCs w:val="24"/>
        </w:rPr>
        <w:t>4.4供应商对该项目根据市场行情自主报价。第一次报价为磋商响应文件中的报价，之后轮次的报价在磋商中填报，</w:t>
      </w:r>
      <w:r>
        <w:rPr>
          <w:rFonts w:hint="eastAsia" w:ascii="宋体" w:hAnsi="宋体" w:cs="宋体"/>
          <w:sz w:val="24"/>
          <w:szCs w:val="24"/>
        </w:rPr>
        <w:t>磋商轮次报价由磋商小组视情况决定，经磋商确定由供应商提出最后报价</w:t>
      </w:r>
      <w:r>
        <w:rPr>
          <w:rFonts w:hint="eastAsia" w:ascii="宋体" w:hAnsi="宋体" w:cs="宋体"/>
          <w:bCs/>
          <w:sz w:val="24"/>
          <w:szCs w:val="24"/>
        </w:rPr>
        <w:t>，中标后不再调整。</w:t>
      </w:r>
    </w:p>
    <w:p w14:paraId="4C5B4B52">
      <w:pPr>
        <w:spacing w:line="360" w:lineRule="auto"/>
        <w:rPr>
          <w:rFonts w:ascii="宋体" w:hAnsi="宋体" w:cs="宋体"/>
          <w:bCs/>
          <w:kern w:val="0"/>
          <w:sz w:val="24"/>
          <w:szCs w:val="24"/>
        </w:rPr>
      </w:pPr>
      <w:r>
        <w:rPr>
          <w:rFonts w:hint="eastAsia" w:ascii="宋体" w:hAnsi="宋体" w:cs="宋体"/>
          <w:bCs/>
          <w:snapToGrid w:val="0"/>
          <w:kern w:val="0"/>
          <w:sz w:val="24"/>
          <w:szCs w:val="24"/>
        </w:rPr>
        <w:t>5</w:t>
      </w:r>
      <w:r>
        <w:rPr>
          <w:rFonts w:hint="eastAsia" w:ascii="宋体" w:hAnsi="宋体" w:cs="宋体"/>
          <w:bCs/>
          <w:kern w:val="0"/>
          <w:sz w:val="24"/>
          <w:szCs w:val="24"/>
        </w:rPr>
        <w:t>.投标货币</w:t>
      </w:r>
    </w:p>
    <w:p w14:paraId="608523AC">
      <w:pPr>
        <w:tabs>
          <w:tab w:val="left" w:pos="4200"/>
        </w:tabs>
        <w:autoSpaceDE w:val="0"/>
        <w:autoSpaceDN w:val="0"/>
        <w:adjustRightInd w:val="0"/>
        <w:spacing w:before="1" w:line="360" w:lineRule="auto"/>
        <w:ind w:right="-214" w:firstLine="480" w:firstLineChars="200"/>
        <w:rPr>
          <w:rFonts w:ascii="宋体" w:hAnsi="宋体" w:cs="宋体"/>
          <w:bCs/>
          <w:kern w:val="0"/>
          <w:sz w:val="24"/>
          <w:szCs w:val="24"/>
        </w:rPr>
      </w:pPr>
      <w:r>
        <w:rPr>
          <w:rFonts w:hint="eastAsia" w:ascii="宋体" w:hAnsi="宋体" w:cs="宋体"/>
          <w:bCs/>
          <w:kern w:val="0"/>
          <w:sz w:val="24"/>
          <w:szCs w:val="24"/>
        </w:rPr>
        <w:t>供应商应以人民币磋商报价。</w:t>
      </w:r>
    </w:p>
    <w:p w14:paraId="706FEE95">
      <w:pPr>
        <w:tabs>
          <w:tab w:val="left" w:pos="4200"/>
        </w:tabs>
        <w:autoSpaceDE w:val="0"/>
        <w:autoSpaceDN w:val="0"/>
        <w:adjustRightInd w:val="0"/>
        <w:spacing w:before="1" w:line="360" w:lineRule="auto"/>
        <w:ind w:right="-214"/>
        <w:rPr>
          <w:rFonts w:ascii="宋体" w:hAnsi="宋体" w:cs="宋体"/>
          <w:bCs/>
          <w:kern w:val="0"/>
          <w:sz w:val="24"/>
          <w:szCs w:val="24"/>
        </w:rPr>
      </w:pPr>
      <w:r>
        <w:rPr>
          <w:rFonts w:hint="eastAsia" w:ascii="宋体" w:hAnsi="宋体" w:cs="宋体"/>
          <w:bCs/>
          <w:kern w:val="0"/>
          <w:sz w:val="24"/>
          <w:szCs w:val="24"/>
        </w:rPr>
        <w:t>6.供应商资格的证明文件</w:t>
      </w:r>
    </w:p>
    <w:p w14:paraId="28E6696F">
      <w:pPr>
        <w:spacing w:line="360" w:lineRule="auto"/>
        <w:ind w:firstLine="480" w:firstLineChars="200"/>
        <w:rPr>
          <w:rFonts w:ascii="宋体" w:hAnsi="宋体" w:cs="宋体"/>
          <w:bCs/>
          <w:sz w:val="24"/>
          <w:szCs w:val="24"/>
        </w:rPr>
      </w:pPr>
      <w:r>
        <w:rPr>
          <w:rFonts w:hint="eastAsia" w:ascii="宋体" w:hAnsi="宋体" w:cs="宋体"/>
          <w:bCs/>
          <w:sz w:val="24"/>
          <w:szCs w:val="24"/>
        </w:rPr>
        <w:t>按照磋商文件要求提交相应的资格证明文件，作为响应文件的一部分，以证明其供应商有资格进行投标和有能力履行合同。</w:t>
      </w:r>
    </w:p>
    <w:p w14:paraId="7B1D4A19">
      <w:pPr>
        <w:tabs>
          <w:tab w:val="left" w:pos="4200"/>
        </w:tabs>
        <w:autoSpaceDE w:val="0"/>
        <w:autoSpaceDN w:val="0"/>
        <w:adjustRightInd w:val="0"/>
        <w:spacing w:before="1" w:line="360" w:lineRule="auto"/>
        <w:ind w:right="-214"/>
        <w:rPr>
          <w:rFonts w:ascii="宋体" w:hAnsi="宋体" w:cs="宋体"/>
          <w:bCs/>
          <w:kern w:val="0"/>
          <w:sz w:val="24"/>
          <w:szCs w:val="24"/>
        </w:rPr>
      </w:pPr>
      <w:r>
        <w:rPr>
          <w:rFonts w:hint="eastAsia" w:ascii="宋体" w:hAnsi="宋体" w:cs="宋体"/>
          <w:bCs/>
          <w:kern w:val="0"/>
          <w:sz w:val="24"/>
          <w:szCs w:val="24"/>
        </w:rPr>
        <w:t>7.磋商保证金：</w:t>
      </w:r>
      <w:r>
        <w:rPr>
          <w:rFonts w:hint="eastAsia" w:ascii="宋体" w:hAnsi="宋体" w:cs="宋体"/>
          <w:bCs/>
          <w:sz w:val="24"/>
          <w:szCs w:val="24"/>
        </w:rPr>
        <w:t>根据豫财购【2019】4号“降低供应商与政府采购活动交易成本（六）取消政府采购投标保证金。自2019年8月1日起，在全省政府采购货物和服务采购投标活动中，不再向供应商收取投标保证金。非采购采购方式货物、工程和服务的，也不再向供应商收取保证金。”的规定，</w:t>
      </w:r>
      <w:r>
        <w:rPr>
          <w:rFonts w:hint="eastAsia" w:ascii="宋体" w:hAnsi="宋体" w:cs="宋体"/>
          <w:b/>
          <w:sz w:val="24"/>
          <w:szCs w:val="24"/>
        </w:rPr>
        <w:t>该项目不再收取磋商保证金。</w:t>
      </w:r>
    </w:p>
    <w:p w14:paraId="4AF0541D">
      <w:pPr>
        <w:tabs>
          <w:tab w:val="left" w:pos="4200"/>
        </w:tabs>
        <w:autoSpaceDE w:val="0"/>
        <w:autoSpaceDN w:val="0"/>
        <w:adjustRightInd w:val="0"/>
        <w:spacing w:before="1" w:line="360" w:lineRule="auto"/>
        <w:ind w:right="-214"/>
        <w:rPr>
          <w:rFonts w:ascii="宋体" w:hAnsi="宋体" w:cs="宋体"/>
          <w:bCs/>
          <w:kern w:val="0"/>
          <w:sz w:val="24"/>
          <w:szCs w:val="24"/>
        </w:rPr>
      </w:pPr>
      <w:r>
        <w:rPr>
          <w:rFonts w:hint="eastAsia" w:ascii="宋体" w:hAnsi="宋体" w:cs="宋体"/>
          <w:bCs/>
          <w:kern w:val="0"/>
          <w:sz w:val="24"/>
          <w:szCs w:val="24"/>
        </w:rPr>
        <w:t>8.磋商有效期</w:t>
      </w:r>
    </w:p>
    <w:p w14:paraId="641BCD6A">
      <w:pPr>
        <w:spacing w:line="360" w:lineRule="auto"/>
        <w:rPr>
          <w:rFonts w:ascii="宋体" w:hAnsi="宋体" w:cs="宋体"/>
          <w:bCs/>
          <w:sz w:val="24"/>
          <w:szCs w:val="24"/>
        </w:rPr>
      </w:pPr>
      <w:r>
        <w:rPr>
          <w:rFonts w:hint="eastAsia" w:ascii="宋体" w:hAnsi="宋体" w:cs="宋体"/>
          <w:bCs/>
          <w:sz w:val="24"/>
          <w:szCs w:val="24"/>
        </w:rPr>
        <w:t xml:space="preserve">    8.1</w:t>
      </w:r>
      <w:r>
        <w:rPr>
          <w:rFonts w:hint="eastAsia" w:ascii="宋体" w:hAnsi="宋体" w:cs="宋体"/>
          <w:sz w:val="24"/>
        </w:rPr>
        <w:t>在供应商须知前附表规定的磋商有效期内，供应商不得要求撤销或修改其竞争性磋商响应文件。</w:t>
      </w:r>
    </w:p>
    <w:p w14:paraId="0E74F5E5">
      <w:pPr>
        <w:spacing w:line="360" w:lineRule="auto"/>
        <w:ind w:firstLine="480" w:firstLineChars="200"/>
        <w:rPr>
          <w:rFonts w:ascii="宋体" w:hAnsi="宋体" w:cs="宋体"/>
          <w:bCs/>
          <w:sz w:val="24"/>
          <w:szCs w:val="24"/>
        </w:rPr>
      </w:pPr>
      <w:r>
        <w:rPr>
          <w:rFonts w:hint="eastAsia" w:ascii="宋体" w:hAnsi="宋体" w:cs="宋体"/>
          <w:bCs/>
          <w:sz w:val="24"/>
          <w:szCs w:val="24"/>
        </w:rPr>
        <w:t>8.2特殊情况下</w:t>
      </w:r>
      <w:r>
        <w:rPr>
          <w:rFonts w:hint="eastAsia" w:ascii="宋体" w:hAnsi="宋体" w:cs="宋体"/>
          <w:sz w:val="24"/>
        </w:rPr>
        <w:t>需要延长磋商有效期的</w:t>
      </w:r>
      <w:r>
        <w:rPr>
          <w:rFonts w:hint="eastAsia" w:ascii="宋体" w:hAnsi="宋体" w:cs="宋体"/>
          <w:bCs/>
          <w:sz w:val="24"/>
          <w:szCs w:val="24"/>
        </w:rPr>
        <w:t>，采购人在原定磋商有效期内，在电子交易系统中向供应商提出延长有效期的要求。供应商可以拒绝这种要求，</w:t>
      </w:r>
      <w:r>
        <w:rPr>
          <w:rFonts w:hint="eastAsia" w:ascii="宋体" w:hAnsi="宋体" w:cs="宋体"/>
          <w:sz w:val="24"/>
        </w:rPr>
        <w:t>拒绝延长的，其磋商失效；</w:t>
      </w:r>
      <w:r>
        <w:rPr>
          <w:rFonts w:hint="eastAsia" w:ascii="宋体" w:hAnsi="宋体" w:cs="宋体"/>
          <w:bCs/>
          <w:sz w:val="24"/>
          <w:szCs w:val="24"/>
        </w:rPr>
        <w:t>同意延长磋商有效期的供应商不能要求也不允许修改其投标文件。</w:t>
      </w:r>
    </w:p>
    <w:p w14:paraId="76943FAD">
      <w:pPr>
        <w:tabs>
          <w:tab w:val="left" w:pos="4200"/>
        </w:tabs>
        <w:autoSpaceDE w:val="0"/>
        <w:autoSpaceDN w:val="0"/>
        <w:adjustRightInd w:val="0"/>
        <w:spacing w:before="1" w:line="360" w:lineRule="auto"/>
        <w:ind w:right="-45"/>
        <w:rPr>
          <w:rFonts w:ascii="宋体" w:hAnsi="宋体" w:cs="宋体"/>
          <w:bCs/>
          <w:kern w:val="0"/>
          <w:sz w:val="24"/>
          <w:szCs w:val="24"/>
        </w:rPr>
      </w:pPr>
      <w:r>
        <w:rPr>
          <w:rFonts w:hint="eastAsia" w:ascii="宋体" w:hAnsi="宋体" w:cs="宋体"/>
          <w:bCs/>
          <w:kern w:val="0"/>
          <w:sz w:val="24"/>
          <w:szCs w:val="24"/>
        </w:rPr>
        <w:t>9.响应文件的签署</w:t>
      </w:r>
    </w:p>
    <w:p w14:paraId="38693689">
      <w:pPr>
        <w:tabs>
          <w:tab w:val="left" w:pos="4200"/>
        </w:tabs>
        <w:autoSpaceDE w:val="0"/>
        <w:autoSpaceDN w:val="0"/>
        <w:adjustRightInd w:val="0"/>
        <w:spacing w:before="1" w:line="360" w:lineRule="auto"/>
        <w:ind w:right="-45" w:firstLine="480" w:firstLineChars="200"/>
        <w:rPr>
          <w:rFonts w:ascii="宋体" w:hAnsi="宋体" w:cs="宋体"/>
          <w:bCs/>
          <w:kern w:val="0"/>
          <w:sz w:val="24"/>
          <w:szCs w:val="24"/>
        </w:rPr>
      </w:pPr>
      <w:r>
        <w:rPr>
          <w:rFonts w:hint="eastAsia" w:ascii="宋体" w:hAnsi="宋体" w:cs="宋体"/>
          <w:bCs/>
          <w:kern w:val="0"/>
          <w:sz w:val="24"/>
          <w:szCs w:val="24"/>
        </w:rPr>
        <w:t>响应文件须</w:t>
      </w:r>
      <w:r>
        <w:rPr>
          <w:rFonts w:hint="eastAsia" w:ascii="宋体" w:hAnsi="宋体" w:cs="宋体"/>
          <w:kern w:val="0"/>
          <w:sz w:val="24"/>
          <w:szCs w:val="24"/>
        </w:rPr>
        <w:t>由供应商的</w:t>
      </w:r>
      <w:r>
        <w:rPr>
          <w:rFonts w:hint="eastAsia" w:ascii="宋体" w:hAnsi="宋体" w:cs="宋体"/>
          <w:bCs/>
          <w:kern w:val="0"/>
          <w:sz w:val="24"/>
          <w:szCs w:val="24"/>
        </w:rPr>
        <w:t>法定代表人或其授权代理人签字和加盖单位公章。</w:t>
      </w:r>
    </w:p>
    <w:p w14:paraId="0A30AB80">
      <w:pPr>
        <w:widowControl/>
        <w:spacing w:line="360" w:lineRule="auto"/>
        <w:outlineLvl w:val="1"/>
        <w:rPr>
          <w:rFonts w:ascii="宋体" w:hAnsi="宋体" w:cs="宋体"/>
          <w:b/>
          <w:kern w:val="0"/>
          <w:sz w:val="28"/>
          <w:szCs w:val="28"/>
        </w:rPr>
      </w:pPr>
      <w:bookmarkStart w:id="25" w:name="_Toc25160326"/>
      <w:bookmarkStart w:id="26" w:name="_Toc32174"/>
      <w:bookmarkStart w:id="27" w:name="_Toc25160830"/>
      <w:r>
        <w:rPr>
          <w:rFonts w:hint="eastAsia" w:ascii="宋体" w:hAnsi="宋体" w:cs="宋体"/>
          <w:b/>
          <w:kern w:val="0"/>
          <w:sz w:val="28"/>
          <w:szCs w:val="28"/>
        </w:rPr>
        <w:t>四、响应文件递交</w:t>
      </w:r>
      <w:bookmarkEnd w:id="25"/>
      <w:bookmarkEnd w:id="26"/>
      <w:bookmarkEnd w:id="27"/>
    </w:p>
    <w:p w14:paraId="5C55F015">
      <w:pPr>
        <w:tabs>
          <w:tab w:val="left" w:pos="4200"/>
        </w:tabs>
        <w:autoSpaceDE w:val="0"/>
        <w:autoSpaceDN w:val="0"/>
        <w:adjustRightInd w:val="0"/>
        <w:spacing w:before="1" w:line="360" w:lineRule="auto"/>
        <w:ind w:right="-214"/>
        <w:rPr>
          <w:rFonts w:ascii="宋体" w:hAnsi="宋体" w:cs="宋体"/>
          <w:bCs/>
          <w:kern w:val="0"/>
          <w:sz w:val="24"/>
          <w:szCs w:val="24"/>
        </w:rPr>
      </w:pPr>
      <w:r>
        <w:rPr>
          <w:rFonts w:hint="eastAsia" w:ascii="宋体" w:hAnsi="宋体" w:cs="宋体"/>
          <w:bCs/>
          <w:kern w:val="0"/>
          <w:sz w:val="24"/>
          <w:szCs w:val="24"/>
        </w:rPr>
        <w:t>1.响应文件的编制</w:t>
      </w:r>
    </w:p>
    <w:p w14:paraId="7F731A1C">
      <w:pPr>
        <w:tabs>
          <w:tab w:val="left" w:pos="4200"/>
        </w:tabs>
        <w:autoSpaceDE w:val="0"/>
        <w:autoSpaceDN w:val="0"/>
        <w:adjustRightInd w:val="0"/>
        <w:spacing w:before="1" w:line="360" w:lineRule="auto"/>
        <w:ind w:right="-214" w:firstLine="480" w:firstLineChars="200"/>
        <w:rPr>
          <w:rFonts w:ascii="宋体" w:hAnsi="宋体" w:cs="宋体"/>
          <w:bCs/>
          <w:kern w:val="0"/>
          <w:sz w:val="24"/>
          <w:szCs w:val="24"/>
        </w:rPr>
      </w:pPr>
      <w:r>
        <w:rPr>
          <w:rFonts w:hint="eastAsia" w:ascii="宋体" w:hAnsi="宋体" w:cs="宋体"/>
          <w:bCs/>
          <w:kern w:val="0"/>
          <w:sz w:val="24"/>
          <w:szCs w:val="24"/>
        </w:rPr>
        <w:t>供应商应将响应文件编制成电子投标文件上传。</w:t>
      </w:r>
    </w:p>
    <w:p w14:paraId="42B73948">
      <w:pPr>
        <w:tabs>
          <w:tab w:val="left" w:pos="4200"/>
        </w:tabs>
        <w:autoSpaceDE w:val="0"/>
        <w:autoSpaceDN w:val="0"/>
        <w:adjustRightInd w:val="0"/>
        <w:spacing w:before="1" w:line="360" w:lineRule="auto"/>
        <w:ind w:right="-214"/>
        <w:rPr>
          <w:rFonts w:ascii="宋体" w:hAnsi="宋体" w:cs="宋体"/>
          <w:bCs/>
          <w:kern w:val="0"/>
          <w:sz w:val="24"/>
          <w:szCs w:val="24"/>
        </w:rPr>
      </w:pPr>
      <w:r>
        <w:rPr>
          <w:rFonts w:hint="eastAsia" w:ascii="宋体" w:hAnsi="宋体" w:cs="宋体"/>
          <w:bCs/>
          <w:kern w:val="0"/>
          <w:sz w:val="24"/>
          <w:szCs w:val="24"/>
        </w:rPr>
        <w:t>2.响应文件的递交</w:t>
      </w:r>
    </w:p>
    <w:p w14:paraId="48029EB5">
      <w:pPr>
        <w:tabs>
          <w:tab w:val="left" w:pos="4200"/>
        </w:tabs>
        <w:autoSpaceDE w:val="0"/>
        <w:autoSpaceDN w:val="0"/>
        <w:adjustRightInd w:val="0"/>
        <w:spacing w:before="1" w:line="360" w:lineRule="auto"/>
        <w:ind w:right="-214" w:firstLine="480" w:firstLineChars="200"/>
        <w:rPr>
          <w:rFonts w:ascii="宋体" w:hAnsi="宋体" w:cs="宋体"/>
          <w:bCs/>
          <w:kern w:val="0"/>
          <w:sz w:val="24"/>
          <w:szCs w:val="24"/>
        </w:rPr>
      </w:pPr>
      <w:r>
        <w:rPr>
          <w:rFonts w:hint="eastAsia" w:ascii="宋体" w:hAnsi="宋体" w:cs="宋体"/>
          <w:bCs/>
          <w:kern w:val="0"/>
          <w:sz w:val="24"/>
          <w:szCs w:val="24"/>
        </w:rPr>
        <w:t>供应商在响应文件递交截止时间前应将响应文件电子版上传至平顶山公共资源电子化交易系统，逾期上传的将不予受理。</w:t>
      </w:r>
    </w:p>
    <w:p w14:paraId="0AE0A92C">
      <w:pPr>
        <w:tabs>
          <w:tab w:val="left" w:pos="4200"/>
        </w:tabs>
        <w:autoSpaceDE w:val="0"/>
        <w:autoSpaceDN w:val="0"/>
        <w:adjustRightInd w:val="0"/>
        <w:spacing w:before="1" w:line="360" w:lineRule="auto"/>
        <w:ind w:right="-214"/>
        <w:rPr>
          <w:rFonts w:ascii="宋体" w:hAnsi="宋体" w:cs="宋体"/>
          <w:bCs/>
          <w:kern w:val="0"/>
          <w:sz w:val="24"/>
          <w:szCs w:val="24"/>
        </w:rPr>
      </w:pPr>
      <w:r>
        <w:rPr>
          <w:rFonts w:hint="eastAsia" w:ascii="宋体" w:hAnsi="宋体" w:cs="宋体"/>
          <w:bCs/>
          <w:kern w:val="0"/>
          <w:sz w:val="24"/>
          <w:szCs w:val="24"/>
        </w:rPr>
        <w:t>3.响应文件递交的截止时间</w:t>
      </w:r>
    </w:p>
    <w:p w14:paraId="7DE6CD0E">
      <w:pPr>
        <w:tabs>
          <w:tab w:val="left" w:pos="4200"/>
        </w:tabs>
        <w:autoSpaceDE w:val="0"/>
        <w:autoSpaceDN w:val="0"/>
        <w:adjustRightInd w:val="0"/>
        <w:spacing w:before="1" w:line="360" w:lineRule="auto"/>
        <w:ind w:right="-214" w:firstLine="480" w:firstLineChars="200"/>
        <w:rPr>
          <w:rFonts w:ascii="宋体" w:hAnsi="宋体" w:cs="宋体"/>
          <w:bCs/>
          <w:kern w:val="0"/>
          <w:sz w:val="24"/>
          <w:szCs w:val="24"/>
        </w:rPr>
      </w:pPr>
      <w:r>
        <w:rPr>
          <w:rFonts w:hint="eastAsia" w:ascii="宋体" w:hAnsi="宋体" w:cs="宋体"/>
          <w:bCs/>
          <w:kern w:val="0"/>
          <w:sz w:val="24"/>
          <w:szCs w:val="24"/>
        </w:rPr>
        <w:t>供应商应按磋商文件规定的磋商截止时间之前将磋商响应文件电子版上传至平顶山公共资源电子化交易系统。</w:t>
      </w:r>
    </w:p>
    <w:p w14:paraId="61C50B47">
      <w:pPr>
        <w:tabs>
          <w:tab w:val="left" w:pos="4200"/>
        </w:tabs>
        <w:autoSpaceDE w:val="0"/>
        <w:autoSpaceDN w:val="0"/>
        <w:adjustRightInd w:val="0"/>
        <w:spacing w:before="1" w:line="360" w:lineRule="auto"/>
        <w:ind w:right="-214"/>
        <w:rPr>
          <w:rFonts w:ascii="宋体" w:hAnsi="宋体" w:cs="宋体"/>
          <w:bCs/>
          <w:kern w:val="0"/>
          <w:sz w:val="24"/>
          <w:szCs w:val="24"/>
        </w:rPr>
      </w:pPr>
      <w:r>
        <w:rPr>
          <w:rFonts w:hint="eastAsia" w:ascii="宋体" w:hAnsi="宋体" w:cs="宋体"/>
          <w:bCs/>
          <w:kern w:val="0"/>
          <w:sz w:val="24"/>
          <w:szCs w:val="24"/>
        </w:rPr>
        <w:t>4.逾期上传的电子响应文件</w:t>
      </w:r>
    </w:p>
    <w:p w14:paraId="419F6AE2">
      <w:pPr>
        <w:tabs>
          <w:tab w:val="left" w:pos="4200"/>
        </w:tabs>
        <w:autoSpaceDE w:val="0"/>
        <w:autoSpaceDN w:val="0"/>
        <w:adjustRightInd w:val="0"/>
        <w:spacing w:before="1" w:line="360" w:lineRule="auto"/>
        <w:ind w:right="-214" w:firstLine="480" w:firstLineChars="200"/>
        <w:rPr>
          <w:rFonts w:ascii="宋体" w:hAnsi="宋体" w:cs="宋体"/>
          <w:bCs/>
          <w:kern w:val="0"/>
          <w:sz w:val="24"/>
          <w:szCs w:val="24"/>
        </w:rPr>
      </w:pPr>
      <w:r>
        <w:rPr>
          <w:rFonts w:hint="eastAsia" w:ascii="宋体" w:hAnsi="宋体" w:cs="宋体"/>
          <w:bCs/>
          <w:kern w:val="0"/>
          <w:sz w:val="24"/>
          <w:szCs w:val="24"/>
        </w:rPr>
        <w:t>在磋商截止时间后上传的电子磋商响应文件，采购人将不予接受。</w:t>
      </w:r>
    </w:p>
    <w:p w14:paraId="2A983943">
      <w:pPr>
        <w:tabs>
          <w:tab w:val="left" w:pos="4200"/>
        </w:tabs>
        <w:autoSpaceDE w:val="0"/>
        <w:autoSpaceDN w:val="0"/>
        <w:adjustRightInd w:val="0"/>
        <w:spacing w:before="1" w:line="360" w:lineRule="auto"/>
        <w:ind w:right="-214"/>
        <w:rPr>
          <w:rFonts w:ascii="宋体" w:hAnsi="宋体" w:cs="宋体"/>
          <w:bCs/>
          <w:kern w:val="0"/>
          <w:sz w:val="24"/>
          <w:szCs w:val="24"/>
        </w:rPr>
      </w:pPr>
      <w:r>
        <w:rPr>
          <w:rFonts w:hint="eastAsia" w:ascii="宋体" w:hAnsi="宋体" w:cs="宋体"/>
          <w:bCs/>
          <w:kern w:val="0"/>
          <w:sz w:val="24"/>
          <w:szCs w:val="24"/>
        </w:rPr>
        <w:t>5.响应文件的修改或撤回</w:t>
      </w:r>
    </w:p>
    <w:p w14:paraId="23F09E48">
      <w:pPr>
        <w:tabs>
          <w:tab w:val="left" w:pos="4200"/>
        </w:tabs>
        <w:autoSpaceDE w:val="0"/>
        <w:autoSpaceDN w:val="0"/>
        <w:adjustRightInd w:val="0"/>
        <w:spacing w:before="1" w:line="360" w:lineRule="auto"/>
        <w:ind w:right="-214" w:firstLine="480" w:firstLineChars="200"/>
        <w:rPr>
          <w:rFonts w:ascii="宋体" w:hAnsi="宋体" w:cs="宋体"/>
          <w:bCs/>
          <w:sz w:val="24"/>
          <w:szCs w:val="24"/>
        </w:rPr>
      </w:pPr>
      <w:r>
        <w:rPr>
          <w:rFonts w:hint="eastAsia" w:ascii="宋体" w:hAnsi="宋体" w:cs="宋体"/>
          <w:bCs/>
          <w:sz w:val="24"/>
          <w:szCs w:val="24"/>
        </w:rPr>
        <w:t>5.1供应商在规定的投标截止日期前，可以修改或撤回其响应文件。</w:t>
      </w:r>
    </w:p>
    <w:p w14:paraId="002E830A">
      <w:pPr>
        <w:tabs>
          <w:tab w:val="left" w:pos="4200"/>
        </w:tabs>
        <w:autoSpaceDE w:val="0"/>
        <w:autoSpaceDN w:val="0"/>
        <w:adjustRightInd w:val="0"/>
        <w:spacing w:before="1" w:line="360" w:lineRule="auto"/>
        <w:ind w:right="-214" w:firstLine="480" w:firstLineChars="200"/>
        <w:rPr>
          <w:rFonts w:ascii="宋体" w:hAnsi="宋体" w:cs="宋体"/>
          <w:bCs/>
          <w:sz w:val="24"/>
          <w:szCs w:val="24"/>
        </w:rPr>
      </w:pPr>
      <w:r>
        <w:rPr>
          <w:rFonts w:hint="eastAsia" w:ascii="宋体" w:hAnsi="宋体" w:cs="宋体"/>
          <w:bCs/>
          <w:sz w:val="24"/>
          <w:szCs w:val="24"/>
        </w:rPr>
        <w:t>5.2修改的内容为响应文件的组成部分。</w:t>
      </w:r>
    </w:p>
    <w:p w14:paraId="51671BA5">
      <w:pPr>
        <w:widowControl/>
        <w:numPr>
          <w:ilvl w:val="0"/>
          <w:numId w:val="3"/>
        </w:numPr>
        <w:spacing w:line="360" w:lineRule="auto"/>
        <w:outlineLvl w:val="1"/>
        <w:rPr>
          <w:rFonts w:ascii="宋体" w:hAnsi="宋体" w:cs="宋体"/>
          <w:b/>
          <w:kern w:val="0"/>
          <w:sz w:val="28"/>
          <w:szCs w:val="28"/>
        </w:rPr>
      </w:pPr>
      <w:bookmarkStart w:id="28" w:name="_Toc26339"/>
      <w:r>
        <w:rPr>
          <w:rFonts w:hint="eastAsia" w:ascii="宋体" w:hAnsi="宋体" w:cs="宋体"/>
          <w:b/>
          <w:kern w:val="0"/>
          <w:sz w:val="28"/>
          <w:szCs w:val="28"/>
        </w:rPr>
        <w:t>开标</w:t>
      </w:r>
      <w:bookmarkEnd w:id="28"/>
      <w:bookmarkStart w:id="29" w:name="_Toc25160327"/>
      <w:bookmarkStart w:id="30" w:name="_Toc25160831"/>
    </w:p>
    <w:p w14:paraId="6F900D56">
      <w:pPr>
        <w:widowControl/>
        <w:adjustRightInd w:val="0"/>
        <w:snapToGrid w:val="0"/>
        <w:spacing w:line="360" w:lineRule="auto"/>
        <w:outlineLvl w:val="1"/>
        <w:rPr>
          <w:rFonts w:ascii="宋体" w:hAnsi="宋体" w:cs="宋体"/>
          <w:b/>
          <w:bCs/>
          <w:kern w:val="0"/>
          <w:sz w:val="24"/>
          <w:szCs w:val="24"/>
          <w:lang w:val="zh-CN"/>
        </w:rPr>
      </w:pPr>
      <w:bookmarkStart w:id="31" w:name="_Toc2808"/>
      <w:bookmarkStart w:id="32" w:name="_Toc12597"/>
      <w:bookmarkStart w:id="33" w:name="_Toc29344"/>
      <w:r>
        <w:rPr>
          <w:rFonts w:hint="eastAsia" w:ascii="宋体" w:hAnsi="宋体" w:cs="宋体"/>
          <w:b/>
          <w:bCs/>
          <w:kern w:val="0"/>
          <w:sz w:val="24"/>
          <w:szCs w:val="24"/>
        </w:rPr>
        <w:t>1.</w:t>
      </w:r>
      <w:r>
        <w:rPr>
          <w:rFonts w:hint="eastAsia" w:ascii="宋体" w:hAnsi="宋体" w:cs="宋体"/>
          <w:b/>
          <w:bCs/>
          <w:kern w:val="0"/>
          <w:sz w:val="24"/>
          <w:szCs w:val="24"/>
          <w:lang w:val="zh-CN"/>
        </w:rPr>
        <w:t>开标时间和地点</w:t>
      </w:r>
      <w:bookmarkEnd w:id="31"/>
      <w:bookmarkEnd w:id="32"/>
      <w:bookmarkEnd w:id="33"/>
    </w:p>
    <w:p w14:paraId="4F154142">
      <w:pPr>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开标时间和地点详见投标人须知前附表</w:t>
      </w:r>
      <w:bookmarkStart w:id="34" w:name="BM5_2_开标程序"/>
      <w:bookmarkEnd w:id="34"/>
      <w:r>
        <w:rPr>
          <w:rFonts w:hint="eastAsia" w:ascii="宋体" w:hAnsi="宋体" w:cs="宋体"/>
          <w:kern w:val="0"/>
          <w:sz w:val="24"/>
          <w:szCs w:val="24"/>
          <w:lang w:val="zh-CN"/>
        </w:rPr>
        <w:t>。</w:t>
      </w:r>
    </w:p>
    <w:p w14:paraId="3E992AC5">
      <w:pPr>
        <w:tabs>
          <w:tab w:val="left" w:pos="1141"/>
        </w:tabs>
        <w:autoSpaceDE w:val="0"/>
        <w:autoSpaceDN w:val="0"/>
        <w:adjustRightInd w:val="0"/>
        <w:snapToGrid w:val="0"/>
        <w:spacing w:line="360" w:lineRule="auto"/>
        <w:jc w:val="left"/>
        <w:outlineLvl w:val="5"/>
        <w:rPr>
          <w:rFonts w:ascii="宋体" w:hAnsi="宋体" w:cs="宋体"/>
          <w:b/>
          <w:bCs/>
          <w:kern w:val="0"/>
          <w:sz w:val="24"/>
          <w:szCs w:val="24"/>
          <w:lang w:val="zh-CN"/>
        </w:rPr>
      </w:pPr>
      <w:r>
        <w:rPr>
          <w:rFonts w:hint="eastAsia" w:ascii="宋体" w:hAnsi="宋体" w:cs="宋体"/>
          <w:b/>
          <w:bCs/>
          <w:kern w:val="0"/>
          <w:sz w:val="24"/>
          <w:szCs w:val="24"/>
        </w:rPr>
        <w:t>2.</w:t>
      </w:r>
      <w:r>
        <w:rPr>
          <w:rFonts w:hint="eastAsia" w:ascii="宋体" w:hAnsi="宋体" w:cs="宋体"/>
          <w:b/>
          <w:bCs/>
          <w:kern w:val="0"/>
          <w:sz w:val="24"/>
          <w:szCs w:val="24"/>
          <w:lang w:val="zh-CN"/>
        </w:rPr>
        <w:t>电子化项目开标、解密、唱标</w:t>
      </w:r>
    </w:p>
    <w:p w14:paraId="3BA94AFF">
      <w:pPr>
        <w:kinsoku w:val="0"/>
        <w:overflowPunct w:val="0"/>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790F422E">
      <w:pPr>
        <w:kinsoku w:val="0"/>
        <w:overflowPunct w:val="0"/>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如出现投标人的电子投标文件无法解密的情况，投标人应及时联系招标人（代理机构）进行说明。投标文件解密异常，按以下步骤进行处理：</w:t>
      </w:r>
    </w:p>
    <w:p w14:paraId="6B6D04CB">
      <w:pPr>
        <w:kinsoku w:val="0"/>
        <w:overflowPunct w:val="0"/>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w:t>
      </w:r>
      <w:r>
        <w:rPr>
          <w:rFonts w:hint="eastAsia" w:ascii="宋体" w:hAnsi="宋体" w:cs="宋体"/>
          <w:kern w:val="0"/>
          <w:sz w:val="24"/>
          <w:szCs w:val="24"/>
        </w:rPr>
        <w:t>1</w:t>
      </w:r>
      <w:r>
        <w:rPr>
          <w:rFonts w:hint="eastAsia" w:ascii="宋体" w:hAnsi="宋体" w:cs="宋体"/>
          <w:kern w:val="0"/>
          <w:sz w:val="24"/>
          <w:szCs w:val="24"/>
          <w:lang w:val="zh-CN"/>
        </w:rPr>
        <w:t>）如果是投标文件自身问题导致投标文件无法解密的，该投标文件将不予接收。</w:t>
      </w:r>
    </w:p>
    <w:p w14:paraId="47C8A540">
      <w:pPr>
        <w:kinsoku w:val="0"/>
        <w:overflowPunct w:val="0"/>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（2）如果是电子化交易系统问题造成投标文件无法解密的，将由技术人员进行排查处理。如短时间内问题无法解决的，将由招标人（代理机构）联系监督部门申请暂停开标，待问题解决后继续开标。</w:t>
      </w:r>
    </w:p>
    <w:p w14:paraId="4F0EF34D">
      <w:pPr>
        <w:kinsoku w:val="0"/>
        <w:overflowPunct w:val="0"/>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3</w:t>
      </w:r>
      <w:r>
        <w:rPr>
          <w:rFonts w:hint="eastAsia" w:ascii="宋体" w:hAnsi="宋体" w:cs="宋体"/>
          <w:kern w:val="0"/>
          <w:sz w:val="24"/>
          <w:szCs w:val="24"/>
        </w:rPr>
        <w:t>.</w:t>
      </w:r>
      <w:r>
        <w:rPr>
          <w:rFonts w:hint="eastAsia" w:ascii="宋体" w:hAnsi="宋体" w:cs="宋体"/>
          <w:kern w:val="0"/>
          <w:sz w:val="24"/>
          <w:szCs w:val="24"/>
          <w:lang w:val="zh-CN"/>
        </w:rPr>
        <w:t>投标人应保证在开标期间电话、电脑、网络等能够正常使用，投标人因停电、电脑病毒、网络堵塞等原因，未在规定的解密时间内对投标文件进行解密的，其投标文件不予接收。</w:t>
      </w:r>
    </w:p>
    <w:p w14:paraId="79C49926">
      <w:pPr>
        <w:kinsoku w:val="0"/>
        <w:overflowPunct w:val="0"/>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4.</w:t>
      </w:r>
      <w:r>
        <w:rPr>
          <w:rFonts w:hint="eastAsia" w:ascii="宋体" w:hAnsi="宋体" w:cs="宋体"/>
          <w:kern w:val="0"/>
          <w:sz w:val="24"/>
          <w:szCs w:val="24"/>
          <w:lang w:val="zh-CN"/>
        </w:rPr>
        <w:t>评标时，磋商小组对电子化响应文件有质疑的，将通过电子化交易系统对供应商发起质疑。质疑回复内容确认后，并通过电子化交易系统提交至磋商小组。</w:t>
      </w:r>
    </w:p>
    <w:p w14:paraId="31D5D520">
      <w:pPr>
        <w:kinsoku w:val="0"/>
        <w:overflowPunct w:val="0"/>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5.</w:t>
      </w:r>
      <w:r>
        <w:rPr>
          <w:rFonts w:hint="eastAsia" w:ascii="宋体" w:hAnsi="宋体" w:cs="宋体"/>
          <w:kern w:val="0"/>
          <w:sz w:val="24"/>
          <w:szCs w:val="24"/>
          <w:lang w:val="zh-CN"/>
        </w:rPr>
        <w:t>评标时如因系统异常、停电、电脑病毒、网络堵塞等原因无法正常进行的，由技术人员排查解决，短时间无法解决的，经监督部门同意后，暂停评标活动，待问题解决后继续评标。</w:t>
      </w:r>
    </w:p>
    <w:p w14:paraId="6A6BA8CF">
      <w:pPr>
        <w:kinsoku w:val="0"/>
        <w:overflowPunct w:val="0"/>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注：全面实行在线“不见面”开标，投标人远程在线解密投标文件，不再到开标现场，投标人开标前应仔细阅读《“不见面”开标注意事项及操作流程》。</w:t>
      </w:r>
    </w:p>
    <w:p w14:paraId="4B7254F1">
      <w:pPr>
        <w:widowControl/>
        <w:spacing w:line="360" w:lineRule="auto"/>
        <w:outlineLvl w:val="1"/>
        <w:rPr>
          <w:rFonts w:ascii="宋体" w:hAnsi="宋体" w:cs="宋体"/>
          <w:b/>
          <w:kern w:val="0"/>
          <w:sz w:val="28"/>
          <w:szCs w:val="28"/>
        </w:rPr>
      </w:pPr>
      <w:bookmarkStart w:id="35" w:name="BM5_3_开标异议"/>
      <w:bookmarkEnd w:id="35"/>
      <w:bookmarkStart w:id="36" w:name="_Toc4125"/>
      <w:r>
        <w:rPr>
          <w:rFonts w:hint="eastAsia" w:ascii="宋体" w:hAnsi="宋体" w:cs="宋体"/>
          <w:b/>
          <w:kern w:val="0"/>
          <w:sz w:val="28"/>
          <w:szCs w:val="28"/>
        </w:rPr>
        <w:t>六、磋商程序</w:t>
      </w:r>
      <w:bookmarkEnd w:id="29"/>
      <w:bookmarkEnd w:id="30"/>
      <w:bookmarkEnd w:id="36"/>
    </w:p>
    <w:p w14:paraId="77D0C3BA">
      <w:pPr>
        <w:spacing w:line="360" w:lineRule="auto"/>
        <w:ind w:firstLine="482" w:firstLineChars="200"/>
        <w:rPr>
          <w:rFonts w:ascii="宋体" w:hAnsi="宋体" w:cs="宋体"/>
          <w:b/>
          <w:bCs/>
          <w:sz w:val="24"/>
          <w:szCs w:val="24"/>
        </w:rPr>
      </w:pPr>
      <w:r>
        <w:rPr>
          <w:rFonts w:hint="eastAsia" w:ascii="宋体" w:hAnsi="宋体" w:cs="宋体"/>
          <w:b/>
          <w:bCs/>
          <w:sz w:val="24"/>
          <w:szCs w:val="24"/>
        </w:rPr>
        <w:t>1.磋商小组</w:t>
      </w:r>
    </w:p>
    <w:p w14:paraId="5BAEEE34">
      <w:pPr>
        <w:spacing w:line="360" w:lineRule="auto"/>
        <w:ind w:firstLine="480" w:firstLineChars="200"/>
        <w:rPr>
          <w:rFonts w:ascii="宋体" w:hAnsi="宋体" w:cs="宋体"/>
          <w:sz w:val="24"/>
          <w:szCs w:val="24"/>
        </w:rPr>
      </w:pPr>
      <w:r>
        <w:rPr>
          <w:rFonts w:hint="eastAsia" w:ascii="宋体" w:hAnsi="宋体" w:cs="宋体"/>
          <w:bCs/>
          <w:kern w:val="0"/>
          <w:sz w:val="24"/>
          <w:szCs w:val="24"/>
        </w:rPr>
        <w:t>磋商小组由有关技术、经济等方面的专家组成，成员人数为3人以上单数组成；其中技术、经济等方面的专家不得少于成员总数的2／3</w:t>
      </w:r>
      <w:r>
        <w:rPr>
          <w:rFonts w:hint="eastAsia" w:ascii="宋体" w:hAnsi="宋体" w:cs="宋体"/>
          <w:sz w:val="24"/>
          <w:szCs w:val="24"/>
        </w:rPr>
        <w:t>。该磋商小组负责评审所有供应商递交的有效的响应文件并确定中标候选供应商。</w:t>
      </w:r>
    </w:p>
    <w:p w14:paraId="111A3879">
      <w:pPr>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磋商小组成员有下列情形之一的，应当回避：</w:t>
      </w:r>
    </w:p>
    <w:p w14:paraId="07AEB159">
      <w:pPr>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（1）采购人或响应人的主要负责人的近亲属；</w:t>
      </w:r>
    </w:p>
    <w:p w14:paraId="58E4EA35">
      <w:pPr>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（2）项目主管部门或者行政监督部门的人员；</w:t>
      </w:r>
    </w:p>
    <w:p w14:paraId="4CB34A8C">
      <w:pPr>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（3）与响应人有经济利益关系，可能影响对投标公正评审的；</w:t>
      </w:r>
    </w:p>
    <w:p w14:paraId="0B123537">
      <w:pPr>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（4）曾因在招标、评标以及其他与招标投标有关活动中从事违法行为而受过行政处罚或刑事处罚的。</w:t>
      </w:r>
    </w:p>
    <w:p w14:paraId="65B5CB14">
      <w:pPr>
        <w:spacing w:line="360" w:lineRule="auto"/>
        <w:ind w:firstLine="482" w:firstLineChars="200"/>
        <w:rPr>
          <w:rFonts w:ascii="宋体" w:hAnsi="宋体" w:cs="宋体"/>
          <w:bCs/>
          <w:sz w:val="24"/>
          <w:szCs w:val="24"/>
        </w:rPr>
      </w:pPr>
      <w:r>
        <w:rPr>
          <w:rFonts w:hint="eastAsia" w:ascii="宋体" w:hAnsi="宋体" w:cs="宋体"/>
          <w:b/>
          <w:bCs/>
          <w:sz w:val="24"/>
          <w:szCs w:val="24"/>
        </w:rPr>
        <w:t>2.磋商原则</w:t>
      </w:r>
      <w:r>
        <w:rPr>
          <w:rFonts w:hint="eastAsia" w:ascii="宋体" w:hAnsi="宋体" w:cs="宋体"/>
          <w:b/>
          <w:sz w:val="24"/>
          <w:szCs w:val="24"/>
        </w:rPr>
        <w:t xml:space="preserve">   </w:t>
      </w:r>
      <w:r>
        <w:rPr>
          <w:rFonts w:hint="eastAsia" w:ascii="宋体" w:hAnsi="宋体" w:cs="宋体"/>
          <w:bCs/>
          <w:sz w:val="24"/>
          <w:szCs w:val="24"/>
        </w:rPr>
        <w:t xml:space="preserve"> </w:t>
      </w:r>
    </w:p>
    <w:p w14:paraId="0A5E069C">
      <w:pPr>
        <w:spacing w:line="360" w:lineRule="auto"/>
        <w:ind w:firstLine="480" w:firstLineChars="200"/>
        <w:rPr>
          <w:rFonts w:ascii="宋体" w:hAnsi="宋体" w:cs="宋体"/>
          <w:bCs/>
          <w:sz w:val="24"/>
          <w:szCs w:val="24"/>
        </w:rPr>
      </w:pPr>
      <w:r>
        <w:rPr>
          <w:rFonts w:hint="eastAsia" w:ascii="宋体" w:hAnsi="宋体" w:cs="宋体"/>
          <w:bCs/>
          <w:sz w:val="24"/>
          <w:szCs w:val="24"/>
        </w:rPr>
        <w:t>磋商小组成员应当按照客观、公正、审慎的原则，根据磋商文件规定的磋商程序、评审办法和标准进行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B4B2C83">
      <w:pPr>
        <w:pStyle w:val="8"/>
        <w:overflowPunct w:val="0"/>
        <w:spacing w:line="360" w:lineRule="auto"/>
        <w:ind w:firstLine="422"/>
        <w:rPr>
          <w:rFonts w:ascii="宋体" w:hAnsi="宋体" w:cs="宋体"/>
          <w:bCs/>
          <w:sz w:val="24"/>
          <w:szCs w:val="24"/>
        </w:rPr>
      </w:pPr>
      <w:r>
        <w:rPr>
          <w:rFonts w:hint="eastAsia" w:ascii="宋体" w:hAnsi="宋体" w:cs="宋体"/>
          <w:bCs/>
          <w:sz w:val="24"/>
          <w:szCs w:val="24"/>
        </w:rPr>
        <w:t>磋商小组成员和有关工作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0001C2E4">
      <w:pPr>
        <w:spacing w:line="360" w:lineRule="auto"/>
        <w:ind w:firstLine="482" w:firstLineChars="200"/>
        <w:rPr>
          <w:rFonts w:ascii="宋体" w:hAnsi="宋体" w:cs="宋体"/>
          <w:b/>
          <w:bCs/>
          <w:sz w:val="24"/>
          <w:szCs w:val="24"/>
        </w:rPr>
      </w:pPr>
      <w:r>
        <w:rPr>
          <w:rFonts w:hint="eastAsia" w:ascii="宋体" w:hAnsi="宋体" w:cs="宋体"/>
          <w:b/>
          <w:bCs/>
          <w:sz w:val="24"/>
          <w:szCs w:val="24"/>
        </w:rPr>
        <w:t>3.响应文件的澄清</w:t>
      </w:r>
    </w:p>
    <w:p w14:paraId="13DF665A">
      <w:pPr>
        <w:spacing w:line="360" w:lineRule="auto"/>
        <w:ind w:firstLine="480" w:firstLineChars="200"/>
        <w:rPr>
          <w:rFonts w:ascii="宋体" w:hAnsi="宋体" w:cs="宋体"/>
          <w:sz w:val="24"/>
          <w:szCs w:val="24"/>
        </w:rPr>
      </w:pPr>
      <w:r>
        <w:rPr>
          <w:rFonts w:hint="eastAsia" w:ascii="宋体" w:hAnsi="宋体" w:cs="宋体"/>
          <w:sz w:val="24"/>
          <w:szCs w:val="24"/>
        </w:rPr>
        <w:t>3.1磋商小组在对响应文件的有效性、完整性和响应程度进行审查时，可以要求供应商对响应文件中含义不明确、同类问题表述不一致或者有明显文字和计算错误的内容等作出必要的澄清、说明或更正。供应商的澄清、说明或者更正不得超出响应文件的范围或者改变响应文件的实质性内容。磋商供应商应派授权委托人和技术人员按磋商小组通知的时间和地点接受质询。</w:t>
      </w:r>
    </w:p>
    <w:p w14:paraId="558208CE">
      <w:pPr>
        <w:spacing w:line="360" w:lineRule="auto"/>
        <w:ind w:firstLine="480" w:firstLineChars="200"/>
        <w:rPr>
          <w:rFonts w:ascii="宋体" w:hAnsi="宋体" w:cs="宋体"/>
          <w:sz w:val="24"/>
          <w:szCs w:val="24"/>
        </w:rPr>
      </w:pPr>
      <w:r>
        <w:rPr>
          <w:rFonts w:hint="eastAsia" w:ascii="宋体" w:hAnsi="宋体" w:cs="宋体"/>
          <w:sz w:val="24"/>
          <w:szCs w:val="24"/>
        </w:rPr>
        <w:t>3.2磋商小组认为有必要，要求供应商对电子化响应文件某些问题作出必要的澄清、说明和纠正的，将通过电子化交易系统对供应商发起质疑。质疑回复内容确认后，并通过电子化交易系统提交至磋商小组。磋商供应商的回复澄清材料作为响应文件的补充。</w:t>
      </w:r>
    </w:p>
    <w:p w14:paraId="2B2379EB">
      <w:pPr>
        <w:spacing w:line="360" w:lineRule="auto"/>
        <w:ind w:firstLine="480" w:firstLineChars="200"/>
        <w:rPr>
          <w:rFonts w:ascii="宋体" w:hAnsi="宋体" w:cs="宋体"/>
          <w:sz w:val="24"/>
          <w:szCs w:val="24"/>
        </w:rPr>
      </w:pPr>
      <w:r>
        <w:rPr>
          <w:rFonts w:hint="eastAsia" w:ascii="宋体" w:hAnsi="宋体" w:cs="宋体"/>
          <w:sz w:val="24"/>
          <w:szCs w:val="24"/>
        </w:rPr>
        <w:t>3.3磋商供应商不按磋商小组规定的时间和地点作出澄清的，将视为放弃该权利。</w:t>
      </w:r>
    </w:p>
    <w:p w14:paraId="07755562">
      <w:pPr>
        <w:spacing w:line="360" w:lineRule="auto"/>
        <w:ind w:firstLine="480" w:firstLineChars="200"/>
        <w:rPr>
          <w:rFonts w:ascii="宋体" w:hAnsi="宋体" w:cs="宋体"/>
          <w:sz w:val="24"/>
          <w:szCs w:val="24"/>
        </w:rPr>
      </w:pPr>
      <w:r>
        <w:rPr>
          <w:rFonts w:hint="eastAsia" w:ascii="宋体" w:hAnsi="宋体" w:cs="宋体"/>
          <w:sz w:val="24"/>
          <w:szCs w:val="24"/>
        </w:rPr>
        <w:t>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通知所有参加磋商的供应商。</w:t>
      </w:r>
    </w:p>
    <w:p w14:paraId="72287EC9">
      <w:pPr>
        <w:spacing w:line="360" w:lineRule="auto"/>
        <w:ind w:firstLine="482" w:firstLineChars="200"/>
        <w:rPr>
          <w:rFonts w:ascii="宋体" w:hAnsi="宋体" w:cs="宋体"/>
          <w:b/>
          <w:bCs/>
          <w:sz w:val="24"/>
          <w:szCs w:val="24"/>
        </w:rPr>
      </w:pPr>
      <w:r>
        <w:rPr>
          <w:rFonts w:hint="eastAsia" w:ascii="宋体" w:hAnsi="宋体" w:cs="宋体"/>
          <w:b/>
          <w:bCs/>
          <w:sz w:val="24"/>
          <w:szCs w:val="24"/>
        </w:rPr>
        <w:t>4.确定成交候选人</w:t>
      </w:r>
    </w:p>
    <w:p w14:paraId="556FBFE1">
      <w:pPr>
        <w:spacing w:line="360" w:lineRule="auto"/>
        <w:rPr>
          <w:rFonts w:ascii="宋体" w:hAnsi="宋体" w:cs="宋体"/>
          <w:sz w:val="24"/>
          <w:szCs w:val="24"/>
        </w:rPr>
      </w:pPr>
      <w:r>
        <w:rPr>
          <w:rFonts w:hint="eastAsia" w:ascii="宋体" w:hAnsi="宋体" w:cs="宋体"/>
          <w:sz w:val="24"/>
          <w:szCs w:val="24"/>
        </w:rPr>
        <w:t xml:space="preserve">    磋商小组按照磋商文件确定的磋商程序、评审办法及标准对供应商进行磋商，推选确定成交候选人。详细评审办法见本磋商文件。</w:t>
      </w:r>
    </w:p>
    <w:p w14:paraId="226380D9">
      <w:pPr>
        <w:spacing w:line="360" w:lineRule="auto"/>
        <w:ind w:firstLine="482" w:firstLineChars="200"/>
        <w:rPr>
          <w:rFonts w:ascii="宋体" w:hAnsi="宋体" w:cs="宋体"/>
          <w:b/>
          <w:bCs/>
          <w:sz w:val="24"/>
          <w:szCs w:val="24"/>
        </w:rPr>
      </w:pPr>
      <w:r>
        <w:rPr>
          <w:rFonts w:hint="eastAsia" w:ascii="宋体" w:hAnsi="宋体" w:cs="宋体"/>
          <w:b/>
          <w:bCs/>
          <w:sz w:val="24"/>
          <w:szCs w:val="24"/>
        </w:rPr>
        <w:t>5.磋商过程保密</w:t>
      </w:r>
    </w:p>
    <w:p w14:paraId="7DCA8015">
      <w:pPr>
        <w:spacing w:line="360" w:lineRule="auto"/>
        <w:ind w:firstLine="480" w:firstLineChars="200"/>
        <w:rPr>
          <w:rFonts w:ascii="宋体" w:hAnsi="宋体" w:cs="宋体"/>
          <w:sz w:val="24"/>
          <w:szCs w:val="24"/>
        </w:rPr>
      </w:pPr>
      <w:r>
        <w:rPr>
          <w:rFonts w:hint="eastAsia" w:ascii="宋体" w:hAnsi="宋体" w:cs="宋体"/>
          <w:sz w:val="24"/>
          <w:szCs w:val="24"/>
        </w:rPr>
        <w:t>5.1磋商是竞争性磋商的重要环节，磋商工作在磋商小组内独立进行。磋商小组将遵照评标原则，公正、平等地对待所有供应商。在确定成交人之前，凡属于审查、澄清、评价、比较响应文件等有关信息，相关当事人均不得泄露给任何磋商供应商或与磋商工作无关的人员。</w:t>
      </w:r>
    </w:p>
    <w:p w14:paraId="7625EDD3">
      <w:pPr>
        <w:spacing w:line="360" w:lineRule="auto"/>
        <w:ind w:firstLine="480" w:firstLineChars="200"/>
        <w:rPr>
          <w:rFonts w:ascii="宋体" w:hAnsi="宋体" w:cs="宋体"/>
          <w:sz w:val="24"/>
          <w:szCs w:val="24"/>
        </w:rPr>
      </w:pPr>
      <w:r>
        <w:rPr>
          <w:rFonts w:hint="eastAsia" w:ascii="宋体" w:hAnsi="宋体" w:cs="宋体"/>
          <w:sz w:val="24"/>
          <w:szCs w:val="24"/>
        </w:rPr>
        <w:t>5.2磋商供应商不得向磋商小组成员询问磋商情况，不得以任何行为影响磋商过程，否则其响应文件将被视为无效响应文件。</w:t>
      </w:r>
    </w:p>
    <w:p w14:paraId="5679C2B2">
      <w:pPr>
        <w:spacing w:line="360" w:lineRule="auto"/>
        <w:ind w:firstLine="480" w:firstLineChars="200"/>
        <w:rPr>
          <w:rFonts w:ascii="宋体" w:hAnsi="宋体" w:cs="宋体"/>
          <w:sz w:val="24"/>
          <w:szCs w:val="24"/>
        </w:rPr>
      </w:pPr>
      <w:r>
        <w:rPr>
          <w:rFonts w:hint="eastAsia" w:ascii="宋体" w:hAnsi="宋体" w:cs="宋体"/>
          <w:sz w:val="24"/>
          <w:szCs w:val="24"/>
        </w:rPr>
        <w:t>5.3采购人和磋商小组不准向未中标的磋商供应商解释未中标原因，也不准对磋商过程中的细节问题进行解释。</w:t>
      </w:r>
    </w:p>
    <w:p w14:paraId="4CDE67CC">
      <w:pPr>
        <w:spacing w:line="360" w:lineRule="auto"/>
        <w:ind w:firstLine="482" w:firstLineChars="200"/>
        <w:rPr>
          <w:rFonts w:ascii="宋体" w:hAnsi="宋体" w:cs="宋体"/>
          <w:b/>
          <w:bCs/>
          <w:sz w:val="24"/>
          <w:szCs w:val="24"/>
        </w:rPr>
      </w:pPr>
      <w:r>
        <w:rPr>
          <w:rFonts w:hint="eastAsia" w:ascii="宋体" w:hAnsi="宋体" w:cs="宋体"/>
          <w:b/>
          <w:bCs/>
          <w:sz w:val="24"/>
          <w:szCs w:val="24"/>
        </w:rPr>
        <w:t>6.评标因素</w:t>
      </w:r>
    </w:p>
    <w:p w14:paraId="44698EDA">
      <w:pPr>
        <w:tabs>
          <w:tab w:val="left" w:pos="4200"/>
        </w:tabs>
        <w:autoSpaceDE w:val="0"/>
        <w:autoSpaceDN w:val="0"/>
        <w:adjustRightInd w:val="0"/>
        <w:snapToGrid w:val="0"/>
        <w:spacing w:before="1" w:line="360" w:lineRule="auto"/>
        <w:ind w:right="-214" w:firstLine="600" w:firstLineChars="250"/>
        <w:rPr>
          <w:rFonts w:ascii="宋体" w:hAnsi="宋体" w:cs="宋体"/>
          <w:bCs/>
          <w:sz w:val="24"/>
          <w:szCs w:val="24"/>
        </w:rPr>
      </w:pPr>
      <w:r>
        <w:rPr>
          <w:rFonts w:hint="eastAsia" w:ascii="宋体" w:hAnsi="宋体" w:cs="宋体"/>
          <w:bCs/>
          <w:sz w:val="24"/>
          <w:szCs w:val="24"/>
        </w:rPr>
        <w:t>6.1供应商所提交的响应文件应包含磋商文件中要求必须提交的材料，并按照磋商文件中提供的格式完整地填写资格证明文件及各项表格内容。</w:t>
      </w:r>
    </w:p>
    <w:p w14:paraId="45D0F2EA">
      <w:pPr>
        <w:tabs>
          <w:tab w:val="left" w:pos="4200"/>
        </w:tabs>
        <w:autoSpaceDE w:val="0"/>
        <w:autoSpaceDN w:val="0"/>
        <w:adjustRightInd w:val="0"/>
        <w:snapToGrid w:val="0"/>
        <w:spacing w:before="1" w:line="360" w:lineRule="auto"/>
        <w:ind w:right="-214" w:firstLine="600" w:firstLineChars="250"/>
        <w:rPr>
          <w:rFonts w:ascii="宋体" w:hAnsi="宋体" w:cs="宋体"/>
          <w:bCs/>
          <w:sz w:val="24"/>
          <w:szCs w:val="24"/>
        </w:rPr>
      </w:pPr>
      <w:r>
        <w:rPr>
          <w:rFonts w:hint="eastAsia" w:ascii="宋体" w:hAnsi="宋体" w:cs="宋体"/>
          <w:bCs/>
          <w:sz w:val="24"/>
          <w:szCs w:val="24"/>
        </w:rPr>
        <w:t>6.2出现下列情况将会导致响应文件无效：</w:t>
      </w:r>
    </w:p>
    <w:p w14:paraId="0A52368C">
      <w:pPr>
        <w:tabs>
          <w:tab w:val="left" w:pos="4200"/>
        </w:tabs>
        <w:autoSpaceDE w:val="0"/>
        <w:autoSpaceDN w:val="0"/>
        <w:adjustRightInd w:val="0"/>
        <w:snapToGrid w:val="0"/>
        <w:spacing w:line="360" w:lineRule="auto"/>
        <w:ind w:left="241" w:leftChars="115" w:right="-214" w:firstLine="359" w:firstLineChars="149"/>
        <w:rPr>
          <w:rFonts w:ascii="宋体" w:hAnsi="宋体" w:cs="宋体"/>
          <w:b/>
          <w:bCs/>
          <w:sz w:val="24"/>
          <w:szCs w:val="24"/>
        </w:rPr>
      </w:pPr>
      <w:r>
        <w:rPr>
          <w:rFonts w:hint="eastAsia" w:ascii="宋体" w:hAnsi="宋体" w:cs="宋体"/>
          <w:b/>
          <w:bCs/>
          <w:sz w:val="24"/>
          <w:szCs w:val="24"/>
        </w:rPr>
        <w:t>6.2.1响应文件签字、盖章不符合磋商文件要求；</w:t>
      </w:r>
    </w:p>
    <w:p w14:paraId="4EDE7369">
      <w:pPr>
        <w:tabs>
          <w:tab w:val="left" w:pos="4200"/>
        </w:tabs>
        <w:autoSpaceDE w:val="0"/>
        <w:autoSpaceDN w:val="0"/>
        <w:adjustRightInd w:val="0"/>
        <w:snapToGrid w:val="0"/>
        <w:spacing w:line="360" w:lineRule="auto"/>
        <w:ind w:right="-214" w:firstLine="600" w:firstLineChars="249"/>
        <w:rPr>
          <w:rFonts w:ascii="宋体" w:hAnsi="宋体" w:cs="宋体"/>
          <w:b/>
          <w:bCs/>
          <w:sz w:val="24"/>
          <w:szCs w:val="24"/>
        </w:rPr>
      </w:pPr>
      <w:r>
        <w:rPr>
          <w:rFonts w:hint="eastAsia" w:ascii="宋体" w:hAnsi="宋体" w:cs="宋体"/>
          <w:b/>
          <w:bCs/>
          <w:sz w:val="24"/>
          <w:szCs w:val="24"/>
        </w:rPr>
        <w:t>6.2.2不具备磋商文件规定的资格要求的；</w:t>
      </w:r>
    </w:p>
    <w:p w14:paraId="42153AB0">
      <w:pPr>
        <w:tabs>
          <w:tab w:val="left" w:pos="4200"/>
        </w:tabs>
        <w:autoSpaceDE w:val="0"/>
        <w:autoSpaceDN w:val="0"/>
        <w:adjustRightInd w:val="0"/>
        <w:snapToGrid w:val="0"/>
        <w:spacing w:line="360" w:lineRule="auto"/>
        <w:ind w:right="-214" w:firstLine="600" w:firstLineChars="249"/>
        <w:rPr>
          <w:rFonts w:ascii="宋体" w:hAnsi="宋体" w:cs="宋体"/>
          <w:b/>
          <w:bCs/>
          <w:sz w:val="24"/>
          <w:szCs w:val="24"/>
        </w:rPr>
      </w:pPr>
      <w:r>
        <w:rPr>
          <w:rFonts w:hint="eastAsia" w:ascii="宋体" w:hAnsi="宋体" w:cs="宋体"/>
          <w:b/>
          <w:bCs/>
          <w:sz w:val="24"/>
          <w:szCs w:val="24"/>
        </w:rPr>
        <w:t>6.2.3磋商报价超过磋商文件规定的最高投标限价的；</w:t>
      </w:r>
    </w:p>
    <w:p w14:paraId="1C64EB2B">
      <w:pPr>
        <w:tabs>
          <w:tab w:val="left" w:pos="4200"/>
        </w:tabs>
        <w:autoSpaceDE w:val="0"/>
        <w:autoSpaceDN w:val="0"/>
        <w:adjustRightInd w:val="0"/>
        <w:snapToGrid w:val="0"/>
        <w:spacing w:line="360" w:lineRule="auto"/>
        <w:ind w:right="-214" w:firstLine="600" w:firstLineChars="249"/>
        <w:rPr>
          <w:rFonts w:ascii="宋体" w:hAnsi="宋体" w:cs="宋体"/>
          <w:b/>
          <w:bCs/>
          <w:sz w:val="24"/>
          <w:szCs w:val="24"/>
        </w:rPr>
      </w:pPr>
      <w:r>
        <w:rPr>
          <w:rFonts w:hint="eastAsia" w:ascii="宋体" w:hAnsi="宋体" w:cs="宋体"/>
          <w:b/>
          <w:bCs/>
          <w:sz w:val="24"/>
          <w:szCs w:val="24"/>
        </w:rPr>
        <w:t>6.2.4响应文件含有采购人不能接受的附加条件；</w:t>
      </w:r>
    </w:p>
    <w:p w14:paraId="7D6768CC">
      <w:pPr>
        <w:tabs>
          <w:tab w:val="left" w:pos="4200"/>
        </w:tabs>
        <w:autoSpaceDE w:val="0"/>
        <w:autoSpaceDN w:val="0"/>
        <w:adjustRightInd w:val="0"/>
        <w:snapToGrid w:val="0"/>
        <w:spacing w:line="360" w:lineRule="auto"/>
        <w:ind w:right="-214" w:firstLine="600" w:firstLineChars="249"/>
        <w:rPr>
          <w:rFonts w:ascii="宋体" w:hAnsi="宋体" w:cs="宋体"/>
          <w:sz w:val="24"/>
          <w:szCs w:val="24"/>
        </w:rPr>
      </w:pPr>
      <w:r>
        <w:rPr>
          <w:rFonts w:hint="eastAsia" w:ascii="宋体" w:hAnsi="宋体" w:cs="宋体"/>
          <w:b/>
          <w:bCs/>
          <w:sz w:val="24"/>
          <w:szCs w:val="24"/>
        </w:rPr>
        <w:t>6.2.5法律法规和磋商文件规定的其他无效情形。</w:t>
      </w:r>
    </w:p>
    <w:p w14:paraId="30BD3383">
      <w:pPr>
        <w:spacing w:line="360" w:lineRule="auto"/>
        <w:ind w:firstLine="482" w:firstLineChars="200"/>
        <w:rPr>
          <w:rFonts w:ascii="宋体" w:hAnsi="宋体" w:cs="宋体"/>
          <w:b/>
          <w:bCs/>
          <w:sz w:val="24"/>
          <w:szCs w:val="24"/>
        </w:rPr>
      </w:pPr>
      <w:r>
        <w:rPr>
          <w:rFonts w:hint="eastAsia" w:ascii="宋体" w:hAnsi="宋体" w:cs="宋体"/>
          <w:b/>
          <w:bCs/>
          <w:sz w:val="24"/>
          <w:szCs w:val="24"/>
        </w:rPr>
        <w:t>7.磋商程序</w:t>
      </w:r>
    </w:p>
    <w:p w14:paraId="5337351E">
      <w:pPr>
        <w:tabs>
          <w:tab w:val="left" w:pos="4200"/>
        </w:tabs>
        <w:autoSpaceDE w:val="0"/>
        <w:autoSpaceDN w:val="0"/>
        <w:adjustRightInd w:val="0"/>
        <w:spacing w:before="1" w:line="360" w:lineRule="auto"/>
        <w:ind w:right="-214" w:firstLine="480" w:firstLineChars="200"/>
        <w:rPr>
          <w:rFonts w:ascii="宋体" w:hAnsi="宋体" w:cs="宋体"/>
          <w:bCs/>
          <w:sz w:val="24"/>
          <w:szCs w:val="24"/>
        </w:rPr>
      </w:pPr>
      <w:r>
        <w:rPr>
          <w:rFonts w:hint="eastAsia" w:ascii="宋体" w:hAnsi="宋体" w:cs="宋体"/>
          <w:bCs/>
          <w:sz w:val="24"/>
          <w:szCs w:val="24"/>
        </w:rPr>
        <w:t>7.1磋商小组依据法律法规和采购文件规定，按照磋商文件供应商须知前附表第11条供应商资格条件要求进行审查，以确定供应商是否具备投标资格。</w:t>
      </w:r>
    </w:p>
    <w:p w14:paraId="0312CA25">
      <w:pPr>
        <w:tabs>
          <w:tab w:val="left" w:pos="4200"/>
        </w:tabs>
        <w:autoSpaceDE w:val="0"/>
        <w:autoSpaceDN w:val="0"/>
        <w:adjustRightInd w:val="0"/>
        <w:spacing w:before="1" w:line="360" w:lineRule="auto"/>
        <w:ind w:right="-214" w:firstLine="480" w:firstLineChars="200"/>
        <w:rPr>
          <w:rFonts w:ascii="宋体" w:hAnsi="宋体" w:cs="宋体"/>
          <w:bCs/>
          <w:sz w:val="24"/>
          <w:szCs w:val="24"/>
        </w:rPr>
      </w:pPr>
      <w:r>
        <w:rPr>
          <w:rFonts w:hint="eastAsia" w:ascii="宋体" w:hAnsi="宋体" w:cs="宋体"/>
          <w:bCs/>
          <w:sz w:val="24"/>
          <w:szCs w:val="24"/>
        </w:rPr>
        <w:t>7.2磋商小组依据磋商文件的规定，从响应文件的有效性、完整性和对磋商文件的响应程度进行符合性审查，以确定是否对磋商文件的实质性要求作出响应。</w:t>
      </w:r>
    </w:p>
    <w:p w14:paraId="4A4D4ADD">
      <w:pPr>
        <w:tabs>
          <w:tab w:val="left" w:pos="4200"/>
        </w:tabs>
        <w:autoSpaceDE w:val="0"/>
        <w:autoSpaceDN w:val="0"/>
        <w:adjustRightInd w:val="0"/>
        <w:spacing w:before="1" w:line="360" w:lineRule="auto"/>
        <w:ind w:right="-214" w:firstLine="480" w:firstLineChars="200"/>
        <w:rPr>
          <w:rFonts w:ascii="宋体" w:hAnsi="宋体" w:cs="宋体"/>
          <w:bCs/>
          <w:sz w:val="24"/>
          <w:szCs w:val="24"/>
        </w:rPr>
      </w:pPr>
      <w:r>
        <w:rPr>
          <w:rFonts w:hint="eastAsia" w:ascii="宋体" w:hAnsi="宋体" w:cs="宋体"/>
          <w:bCs/>
          <w:sz w:val="24"/>
          <w:szCs w:val="24"/>
        </w:rPr>
        <w:t>7.3磋商小组通过对供应商资格审查和响应文件符合性审查合格的供应商进入磋商评审。并确定与各供应商磋商的具体内容。</w:t>
      </w:r>
    </w:p>
    <w:p w14:paraId="2B411DAB">
      <w:pPr>
        <w:spacing w:line="360" w:lineRule="auto"/>
        <w:ind w:firstLine="480" w:firstLineChars="200"/>
        <w:rPr>
          <w:rFonts w:ascii="宋体" w:hAnsi="宋体" w:cs="宋体"/>
          <w:bCs/>
          <w:sz w:val="24"/>
          <w:szCs w:val="24"/>
        </w:rPr>
      </w:pPr>
      <w:r>
        <w:rPr>
          <w:rFonts w:hint="eastAsia" w:ascii="宋体" w:hAnsi="宋体" w:cs="宋体"/>
          <w:bCs/>
          <w:sz w:val="24"/>
          <w:szCs w:val="24"/>
        </w:rPr>
        <w:t>7.4磋商小组围绕对各供应商确定的磋商内容要点集中与单一供应商分别进行磋商。各供应商磋商一次为一个轮次，磋商轮次两轮。</w:t>
      </w:r>
    </w:p>
    <w:p w14:paraId="5EBD042D">
      <w:pPr>
        <w:spacing w:line="360" w:lineRule="auto"/>
        <w:ind w:firstLine="480"/>
        <w:rPr>
          <w:rFonts w:ascii="宋体" w:hAnsi="宋体" w:cs="宋体"/>
          <w:bCs/>
          <w:sz w:val="24"/>
          <w:szCs w:val="24"/>
        </w:rPr>
      </w:pPr>
      <w:r>
        <w:rPr>
          <w:rFonts w:hint="eastAsia" w:ascii="宋体" w:hAnsi="宋体" w:cs="宋体"/>
          <w:bCs/>
          <w:sz w:val="24"/>
          <w:szCs w:val="24"/>
        </w:rPr>
        <w:t>7.5磋商结束后，磋商小组将要求实质性响应磋商文件的供应商在规定时间内提交最后报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14:paraId="5AE2A454">
      <w:pPr>
        <w:spacing w:line="360" w:lineRule="auto"/>
        <w:ind w:firstLine="480"/>
        <w:rPr>
          <w:rFonts w:ascii="宋体" w:hAnsi="宋体" w:cs="宋体"/>
          <w:bCs/>
          <w:sz w:val="24"/>
          <w:szCs w:val="24"/>
        </w:rPr>
      </w:pPr>
      <w:r>
        <w:rPr>
          <w:rFonts w:hint="eastAsia" w:ascii="宋体" w:hAnsi="宋体" w:cs="宋体"/>
          <w:bCs/>
          <w:sz w:val="24"/>
          <w:szCs w:val="24"/>
        </w:rPr>
        <w:t>7.6磋商小组按照“评审办法及标准”规定的方法、评审因素、标准和程序对响应文件进行评审，并计算出供应商的综合得分。“评审办法及标准”中没有规定的方法、评审因素、标准，不作为评标磋商依据。</w:t>
      </w:r>
    </w:p>
    <w:p w14:paraId="4893A225">
      <w:pPr>
        <w:spacing w:line="360" w:lineRule="auto"/>
        <w:ind w:firstLine="480"/>
        <w:rPr>
          <w:rFonts w:ascii="宋体" w:hAnsi="宋体" w:cs="宋体"/>
          <w:bCs/>
          <w:sz w:val="24"/>
          <w:szCs w:val="24"/>
        </w:rPr>
      </w:pPr>
      <w:r>
        <w:rPr>
          <w:rFonts w:hint="eastAsia" w:ascii="宋体" w:hAnsi="宋体" w:cs="宋体"/>
          <w:bCs/>
          <w:sz w:val="24"/>
          <w:szCs w:val="24"/>
        </w:rPr>
        <w:t>7.7磋商小组将根据评审办法及标准对各供应商进行独立打分，并在“综合得分表”中填写各供应商具体得分，计分取至小数点后二位，计分过程中小数点后三位四舍五入。</w:t>
      </w:r>
    </w:p>
    <w:p w14:paraId="52A2FFEC">
      <w:pPr>
        <w:spacing w:line="360" w:lineRule="auto"/>
        <w:ind w:firstLine="480"/>
        <w:rPr>
          <w:rFonts w:ascii="宋体" w:hAnsi="宋体" w:cs="宋体"/>
          <w:bCs/>
          <w:sz w:val="24"/>
          <w:szCs w:val="24"/>
        </w:rPr>
      </w:pPr>
      <w:r>
        <w:rPr>
          <w:rFonts w:hint="eastAsia" w:ascii="宋体" w:hAnsi="宋体" w:cs="宋体"/>
          <w:bCs/>
          <w:sz w:val="24"/>
          <w:szCs w:val="24"/>
        </w:rPr>
        <w:t>7.8磋商小组将各评委的打分进行汇总，按照得分由高到低进行排序，编写评标报告并签字。得分相同的，按磋商报价由低到高顺序排列，得分且磋商报价相同的，按技术指标优劣顺序排列，向采购人推荐排序前3名为成交候选人。</w:t>
      </w:r>
    </w:p>
    <w:p w14:paraId="36D564BE">
      <w:pPr>
        <w:spacing w:line="360" w:lineRule="auto"/>
        <w:ind w:firstLine="480"/>
        <w:rPr>
          <w:rFonts w:ascii="宋体" w:hAnsi="宋体" w:cs="宋体"/>
          <w:bCs/>
          <w:sz w:val="24"/>
          <w:szCs w:val="24"/>
        </w:rPr>
      </w:pPr>
      <w:r>
        <w:rPr>
          <w:rFonts w:hint="eastAsia" w:ascii="宋体" w:hAnsi="宋体" w:cs="宋体"/>
          <w:bCs/>
          <w:sz w:val="24"/>
          <w:szCs w:val="24"/>
        </w:rPr>
        <w:t>7.9供应商得分以所有评委评出的供应商得分的算术平均值为供应商最终得分。</w:t>
      </w:r>
    </w:p>
    <w:p w14:paraId="47767128">
      <w:pPr>
        <w:widowControl/>
        <w:spacing w:line="360" w:lineRule="auto"/>
        <w:outlineLvl w:val="1"/>
        <w:rPr>
          <w:rFonts w:ascii="宋体" w:hAnsi="宋体" w:cs="宋体"/>
          <w:b/>
          <w:kern w:val="0"/>
          <w:sz w:val="24"/>
          <w:szCs w:val="24"/>
          <w:lang w:val="zh-CN"/>
        </w:rPr>
      </w:pPr>
      <w:bookmarkStart w:id="37" w:name="_Toc2744"/>
      <w:r>
        <w:rPr>
          <w:rFonts w:hint="eastAsia" w:ascii="宋体" w:hAnsi="宋体" w:cs="宋体"/>
          <w:b/>
          <w:kern w:val="0"/>
          <w:sz w:val="24"/>
          <w:szCs w:val="24"/>
          <w:lang w:val="zh-CN"/>
        </w:rPr>
        <w:t>七、合同授予</w:t>
      </w:r>
      <w:bookmarkEnd w:id="37"/>
    </w:p>
    <w:p w14:paraId="4518B282">
      <w:pPr>
        <w:spacing w:line="360" w:lineRule="auto"/>
        <w:rPr>
          <w:rFonts w:ascii="宋体" w:hAnsi="宋体" w:cs="宋体"/>
          <w:b/>
          <w:color w:val="000000"/>
          <w:sz w:val="24"/>
          <w:szCs w:val="24"/>
        </w:rPr>
      </w:pPr>
      <w:bookmarkStart w:id="38" w:name="BM7_1_定标方式"/>
      <w:bookmarkEnd w:id="38"/>
      <w:bookmarkStart w:id="39" w:name="_Toc283381964"/>
      <w:r>
        <w:rPr>
          <w:rFonts w:hint="eastAsia" w:ascii="宋体" w:hAnsi="宋体" w:cs="宋体"/>
          <w:b/>
          <w:color w:val="000000"/>
          <w:sz w:val="24"/>
          <w:szCs w:val="24"/>
        </w:rPr>
        <w:t>1.定标方式</w:t>
      </w:r>
      <w:bookmarkEnd w:id="39"/>
    </w:p>
    <w:p w14:paraId="03F9E6A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除供应商须知前附表规定磋商小组直接确定成交人外，采购人依据磋商小组推荐的成交候选人</w:t>
      </w:r>
      <w:r>
        <w:rPr>
          <w:rFonts w:hint="eastAsia" w:ascii="宋体" w:hAnsi="宋体" w:cs="宋体"/>
          <w:sz w:val="24"/>
          <w:szCs w:val="24"/>
        </w:rPr>
        <w:t>顺序确定排名第一的中标候选人为</w:t>
      </w:r>
      <w:r>
        <w:rPr>
          <w:rFonts w:hint="eastAsia" w:ascii="宋体" w:hAnsi="宋体" w:cs="宋体"/>
          <w:color w:val="000000"/>
          <w:sz w:val="24"/>
          <w:szCs w:val="24"/>
        </w:rPr>
        <w:t>成交人，磋商小组推荐成交候选人的人数见供应商须知前附表。</w:t>
      </w:r>
    </w:p>
    <w:p w14:paraId="6A5AB529">
      <w:pPr>
        <w:spacing w:line="360" w:lineRule="auto"/>
        <w:rPr>
          <w:rFonts w:ascii="宋体" w:hAnsi="宋体" w:cs="宋体"/>
          <w:b/>
          <w:color w:val="000000"/>
          <w:sz w:val="24"/>
          <w:szCs w:val="24"/>
        </w:rPr>
      </w:pPr>
      <w:bookmarkStart w:id="40" w:name="_Toc283381965"/>
      <w:r>
        <w:rPr>
          <w:rFonts w:hint="eastAsia" w:ascii="宋体" w:hAnsi="宋体" w:cs="宋体"/>
          <w:b/>
          <w:color w:val="000000"/>
          <w:sz w:val="24"/>
          <w:szCs w:val="24"/>
        </w:rPr>
        <w:t>2.中标通知</w:t>
      </w:r>
      <w:bookmarkEnd w:id="40"/>
    </w:p>
    <w:p w14:paraId="731AACA9">
      <w:pPr>
        <w:spacing w:line="360" w:lineRule="auto"/>
        <w:ind w:firstLine="480" w:firstLineChars="200"/>
        <w:rPr>
          <w:rFonts w:ascii="宋体" w:hAnsi="宋体" w:cs="宋体"/>
          <w:sz w:val="24"/>
          <w:szCs w:val="24"/>
        </w:rPr>
      </w:pPr>
      <w:bookmarkStart w:id="41" w:name="_Toc283381967"/>
      <w:r>
        <w:rPr>
          <w:rFonts w:hint="eastAsia" w:ascii="宋体" w:hAnsi="宋体" w:cs="宋体"/>
          <w:sz w:val="24"/>
          <w:szCs w:val="24"/>
        </w:rPr>
        <w:t>在成交结果公示同时，采购人或者代理机构以书面形式向成交人发出成交通知书。</w:t>
      </w:r>
    </w:p>
    <w:p w14:paraId="60C3F3FD">
      <w:pPr>
        <w:spacing w:line="360" w:lineRule="auto"/>
        <w:rPr>
          <w:rFonts w:ascii="宋体" w:hAnsi="宋体" w:cs="宋体"/>
          <w:b/>
          <w:color w:val="000000"/>
          <w:sz w:val="24"/>
          <w:szCs w:val="24"/>
        </w:rPr>
      </w:pPr>
      <w:r>
        <w:rPr>
          <w:rFonts w:hint="eastAsia" w:ascii="宋体" w:hAnsi="宋体" w:cs="宋体"/>
          <w:b/>
          <w:color w:val="000000"/>
          <w:sz w:val="24"/>
          <w:szCs w:val="24"/>
        </w:rPr>
        <w:t>3.签订合同</w:t>
      </w:r>
      <w:bookmarkEnd w:id="41"/>
    </w:p>
    <w:p w14:paraId="0E228C62">
      <w:pPr>
        <w:spacing w:line="360" w:lineRule="auto"/>
        <w:ind w:firstLine="480" w:firstLineChars="200"/>
        <w:rPr>
          <w:rFonts w:ascii="宋体" w:hAnsi="宋体" w:cs="宋体"/>
          <w:color w:val="000000"/>
          <w:sz w:val="24"/>
          <w:szCs w:val="24"/>
        </w:rPr>
      </w:pPr>
      <w:bookmarkStart w:id="42" w:name="_Toc10779"/>
      <w:bookmarkStart w:id="43" w:name="_Toc29623322"/>
      <w:bookmarkStart w:id="44" w:name="_Toc28514"/>
      <w:bookmarkStart w:id="45" w:name="_Toc9895"/>
      <w:bookmarkStart w:id="46" w:name="_Toc27753973"/>
      <w:bookmarkStart w:id="47" w:name="_Toc8361"/>
      <w:bookmarkStart w:id="48" w:name="_Toc26749"/>
      <w:bookmarkStart w:id="49" w:name="_Toc8375"/>
      <w:bookmarkStart w:id="50" w:name="_Toc29019"/>
      <w:r>
        <w:rPr>
          <w:rFonts w:hint="eastAsia" w:ascii="宋体" w:hAnsi="宋体" w:cs="宋体"/>
          <w:color w:val="000000"/>
          <w:sz w:val="24"/>
          <w:szCs w:val="24"/>
        </w:rPr>
        <w:t>（1）采购人自成交通知书发出之日起15日内，按照竞争性磋商文件和成交人响应文件的规定，与成交人签订书面合同。所签订的合同不得对竞争性磋商文件确定的事项和成交人响应文件作实质性修改。</w:t>
      </w:r>
      <w:bookmarkEnd w:id="42"/>
      <w:bookmarkEnd w:id="43"/>
      <w:bookmarkEnd w:id="44"/>
      <w:bookmarkEnd w:id="45"/>
      <w:bookmarkEnd w:id="46"/>
      <w:bookmarkEnd w:id="47"/>
      <w:bookmarkEnd w:id="48"/>
      <w:bookmarkEnd w:id="49"/>
      <w:bookmarkEnd w:id="50"/>
      <w:bookmarkStart w:id="51" w:name="_Toc26954"/>
    </w:p>
    <w:bookmarkEnd w:id="51"/>
    <w:p w14:paraId="5F80E47F">
      <w:pPr>
        <w:spacing w:line="360" w:lineRule="auto"/>
        <w:ind w:firstLine="480" w:firstLineChars="200"/>
        <w:rPr>
          <w:rFonts w:ascii="宋体" w:hAnsi="宋体" w:cs="宋体"/>
          <w:color w:val="000000"/>
          <w:sz w:val="24"/>
          <w:szCs w:val="24"/>
        </w:rPr>
      </w:pPr>
      <w:bookmarkStart w:id="52" w:name="_Toc29623323"/>
      <w:bookmarkStart w:id="53" w:name="_Toc1839"/>
      <w:bookmarkStart w:id="54" w:name="_Toc10652"/>
      <w:bookmarkStart w:id="55" w:name="_Toc27753974"/>
      <w:bookmarkStart w:id="56" w:name="_Toc21772"/>
      <w:bookmarkStart w:id="57" w:name="_Toc5127"/>
      <w:bookmarkStart w:id="58" w:name="_Toc3581"/>
      <w:bookmarkStart w:id="59" w:name="_Toc14039"/>
      <w:bookmarkStart w:id="60" w:name="_Toc14610"/>
      <w:r>
        <w:rPr>
          <w:rFonts w:hint="eastAsia" w:ascii="宋体" w:hAnsi="宋体" w:cs="宋体"/>
          <w:color w:val="000000"/>
          <w:sz w:val="24"/>
          <w:szCs w:val="24"/>
        </w:rPr>
        <w:t>（2）竞争性磋商文件、成交人的响应文件和澄清文件等，均应作为签约的合同文本的基础。</w:t>
      </w:r>
      <w:bookmarkEnd w:id="52"/>
      <w:bookmarkEnd w:id="53"/>
      <w:bookmarkEnd w:id="54"/>
      <w:bookmarkEnd w:id="55"/>
      <w:bookmarkEnd w:id="56"/>
      <w:bookmarkEnd w:id="57"/>
      <w:bookmarkEnd w:id="58"/>
      <w:bookmarkEnd w:id="59"/>
      <w:bookmarkEnd w:id="60"/>
      <w:bookmarkStart w:id="61" w:name="_Toc5481"/>
    </w:p>
    <w:bookmarkEnd w:id="61"/>
    <w:p w14:paraId="7B49341D">
      <w:pPr>
        <w:spacing w:line="360" w:lineRule="auto"/>
        <w:ind w:firstLine="480" w:firstLineChars="200"/>
        <w:rPr>
          <w:rFonts w:ascii="宋体" w:hAnsi="宋体" w:cs="宋体"/>
          <w:color w:val="000000"/>
          <w:sz w:val="24"/>
          <w:szCs w:val="24"/>
        </w:rPr>
      </w:pPr>
      <w:bookmarkStart w:id="62" w:name="_Toc7717"/>
      <w:bookmarkStart w:id="63" w:name="_Toc29623325"/>
      <w:bookmarkStart w:id="64" w:name="_Toc31748"/>
      <w:bookmarkStart w:id="65" w:name="_Toc30158"/>
      <w:bookmarkStart w:id="66" w:name="_Toc5311"/>
      <w:bookmarkStart w:id="67" w:name="_Toc17486"/>
      <w:bookmarkStart w:id="68" w:name="_Toc20765"/>
      <w:bookmarkStart w:id="69" w:name="_Toc6035"/>
      <w:bookmarkStart w:id="70" w:name="_Toc27813"/>
      <w:bookmarkStart w:id="71" w:name="_Toc27753976"/>
      <w:r>
        <w:rPr>
          <w:rFonts w:hint="eastAsia" w:ascii="宋体" w:hAnsi="宋体" w:cs="宋体"/>
          <w:color w:val="000000"/>
          <w:sz w:val="24"/>
          <w:szCs w:val="24"/>
        </w:rPr>
        <w:t>（3）如成交人不按本节第1项约定签订合同，采购人将报请取消其成交决定。采购人可按照磋商小组推荐的成交候选人名单排序，确定下一候选人为成交人或者重新采购。</w:t>
      </w:r>
      <w:bookmarkEnd w:id="62"/>
      <w:bookmarkEnd w:id="63"/>
      <w:bookmarkEnd w:id="64"/>
      <w:bookmarkEnd w:id="65"/>
      <w:bookmarkEnd w:id="66"/>
      <w:bookmarkEnd w:id="67"/>
      <w:bookmarkEnd w:id="68"/>
      <w:bookmarkEnd w:id="69"/>
      <w:bookmarkEnd w:id="70"/>
      <w:bookmarkEnd w:id="71"/>
    </w:p>
    <w:p w14:paraId="4295F2CC">
      <w:pPr>
        <w:widowControl/>
        <w:spacing w:line="360" w:lineRule="auto"/>
        <w:outlineLvl w:val="1"/>
        <w:rPr>
          <w:rFonts w:ascii="宋体" w:hAnsi="宋体" w:cs="宋体"/>
          <w:b/>
          <w:kern w:val="0"/>
          <w:sz w:val="24"/>
          <w:szCs w:val="24"/>
          <w:lang w:val="zh-CN"/>
        </w:rPr>
      </w:pPr>
      <w:bookmarkStart w:id="72" w:name="_Toc8739"/>
      <w:r>
        <w:rPr>
          <w:rFonts w:hint="eastAsia" w:ascii="宋体" w:hAnsi="宋体" w:cs="宋体"/>
          <w:b/>
          <w:kern w:val="0"/>
          <w:sz w:val="24"/>
          <w:szCs w:val="24"/>
          <w:lang w:val="zh-CN"/>
        </w:rPr>
        <w:t>八、重新招标和不再采购</w:t>
      </w:r>
      <w:bookmarkEnd w:id="72"/>
      <w:bookmarkStart w:id="73" w:name="_Toc283381970"/>
      <w:bookmarkStart w:id="74" w:name="_Toc514740514"/>
    </w:p>
    <w:p w14:paraId="1936D927">
      <w:pPr>
        <w:widowControl/>
        <w:spacing w:line="360" w:lineRule="auto"/>
        <w:outlineLvl w:val="1"/>
        <w:rPr>
          <w:rFonts w:ascii="宋体" w:hAnsi="宋体" w:cs="宋体"/>
          <w:b/>
          <w:sz w:val="24"/>
          <w:szCs w:val="24"/>
        </w:rPr>
      </w:pPr>
      <w:r>
        <w:rPr>
          <w:rFonts w:hint="eastAsia" w:ascii="宋体" w:hAnsi="宋体" w:cs="宋体"/>
          <w:b/>
          <w:sz w:val="24"/>
          <w:szCs w:val="24"/>
        </w:rPr>
        <w:t>1.重新采购</w:t>
      </w:r>
    </w:p>
    <w:p w14:paraId="390C6FC1">
      <w:pPr>
        <w:spacing w:line="360" w:lineRule="auto"/>
        <w:ind w:firstLine="480" w:firstLineChars="200"/>
        <w:rPr>
          <w:rFonts w:ascii="宋体" w:hAnsi="宋体" w:cs="宋体"/>
          <w:sz w:val="24"/>
          <w:szCs w:val="24"/>
        </w:rPr>
      </w:pPr>
      <w:r>
        <w:rPr>
          <w:rFonts w:hint="eastAsia" w:ascii="宋体" w:hAnsi="宋体" w:cs="宋体"/>
          <w:sz w:val="24"/>
          <w:szCs w:val="24"/>
        </w:rPr>
        <w:t>有下列情形之一的，采购人将重新采购：</w:t>
      </w:r>
    </w:p>
    <w:p w14:paraId="5901CA46">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磋商截止时间止，供应商少于3家的；</w:t>
      </w:r>
    </w:p>
    <w:p w14:paraId="7596F9AC">
      <w:pPr>
        <w:spacing w:line="360" w:lineRule="auto"/>
        <w:ind w:firstLine="480" w:firstLineChars="200"/>
        <w:rPr>
          <w:rFonts w:ascii="宋体" w:hAnsi="宋体" w:cs="宋体"/>
          <w:sz w:val="24"/>
          <w:szCs w:val="24"/>
        </w:rPr>
      </w:pPr>
      <w:r>
        <w:rPr>
          <w:rFonts w:hint="eastAsia" w:ascii="宋体" w:hAnsi="宋体" w:cs="宋体"/>
          <w:sz w:val="24"/>
          <w:szCs w:val="24"/>
        </w:rPr>
        <w:t>（2）经磋商小组评审后否决所有投标的。</w:t>
      </w:r>
    </w:p>
    <w:p w14:paraId="7AD15F73">
      <w:pPr>
        <w:pStyle w:val="47"/>
        <w:spacing w:line="360" w:lineRule="auto"/>
        <w:outlineLvl w:val="9"/>
        <w:rPr>
          <w:rFonts w:ascii="宋体" w:hAnsi="宋体" w:eastAsia="宋体"/>
          <w:b/>
          <w:szCs w:val="24"/>
        </w:rPr>
      </w:pPr>
      <w:r>
        <w:rPr>
          <w:rFonts w:hint="eastAsia" w:ascii="宋体" w:hAnsi="宋体" w:eastAsia="宋体"/>
          <w:b/>
          <w:szCs w:val="24"/>
        </w:rPr>
        <w:t>2.不再采购</w:t>
      </w:r>
    </w:p>
    <w:p w14:paraId="4A1635EA">
      <w:pPr>
        <w:tabs>
          <w:tab w:val="left" w:pos="4200"/>
        </w:tabs>
        <w:autoSpaceDE w:val="0"/>
        <w:autoSpaceDN w:val="0"/>
        <w:adjustRightInd w:val="0"/>
        <w:spacing w:before="1" w:line="360" w:lineRule="auto"/>
        <w:ind w:right="-214" w:firstLine="480" w:firstLineChars="200"/>
        <w:jc w:val="left"/>
        <w:rPr>
          <w:rFonts w:ascii="宋体" w:hAnsi="宋体" w:cs="宋体"/>
          <w:b/>
          <w:sz w:val="24"/>
          <w:szCs w:val="24"/>
          <w:u w:val="single"/>
        </w:rPr>
      </w:pPr>
      <w:r>
        <w:rPr>
          <w:rFonts w:hint="eastAsia" w:ascii="宋体" w:hAnsi="宋体" w:cs="宋体"/>
          <w:sz w:val="24"/>
          <w:szCs w:val="24"/>
        </w:rPr>
        <w:t>重新采购后供应商仍少于3个或者所有投标被否决的，属于必须审批或核准的工程建设项目，经原审批或核准部门批准后不再进行采购。</w:t>
      </w:r>
    </w:p>
    <w:p w14:paraId="4B48D9B5">
      <w:pPr>
        <w:widowControl/>
        <w:spacing w:line="360" w:lineRule="auto"/>
        <w:outlineLvl w:val="1"/>
        <w:rPr>
          <w:rFonts w:ascii="宋体" w:hAnsi="宋体" w:cs="宋体"/>
          <w:b/>
          <w:kern w:val="0"/>
          <w:sz w:val="24"/>
          <w:szCs w:val="24"/>
          <w:lang w:val="zh-CN"/>
        </w:rPr>
      </w:pPr>
      <w:bookmarkStart w:id="75" w:name="_Toc7838"/>
      <w:r>
        <w:rPr>
          <w:rFonts w:hint="eastAsia" w:ascii="宋体" w:hAnsi="宋体" w:cs="宋体"/>
          <w:b/>
          <w:kern w:val="0"/>
          <w:sz w:val="24"/>
          <w:szCs w:val="24"/>
          <w:lang w:val="zh-CN"/>
        </w:rPr>
        <w:t>九、纪律和监督</w:t>
      </w:r>
      <w:bookmarkEnd w:id="73"/>
      <w:bookmarkEnd w:id="74"/>
      <w:bookmarkEnd w:id="75"/>
    </w:p>
    <w:p w14:paraId="68E86DB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1.对采购人的纪律要求</w:t>
      </w:r>
    </w:p>
    <w:p w14:paraId="7B273A5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采购人不得泄露招标投标活动中应当保密的情况和资料，不得与供应商串通损害国家利益、社会公共利益或者他人合法权益。</w:t>
      </w:r>
    </w:p>
    <w:p w14:paraId="3E063B5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2.对供应商的纪律要求</w:t>
      </w:r>
    </w:p>
    <w:p w14:paraId="0115713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供应商不得相互串通投标或者与采购人串通投标，不得向采购人或者磋商小组成员行贿谋取中标，不得以他人名义投标或者以其他方式弄虚作假骗取中标；供应商不得以任何方式干扰、影响评标工作。</w:t>
      </w:r>
    </w:p>
    <w:p w14:paraId="55E74ED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3.对磋商小组成员的纪律要求</w:t>
      </w:r>
    </w:p>
    <w:p w14:paraId="030BF64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磋商小组成员不得收受他人的财物或者其他好处，不得向他人透露对响应文件的评审和比较、成交候选人的推荐情况以及评标有关的其他情况。在评标活动中，磋商小组成员不得擅离职守，影响磋商程序正常进行，不得使用第三章“磋商办法”没有规定的评审因素和标准进行评标。</w:t>
      </w:r>
    </w:p>
    <w:p w14:paraId="6BE43BC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4.对与评标活动有关的工作人员的纪律要求</w:t>
      </w:r>
    </w:p>
    <w:p w14:paraId="2ABACB3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磋商程序正常进行。</w:t>
      </w:r>
    </w:p>
    <w:p w14:paraId="54FD21E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5.投诉</w:t>
      </w:r>
    </w:p>
    <w:p w14:paraId="127EC74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供应商和其他利害关系人认为本次招标活动违反法律法规和规章规定的，有权向有关监督部门投诉。</w:t>
      </w:r>
    </w:p>
    <w:p w14:paraId="66A80614">
      <w:pPr>
        <w:widowControl/>
        <w:spacing w:line="360" w:lineRule="auto"/>
        <w:outlineLvl w:val="1"/>
        <w:rPr>
          <w:rFonts w:ascii="宋体" w:hAnsi="宋体" w:cs="宋体"/>
          <w:b/>
          <w:kern w:val="0"/>
          <w:sz w:val="24"/>
          <w:szCs w:val="24"/>
          <w:lang w:val="zh-CN"/>
        </w:rPr>
      </w:pPr>
      <w:bookmarkStart w:id="76" w:name="_Toc514740515"/>
      <w:bookmarkStart w:id="77" w:name="_Toc283381972"/>
      <w:bookmarkStart w:id="78" w:name="_Toc6053"/>
      <w:r>
        <w:rPr>
          <w:rFonts w:hint="eastAsia" w:ascii="宋体" w:hAnsi="宋体" w:cs="宋体"/>
          <w:b/>
          <w:kern w:val="0"/>
          <w:sz w:val="24"/>
          <w:szCs w:val="24"/>
          <w:lang w:val="zh-CN"/>
        </w:rPr>
        <w:t>十、需要补充的其他内容</w:t>
      </w:r>
      <w:bookmarkEnd w:id="76"/>
      <w:bookmarkEnd w:id="77"/>
      <w:bookmarkEnd w:id="78"/>
    </w:p>
    <w:p w14:paraId="434D80FC">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需要补充的其他内容详见供应商须知前附表。</w:t>
      </w:r>
    </w:p>
    <w:p w14:paraId="4BD824FA">
      <w:pPr>
        <w:pStyle w:val="23"/>
        <w:rPr>
          <w:rStyle w:val="40"/>
          <w:rFonts w:ascii="宋体" w:hAnsi="宋体" w:eastAsia="宋体" w:cs="宋体"/>
          <w:b/>
          <w:bCs w:val="0"/>
        </w:rPr>
      </w:pPr>
      <w:bookmarkStart w:id="79" w:name="_Toc32029"/>
      <w:r>
        <w:rPr>
          <w:rFonts w:hint="eastAsia" w:ascii="宋体" w:hAnsi="宋体" w:cs="宋体"/>
          <w:bCs w:val="0"/>
        </w:rPr>
        <w:t xml:space="preserve">第三章  </w:t>
      </w:r>
      <w:r>
        <w:rPr>
          <w:rStyle w:val="40"/>
          <w:rFonts w:hint="eastAsia" w:ascii="宋体" w:hAnsi="宋体" w:eastAsia="宋体" w:cs="宋体"/>
          <w:b/>
          <w:bCs w:val="0"/>
        </w:rPr>
        <w:t>评审办法及标准</w:t>
      </w:r>
      <w:bookmarkEnd w:id="79"/>
    </w:p>
    <w:p w14:paraId="5E5FE5D0">
      <w:pPr>
        <w:jc w:val="center"/>
        <w:rPr>
          <w:rFonts w:ascii="宋体" w:hAnsi="宋体" w:cs="宋体"/>
          <w:color w:val="000000"/>
          <w:sz w:val="24"/>
          <w:szCs w:val="24"/>
        </w:rPr>
      </w:pPr>
    </w:p>
    <w:p w14:paraId="39153D0A">
      <w:pPr>
        <w:jc w:val="center"/>
        <w:rPr>
          <w:rFonts w:ascii="宋体" w:hAnsi="宋体" w:cs="宋体"/>
          <w:color w:val="000000"/>
          <w:sz w:val="24"/>
          <w:szCs w:val="24"/>
        </w:rPr>
      </w:pPr>
      <w:r>
        <w:rPr>
          <w:rFonts w:hint="eastAsia" w:ascii="宋体" w:hAnsi="宋体" w:cs="宋体"/>
          <w:color w:val="000000"/>
          <w:sz w:val="24"/>
          <w:szCs w:val="24"/>
        </w:rPr>
        <w:t>磋商办法前附表</w:t>
      </w:r>
    </w:p>
    <w:tbl>
      <w:tblPr>
        <w:tblStyle w:val="27"/>
        <w:tblpPr w:leftFromText="180" w:rightFromText="180" w:vertAnchor="text" w:horzAnchor="page" w:tblpXSpec="center" w:tblpY="631"/>
        <w:tblOverlap w:val="never"/>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923"/>
        <w:gridCol w:w="2318"/>
        <w:gridCol w:w="5850"/>
      </w:tblGrid>
      <w:tr w14:paraId="40B1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10" w:type="dxa"/>
            <w:gridSpan w:val="2"/>
            <w:vAlign w:val="center"/>
          </w:tcPr>
          <w:p w14:paraId="3DEE8BE5">
            <w:pPr>
              <w:adjustRightInd w:val="0"/>
              <w:snapToGrid w:val="0"/>
              <w:spacing w:line="288" w:lineRule="auto"/>
              <w:jc w:val="center"/>
              <w:rPr>
                <w:rFonts w:ascii="宋体" w:hAnsi="宋体" w:cs="宋体"/>
                <w:b/>
                <w:bCs/>
                <w:sz w:val="24"/>
                <w:szCs w:val="24"/>
              </w:rPr>
            </w:pPr>
            <w:r>
              <w:rPr>
                <w:rFonts w:hint="eastAsia" w:ascii="宋体" w:hAnsi="宋体" w:cs="宋体"/>
                <w:b/>
                <w:bCs/>
                <w:sz w:val="24"/>
                <w:szCs w:val="24"/>
              </w:rPr>
              <w:t>条款号</w:t>
            </w:r>
          </w:p>
        </w:tc>
        <w:tc>
          <w:tcPr>
            <w:tcW w:w="2318" w:type="dxa"/>
            <w:vAlign w:val="center"/>
          </w:tcPr>
          <w:p w14:paraId="059B70BA">
            <w:pPr>
              <w:adjustRightInd w:val="0"/>
              <w:snapToGrid w:val="0"/>
              <w:spacing w:line="288" w:lineRule="auto"/>
              <w:jc w:val="center"/>
              <w:rPr>
                <w:rFonts w:ascii="宋体" w:hAnsi="宋体" w:cs="宋体"/>
                <w:b/>
                <w:bCs/>
                <w:sz w:val="24"/>
                <w:szCs w:val="24"/>
              </w:rPr>
            </w:pPr>
            <w:r>
              <w:rPr>
                <w:rFonts w:hint="eastAsia" w:ascii="宋体" w:hAnsi="宋体" w:cs="宋体"/>
                <w:b/>
                <w:bCs/>
                <w:sz w:val="24"/>
                <w:szCs w:val="24"/>
              </w:rPr>
              <w:t>评审因素</w:t>
            </w:r>
          </w:p>
        </w:tc>
        <w:tc>
          <w:tcPr>
            <w:tcW w:w="5850" w:type="dxa"/>
            <w:vAlign w:val="center"/>
          </w:tcPr>
          <w:p w14:paraId="7B124C1B">
            <w:pPr>
              <w:adjustRightInd w:val="0"/>
              <w:snapToGrid w:val="0"/>
              <w:spacing w:line="288" w:lineRule="auto"/>
              <w:jc w:val="center"/>
              <w:rPr>
                <w:rFonts w:ascii="宋体" w:hAnsi="宋体" w:cs="宋体"/>
                <w:b/>
                <w:bCs/>
                <w:sz w:val="24"/>
                <w:szCs w:val="24"/>
              </w:rPr>
            </w:pPr>
            <w:r>
              <w:rPr>
                <w:rFonts w:hint="eastAsia" w:ascii="宋体" w:hAnsi="宋体" w:cs="宋体"/>
                <w:b/>
                <w:bCs/>
                <w:sz w:val="24"/>
                <w:szCs w:val="24"/>
              </w:rPr>
              <w:t>评审标准</w:t>
            </w:r>
          </w:p>
        </w:tc>
      </w:tr>
      <w:tr w14:paraId="340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restart"/>
            <w:vAlign w:val="center"/>
          </w:tcPr>
          <w:p w14:paraId="1EA6FFF4">
            <w:pPr>
              <w:autoSpaceDE w:val="0"/>
              <w:autoSpaceDN w:val="0"/>
              <w:adjustRightInd w:val="0"/>
              <w:snapToGrid w:val="0"/>
              <w:spacing w:line="288" w:lineRule="auto"/>
              <w:jc w:val="center"/>
              <w:rPr>
                <w:rFonts w:ascii="宋体" w:hAnsi="宋体" w:cs="宋体"/>
                <w:sz w:val="24"/>
                <w:szCs w:val="24"/>
              </w:rPr>
            </w:pPr>
            <w:r>
              <w:rPr>
                <w:rFonts w:hint="eastAsia" w:ascii="宋体" w:hAnsi="宋体" w:cs="宋体"/>
                <w:spacing w:val="1"/>
                <w:kern w:val="0"/>
                <w:sz w:val="24"/>
                <w:szCs w:val="24"/>
              </w:rPr>
              <w:t>2.1.1</w:t>
            </w:r>
          </w:p>
        </w:tc>
        <w:tc>
          <w:tcPr>
            <w:tcW w:w="923" w:type="dxa"/>
            <w:vMerge w:val="restart"/>
            <w:vAlign w:val="center"/>
          </w:tcPr>
          <w:p w14:paraId="43CA3467">
            <w:pPr>
              <w:autoSpaceDE w:val="0"/>
              <w:autoSpaceDN w:val="0"/>
              <w:adjustRightInd w:val="0"/>
              <w:snapToGrid w:val="0"/>
              <w:spacing w:line="288" w:lineRule="auto"/>
              <w:jc w:val="center"/>
              <w:rPr>
                <w:rFonts w:ascii="宋体" w:hAnsi="宋体" w:cs="宋体"/>
                <w:kern w:val="0"/>
                <w:sz w:val="24"/>
                <w:szCs w:val="24"/>
              </w:rPr>
            </w:pPr>
            <w:r>
              <w:rPr>
                <w:rFonts w:hint="eastAsia" w:ascii="宋体" w:hAnsi="宋体" w:cs="宋体"/>
                <w:kern w:val="0"/>
                <w:sz w:val="24"/>
                <w:szCs w:val="24"/>
              </w:rPr>
              <w:t>资格评审标准</w:t>
            </w:r>
          </w:p>
        </w:tc>
        <w:tc>
          <w:tcPr>
            <w:tcW w:w="2318" w:type="dxa"/>
            <w:vAlign w:val="center"/>
          </w:tcPr>
          <w:p w14:paraId="2C270C5F">
            <w:pPr>
              <w:adjustRightInd w:val="0"/>
              <w:snapToGrid w:val="0"/>
              <w:jc w:val="center"/>
              <w:rPr>
                <w:rFonts w:ascii="宋体" w:hAnsi="宋体" w:cs="宋体"/>
                <w:sz w:val="24"/>
                <w:szCs w:val="24"/>
                <w:lang w:val="zh-CN"/>
              </w:rPr>
            </w:pPr>
            <w:r>
              <w:rPr>
                <w:rFonts w:hint="eastAsia" w:ascii="宋体" w:hAnsi="宋体" w:cs="宋体"/>
                <w:sz w:val="24"/>
                <w:szCs w:val="24"/>
              </w:rPr>
              <w:t>专门面向中小企业</w:t>
            </w:r>
          </w:p>
        </w:tc>
        <w:tc>
          <w:tcPr>
            <w:tcW w:w="5850" w:type="dxa"/>
            <w:vMerge w:val="restart"/>
            <w:vAlign w:val="center"/>
          </w:tcPr>
          <w:p w14:paraId="54CD6DA8">
            <w:pPr>
              <w:adjustRightInd w:val="0"/>
              <w:snapToGrid w:val="0"/>
              <w:spacing w:line="288" w:lineRule="auto"/>
              <w:rPr>
                <w:rFonts w:ascii="宋体" w:hAnsi="宋体" w:cs="宋体"/>
                <w:sz w:val="24"/>
                <w:szCs w:val="24"/>
              </w:rPr>
            </w:pPr>
            <w:r>
              <w:rPr>
                <w:rFonts w:hint="eastAsia" w:ascii="宋体" w:hAnsi="宋体" w:cs="宋体"/>
                <w:sz w:val="24"/>
                <w:szCs w:val="24"/>
              </w:rPr>
              <w:t>符合第二章“供应商须知前附表”第11项规定</w:t>
            </w:r>
          </w:p>
        </w:tc>
      </w:tr>
      <w:tr w14:paraId="47F6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0AC73FA2">
            <w:pPr>
              <w:autoSpaceDE w:val="0"/>
              <w:autoSpaceDN w:val="0"/>
              <w:adjustRightInd w:val="0"/>
              <w:snapToGrid w:val="0"/>
              <w:spacing w:line="288" w:lineRule="auto"/>
              <w:jc w:val="center"/>
              <w:rPr>
                <w:rFonts w:ascii="宋体" w:hAnsi="宋体" w:cs="宋体"/>
                <w:spacing w:val="1"/>
                <w:kern w:val="0"/>
                <w:sz w:val="24"/>
                <w:szCs w:val="24"/>
              </w:rPr>
            </w:pPr>
          </w:p>
        </w:tc>
        <w:tc>
          <w:tcPr>
            <w:tcW w:w="923" w:type="dxa"/>
            <w:vMerge w:val="continue"/>
            <w:vAlign w:val="center"/>
          </w:tcPr>
          <w:p w14:paraId="1AB93390">
            <w:pPr>
              <w:autoSpaceDE w:val="0"/>
              <w:autoSpaceDN w:val="0"/>
              <w:adjustRightInd w:val="0"/>
              <w:snapToGrid w:val="0"/>
              <w:spacing w:line="288" w:lineRule="auto"/>
              <w:jc w:val="center"/>
              <w:rPr>
                <w:rFonts w:ascii="宋体" w:hAnsi="宋体" w:cs="宋体"/>
                <w:kern w:val="0"/>
                <w:sz w:val="24"/>
                <w:szCs w:val="24"/>
              </w:rPr>
            </w:pPr>
          </w:p>
        </w:tc>
        <w:tc>
          <w:tcPr>
            <w:tcW w:w="2318" w:type="dxa"/>
            <w:vAlign w:val="center"/>
          </w:tcPr>
          <w:p w14:paraId="5FECC816">
            <w:pPr>
              <w:adjustRightInd w:val="0"/>
              <w:snapToGrid w:val="0"/>
              <w:jc w:val="center"/>
              <w:rPr>
                <w:rFonts w:ascii="宋体" w:hAnsi="宋体" w:cs="宋体"/>
                <w:sz w:val="24"/>
                <w:szCs w:val="24"/>
                <w:lang w:val="zh-CN"/>
              </w:rPr>
            </w:pPr>
            <w:r>
              <w:rPr>
                <w:rFonts w:hint="eastAsia" w:ascii="宋体" w:hAnsi="宋体" w:cs="宋体"/>
                <w:sz w:val="24"/>
                <w:szCs w:val="24"/>
              </w:rPr>
              <w:t>具有独立承担民事责任的能力</w:t>
            </w:r>
          </w:p>
        </w:tc>
        <w:tc>
          <w:tcPr>
            <w:tcW w:w="5850" w:type="dxa"/>
            <w:vMerge w:val="continue"/>
            <w:vAlign w:val="center"/>
          </w:tcPr>
          <w:p w14:paraId="575F1538">
            <w:pPr>
              <w:adjustRightInd w:val="0"/>
              <w:snapToGrid w:val="0"/>
              <w:spacing w:line="288" w:lineRule="auto"/>
              <w:rPr>
                <w:rFonts w:ascii="宋体" w:hAnsi="宋体" w:cs="宋体"/>
                <w:sz w:val="24"/>
                <w:szCs w:val="24"/>
              </w:rPr>
            </w:pPr>
          </w:p>
        </w:tc>
      </w:tr>
      <w:tr w14:paraId="7EB9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201DE14F">
            <w:pPr>
              <w:autoSpaceDE w:val="0"/>
              <w:autoSpaceDN w:val="0"/>
              <w:adjustRightInd w:val="0"/>
              <w:snapToGrid w:val="0"/>
              <w:spacing w:line="288" w:lineRule="auto"/>
              <w:jc w:val="center"/>
              <w:rPr>
                <w:rFonts w:ascii="宋体" w:hAnsi="宋体" w:cs="宋体"/>
                <w:spacing w:val="1"/>
                <w:kern w:val="0"/>
                <w:sz w:val="24"/>
                <w:szCs w:val="24"/>
              </w:rPr>
            </w:pPr>
          </w:p>
        </w:tc>
        <w:tc>
          <w:tcPr>
            <w:tcW w:w="923" w:type="dxa"/>
            <w:vMerge w:val="continue"/>
            <w:vAlign w:val="center"/>
          </w:tcPr>
          <w:p w14:paraId="4F438E2D">
            <w:pPr>
              <w:autoSpaceDE w:val="0"/>
              <w:autoSpaceDN w:val="0"/>
              <w:adjustRightInd w:val="0"/>
              <w:snapToGrid w:val="0"/>
              <w:spacing w:line="288" w:lineRule="auto"/>
              <w:jc w:val="center"/>
              <w:rPr>
                <w:rFonts w:ascii="宋体" w:hAnsi="宋体" w:cs="宋体"/>
                <w:kern w:val="0"/>
                <w:sz w:val="24"/>
                <w:szCs w:val="24"/>
              </w:rPr>
            </w:pPr>
          </w:p>
        </w:tc>
        <w:tc>
          <w:tcPr>
            <w:tcW w:w="2318" w:type="dxa"/>
            <w:vAlign w:val="center"/>
          </w:tcPr>
          <w:p w14:paraId="3F145CB7">
            <w:pPr>
              <w:adjustRightInd w:val="0"/>
              <w:snapToGrid w:val="0"/>
              <w:jc w:val="center"/>
              <w:rPr>
                <w:rFonts w:ascii="宋体" w:hAnsi="宋体" w:cs="宋体"/>
                <w:sz w:val="24"/>
                <w:szCs w:val="24"/>
                <w:lang w:val="zh-CN"/>
              </w:rPr>
            </w:pPr>
            <w:r>
              <w:rPr>
                <w:rFonts w:hint="eastAsia" w:ascii="宋体" w:hAnsi="宋体" w:cs="宋体"/>
                <w:sz w:val="24"/>
                <w:szCs w:val="24"/>
              </w:rPr>
              <w:t>保安服务许可证</w:t>
            </w:r>
          </w:p>
        </w:tc>
        <w:tc>
          <w:tcPr>
            <w:tcW w:w="5850" w:type="dxa"/>
            <w:vMerge w:val="continue"/>
            <w:vAlign w:val="center"/>
          </w:tcPr>
          <w:p w14:paraId="5944EAB0">
            <w:pPr>
              <w:adjustRightInd w:val="0"/>
              <w:snapToGrid w:val="0"/>
              <w:spacing w:line="288" w:lineRule="auto"/>
              <w:rPr>
                <w:rFonts w:ascii="宋体" w:hAnsi="宋体" w:cs="宋体"/>
                <w:sz w:val="24"/>
                <w:szCs w:val="24"/>
              </w:rPr>
            </w:pPr>
          </w:p>
        </w:tc>
      </w:tr>
      <w:tr w14:paraId="12B2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3AE7B952">
            <w:pPr>
              <w:autoSpaceDE w:val="0"/>
              <w:autoSpaceDN w:val="0"/>
              <w:adjustRightInd w:val="0"/>
              <w:snapToGrid w:val="0"/>
              <w:spacing w:line="288" w:lineRule="auto"/>
              <w:jc w:val="center"/>
              <w:rPr>
                <w:rFonts w:ascii="宋体" w:hAnsi="宋体" w:cs="宋体"/>
                <w:spacing w:val="1"/>
                <w:kern w:val="0"/>
                <w:sz w:val="24"/>
                <w:szCs w:val="24"/>
              </w:rPr>
            </w:pPr>
          </w:p>
        </w:tc>
        <w:tc>
          <w:tcPr>
            <w:tcW w:w="923" w:type="dxa"/>
            <w:vMerge w:val="continue"/>
            <w:vAlign w:val="center"/>
          </w:tcPr>
          <w:p w14:paraId="377E5B42">
            <w:pPr>
              <w:autoSpaceDE w:val="0"/>
              <w:autoSpaceDN w:val="0"/>
              <w:adjustRightInd w:val="0"/>
              <w:snapToGrid w:val="0"/>
              <w:spacing w:line="288" w:lineRule="auto"/>
              <w:jc w:val="center"/>
              <w:rPr>
                <w:rFonts w:ascii="宋体" w:hAnsi="宋体" w:cs="宋体"/>
                <w:kern w:val="0"/>
                <w:sz w:val="24"/>
                <w:szCs w:val="24"/>
              </w:rPr>
            </w:pPr>
          </w:p>
        </w:tc>
        <w:tc>
          <w:tcPr>
            <w:tcW w:w="2318" w:type="dxa"/>
            <w:vAlign w:val="center"/>
          </w:tcPr>
          <w:p w14:paraId="7836FFDE">
            <w:pPr>
              <w:adjustRightInd w:val="0"/>
              <w:snapToGrid w:val="0"/>
              <w:jc w:val="center"/>
              <w:rPr>
                <w:rFonts w:ascii="宋体" w:hAnsi="宋体" w:cs="宋体"/>
                <w:sz w:val="24"/>
                <w:szCs w:val="24"/>
                <w:lang w:val="zh-CN"/>
              </w:rPr>
            </w:pPr>
            <w:r>
              <w:rPr>
                <w:rFonts w:hint="eastAsia" w:ascii="宋体" w:hAnsi="宋体" w:cs="宋体"/>
                <w:sz w:val="24"/>
                <w:szCs w:val="24"/>
              </w:rPr>
              <w:t>商业信誉和健全的财务会计制度</w:t>
            </w:r>
          </w:p>
        </w:tc>
        <w:tc>
          <w:tcPr>
            <w:tcW w:w="5850" w:type="dxa"/>
            <w:vMerge w:val="continue"/>
            <w:vAlign w:val="center"/>
          </w:tcPr>
          <w:p w14:paraId="05886D7B">
            <w:pPr>
              <w:adjustRightInd w:val="0"/>
              <w:snapToGrid w:val="0"/>
              <w:spacing w:line="288" w:lineRule="auto"/>
              <w:rPr>
                <w:rFonts w:ascii="宋体" w:hAnsi="宋体" w:cs="宋体"/>
                <w:sz w:val="24"/>
                <w:szCs w:val="24"/>
              </w:rPr>
            </w:pPr>
          </w:p>
        </w:tc>
      </w:tr>
      <w:tr w14:paraId="20C0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68BA44F0">
            <w:pPr>
              <w:autoSpaceDE w:val="0"/>
              <w:autoSpaceDN w:val="0"/>
              <w:adjustRightInd w:val="0"/>
              <w:snapToGrid w:val="0"/>
              <w:spacing w:line="288" w:lineRule="auto"/>
              <w:jc w:val="center"/>
              <w:rPr>
                <w:rFonts w:ascii="宋体" w:hAnsi="宋体" w:cs="宋体"/>
                <w:spacing w:val="1"/>
                <w:kern w:val="0"/>
                <w:sz w:val="24"/>
                <w:szCs w:val="24"/>
              </w:rPr>
            </w:pPr>
          </w:p>
        </w:tc>
        <w:tc>
          <w:tcPr>
            <w:tcW w:w="923" w:type="dxa"/>
            <w:vMerge w:val="continue"/>
            <w:vAlign w:val="center"/>
          </w:tcPr>
          <w:p w14:paraId="78603831">
            <w:pPr>
              <w:autoSpaceDE w:val="0"/>
              <w:autoSpaceDN w:val="0"/>
              <w:adjustRightInd w:val="0"/>
              <w:snapToGrid w:val="0"/>
              <w:spacing w:line="288" w:lineRule="auto"/>
              <w:jc w:val="center"/>
              <w:rPr>
                <w:rFonts w:ascii="宋体" w:hAnsi="宋体" w:cs="宋体"/>
                <w:kern w:val="0"/>
                <w:sz w:val="24"/>
                <w:szCs w:val="24"/>
              </w:rPr>
            </w:pPr>
          </w:p>
        </w:tc>
        <w:tc>
          <w:tcPr>
            <w:tcW w:w="2318" w:type="dxa"/>
            <w:vAlign w:val="center"/>
          </w:tcPr>
          <w:p w14:paraId="29C0ADA8">
            <w:pPr>
              <w:adjustRightInd w:val="0"/>
              <w:snapToGrid w:val="0"/>
              <w:jc w:val="center"/>
              <w:rPr>
                <w:rFonts w:ascii="宋体" w:hAnsi="宋体" w:cs="宋体"/>
                <w:sz w:val="24"/>
                <w:szCs w:val="24"/>
                <w:lang w:val="zh-CN"/>
              </w:rPr>
            </w:pPr>
            <w:r>
              <w:rPr>
                <w:rFonts w:hint="eastAsia" w:ascii="宋体" w:hAnsi="宋体" w:cs="宋体"/>
                <w:sz w:val="24"/>
                <w:szCs w:val="24"/>
              </w:rPr>
              <w:t>设备和专业技术能力</w:t>
            </w:r>
          </w:p>
        </w:tc>
        <w:tc>
          <w:tcPr>
            <w:tcW w:w="5850" w:type="dxa"/>
            <w:vMerge w:val="continue"/>
            <w:vAlign w:val="center"/>
          </w:tcPr>
          <w:p w14:paraId="6E5065F2">
            <w:pPr>
              <w:adjustRightInd w:val="0"/>
              <w:snapToGrid w:val="0"/>
              <w:spacing w:line="288" w:lineRule="auto"/>
              <w:rPr>
                <w:rFonts w:ascii="宋体" w:hAnsi="宋体" w:cs="宋体"/>
                <w:sz w:val="24"/>
                <w:szCs w:val="24"/>
              </w:rPr>
            </w:pPr>
          </w:p>
        </w:tc>
      </w:tr>
      <w:tr w14:paraId="772A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78EF1B31">
            <w:pPr>
              <w:autoSpaceDE w:val="0"/>
              <w:autoSpaceDN w:val="0"/>
              <w:adjustRightInd w:val="0"/>
              <w:snapToGrid w:val="0"/>
              <w:spacing w:line="288" w:lineRule="auto"/>
              <w:jc w:val="center"/>
              <w:rPr>
                <w:rFonts w:ascii="宋体" w:hAnsi="宋体" w:cs="宋体"/>
                <w:spacing w:val="1"/>
                <w:kern w:val="0"/>
                <w:sz w:val="24"/>
                <w:szCs w:val="24"/>
              </w:rPr>
            </w:pPr>
          </w:p>
        </w:tc>
        <w:tc>
          <w:tcPr>
            <w:tcW w:w="923" w:type="dxa"/>
            <w:vMerge w:val="continue"/>
            <w:vAlign w:val="center"/>
          </w:tcPr>
          <w:p w14:paraId="366867C1">
            <w:pPr>
              <w:autoSpaceDE w:val="0"/>
              <w:autoSpaceDN w:val="0"/>
              <w:adjustRightInd w:val="0"/>
              <w:snapToGrid w:val="0"/>
              <w:spacing w:line="288" w:lineRule="auto"/>
              <w:jc w:val="center"/>
              <w:rPr>
                <w:rFonts w:ascii="宋体" w:hAnsi="宋体" w:cs="宋体"/>
                <w:kern w:val="0"/>
                <w:sz w:val="24"/>
                <w:szCs w:val="24"/>
              </w:rPr>
            </w:pPr>
          </w:p>
        </w:tc>
        <w:tc>
          <w:tcPr>
            <w:tcW w:w="2318" w:type="dxa"/>
            <w:vAlign w:val="center"/>
          </w:tcPr>
          <w:p w14:paraId="5C1BB8FF">
            <w:pPr>
              <w:adjustRightInd w:val="0"/>
              <w:snapToGrid w:val="0"/>
              <w:jc w:val="center"/>
              <w:rPr>
                <w:rFonts w:ascii="宋体" w:hAnsi="宋体" w:cs="宋体"/>
                <w:sz w:val="24"/>
                <w:szCs w:val="24"/>
                <w:lang w:val="zh-CN"/>
              </w:rPr>
            </w:pPr>
            <w:r>
              <w:rPr>
                <w:rFonts w:hint="eastAsia" w:ascii="宋体" w:hAnsi="宋体" w:cs="宋体"/>
                <w:sz w:val="24"/>
                <w:szCs w:val="24"/>
              </w:rPr>
              <w:t>缴纳税收和社会保障资金</w:t>
            </w:r>
          </w:p>
        </w:tc>
        <w:tc>
          <w:tcPr>
            <w:tcW w:w="5850" w:type="dxa"/>
            <w:vMerge w:val="continue"/>
            <w:vAlign w:val="center"/>
          </w:tcPr>
          <w:p w14:paraId="35157881">
            <w:pPr>
              <w:adjustRightInd w:val="0"/>
              <w:snapToGrid w:val="0"/>
              <w:spacing w:line="288" w:lineRule="auto"/>
              <w:rPr>
                <w:rFonts w:ascii="宋体" w:hAnsi="宋体" w:cs="宋体"/>
                <w:sz w:val="24"/>
                <w:szCs w:val="24"/>
              </w:rPr>
            </w:pPr>
          </w:p>
        </w:tc>
      </w:tr>
      <w:tr w14:paraId="31DA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4896520D">
            <w:pPr>
              <w:autoSpaceDE w:val="0"/>
              <w:autoSpaceDN w:val="0"/>
              <w:adjustRightInd w:val="0"/>
              <w:snapToGrid w:val="0"/>
              <w:spacing w:line="288" w:lineRule="auto"/>
              <w:jc w:val="center"/>
              <w:rPr>
                <w:rFonts w:ascii="宋体" w:hAnsi="宋体" w:cs="宋体"/>
                <w:spacing w:val="1"/>
                <w:kern w:val="0"/>
                <w:sz w:val="24"/>
                <w:szCs w:val="24"/>
              </w:rPr>
            </w:pPr>
          </w:p>
        </w:tc>
        <w:tc>
          <w:tcPr>
            <w:tcW w:w="923" w:type="dxa"/>
            <w:vMerge w:val="continue"/>
            <w:vAlign w:val="center"/>
          </w:tcPr>
          <w:p w14:paraId="74D6A9B8">
            <w:pPr>
              <w:autoSpaceDE w:val="0"/>
              <w:autoSpaceDN w:val="0"/>
              <w:adjustRightInd w:val="0"/>
              <w:snapToGrid w:val="0"/>
              <w:spacing w:line="288" w:lineRule="auto"/>
              <w:jc w:val="center"/>
              <w:rPr>
                <w:rFonts w:ascii="宋体" w:hAnsi="宋体" w:cs="宋体"/>
                <w:kern w:val="0"/>
                <w:sz w:val="24"/>
                <w:szCs w:val="24"/>
              </w:rPr>
            </w:pPr>
          </w:p>
        </w:tc>
        <w:tc>
          <w:tcPr>
            <w:tcW w:w="2318" w:type="dxa"/>
            <w:vAlign w:val="center"/>
          </w:tcPr>
          <w:p w14:paraId="5F3D3C1E">
            <w:pPr>
              <w:adjustRightInd w:val="0"/>
              <w:snapToGrid w:val="0"/>
              <w:jc w:val="center"/>
              <w:rPr>
                <w:rFonts w:ascii="宋体" w:hAnsi="宋体" w:cs="宋体"/>
                <w:sz w:val="24"/>
                <w:szCs w:val="24"/>
                <w:lang w:val="zh-CN"/>
              </w:rPr>
            </w:pPr>
            <w:r>
              <w:rPr>
                <w:rFonts w:hint="eastAsia" w:ascii="宋体" w:hAnsi="宋体" w:cs="宋体"/>
                <w:sz w:val="24"/>
                <w:szCs w:val="24"/>
              </w:rPr>
              <w:t>没有重大的违法记录</w:t>
            </w:r>
          </w:p>
        </w:tc>
        <w:tc>
          <w:tcPr>
            <w:tcW w:w="5850" w:type="dxa"/>
            <w:vMerge w:val="continue"/>
            <w:vAlign w:val="center"/>
          </w:tcPr>
          <w:p w14:paraId="41903370">
            <w:pPr>
              <w:adjustRightInd w:val="0"/>
              <w:snapToGrid w:val="0"/>
              <w:spacing w:line="288" w:lineRule="auto"/>
              <w:rPr>
                <w:rFonts w:ascii="宋体" w:hAnsi="宋体" w:cs="宋体"/>
                <w:sz w:val="24"/>
                <w:szCs w:val="24"/>
              </w:rPr>
            </w:pPr>
          </w:p>
        </w:tc>
      </w:tr>
      <w:tr w14:paraId="21CA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30CF727B">
            <w:pPr>
              <w:autoSpaceDE w:val="0"/>
              <w:autoSpaceDN w:val="0"/>
              <w:adjustRightInd w:val="0"/>
              <w:snapToGrid w:val="0"/>
              <w:spacing w:line="288" w:lineRule="auto"/>
              <w:jc w:val="center"/>
              <w:rPr>
                <w:rFonts w:ascii="宋体" w:hAnsi="宋体" w:cs="宋体"/>
                <w:spacing w:val="1"/>
                <w:kern w:val="0"/>
                <w:sz w:val="24"/>
                <w:szCs w:val="24"/>
              </w:rPr>
            </w:pPr>
          </w:p>
        </w:tc>
        <w:tc>
          <w:tcPr>
            <w:tcW w:w="923" w:type="dxa"/>
            <w:vMerge w:val="continue"/>
            <w:vAlign w:val="center"/>
          </w:tcPr>
          <w:p w14:paraId="63617157">
            <w:pPr>
              <w:autoSpaceDE w:val="0"/>
              <w:autoSpaceDN w:val="0"/>
              <w:adjustRightInd w:val="0"/>
              <w:snapToGrid w:val="0"/>
              <w:spacing w:line="288" w:lineRule="auto"/>
              <w:jc w:val="center"/>
              <w:rPr>
                <w:rFonts w:ascii="宋体" w:hAnsi="宋体" w:cs="宋体"/>
                <w:kern w:val="0"/>
                <w:sz w:val="24"/>
                <w:szCs w:val="24"/>
              </w:rPr>
            </w:pPr>
          </w:p>
        </w:tc>
        <w:tc>
          <w:tcPr>
            <w:tcW w:w="2318" w:type="dxa"/>
            <w:vAlign w:val="center"/>
          </w:tcPr>
          <w:p w14:paraId="00A76F33">
            <w:pPr>
              <w:adjustRightInd w:val="0"/>
              <w:snapToGrid w:val="0"/>
              <w:jc w:val="center"/>
              <w:rPr>
                <w:rFonts w:ascii="宋体" w:hAnsi="宋体" w:cs="宋体"/>
                <w:sz w:val="24"/>
                <w:szCs w:val="24"/>
              </w:rPr>
            </w:pPr>
            <w:r>
              <w:rPr>
                <w:rFonts w:hint="eastAsia" w:ascii="宋体" w:hAnsi="宋体" w:cs="宋体"/>
                <w:sz w:val="24"/>
                <w:szCs w:val="24"/>
              </w:rPr>
              <w:t>信用查询</w:t>
            </w:r>
          </w:p>
        </w:tc>
        <w:tc>
          <w:tcPr>
            <w:tcW w:w="5850" w:type="dxa"/>
            <w:vMerge w:val="continue"/>
            <w:vAlign w:val="center"/>
          </w:tcPr>
          <w:p w14:paraId="0C359F3D">
            <w:pPr>
              <w:adjustRightInd w:val="0"/>
              <w:snapToGrid w:val="0"/>
              <w:spacing w:line="288" w:lineRule="auto"/>
              <w:rPr>
                <w:rFonts w:ascii="宋体" w:hAnsi="宋体" w:cs="宋体"/>
                <w:sz w:val="24"/>
                <w:szCs w:val="24"/>
              </w:rPr>
            </w:pPr>
          </w:p>
        </w:tc>
      </w:tr>
      <w:tr w14:paraId="363F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2951C3E5">
            <w:pPr>
              <w:autoSpaceDE w:val="0"/>
              <w:autoSpaceDN w:val="0"/>
              <w:adjustRightInd w:val="0"/>
              <w:snapToGrid w:val="0"/>
              <w:spacing w:line="288" w:lineRule="auto"/>
              <w:jc w:val="center"/>
              <w:rPr>
                <w:rFonts w:ascii="宋体" w:hAnsi="宋体" w:cs="宋体"/>
                <w:spacing w:val="1"/>
                <w:kern w:val="0"/>
                <w:sz w:val="24"/>
                <w:szCs w:val="24"/>
              </w:rPr>
            </w:pPr>
          </w:p>
        </w:tc>
        <w:tc>
          <w:tcPr>
            <w:tcW w:w="923" w:type="dxa"/>
            <w:vMerge w:val="continue"/>
            <w:vAlign w:val="center"/>
          </w:tcPr>
          <w:p w14:paraId="353F0B8B">
            <w:pPr>
              <w:autoSpaceDE w:val="0"/>
              <w:autoSpaceDN w:val="0"/>
              <w:adjustRightInd w:val="0"/>
              <w:snapToGrid w:val="0"/>
              <w:spacing w:line="288" w:lineRule="auto"/>
              <w:jc w:val="center"/>
              <w:rPr>
                <w:rFonts w:ascii="宋体" w:hAnsi="宋体" w:cs="宋体"/>
                <w:kern w:val="0"/>
                <w:sz w:val="24"/>
                <w:szCs w:val="24"/>
              </w:rPr>
            </w:pPr>
          </w:p>
        </w:tc>
        <w:tc>
          <w:tcPr>
            <w:tcW w:w="2318" w:type="dxa"/>
            <w:vAlign w:val="center"/>
          </w:tcPr>
          <w:p w14:paraId="0728E452">
            <w:pPr>
              <w:adjustRightInd w:val="0"/>
              <w:snapToGrid w:val="0"/>
              <w:jc w:val="center"/>
              <w:rPr>
                <w:rFonts w:ascii="宋体" w:hAnsi="宋体" w:cs="宋体"/>
                <w:sz w:val="24"/>
                <w:szCs w:val="24"/>
              </w:rPr>
            </w:pPr>
            <w:r>
              <w:rPr>
                <w:rFonts w:hint="eastAsia" w:ascii="宋体" w:hAnsi="宋体" w:cs="宋体"/>
                <w:sz w:val="24"/>
                <w:szCs w:val="24"/>
              </w:rPr>
              <w:t>负责人为同一人或者存在直接控股、管理关系的不同供应商，不得同时参加同一项目</w:t>
            </w:r>
          </w:p>
        </w:tc>
        <w:tc>
          <w:tcPr>
            <w:tcW w:w="5850" w:type="dxa"/>
            <w:vMerge w:val="continue"/>
            <w:vAlign w:val="center"/>
          </w:tcPr>
          <w:p w14:paraId="4277B711">
            <w:pPr>
              <w:adjustRightInd w:val="0"/>
              <w:snapToGrid w:val="0"/>
              <w:spacing w:line="288" w:lineRule="auto"/>
              <w:rPr>
                <w:rFonts w:ascii="宋体" w:hAnsi="宋体" w:cs="宋体"/>
                <w:sz w:val="24"/>
                <w:szCs w:val="24"/>
              </w:rPr>
            </w:pPr>
          </w:p>
        </w:tc>
      </w:tr>
      <w:tr w14:paraId="3630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4A574C41">
            <w:pPr>
              <w:autoSpaceDE w:val="0"/>
              <w:autoSpaceDN w:val="0"/>
              <w:adjustRightInd w:val="0"/>
              <w:snapToGrid w:val="0"/>
              <w:spacing w:line="288" w:lineRule="auto"/>
              <w:jc w:val="center"/>
              <w:rPr>
                <w:rFonts w:ascii="宋体" w:hAnsi="宋体" w:cs="宋体"/>
                <w:spacing w:val="1"/>
                <w:kern w:val="0"/>
                <w:sz w:val="24"/>
                <w:szCs w:val="24"/>
              </w:rPr>
            </w:pPr>
          </w:p>
        </w:tc>
        <w:tc>
          <w:tcPr>
            <w:tcW w:w="923" w:type="dxa"/>
            <w:vMerge w:val="continue"/>
            <w:vAlign w:val="center"/>
          </w:tcPr>
          <w:p w14:paraId="2AD8EB9D">
            <w:pPr>
              <w:autoSpaceDE w:val="0"/>
              <w:autoSpaceDN w:val="0"/>
              <w:adjustRightInd w:val="0"/>
              <w:snapToGrid w:val="0"/>
              <w:spacing w:line="288" w:lineRule="auto"/>
              <w:jc w:val="center"/>
              <w:rPr>
                <w:rFonts w:ascii="宋体" w:hAnsi="宋体" w:cs="宋体"/>
                <w:kern w:val="0"/>
                <w:sz w:val="24"/>
                <w:szCs w:val="24"/>
              </w:rPr>
            </w:pPr>
          </w:p>
        </w:tc>
        <w:tc>
          <w:tcPr>
            <w:tcW w:w="2318" w:type="dxa"/>
            <w:vAlign w:val="center"/>
          </w:tcPr>
          <w:p w14:paraId="09666C48">
            <w:pPr>
              <w:adjustRightInd w:val="0"/>
              <w:snapToGrid w:val="0"/>
              <w:jc w:val="center"/>
              <w:rPr>
                <w:rFonts w:ascii="宋体" w:hAnsi="宋体" w:cs="宋体"/>
                <w:sz w:val="24"/>
                <w:szCs w:val="24"/>
              </w:rPr>
            </w:pPr>
            <w:r>
              <w:rPr>
                <w:rFonts w:hint="eastAsia" w:ascii="宋体" w:hAnsi="宋体" w:cs="宋体"/>
                <w:sz w:val="24"/>
                <w:szCs w:val="24"/>
              </w:rPr>
              <w:t>其它资格要求</w:t>
            </w:r>
          </w:p>
        </w:tc>
        <w:tc>
          <w:tcPr>
            <w:tcW w:w="5850" w:type="dxa"/>
            <w:vMerge w:val="continue"/>
            <w:vAlign w:val="center"/>
          </w:tcPr>
          <w:p w14:paraId="1AB2FB79">
            <w:pPr>
              <w:adjustRightInd w:val="0"/>
              <w:snapToGrid w:val="0"/>
              <w:spacing w:line="288" w:lineRule="auto"/>
              <w:rPr>
                <w:rFonts w:ascii="宋体" w:hAnsi="宋体" w:cs="宋体"/>
                <w:sz w:val="24"/>
                <w:szCs w:val="24"/>
              </w:rPr>
            </w:pPr>
          </w:p>
        </w:tc>
      </w:tr>
      <w:tr w14:paraId="6D3B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87" w:type="dxa"/>
            <w:vMerge w:val="restart"/>
            <w:vAlign w:val="center"/>
          </w:tcPr>
          <w:p w14:paraId="1317C003">
            <w:pPr>
              <w:adjustRightInd w:val="0"/>
              <w:snapToGrid w:val="0"/>
              <w:spacing w:line="288" w:lineRule="auto"/>
              <w:jc w:val="center"/>
              <w:rPr>
                <w:rFonts w:ascii="宋体" w:hAnsi="宋体" w:cs="宋体"/>
                <w:sz w:val="24"/>
                <w:szCs w:val="24"/>
              </w:rPr>
            </w:pPr>
            <w:r>
              <w:rPr>
                <w:rFonts w:hint="eastAsia" w:ascii="宋体" w:hAnsi="宋体" w:cs="宋体"/>
                <w:sz w:val="24"/>
                <w:szCs w:val="24"/>
              </w:rPr>
              <w:t>2.1.2</w:t>
            </w:r>
          </w:p>
        </w:tc>
        <w:tc>
          <w:tcPr>
            <w:tcW w:w="923" w:type="dxa"/>
            <w:vMerge w:val="restart"/>
            <w:vAlign w:val="center"/>
          </w:tcPr>
          <w:p w14:paraId="72B5029E">
            <w:pPr>
              <w:autoSpaceDE w:val="0"/>
              <w:autoSpaceDN w:val="0"/>
              <w:adjustRightInd w:val="0"/>
              <w:snapToGrid w:val="0"/>
              <w:spacing w:line="288" w:lineRule="auto"/>
              <w:jc w:val="center"/>
              <w:rPr>
                <w:rFonts w:ascii="宋体" w:hAnsi="宋体" w:cs="宋体"/>
                <w:sz w:val="24"/>
                <w:szCs w:val="24"/>
              </w:rPr>
            </w:pPr>
            <w:r>
              <w:rPr>
                <w:rFonts w:hint="eastAsia" w:ascii="宋体" w:hAnsi="宋体" w:cs="宋体"/>
                <w:kern w:val="0"/>
                <w:sz w:val="24"/>
                <w:szCs w:val="24"/>
              </w:rPr>
              <w:t>形式审查标准</w:t>
            </w:r>
          </w:p>
        </w:tc>
        <w:tc>
          <w:tcPr>
            <w:tcW w:w="2318" w:type="dxa"/>
            <w:vAlign w:val="center"/>
          </w:tcPr>
          <w:p w14:paraId="075CA5A0">
            <w:pPr>
              <w:adjustRightInd w:val="0"/>
              <w:snapToGrid w:val="0"/>
              <w:spacing w:line="288" w:lineRule="auto"/>
              <w:jc w:val="center"/>
              <w:rPr>
                <w:rFonts w:ascii="宋体" w:hAnsi="宋体" w:cs="宋体"/>
                <w:sz w:val="24"/>
                <w:szCs w:val="24"/>
              </w:rPr>
            </w:pPr>
            <w:r>
              <w:rPr>
                <w:rFonts w:hint="eastAsia" w:ascii="宋体" w:hAnsi="宋体" w:cs="宋体"/>
                <w:sz w:val="24"/>
                <w:szCs w:val="24"/>
              </w:rPr>
              <w:t>供应商名称</w:t>
            </w:r>
          </w:p>
        </w:tc>
        <w:tc>
          <w:tcPr>
            <w:tcW w:w="5850" w:type="dxa"/>
            <w:vAlign w:val="center"/>
          </w:tcPr>
          <w:p w14:paraId="1909AF95">
            <w:pPr>
              <w:pStyle w:val="57"/>
              <w:shd w:val="clear" w:color="auto" w:fill="auto"/>
              <w:adjustRightInd w:val="0"/>
              <w:snapToGrid w:val="0"/>
              <w:spacing w:before="0" w:line="288" w:lineRule="auto"/>
              <w:rPr>
                <w:rFonts w:cs="宋体"/>
                <w:sz w:val="24"/>
                <w:szCs w:val="24"/>
              </w:rPr>
            </w:pPr>
            <w:r>
              <w:rPr>
                <w:rFonts w:hint="eastAsia" w:cs="宋体"/>
                <w:sz w:val="24"/>
                <w:szCs w:val="24"/>
              </w:rPr>
              <w:t>供应商名称、法定代表人与营业执照一致</w:t>
            </w:r>
          </w:p>
        </w:tc>
      </w:tr>
      <w:tr w14:paraId="2F99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57B184FF">
            <w:pPr>
              <w:adjustRightInd w:val="0"/>
              <w:snapToGrid w:val="0"/>
              <w:spacing w:line="288" w:lineRule="auto"/>
              <w:jc w:val="center"/>
              <w:rPr>
                <w:rFonts w:ascii="宋体" w:hAnsi="宋体" w:cs="宋体"/>
                <w:sz w:val="24"/>
                <w:szCs w:val="24"/>
              </w:rPr>
            </w:pPr>
          </w:p>
        </w:tc>
        <w:tc>
          <w:tcPr>
            <w:tcW w:w="923" w:type="dxa"/>
            <w:vMerge w:val="continue"/>
            <w:vAlign w:val="center"/>
          </w:tcPr>
          <w:p w14:paraId="74E36D55">
            <w:pPr>
              <w:adjustRightInd w:val="0"/>
              <w:snapToGrid w:val="0"/>
              <w:spacing w:line="288" w:lineRule="auto"/>
              <w:jc w:val="center"/>
              <w:rPr>
                <w:rFonts w:ascii="宋体" w:hAnsi="宋体" w:cs="宋体"/>
                <w:sz w:val="24"/>
                <w:szCs w:val="24"/>
              </w:rPr>
            </w:pPr>
          </w:p>
        </w:tc>
        <w:tc>
          <w:tcPr>
            <w:tcW w:w="2318" w:type="dxa"/>
            <w:vAlign w:val="center"/>
          </w:tcPr>
          <w:p w14:paraId="6AB0004B">
            <w:pPr>
              <w:adjustRightInd w:val="0"/>
              <w:snapToGrid w:val="0"/>
              <w:spacing w:line="288" w:lineRule="auto"/>
              <w:jc w:val="center"/>
              <w:rPr>
                <w:rFonts w:ascii="宋体" w:hAnsi="宋体" w:cs="宋体"/>
                <w:sz w:val="24"/>
                <w:szCs w:val="24"/>
              </w:rPr>
            </w:pPr>
            <w:r>
              <w:rPr>
                <w:rFonts w:hint="eastAsia" w:ascii="宋体" w:hAnsi="宋体" w:cs="宋体"/>
                <w:sz w:val="24"/>
                <w:szCs w:val="24"/>
              </w:rPr>
              <w:t>磋商函签字盖章</w:t>
            </w:r>
          </w:p>
        </w:tc>
        <w:tc>
          <w:tcPr>
            <w:tcW w:w="5850" w:type="dxa"/>
            <w:vAlign w:val="center"/>
          </w:tcPr>
          <w:p w14:paraId="297BC7D7">
            <w:pPr>
              <w:adjustRightInd w:val="0"/>
              <w:snapToGrid w:val="0"/>
              <w:spacing w:line="288" w:lineRule="auto"/>
              <w:rPr>
                <w:rFonts w:ascii="宋体" w:hAnsi="宋体" w:cs="宋体"/>
                <w:sz w:val="24"/>
                <w:szCs w:val="24"/>
              </w:rPr>
            </w:pPr>
            <w:r>
              <w:rPr>
                <w:rFonts w:hint="eastAsia" w:ascii="宋体" w:hAnsi="宋体" w:cs="宋体"/>
                <w:sz w:val="24"/>
                <w:szCs w:val="24"/>
              </w:rPr>
              <w:t>符合竞争性磋商文件要求</w:t>
            </w:r>
          </w:p>
        </w:tc>
      </w:tr>
      <w:tr w14:paraId="1F1B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05FD7E41">
            <w:pPr>
              <w:adjustRightInd w:val="0"/>
              <w:snapToGrid w:val="0"/>
              <w:spacing w:line="288" w:lineRule="auto"/>
              <w:jc w:val="center"/>
              <w:rPr>
                <w:rFonts w:ascii="宋体" w:hAnsi="宋体" w:cs="宋体"/>
                <w:sz w:val="24"/>
                <w:szCs w:val="24"/>
              </w:rPr>
            </w:pPr>
          </w:p>
        </w:tc>
        <w:tc>
          <w:tcPr>
            <w:tcW w:w="923" w:type="dxa"/>
            <w:vMerge w:val="continue"/>
            <w:vAlign w:val="center"/>
          </w:tcPr>
          <w:p w14:paraId="4E21220A">
            <w:pPr>
              <w:adjustRightInd w:val="0"/>
              <w:snapToGrid w:val="0"/>
              <w:spacing w:line="288" w:lineRule="auto"/>
              <w:jc w:val="center"/>
              <w:rPr>
                <w:rFonts w:ascii="宋体" w:hAnsi="宋体" w:cs="宋体"/>
                <w:sz w:val="24"/>
                <w:szCs w:val="24"/>
              </w:rPr>
            </w:pPr>
          </w:p>
        </w:tc>
        <w:tc>
          <w:tcPr>
            <w:tcW w:w="2318" w:type="dxa"/>
            <w:vAlign w:val="center"/>
          </w:tcPr>
          <w:p w14:paraId="31AB8AFD">
            <w:pPr>
              <w:adjustRightInd w:val="0"/>
              <w:snapToGrid w:val="0"/>
              <w:spacing w:line="288" w:lineRule="auto"/>
              <w:jc w:val="center"/>
              <w:rPr>
                <w:rFonts w:ascii="宋体" w:hAnsi="宋体" w:cs="宋体"/>
                <w:sz w:val="24"/>
                <w:szCs w:val="24"/>
              </w:rPr>
            </w:pPr>
            <w:r>
              <w:rPr>
                <w:rFonts w:hint="eastAsia" w:ascii="宋体" w:hAnsi="宋体" w:cs="宋体"/>
                <w:sz w:val="24"/>
                <w:szCs w:val="24"/>
              </w:rPr>
              <w:t>响应文件格式</w:t>
            </w:r>
          </w:p>
        </w:tc>
        <w:tc>
          <w:tcPr>
            <w:tcW w:w="5850" w:type="dxa"/>
            <w:vAlign w:val="center"/>
          </w:tcPr>
          <w:p w14:paraId="39F07627">
            <w:pPr>
              <w:adjustRightInd w:val="0"/>
              <w:snapToGrid w:val="0"/>
              <w:spacing w:line="288" w:lineRule="auto"/>
              <w:rPr>
                <w:rFonts w:ascii="宋体" w:hAnsi="宋体" w:cs="宋体"/>
                <w:sz w:val="24"/>
                <w:szCs w:val="24"/>
              </w:rPr>
            </w:pPr>
            <w:r>
              <w:rPr>
                <w:rFonts w:hint="eastAsia" w:ascii="宋体" w:hAnsi="宋体" w:cs="宋体"/>
                <w:sz w:val="24"/>
                <w:szCs w:val="24"/>
              </w:rPr>
              <w:t>符合竞争性磋商文件要求</w:t>
            </w:r>
          </w:p>
        </w:tc>
      </w:tr>
      <w:tr w14:paraId="3874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2FDC0B93">
            <w:pPr>
              <w:adjustRightInd w:val="0"/>
              <w:snapToGrid w:val="0"/>
              <w:spacing w:line="288" w:lineRule="auto"/>
              <w:jc w:val="center"/>
              <w:rPr>
                <w:rFonts w:ascii="宋体" w:hAnsi="宋体" w:cs="宋体"/>
                <w:sz w:val="24"/>
                <w:szCs w:val="24"/>
              </w:rPr>
            </w:pPr>
          </w:p>
        </w:tc>
        <w:tc>
          <w:tcPr>
            <w:tcW w:w="923" w:type="dxa"/>
            <w:vMerge w:val="continue"/>
            <w:vAlign w:val="center"/>
          </w:tcPr>
          <w:p w14:paraId="5E48B69B">
            <w:pPr>
              <w:adjustRightInd w:val="0"/>
              <w:snapToGrid w:val="0"/>
              <w:spacing w:line="288" w:lineRule="auto"/>
              <w:jc w:val="center"/>
              <w:rPr>
                <w:rFonts w:ascii="宋体" w:hAnsi="宋体" w:cs="宋体"/>
                <w:sz w:val="24"/>
                <w:szCs w:val="24"/>
              </w:rPr>
            </w:pPr>
          </w:p>
        </w:tc>
        <w:tc>
          <w:tcPr>
            <w:tcW w:w="2318" w:type="dxa"/>
            <w:vAlign w:val="center"/>
          </w:tcPr>
          <w:p w14:paraId="3DF4DAC8">
            <w:pPr>
              <w:adjustRightInd w:val="0"/>
              <w:snapToGrid w:val="0"/>
              <w:spacing w:line="288" w:lineRule="auto"/>
              <w:jc w:val="center"/>
              <w:rPr>
                <w:rFonts w:ascii="宋体" w:hAnsi="宋体" w:cs="宋体"/>
                <w:sz w:val="24"/>
                <w:szCs w:val="24"/>
              </w:rPr>
            </w:pPr>
            <w:r>
              <w:rPr>
                <w:rFonts w:hint="eastAsia" w:ascii="宋体" w:hAnsi="宋体" w:cs="宋体"/>
                <w:sz w:val="24"/>
                <w:szCs w:val="24"/>
              </w:rPr>
              <w:t>报价唯一</w:t>
            </w:r>
          </w:p>
        </w:tc>
        <w:tc>
          <w:tcPr>
            <w:tcW w:w="5850" w:type="dxa"/>
            <w:vAlign w:val="center"/>
          </w:tcPr>
          <w:p w14:paraId="54045F36">
            <w:pPr>
              <w:adjustRightInd w:val="0"/>
              <w:snapToGrid w:val="0"/>
              <w:spacing w:line="288" w:lineRule="auto"/>
              <w:rPr>
                <w:rFonts w:ascii="宋体" w:hAnsi="宋体" w:cs="宋体"/>
                <w:sz w:val="24"/>
                <w:szCs w:val="24"/>
              </w:rPr>
            </w:pPr>
            <w:r>
              <w:rPr>
                <w:rFonts w:hint="eastAsia" w:ascii="宋体" w:hAnsi="宋体" w:cs="宋体"/>
                <w:sz w:val="24"/>
                <w:szCs w:val="24"/>
              </w:rPr>
              <w:t>只能有一个有效报价</w:t>
            </w:r>
          </w:p>
        </w:tc>
      </w:tr>
      <w:tr w14:paraId="068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0A94E98A">
            <w:pPr>
              <w:adjustRightInd w:val="0"/>
              <w:snapToGrid w:val="0"/>
              <w:spacing w:line="288" w:lineRule="auto"/>
              <w:jc w:val="center"/>
              <w:rPr>
                <w:rFonts w:ascii="宋体" w:hAnsi="宋体" w:cs="宋体"/>
                <w:sz w:val="24"/>
                <w:szCs w:val="24"/>
              </w:rPr>
            </w:pPr>
          </w:p>
        </w:tc>
        <w:tc>
          <w:tcPr>
            <w:tcW w:w="923" w:type="dxa"/>
            <w:vMerge w:val="restart"/>
            <w:vAlign w:val="center"/>
          </w:tcPr>
          <w:p w14:paraId="5BD6BC73">
            <w:pPr>
              <w:autoSpaceDE w:val="0"/>
              <w:autoSpaceDN w:val="0"/>
              <w:adjustRightInd w:val="0"/>
              <w:snapToGrid w:val="0"/>
              <w:spacing w:line="288" w:lineRule="auto"/>
              <w:jc w:val="center"/>
              <w:rPr>
                <w:rFonts w:ascii="宋体" w:hAnsi="宋体" w:cs="宋体"/>
                <w:sz w:val="24"/>
                <w:szCs w:val="24"/>
              </w:rPr>
            </w:pPr>
            <w:r>
              <w:rPr>
                <w:rFonts w:hint="eastAsia" w:ascii="宋体" w:hAnsi="宋体" w:cs="宋体"/>
                <w:kern w:val="0"/>
                <w:sz w:val="24"/>
                <w:szCs w:val="24"/>
              </w:rPr>
              <w:t>响应性审查标准</w:t>
            </w:r>
          </w:p>
        </w:tc>
        <w:tc>
          <w:tcPr>
            <w:tcW w:w="2318" w:type="dxa"/>
            <w:vAlign w:val="center"/>
          </w:tcPr>
          <w:p w14:paraId="14668CDA">
            <w:pPr>
              <w:adjustRightInd w:val="0"/>
              <w:snapToGrid w:val="0"/>
              <w:spacing w:line="288" w:lineRule="auto"/>
              <w:jc w:val="center"/>
              <w:rPr>
                <w:rFonts w:ascii="宋体" w:hAnsi="宋体" w:cs="宋体"/>
                <w:sz w:val="24"/>
                <w:szCs w:val="24"/>
              </w:rPr>
            </w:pPr>
            <w:r>
              <w:rPr>
                <w:rFonts w:hint="eastAsia" w:ascii="宋体" w:hAnsi="宋体" w:cs="宋体"/>
                <w:sz w:val="24"/>
                <w:szCs w:val="24"/>
              </w:rPr>
              <w:t>服务期限</w:t>
            </w:r>
          </w:p>
        </w:tc>
        <w:tc>
          <w:tcPr>
            <w:tcW w:w="5850" w:type="dxa"/>
            <w:vAlign w:val="center"/>
          </w:tcPr>
          <w:p w14:paraId="5E8A45E2">
            <w:pPr>
              <w:adjustRightInd w:val="0"/>
              <w:snapToGrid w:val="0"/>
              <w:spacing w:line="288" w:lineRule="auto"/>
              <w:rPr>
                <w:rFonts w:ascii="宋体" w:hAnsi="宋体" w:cs="宋体"/>
                <w:sz w:val="24"/>
                <w:szCs w:val="24"/>
              </w:rPr>
            </w:pPr>
            <w:r>
              <w:rPr>
                <w:rFonts w:hint="eastAsia" w:ascii="宋体" w:hAnsi="宋体" w:cs="宋体"/>
                <w:sz w:val="24"/>
                <w:szCs w:val="24"/>
              </w:rPr>
              <w:t>符合第二章“供应商须知前附表”规定</w:t>
            </w:r>
          </w:p>
        </w:tc>
      </w:tr>
      <w:tr w14:paraId="00DE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7" w:type="dxa"/>
            <w:vMerge w:val="continue"/>
            <w:vAlign w:val="center"/>
          </w:tcPr>
          <w:p w14:paraId="3D7A2F6C">
            <w:pPr>
              <w:adjustRightInd w:val="0"/>
              <w:snapToGrid w:val="0"/>
              <w:spacing w:line="288" w:lineRule="auto"/>
              <w:jc w:val="center"/>
              <w:rPr>
                <w:rFonts w:ascii="宋体" w:hAnsi="宋体" w:cs="宋体"/>
                <w:sz w:val="24"/>
                <w:szCs w:val="24"/>
              </w:rPr>
            </w:pPr>
          </w:p>
        </w:tc>
        <w:tc>
          <w:tcPr>
            <w:tcW w:w="923" w:type="dxa"/>
            <w:vMerge w:val="continue"/>
            <w:vAlign w:val="center"/>
          </w:tcPr>
          <w:p w14:paraId="39777914">
            <w:pPr>
              <w:adjustRightInd w:val="0"/>
              <w:snapToGrid w:val="0"/>
              <w:spacing w:line="288" w:lineRule="auto"/>
              <w:jc w:val="center"/>
              <w:rPr>
                <w:rFonts w:ascii="宋体" w:hAnsi="宋体" w:cs="宋体"/>
                <w:sz w:val="24"/>
                <w:szCs w:val="24"/>
              </w:rPr>
            </w:pPr>
          </w:p>
        </w:tc>
        <w:tc>
          <w:tcPr>
            <w:tcW w:w="2318" w:type="dxa"/>
            <w:vAlign w:val="center"/>
          </w:tcPr>
          <w:p w14:paraId="50282E21">
            <w:pPr>
              <w:adjustRightInd w:val="0"/>
              <w:snapToGrid w:val="0"/>
              <w:spacing w:line="288" w:lineRule="auto"/>
              <w:jc w:val="center"/>
              <w:rPr>
                <w:rFonts w:ascii="宋体" w:hAnsi="宋体" w:cs="宋体"/>
                <w:sz w:val="24"/>
                <w:szCs w:val="24"/>
              </w:rPr>
            </w:pPr>
            <w:r>
              <w:rPr>
                <w:rFonts w:hint="eastAsia" w:ascii="宋体" w:hAnsi="宋体" w:cs="宋体"/>
                <w:sz w:val="24"/>
                <w:szCs w:val="24"/>
              </w:rPr>
              <w:t>质量要求</w:t>
            </w:r>
          </w:p>
        </w:tc>
        <w:tc>
          <w:tcPr>
            <w:tcW w:w="5850" w:type="dxa"/>
            <w:vAlign w:val="center"/>
          </w:tcPr>
          <w:p w14:paraId="3196D98D">
            <w:pPr>
              <w:adjustRightInd w:val="0"/>
              <w:snapToGrid w:val="0"/>
              <w:spacing w:line="288" w:lineRule="auto"/>
              <w:rPr>
                <w:rFonts w:ascii="宋体" w:hAnsi="宋体" w:cs="宋体"/>
                <w:sz w:val="24"/>
                <w:szCs w:val="24"/>
              </w:rPr>
            </w:pPr>
            <w:r>
              <w:rPr>
                <w:rFonts w:hint="eastAsia" w:ascii="宋体" w:hAnsi="宋体" w:cs="宋体"/>
                <w:sz w:val="24"/>
                <w:szCs w:val="24"/>
              </w:rPr>
              <w:t>符合第二章“供应商须知前附表”规定</w:t>
            </w:r>
          </w:p>
        </w:tc>
      </w:tr>
      <w:tr w14:paraId="3662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00B0A20F">
            <w:pPr>
              <w:adjustRightInd w:val="0"/>
              <w:snapToGrid w:val="0"/>
              <w:spacing w:line="288" w:lineRule="auto"/>
              <w:jc w:val="center"/>
              <w:rPr>
                <w:rFonts w:ascii="宋体" w:hAnsi="宋体" w:cs="宋体"/>
                <w:sz w:val="24"/>
                <w:szCs w:val="24"/>
              </w:rPr>
            </w:pPr>
          </w:p>
        </w:tc>
        <w:tc>
          <w:tcPr>
            <w:tcW w:w="923" w:type="dxa"/>
            <w:vMerge w:val="continue"/>
            <w:vAlign w:val="center"/>
          </w:tcPr>
          <w:p w14:paraId="04563752">
            <w:pPr>
              <w:adjustRightInd w:val="0"/>
              <w:snapToGrid w:val="0"/>
              <w:spacing w:line="288" w:lineRule="auto"/>
              <w:jc w:val="center"/>
              <w:rPr>
                <w:rFonts w:ascii="宋体" w:hAnsi="宋体" w:cs="宋体"/>
                <w:sz w:val="24"/>
                <w:szCs w:val="24"/>
              </w:rPr>
            </w:pPr>
          </w:p>
        </w:tc>
        <w:tc>
          <w:tcPr>
            <w:tcW w:w="2318" w:type="dxa"/>
            <w:vAlign w:val="center"/>
          </w:tcPr>
          <w:p w14:paraId="07C739D1">
            <w:pPr>
              <w:adjustRightInd w:val="0"/>
              <w:snapToGrid w:val="0"/>
              <w:spacing w:line="288" w:lineRule="auto"/>
              <w:jc w:val="center"/>
              <w:rPr>
                <w:rFonts w:ascii="宋体" w:hAnsi="宋体" w:cs="宋体"/>
                <w:sz w:val="24"/>
                <w:szCs w:val="24"/>
              </w:rPr>
            </w:pPr>
            <w:r>
              <w:rPr>
                <w:rFonts w:hint="eastAsia" w:ascii="宋体" w:hAnsi="宋体" w:cs="宋体"/>
                <w:sz w:val="24"/>
                <w:szCs w:val="24"/>
              </w:rPr>
              <w:t>磋商有效期</w:t>
            </w:r>
          </w:p>
        </w:tc>
        <w:tc>
          <w:tcPr>
            <w:tcW w:w="5850" w:type="dxa"/>
            <w:vAlign w:val="center"/>
          </w:tcPr>
          <w:p w14:paraId="012657ED">
            <w:pPr>
              <w:pStyle w:val="52"/>
              <w:adjustRightInd w:val="0"/>
              <w:snapToGrid w:val="0"/>
              <w:spacing w:line="288" w:lineRule="auto"/>
              <w:jc w:val="both"/>
              <w:rPr>
                <w:rFonts w:ascii="宋体" w:hAnsi="宋体" w:cs="宋体"/>
                <w:color w:val="auto"/>
                <w:sz w:val="24"/>
                <w:szCs w:val="24"/>
              </w:rPr>
            </w:pPr>
            <w:r>
              <w:rPr>
                <w:rFonts w:hint="eastAsia" w:ascii="宋体" w:hAnsi="宋体" w:cs="宋体"/>
                <w:sz w:val="24"/>
                <w:szCs w:val="24"/>
              </w:rPr>
              <w:t>符合第二章“供应商须知前附表”规定</w:t>
            </w:r>
          </w:p>
        </w:tc>
      </w:tr>
      <w:tr w14:paraId="7ACB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87" w:type="dxa"/>
            <w:vMerge w:val="continue"/>
            <w:vAlign w:val="center"/>
          </w:tcPr>
          <w:p w14:paraId="5C512864">
            <w:pPr>
              <w:adjustRightInd w:val="0"/>
              <w:snapToGrid w:val="0"/>
              <w:spacing w:line="288" w:lineRule="auto"/>
              <w:jc w:val="center"/>
              <w:rPr>
                <w:rFonts w:ascii="宋体" w:hAnsi="宋体" w:cs="宋体"/>
                <w:sz w:val="24"/>
                <w:szCs w:val="24"/>
              </w:rPr>
            </w:pPr>
          </w:p>
        </w:tc>
        <w:tc>
          <w:tcPr>
            <w:tcW w:w="923" w:type="dxa"/>
            <w:vMerge w:val="continue"/>
            <w:vAlign w:val="center"/>
          </w:tcPr>
          <w:p w14:paraId="0F5F3FDB">
            <w:pPr>
              <w:adjustRightInd w:val="0"/>
              <w:snapToGrid w:val="0"/>
              <w:spacing w:line="288" w:lineRule="auto"/>
              <w:jc w:val="center"/>
              <w:rPr>
                <w:rFonts w:ascii="宋体" w:hAnsi="宋体" w:cs="宋体"/>
                <w:sz w:val="24"/>
                <w:szCs w:val="24"/>
              </w:rPr>
            </w:pPr>
          </w:p>
        </w:tc>
        <w:tc>
          <w:tcPr>
            <w:tcW w:w="2318" w:type="dxa"/>
            <w:vAlign w:val="center"/>
          </w:tcPr>
          <w:p w14:paraId="11898ECF">
            <w:pPr>
              <w:adjustRightInd w:val="0"/>
              <w:snapToGrid w:val="0"/>
              <w:spacing w:line="288" w:lineRule="auto"/>
              <w:jc w:val="center"/>
              <w:rPr>
                <w:rFonts w:ascii="宋体" w:hAnsi="宋体" w:cs="宋体"/>
                <w:sz w:val="24"/>
                <w:szCs w:val="24"/>
              </w:rPr>
            </w:pPr>
            <w:r>
              <w:rPr>
                <w:rFonts w:hint="eastAsia" w:ascii="宋体" w:hAnsi="宋体" w:cs="宋体"/>
                <w:sz w:val="24"/>
                <w:szCs w:val="24"/>
              </w:rPr>
              <w:t>磋商报价</w:t>
            </w:r>
          </w:p>
        </w:tc>
        <w:tc>
          <w:tcPr>
            <w:tcW w:w="5850" w:type="dxa"/>
            <w:vAlign w:val="center"/>
          </w:tcPr>
          <w:p w14:paraId="08ED73B4">
            <w:pPr>
              <w:pStyle w:val="52"/>
              <w:adjustRightInd w:val="0"/>
              <w:snapToGrid w:val="0"/>
              <w:spacing w:line="288" w:lineRule="auto"/>
              <w:jc w:val="both"/>
              <w:rPr>
                <w:rFonts w:ascii="宋体" w:hAnsi="宋体" w:cs="宋体"/>
                <w:color w:val="auto"/>
                <w:sz w:val="24"/>
                <w:szCs w:val="24"/>
              </w:rPr>
            </w:pPr>
            <w:r>
              <w:rPr>
                <w:rFonts w:hint="eastAsia" w:ascii="宋体" w:hAnsi="宋体" w:cs="宋体"/>
                <w:color w:val="auto"/>
                <w:sz w:val="24"/>
                <w:szCs w:val="24"/>
              </w:rPr>
              <w:t>磋商报价不高于采购人最高投标限价</w:t>
            </w:r>
          </w:p>
        </w:tc>
      </w:tr>
      <w:tr w14:paraId="0F03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87" w:type="dxa"/>
            <w:vMerge w:val="continue"/>
            <w:vAlign w:val="center"/>
          </w:tcPr>
          <w:p w14:paraId="72233AEC">
            <w:pPr>
              <w:adjustRightInd w:val="0"/>
              <w:snapToGrid w:val="0"/>
              <w:spacing w:line="288" w:lineRule="auto"/>
              <w:jc w:val="center"/>
              <w:rPr>
                <w:rFonts w:ascii="宋体" w:hAnsi="宋体" w:cs="宋体"/>
                <w:sz w:val="24"/>
                <w:szCs w:val="24"/>
              </w:rPr>
            </w:pPr>
          </w:p>
        </w:tc>
        <w:tc>
          <w:tcPr>
            <w:tcW w:w="923" w:type="dxa"/>
            <w:vMerge w:val="continue"/>
            <w:vAlign w:val="center"/>
          </w:tcPr>
          <w:p w14:paraId="2ACB4F0E">
            <w:pPr>
              <w:adjustRightInd w:val="0"/>
              <w:snapToGrid w:val="0"/>
              <w:spacing w:line="288" w:lineRule="auto"/>
              <w:jc w:val="center"/>
              <w:rPr>
                <w:rFonts w:ascii="宋体" w:hAnsi="宋体" w:cs="宋体"/>
                <w:sz w:val="24"/>
                <w:szCs w:val="24"/>
              </w:rPr>
            </w:pPr>
          </w:p>
        </w:tc>
        <w:tc>
          <w:tcPr>
            <w:tcW w:w="2318" w:type="dxa"/>
            <w:vAlign w:val="center"/>
          </w:tcPr>
          <w:p w14:paraId="7401E9E5">
            <w:pPr>
              <w:adjustRightInd w:val="0"/>
              <w:snapToGrid w:val="0"/>
              <w:spacing w:line="288" w:lineRule="auto"/>
              <w:jc w:val="center"/>
              <w:rPr>
                <w:rFonts w:ascii="宋体" w:hAnsi="宋体" w:cs="宋体"/>
                <w:sz w:val="24"/>
                <w:szCs w:val="24"/>
              </w:rPr>
            </w:pPr>
            <w:r>
              <w:rPr>
                <w:rFonts w:hint="eastAsia" w:ascii="宋体" w:hAnsi="宋体" w:cs="宋体"/>
                <w:sz w:val="24"/>
              </w:rPr>
              <w:t>其他实质性要求</w:t>
            </w:r>
          </w:p>
        </w:tc>
        <w:tc>
          <w:tcPr>
            <w:tcW w:w="5850" w:type="dxa"/>
            <w:vAlign w:val="center"/>
          </w:tcPr>
          <w:p w14:paraId="42EDEA1D">
            <w:pPr>
              <w:pStyle w:val="52"/>
              <w:adjustRightInd w:val="0"/>
              <w:snapToGrid w:val="0"/>
              <w:spacing w:line="288" w:lineRule="auto"/>
              <w:jc w:val="both"/>
              <w:rPr>
                <w:rFonts w:ascii="宋体" w:hAnsi="宋体" w:cs="宋体"/>
                <w:color w:val="auto"/>
                <w:sz w:val="24"/>
                <w:szCs w:val="24"/>
              </w:rPr>
            </w:pPr>
            <w:r>
              <w:rPr>
                <w:rFonts w:hint="eastAsia" w:ascii="宋体" w:hAnsi="宋体" w:cs="宋体"/>
                <w:bCs/>
                <w:color w:val="auto"/>
                <w:sz w:val="24"/>
                <w:szCs w:val="24"/>
              </w:rPr>
              <w:t>满足</w:t>
            </w:r>
            <w:r>
              <w:rPr>
                <w:rFonts w:hint="eastAsia" w:ascii="宋体" w:hAnsi="宋体" w:cs="宋体"/>
                <w:color w:val="auto"/>
                <w:sz w:val="24"/>
                <w:szCs w:val="24"/>
              </w:rPr>
              <w:t>第四章“服务内容及要求”</w:t>
            </w:r>
          </w:p>
        </w:tc>
      </w:tr>
      <w:tr w14:paraId="2DE8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587" w:type="dxa"/>
            <w:vAlign w:val="center"/>
          </w:tcPr>
          <w:p w14:paraId="1EAEEA1F">
            <w:pPr>
              <w:adjustRightInd w:val="0"/>
              <w:snapToGrid w:val="0"/>
              <w:spacing w:line="288" w:lineRule="auto"/>
              <w:jc w:val="center"/>
              <w:rPr>
                <w:rFonts w:ascii="宋体" w:hAnsi="宋体" w:cs="宋体"/>
                <w:sz w:val="24"/>
                <w:szCs w:val="24"/>
              </w:rPr>
            </w:pPr>
            <w:r>
              <w:rPr>
                <w:rFonts w:hint="eastAsia" w:ascii="宋体" w:hAnsi="宋体" w:cs="宋体"/>
                <w:sz w:val="24"/>
                <w:szCs w:val="24"/>
              </w:rPr>
              <w:t>2.2</w:t>
            </w:r>
          </w:p>
        </w:tc>
        <w:tc>
          <w:tcPr>
            <w:tcW w:w="923" w:type="dxa"/>
            <w:vAlign w:val="center"/>
          </w:tcPr>
          <w:p w14:paraId="3190CAEE">
            <w:pPr>
              <w:adjustRightInd w:val="0"/>
              <w:snapToGrid w:val="0"/>
              <w:spacing w:line="288" w:lineRule="auto"/>
              <w:jc w:val="center"/>
              <w:rPr>
                <w:rFonts w:ascii="宋体" w:hAnsi="宋体" w:cs="宋体"/>
                <w:sz w:val="24"/>
                <w:szCs w:val="24"/>
              </w:rPr>
            </w:pPr>
            <w:r>
              <w:rPr>
                <w:rFonts w:hint="eastAsia" w:ascii="宋体" w:hAnsi="宋体" w:cs="宋体"/>
                <w:sz w:val="24"/>
                <w:szCs w:val="24"/>
              </w:rPr>
              <w:t>竞争性</w:t>
            </w:r>
          </w:p>
          <w:p w14:paraId="11321BB2">
            <w:pPr>
              <w:adjustRightInd w:val="0"/>
              <w:snapToGrid w:val="0"/>
              <w:spacing w:line="288" w:lineRule="auto"/>
              <w:jc w:val="center"/>
              <w:rPr>
                <w:rFonts w:ascii="宋体" w:hAnsi="宋体" w:cs="宋体"/>
                <w:sz w:val="24"/>
                <w:szCs w:val="24"/>
              </w:rPr>
            </w:pPr>
            <w:r>
              <w:rPr>
                <w:rFonts w:hint="eastAsia" w:ascii="宋体" w:hAnsi="宋体" w:cs="宋体"/>
                <w:sz w:val="24"/>
                <w:szCs w:val="24"/>
              </w:rPr>
              <w:t>磋商</w:t>
            </w:r>
          </w:p>
        </w:tc>
        <w:tc>
          <w:tcPr>
            <w:tcW w:w="2318" w:type="dxa"/>
            <w:vAlign w:val="center"/>
          </w:tcPr>
          <w:p w14:paraId="629E57B4">
            <w:pPr>
              <w:adjustRightInd w:val="0"/>
              <w:snapToGrid w:val="0"/>
              <w:spacing w:line="288" w:lineRule="auto"/>
              <w:jc w:val="center"/>
              <w:rPr>
                <w:rFonts w:ascii="宋体" w:hAnsi="宋体" w:cs="宋体"/>
                <w:sz w:val="24"/>
                <w:szCs w:val="24"/>
              </w:rPr>
            </w:pPr>
            <w:r>
              <w:rPr>
                <w:rFonts w:hint="eastAsia" w:ascii="宋体" w:hAnsi="宋体" w:cs="宋体"/>
                <w:sz w:val="24"/>
                <w:szCs w:val="24"/>
              </w:rPr>
              <w:t>报价磋商及其他内容磋商</w:t>
            </w:r>
          </w:p>
        </w:tc>
        <w:tc>
          <w:tcPr>
            <w:tcW w:w="5850" w:type="dxa"/>
            <w:vAlign w:val="center"/>
          </w:tcPr>
          <w:p w14:paraId="7CFA08FB">
            <w:pPr>
              <w:pStyle w:val="52"/>
              <w:adjustRightInd w:val="0"/>
              <w:snapToGrid w:val="0"/>
              <w:spacing w:line="288" w:lineRule="auto"/>
              <w:jc w:val="both"/>
              <w:rPr>
                <w:rFonts w:ascii="宋体" w:hAnsi="宋体" w:cs="宋体"/>
                <w:color w:val="auto"/>
                <w:sz w:val="24"/>
                <w:szCs w:val="24"/>
              </w:rPr>
            </w:pPr>
            <w:r>
              <w:rPr>
                <w:rFonts w:hint="eastAsia" w:ascii="宋体" w:hAnsi="宋体" w:cs="宋体"/>
                <w:color w:val="auto"/>
                <w:sz w:val="24"/>
                <w:szCs w:val="24"/>
              </w:rPr>
              <w:t>各供应商响应文件报价为首次报价，磋商轮次报价由磋商小组视情况决定，经磋商确定由供应商提出最后报价。</w:t>
            </w:r>
          </w:p>
        </w:tc>
      </w:tr>
      <w:tr w14:paraId="5514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587" w:type="dxa"/>
            <w:vAlign w:val="center"/>
          </w:tcPr>
          <w:p w14:paraId="25BF824E">
            <w:pPr>
              <w:adjustRightInd w:val="0"/>
              <w:snapToGrid w:val="0"/>
              <w:spacing w:line="288" w:lineRule="auto"/>
              <w:jc w:val="center"/>
              <w:rPr>
                <w:rFonts w:ascii="宋体" w:hAnsi="宋体" w:cs="宋体"/>
                <w:sz w:val="24"/>
                <w:szCs w:val="24"/>
              </w:rPr>
            </w:pPr>
            <w:r>
              <w:rPr>
                <w:rFonts w:hint="eastAsia" w:ascii="宋体" w:hAnsi="宋体" w:cs="宋体"/>
                <w:sz w:val="24"/>
                <w:szCs w:val="24"/>
              </w:rPr>
              <w:t>2.2.1</w:t>
            </w:r>
          </w:p>
        </w:tc>
        <w:tc>
          <w:tcPr>
            <w:tcW w:w="3241" w:type="dxa"/>
            <w:gridSpan w:val="2"/>
            <w:vAlign w:val="center"/>
          </w:tcPr>
          <w:p w14:paraId="57F576A6">
            <w:pPr>
              <w:adjustRightInd w:val="0"/>
              <w:snapToGrid w:val="0"/>
              <w:spacing w:line="288" w:lineRule="auto"/>
              <w:jc w:val="center"/>
              <w:rPr>
                <w:rFonts w:ascii="宋体" w:hAnsi="宋体" w:cs="宋体"/>
                <w:sz w:val="24"/>
                <w:szCs w:val="24"/>
              </w:rPr>
            </w:pPr>
            <w:r>
              <w:rPr>
                <w:rFonts w:hint="eastAsia" w:ascii="宋体" w:hAnsi="宋体" w:cs="宋体"/>
                <w:sz w:val="24"/>
                <w:szCs w:val="24"/>
              </w:rPr>
              <w:t>分值构成</w:t>
            </w:r>
          </w:p>
          <w:p w14:paraId="52F1BC64">
            <w:pPr>
              <w:adjustRightInd w:val="0"/>
              <w:snapToGrid w:val="0"/>
              <w:spacing w:line="288" w:lineRule="auto"/>
              <w:jc w:val="center"/>
              <w:rPr>
                <w:rFonts w:ascii="宋体" w:hAnsi="宋体" w:cs="宋体"/>
                <w:sz w:val="24"/>
                <w:szCs w:val="24"/>
              </w:rPr>
            </w:pPr>
            <w:r>
              <w:rPr>
                <w:rFonts w:hint="eastAsia" w:ascii="宋体" w:hAnsi="宋体" w:cs="宋体"/>
                <w:sz w:val="24"/>
                <w:szCs w:val="24"/>
              </w:rPr>
              <w:t>（总分100分）</w:t>
            </w:r>
          </w:p>
        </w:tc>
        <w:tc>
          <w:tcPr>
            <w:tcW w:w="5850" w:type="dxa"/>
            <w:vAlign w:val="center"/>
          </w:tcPr>
          <w:p w14:paraId="6BF7958D">
            <w:pPr>
              <w:adjustRightInd w:val="0"/>
              <w:snapToGrid w:val="0"/>
              <w:spacing w:line="288" w:lineRule="auto"/>
              <w:rPr>
                <w:rFonts w:ascii="宋体" w:hAnsi="宋体" w:cs="宋体"/>
                <w:sz w:val="24"/>
                <w:szCs w:val="24"/>
              </w:rPr>
            </w:pPr>
            <w:r>
              <w:rPr>
                <w:rFonts w:hint="eastAsia" w:ascii="宋体" w:hAnsi="宋体" w:cs="宋体"/>
                <w:sz w:val="24"/>
                <w:szCs w:val="24"/>
              </w:rPr>
              <w:t>商务标：10分      技术标：70分    综合标：20分</w:t>
            </w:r>
          </w:p>
        </w:tc>
      </w:tr>
      <w:tr w14:paraId="3DA7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87" w:type="dxa"/>
            <w:vMerge w:val="restart"/>
            <w:vAlign w:val="center"/>
          </w:tcPr>
          <w:p w14:paraId="71A2E2A8">
            <w:pPr>
              <w:adjustRightInd w:val="0"/>
              <w:snapToGrid w:val="0"/>
              <w:spacing w:line="288" w:lineRule="auto"/>
              <w:jc w:val="center"/>
              <w:rPr>
                <w:rFonts w:ascii="宋体" w:hAnsi="宋体" w:cs="宋体"/>
                <w:sz w:val="24"/>
                <w:szCs w:val="24"/>
              </w:rPr>
            </w:pPr>
            <w:r>
              <w:rPr>
                <w:rFonts w:hint="eastAsia" w:ascii="宋体" w:hAnsi="宋体" w:cs="宋体"/>
                <w:sz w:val="24"/>
                <w:szCs w:val="24"/>
              </w:rPr>
              <w:t>2.2.2</w:t>
            </w:r>
          </w:p>
        </w:tc>
        <w:tc>
          <w:tcPr>
            <w:tcW w:w="923" w:type="dxa"/>
            <w:vAlign w:val="center"/>
          </w:tcPr>
          <w:p w14:paraId="7C2802B7">
            <w:pPr>
              <w:adjustRightInd w:val="0"/>
              <w:snapToGrid w:val="0"/>
              <w:spacing w:line="288" w:lineRule="auto"/>
              <w:jc w:val="center"/>
              <w:rPr>
                <w:rFonts w:ascii="宋体" w:hAnsi="宋体" w:cs="宋体"/>
                <w:sz w:val="24"/>
                <w:szCs w:val="24"/>
              </w:rPr>
            </w:pPr>
            <w:r>
              <w:rPr>
                <w:rFonts w:hint="eastAsia" w:ascii="宋体" w:hAnsi="宋体" w:cs="宋体"/>
                <w:sz w:val="24"/>
                <w:szCs w:val="24"/>
              </w:rPr>
              <w:t>磋商报价（10分）</w:t>
            </w:r>
          </w:p>
        </w:tc>
        <w:tc>
          <w:tcPr>
            <w:tcW w:w="2318" w:type="dxa"/>
            <w:vAlign w:val="center"/>
          </w:tcPr>
          <w:p w14:paraId="3F66CE5A">
            <w:pPr>
              <w:adjustRightInd w:val="0"/>
              <w:snapToGrid w:val="0"/>
              <w:spacing w:line="288" w:lineRule="auto"/>
              <w:jc w:val="center"/>
              <w:rPr>
                <w:rFonts w:ascii="宋体" w:hAnsi="宋体" w:cs="宋体"/>
                <w:sz w:val="24"/>
                <w:szCs w:val="24"/>
              </w:rPr>
            </w:pPr>
            <w:r>
              <w:rPr>
                <w:rFonts w:hint="eastAsia" w:ascii="宋体" w:hAnsi="宋体" w:cs="宋体"/>
                <w:sz w:val="24"/>
                <w:szCs w:val="24"/>
              </w:rPr>
              <w:t>报价评分标准</w:t>
            </w:r>
          </w:p>
          <w:p w14:paraId="0083166C">
            <w:pPr>
              <w:adjustRightInd w:val="0"/>
              <w:snapToGrid w:val="0"/>
              <w:spacing w:line="288" w:lineRule="auto"/>
              <w:jc w:val="center"/>
              <w:rPr>
                <w:rFonts w:ascii="宋体" w:hAnsi="宋体" w:cs="宋体"/>
                <w:sz w:val="24"/>
                <w:szCs w:val="24"/>
              </w:rPr>
            </w:pPr>
            <w:r>
              <w:rPr>
                <w:rFonts w:hint="eastAsia" w:ascii="宋体" w:hAnsi="宋体" w:cs="宋体"/>
                <w:sz w:val="24"/>
                <w:szCs w:val="24"/>
              </w:rPr>
              <w:t>（10分）</w:t>
            </w:r>
          </w:p>
        </w:tc>
        <w:tc>
          <w:tcPr>
            <w:tcW w:w="5850" w:type="dxa"/>
            <w:vAlign w:val="center"/>
          </w:tcPr>
          <w:p w14:paraId="3DE05A74">
            <w:pPr>
              <w:adjustRightInd w:val="0"/>
              <w:snapToGrid w:val="0"/>
              <w:spacing w:line="288" w:lineRule="auto"/>
              <w:rPr>
                <w:rFonts w:ascii="宋体" w:hAnsi="宋体" w:cs="宋体"/>
                <w:bCs/>
                <w:sz w:val="24"/>
                <w:szCs w:val="24"/>
              </w:rPr>
            </w:pPr>
            <w:r>
              <w:rPr>
                <w:rFonts w:hint="eastAsia" w:ascii="宋体" w:hAnsi="宋体" w:cs="宋体"/>
                <w:bCs/>
                <w:sz w:val="24"/>
                <w:szCs w:val="24"/>
              </w:rPr>
              <w:t>磋商报价计算方法如下：</w:t>
            </w:r>
          </w:p>
          <w:p w14:paraId="1F5A8D29">
            <w:pPr>
              <w:adjustRightInd w:val="0"/>
              <w:snapToGrid w:val="0"/>
              <w:spacing w:line="288" w:lineRule="auto"/>
              <w:rPr>
                <w:rFonts w:ascii="宋体" w:hAnsi="宋体" w:cs="宋体"/>
                <w:kern w:val="0"/>
                <w:sz w:val="24"/>
                <w:szCs w:val="24"/>
                <w:u w:color="000000"/>
              </w:rPr>
            </w:pPr>
            <w:r>
              <w:rPr>
                <w:rFonts w:hint="eastAsia" w:ascii="宋体" w:hAnsi="宋体" w:cs="宋体"/>
                <w:kern w:val="0"/>
                <w:sz w:val="24"/>
                <w:szCs w:val="24"/>
                <w:u w:color="000000"/>
              </w:rPr>
              <w:t>1.满足磋商文件要求且最终磋商价格最低的有效磋商报价为评标基准价，其价格分为满分。</w:t>
            </w:r>
          </w:p>
          <w:p w14:paraId="09F33569">
            <w:pPr>
              <w:adjustRightInd w:val="0"/>
              <w:snapToGrid w:val="0"/>
              <w:spacing w:line="288" w:lineRule="auto"/>
              <w:rPr>
                <w:rFonts w:ascii="宋体" w:hAnsi="宋体" w:cs="宋体"/>
                <w:kern w:val="0"/>
                <w:sz w:val="24"/>
                <w:szCs w:val="24"/>
                <w:u w:color="000000"/>
              </w:rPr>
            </w:pPr>
            <w:r>
              <w:rPr>
                <w:rFonts w:hint="eastAsia" w:ascii="宋体" w:hAnsi="宋体" w:cs="宋体"/>
                <w:kern w:val="0"/>
                <w:sz w:val="24"/>
                <w:szCs w:val="24"/>
                <w:u w:color="000000"/>
              </w:rPr>
              <w:t>其他供应商的价格分统一按照下列公式计算：磋商报价得分＝(评标基准价／磋商报价)×10</w:t>
            </w:r>
          </w:p>
          <w:p w14:paraId="2A5C8442">
            <w:pPr>
              <w:adjustRightInd w:val="0"/>
              <w:snapToGrid w:val="0"/>
              <w:spacing w:line="288" w:lineRule="auto"/>
              <w:rPr>
                <w:rFonts w:ascii="宋体" w:hAnsi="宋体" w:cs="宋体"/>
                <w:kern w:val="0"/>
                <w:sz w:val="24"/>
                <w:szCs w:val="24"/>
                <w:u w:color="000000"/>
              </w:rPr>
            </w:pPr>
            <w:r>
              <w:rPr>
                <w:rFonts w:hint="eastAsia" w:ascii="宋体" w:hAnsi="宋体" w:cs="宋体"/>
                <w:kern w:val="0"/>
                <w:sz w:val="24"/>
                <w:szCs w:val="24"/>
                <w:u w:color="000000"/>
              </w:rPr>
              <w:t>2.供应商的投标总报价超出最高投标限价的，按无效标处理。</w:t>
            </w:r>
          </w:p>
          <w:p w14:paraId="735D7C30">
            <w:pPr>
              <w:adjustRightInd w:val="0"/>
              <w:snapToGrid w:val="0"/>
              <w:spacing w:line="288" w:lineRule="auto"/>
              <w:rPr>
                <w:rFonts w:ascii="宋体" w:hAnsi="宋体" w:cs="宋体"/>
                <w:kern w:val="0"/>
                <w:sz w:val="24"/>
                <w:szCs w:val="24"/>
                <w:u w:color="000000"/>
              </w:rPr>
            </w:pPr>
            <w:r>
              <w:rPr>
                <w:rFonts w:hint="eastAsia" w:ascii="宋体" w:hAnsi="宋体" w:cs="宋体"/>
                <w:kern w:val="0"/>
                <w:sz w:val="24"/>
                <w:szCs w:val="24"/>
                <w:u w:color="000000"/>
              </w:rPr>
              <w:t>3.在评审过程中，评审委员会认为供应商的报价明显低于其他通过符合性审查供应商的投标报价，有可能影响产品质量或者不能诚信履约的，应当要求其在合理的时间内在电子交易系统中提供说明，必要时提交相关证明材料；供应商不能证明其报价合理性的，评审委员会应当将其作为无效投标处理。</w:t>
            </w:r>
          </w:p>
          <w:p w14:paraId="6A9CD750">
            <w:pPr>
              <w:adjustRightInd w:val="0"/>
              <w:snapToGrid w:val="0"/>
              <w:spacing w:line="288" w:lineRule="auto"/>
              <w:rPr>
                <w:rFonts w:ascii="宋体" w:hAnsi="宋体" w:cs="宋体"/>
                <w:kern w:val="0"/>
                <w:sz w:val="24"/>
                <w:szCs w:val="24"/>
                <w:u w:color="000000"/>
              </w:rPr>
            </w:pPr>
            <w:r>
              <w:rPr>
                <w:rFonts w:hint="eastAsia" w:ascii="宋体" w:hAnsi="宋体" w:cs="宋体"/>
                <w:b/>
                <w:bCs/>
                <w:kern w:val="0"/>
                <w:sz w:val="24"/>
                <w:szCs w:val="24"/>
                <w:u w:color="000000"/>
              </w:rPr>
              <w:t>本项目专门</w:t>
            </w:r>
            <w:r>
              <w:rPr>
                <w:rFonts w:hint="eastAsia" w:ascii="宋体" w:hAnsi="宋体" w:cs="宋体"/>
                <w:b/>
                <w:sz w:val="24"/>
              </w:rPr>
              <w:t>面向中小企业采购</w:t>
            </w:r>
            <w:r>
              <w:rPr>
                <w:rFonts w:hint="eastAsia" w:ascii="宋体" w:hAnsi="宋体" w:cs="宋体"/>
                <w:b/>
                <w:bCs/>
                <w:kern w:val="0"/>
                <w:sz w:val="24"/>
                <w:szCs w:val="24"/>
                <w:u w:color="000000"/>
              </w:rPr>
              <w:t>，</w:t>
            </w:r>
            <w:r>
              <w:rPr>
                <w:rFonts w:hint="eastAsia" w:ascii="宋体" w:hAnsi="宋体" w:cs="宋体"/>
                <w:b/>
                <w:sz w:val="24"/>
              </w:rPr>
              <w:t>不再执行价格评审优惠的扶持政策。</w:t>
            </w:r>
          </w:p>
        </w:tc>
      </w:tr>
      <w:tr w14:paraId="3498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587" w:type="dxa"/>
            <w:vMerge w:val="continue"/>
            <w:vAlign w:val="center"/>
          </w:tcPr>
          <w:p w14:paraId="37998227">
            <w:pPr>
              <w:adjustRightInd w:val="0"/>
              <w:snapToGrid w:val="0"/>
              <w:spacing w:line="288" w:lineRule="auto"/>
              <w:jc w:val="center"/>
              <w:rPr>
                <w:rFonts w:ascii="宋体" w:hAnsi="宋体" w:cs="宋体"/>
                <w:sz w:val="24"/>
                <w:szCs w:val="24"/>
              </w:rPr>
            </w:pPr>
          </w:p>
        </w:tc>
        <w:tc>
          <w:tcPr>
            <w:tcW w:w="923" w:type="dxa"/>
            <w:vMerge w:val="restart"/>
            <w:vAlign w:val="center"/>
          </w:tcPr>
          <w:p w14:paraId="607925C8">
            <w:pPr>
              <w:adjustRightInd w:val="0"/>
              <w:snapToGrid w:val="0"/>
              <w:spacing w:line="288" w:lineRule="auto"/>
              <w:rPr>
                <w:rFonts w:ascii="宋体" w:hAnsi="宋体" w:cs="宋体"/>
                <w:sz w:val="24"/>
                <w:szCs w:val="24"/>
              </w:rPr>
            </w:pPr>
            <w:r>
              <w:rPr>
                <w:rFonts w:hint="eastAsia" w:ascii="宋体" w:hAnsi="宋体" w:cs="宋体"/>
                <w:sz w:val="24"/>
                <w:szCs w:val="24"/>
              </w:rPr>
              <w:t>技术部分评分标准（70分）</w:t>
            </w:r>
          </w:p>
        </w:tc>
        <w:tc>
          <w:tcPr>
            <w:tcW w:w="2318" w:type="dxa"/>
            <w:vAlign w:val="center"/>
          </w:tcPr>
          <w:p w14:paraId="4F50117B">
            <w:pPr>
              <w:snapToGrid w:val="0"/>
              <w:spacing w:line="500" w:lineRule="exact"/>
              <w:jc w:val="center"/>
              <w:rPr>
                <w:rFonts w:ascii="宋体" w:hAnsi="宋体" w:cs="宋体"/>
                <w:w w:val="90"/>
                <w:sz w:val="24"/>
                <w:szCs w:val="24"/>
              </w:rPr>
            </w:pPr>
            <w:r>
              <w:rPr>
                <w:rFonts w:hint="eastAsia" w:ascii="宋体" w:hAnsi="宋体" w:cs="宋体"/>
                <w:sz w:val="24"/>
                <w:szCs w:val="24"/>
              </w:rPr>
              <w:t>实施方案（15分）</w:t>
            </w:r>
          </w:p>
        </w:tc>
        <w:tc>
          <w:tcPr>
            <w:tcW w:w="5850" w:type="dxa"/>
            <w:vAlign w:val="center"/>
          </w:tcPr>
          <w:p w14:paraId="00D5CE23">
            <w:pPr>
              <w:adjustRightInd w:val="0"/>
              <w:snapToGrid w:val="0"/>
              <w:spacing w:line="288" w:lineRule="auto"/>
              <w:rPr>
                <w:rFonts w:ascii="宋体" w:hAnsi="宋体" w:cs="宋体"/>
                <w:kern w:val="0"/>
                <w:sz w:val="24"/>
                <w:szCs w:val="24"/>
                <w:u w:color="000000"/>
              </w:rPr>
            </w:pPr>
            <w:r>
              <w:rPr>
                <w:rFonts w:hint="eastAsia" w:ascii="宋体" w:hAnsi="宋体" w:cs="宋体"/>
                <w:kern w:val="0"/>
                <w:sz w:val="24"/>
                <w:szCs w:val="24"/>
                <w:u w:color="000000"/>
              </w:rPr>
              <w:t>磋商小组根据各供应商响应文件中提供的实施方案及保障措施（包括人员配备、秩序维护、重大活动时的安全与秩序保障、</w:t>
            </w:r>
            <w:r>
              <w:rPr>
                <w:rFonts w:hint="eastAsia" w:ascii="宋体" w:hAnsi="宋体" w:cs="宋体"/>
                <w:sz w:val="24"/>
              </w:rPr>
              <w:t>视频监控日常管理、</w:t>
            </w:r>
            <w:r>
              <w:rPr>
                <w:rFonts w:hint="eastAsia" w:ascii="宋体" w:hAnsi="宋体" w:cs="宋体"/>
                <w:kern w:val="0"/>
                <w:sz w:val="24"/>
                <w:szCs w:val="24"/>
                <w:u w:color="000000"/>
              </w:rPr>
              <w:t>治安、消防等内容）的</w:t>
            </w:r>
            <w:r>
              <w:rPr>
                <w:rFonts w:hint="eastAsia" w:ascii="宋体" w:hAnsi="宋体" w:cs="宋体"/>
                <w:sz w:val="24"/>
              </w:rPr>
              <w:t>科学、合理、实用的程度</w:t>
            </w:r>
            <w:r>
              <w:rPr>
                <w:rFonts w:hint="eastAsia" w:ascii="宋体" w:hAnsi="宋体" w:cs="宋体"/>
                <w:kern w:val="0"/>
                <w:sz w:val="24"/>
                <w:szCs w:val="24"/>
                <w:u w:color="000000"/>
              </w:rPr>
              <w:t>进行评分。</w:t>
            </w:r>
          </w:p>
          <w:p w14:paraId="29395F27">
            <w:pPr>
              <w:adjustRightInd w:val="0"/>
              <w:snapToGrid w:val="0"/>
              <w:spacing w:line="288" w:lineRule="auto"/>
              <w:rPr>
                <w:rFonts w:ascii="宋体" w:hAnsi="宋体" w:cs="宋体"/>
                <w:kern w:val="0"/>
                <w:sz w:val="24"/>
                <w:szCs w:val="24"/>
                <w:u w:color="000000"/>
              </w:rPr>
            </w:pPr>
            <w:r>
              <w:rPr>
                <w:rFonts w:hint="eastAsia" w:ascii="宋体" w:hAnsi="宋体" w:cs="宋体"/>
                <w:kern w:val="0"/>
                <w:sz w:val="24"/>
                <w:szCs w:val="24"/>
                <w:u w:color="000000"/>
              </w:rPr>
              <w:t>（1）方案科学完善、合理，有针对性、可操作性强的得15分；</w:t>
            </w:r>
          </w:p>
          <w:p w14:paraId="6A0F5E9C">
            <w:pPr>
              <w:adjustRightInd w:val="0"/>
              <w:snapToGrid w:val="0"/>
              <w:spacing w:line="288" w:lineRule="auto"/>
              <w:rPr>
                <w:rFonts w:ascii="宋体" w:hAnsi="宋体" w:cs="宋体"/>
                <w:kern w:val="0"/>
                <w:sz w:val="24"/>
                <w:szCs w:val="24"/>
                <w:u w:color="000000"/>
              </w:rPr>
            </w:pPr>
            <w:r>
              <w:rPr>
                <w:rFonts w:hint="eastAsia" w:ascii="宋体" w:hAnsi="宋体" w:cs="宋体"/>
                <w:kern w:val="0"/>
                <w:sz w:val="24"/>
                <w:szCs w:val="24"/>
                <w:u w:color="000000"/>
              </w:rPr>
              <w:t>（2）方案科学完善、合理，有针对性、可操作性的得11分；</w:t>
            </w:r>
          </w:p>
          <w:p w14:paraId="73C88B1F">
            <w:pPr>
              <w:adjustRightInd w:val="0"/>
              <w:snapToGrid w:val="0"/>
              <w:spacing w:line="288" w:lineRule="auto"/>
              <w:rPr>
                <w:rFonts w:ascii="宋体" w:hAnsi="宋体" w:cs="宋体"/>
                <w:kern w:val="0"/>
                <w:sz w:val="24"/>
                <w:szCs w:val="24"/>
                <w:u w:color="000000"/>
              </w:rPr>
            </w:pPr>
            <w:r>
              <w:rPr>
                <w:rFonts w:hint="eastAsia" w:ascii="宋体" w:hAnsi="宋体" w:cs="宋体"/>
                <w:kern w:val="0"/>
                <w:sz w:val="24"/>
                <w:szCs w:val="24"/>
                <w:u w:color="000000"/>
              </w:rPr>
              <w:t>（3）方案较完善、合理，针对性一般、可操作性一般的得7分；</w:t>
            </w:r>
          </w:p>
          <w:p w14:paraId="106BBF5E">
            <w:pPr>
              <w:adjustRightInd w:val="0"/>
              <w:snapToGrid w:val="0"/>
              <w:spacing w:line="288" w:lineRule="auto"/>
              <w:rPr>
                <w:rFonts w:ascii="宋体" w:hAnsi="宋体" w:cs="宋体"/>
                <w:kern w:val="0"/>
                <w:sz w:val="24"/>
                <w:szCs w:val="24"/>
                <w:u w:color="000000"/>
              </w:rPr>
            </w:pPr>
            <w:r>
              <w:rPr>
                <w:rFonts w:hint="eastAsia" w:ascii="宋体" w:hAnsi="宋体" w:cs="宋体"/>
                <w:kern w:val="0"/>
                <w:sz w:val="24"/>
                <w:szCs w:val="24"/>
                <w:u w:color="000000"/>
              </w:rPr>
              <w:t>（4）方案科学性、合理性一般，针对性、可操作性较差的得3分；</w:t>
            </w:r>
          </w:p>
          <w:p w14:paraId="786B5FBA">
            <w:pPr>
              <w:adjustRightInd w:val="0"/>
              <w:snapToGrid w:val="0"/>
              <w:spacing w:line="288" w:lineRule="auto"/>
              <w:rPr>
                <w:rFonts w:ascii="宋体" w:hAnsi="宋体" w:cs="宋体"/>
                <w:sz w:val="24"/>
                <w:szCs w:val="24"/>
              </w:rPr>
            </w:pPr>
            <w:r>
              <w:rPr>
                <w:rFonts w:hint="eastAsia" w:ascii="宋体" w:hAnsi="宋体" w:cs="宋体"/>
                <w:kern w:val="0"/>
                <w:sz w:val="24"/>
                <w:szCs w:val="24"/>
                <w:u w:color="000000"/>
              </w:rPr>
              <w:t>缺项得0分。</w:t>
            </w:r>
          </w:p>
        </w:tc>
      </w:tr>
      <w:tr w14:paraId="56AC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87" w:type="dxa"/>
            <w:vMerge w:val="continue"/>
            <w:vAlign w:val="center"/>
          </w:tcPr>
          <w:p w14:paraId="0DAF3241">
            <w:pPr>
              <w:adjustRightInd w:val="0"/>
              <w:snapToGrid w:val="0"/>
              <w:spacing w:line="288" w:lineRule="auto"/>
              <w:jc w:val="center"/>
              <w:rPr>
                <w:rFonts w:ascii="宋体" w:hAnsi="宋体" w:cs="宋体"/>
                <w:sz w:val="24"/>
                <w:szCs w:val="24"/>
              </w:rPr>
            </w:pPr>
          </w:p>
        </w:tc>
        <w:tc>
          <w:tcPr>
            <w:tcW w:w="923" w:type="dxa"/>
            <w:vMerge w:val="continue"/>
            <w:vAlign w:val="center"/>
          </w:tcPr>
          <w:p w14:paraId="529E3AF7">
            <w:pPr>
              <w:adjustRightInd w:val="0"/>
              <w:snapToGrid w:val="0"/>
              <w:spacing w:line="288" w:lineRule="auto"/>
              <w:jc w:val="center"/>
              <w:rPr>
                <w:rFonts w:ascii="宋体" w:hAnsi="宋体" w:cs="宋体"/>
                <w:sz w:val="24"/>
                <w:szCs w:val="24"/>
              </w:rPr>
            </w:pPr>
          </w:p>
        </w:tc>
        <w:tc>
          <w:tcPr>
            <w:tcW w:w="2318" w:type="dxa"/>
            <w:vAlign w:val="center"/>
          </w:tcPr>
          <w:p w14:paraId="583A0FC8">
            <w:pPr>
              <w:adjustRightInd w:val="0"/>
              <w:snapToGrid w:val="0"/>
              <w:spacing w:line="288" w:lineRule="auto"/>
              <w:jc w:val="center"/>
              <w:rPr>
                <w:rFonts w:ascii="宋体" w:hAnsi="宋体" w:cs="宋体"/>
                <w:sz w:val="24"/>
              </w:rPr>
            </w:pPr>
            <w:r>
              <w:rPr>
                <w:rFonts w:hint="eastAsia" w:ascii="宋体" w:hAnsi="宋体" w:cs="宋体"/>
                <w:sz w:val="24"/>
              </w:rPr>
              <w:t>管理规章制度</w:t>
            </w:r>
            <w:r>
              <w:rPr>
                <w:rFonts w:hint="eastAsia" w:ascii="宋体" w:hAnsi="宋体" w:cs="宋体"/>
                <w:sz w:val="24"/>
                <w:szCs w:val="24"/>
              </w:rPr>
              <w:t>（15分）</w:t>
            </w:r>
          </w:p>
        </w:tc>
        <w:tc>
          <w:tcPr>
            <w:tcW w:w="5850" w:type="dxa"/>
            <w:vAlign w:val="center"/>
          </w:tcPr>
          <w:p w14:paraId="5C95D4C5">
            <w:pPr>
              <w:adjustRightInd w:val="0"/>
              <w:snapToGrid w:val="0"/>
              <w:spacing w:line="288" w:lineRule="auto"/>
              <w:rPr>
                <w:rFonts w:ascii="宋体" w:hAnsi="宋体" w:cs="宋体"/>
                <w:sz w:val="24"/>
              </w:rPr>
            </w:pPr>
            <w:r>
              <w:rPr>
                <w:rFonts w:hint="eastAsia" w:ascii="宋体" w:hAnsi="宋体" w:cs="宋体"/>
                <w:sz w:val="24"/>
              </w:rPr>
              <w:t>磋商小组根据各供应商响应文件提供的保安服务管理制度（各项工作制度、岗位责任制度、考核监督制度及其他管理制度）是否科学合理、健全进行评分。</w:t>
            </w:r>
          </w:p>
          <w:p w14:paraId="35DF3B95">
            <w:pPr>
              <w:adjustRightInd w:val="0"/>
              <w:snapToGrid w:val="0"/>
              <w:spacing w:line="288" w:lineRule="auto"/>
              <w:rPr>
                <w:rFonts w:ascii="宋体" w:hAnsi="宋体" w:cs="宋体"/>
                <w:sz w:val="24"/>
              </w:rPr>
            </w:pPr>
            <w:r>
              <w:rPr>
                <w:rFonts w:hint="eastAsia" w:ascii="宋体" w:hAnsi="宋体" w:cs="宋体"/>
                <w:sz w:val="24"/>
              </w:rPr>
              <w:t>(1)制度科学合理、健全，有针对性、可操作性强的得15分；</w:t>
            </w:r>
          </w:p>
          <w:p w14:paraId="563B7D31">
            <w:pPr>
              <w:adjustRightInd w:val="0"/>
              <w:snapToGrid w:val="0"/>
              <w:spacing w:line="288" w:lineRule="auto"/>
              <w:rPr>
                <w:rFonts w:ascii="宋体" w:hAnsi="宋体" w:cs="宋体"/>
                <w:sz w:val="24"/>
              </w:rPr>
            </w:pPr>
            <w:r>
              <w:rPr>
                <w:rFonts w:hint="eastAsia" w:ascii="宋体" w:hAnsi="宋体" w:cs="宋体"/>
                <w:sz w:val="24"/>
              </w:rPr>
              <w:t>(2)制度科学合理、健全，有针对性、可操作性较好的得11分；</w:t>
            </w:r>
          </w:p>
          <w:p w14:paraId="200AEB95">
            <w:pPr>
              <w:adjustRightInd w:val="0"/>
              <w:snapToGrid w:val="0"/>
              <w:spacing w:line="288" w:lineRule="auto"/>
              <w:rPr>
                <w:rFonts w:ascii="宋体" w:hAnsi="宋体" w:cs="宋体"/>
                <w:sz w:val="24"/>
              </w:rPr>
            </w:pPr>
            <w:r>
              <w:rPr>
                <w:rFonts w:hint="eastAsia" w:ascii="宋体" w:hAnsi="宋体" w:cs="宋体"/>
                <w:sz w:val="24"/>
              </w:rPr>
              <w:t>(3)制度不够科学合理、不够健全，针对性一般、可操作性一般的得7分；</w:t>
            </w:r>
          </w:p>
          <w:p w14:paraId="0C666011">
            <w:pPr>
              <w:adjustRightInd w:val="0"/>
              <w:snapToGrid w:val="0"/>
              <w:spacing w:line="288" w:lineRule="auto"/>
              <w:rPr>
                <w:rFonts w:ascii="宋体" w:hAnsi="宋体" w:cs="宋体"/>
                <w:sz w:val="24"/>
              </w:rPr>
            </w:pPr>
            <w:r>
              <w:rPr>
                <w:rFonts w:hint="eastAsia" w:ascii="宋体" w:hAnsi="宋体" w:cs="宋体"/>
                <w:sz w:val="24"/>
              </w:rPr>
              <w:t>(4)管理规章较差的得3分；</w:t>
            </w:r>
          </w:p>
          <w:p w14:paraId="5F7046DC">
            <w:pPr>
              <w:adjustRightInd w:val="0"/>
              <w:snapToGrid w:val="0"/>
              <w:spacing w:line="288" w:lineRule="auto"/>
              <w:rPr>
                <w:rFonts w:ascii="宋体" w:hAnsi="宋体" w:cs="宋体"/>
                <w:sz w:val="24"/>
              </w:rPr>
            </w:pPr>
            <w:r>
              <w:rPr>
                <w:rFonts w:hint="eastAsia" w:ascii="宋体" w:hAnsi="宋体" w:cs="宋体"/>
                <w:sz w:val="24"/>
              </w:rPr>
              <w:t>缺项得0分。</w:t>
            </w:r>
          </w:p>
        </w:tc>
      </w:tr>
      <w:tr w14:paraId="65D0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587" w:type="dxa"/>
            <w:vMerge w:val="continue"/>
            <w:vAlign w:val="center"/>
          </w:tcPr>
          <w:p w14:paraId="1A5CC665">
            <w:pPr>
              <w:adjustRightInd w:val="0"/>
              <w:snapToGrid w:val="0"/>
              <w:spacing w:line="288" w:lineRule="auto"/>
              <w:jc w:val="center"/>
              <w:rPr>
                <w:rFonts w:ascii="宋体" w:hAnsi="宋体" w:cs="宋体"/>
                <w:sz w:val="24"/>
                <w:szCs w:val="24"/>
              </w:rPr>
            </w:pPr>
          </w:p>
        </w:tc>
        <w:tc>
          <w:tcPr>
            <w:tcW w:w="923" w:type="dxa"/>
            <w:vMerge w:val="continue"/>
            <w:vAlign w:val="center"/>
          </w:tcPr>
          <w:p w14:paraId="383C0993">
            <w:pPr>
              <w:adjustRightInd w:val="0"/>
              <w:snapToGrid w:val="0"/>
              <w:spacing w:line="288" w:lineRule="auto"/>
              <w:jc w:val="center"/>
              <w:rPr>
                <w:rFonts w:ascii="宋体" w:hAnsi="宋体" w:cs="宋体"/>
                <w:sz w:val="24"/>
                <w:szCs w:val="24"/>
              </w:rPr>
            </w:pPr>
          </w:p>
        </w:tc>
        <w:tc>
          <w:tcPr>
            <w:tcW w:w="2318" w:type="dxa"/>
            <w:vAlign w:val="center"/>
          </w:tcPr>
          <w:p w14:paraId="5A4771FC">
            <w:pPr>
              <w:snapToGrid w:val="0"/>
              <w:spacing w:line="500" w:lineRule="exact"/>
              <w:jc w:val="center"/>
              <w:rPr>
                <w:rFonts w:ascii="宋体" w:hAnsi="宋体" w:cs="宋体"/>
                <w:sz w:val="24"/>
                <w:szCs w:val="24"/>
              </w:rPr>
            </w:pPr>
            <w:r>
              <w:rPr>
                <w:rFonts w:hint="eastAsia" w:ascii="宋体" w:hAnsi="宋体" w:cs="宋体"/>
                <w:sz w:val="24"/>
                <w:szCs w:val="24"/>
              </w:rPr>
              <w:t>人员培训、监督考核机制（15分）</w:t>
            </w:r>
          </w:p>
        </w:tc>
        <w:tc>
          <w:tcPr>
            <w:tcW w:w="5850" w:type="dxa"/>
            <w:vAlign w:val="center"/>
          </w:tcPr>
          <w:p w14:paraId="7693B21B">
            <w:pPr>
              <w:adjustRightInd w:val="0"/>
              <w:snapToGrid w:val="0"/>
              <w:spacing w:line="288" w:lineRule="auto"/>
              <w:rPr>
                <w:rFonts w:ascii="宋体" w:hAnsi="宋体" w:cs="宋体"/>
                <w:kern w:val="0"/>
                <w:sz w:val="24"/>
                <w:szCs w:val="24"/>
                <w:u w:color="000000"/>
              </w:rPr>
            </w:pPr>
            <w:r>
              <w:rPr>
                <w:rFonts w:hint="eastAsia" w:ascii="宋体" w:hAnsi="宋体" w:cs="宋体"/>
                <w:kern w:val="0"/>
                <w:sz w:val="24"/>
                <w:szCs w:val="24"/>
                <w:u w:color="000000"/>
              </w:rPr>
              <w:t>磋商小组根据各供应商响应文件提供的人员培训、监督考核机制的完善、合理、可操作性性情况进行评分。</w:t>
            </w:r>
          </w:p>
          <w:p w14:paraId="069AEBB0">
            <w:pPr>
              <w:adjustRightInd w:val="0"/>
              <w:snapToGrid w:val="0"/>
              <w:spacing w:line="288" w:lineRule="auto"/>
              <w:rPr>
                <w:rFonts w:ascii="宋体" w:hAnsi="宋体" w:cs="宋体"/>
                <w:kern w:val="0"/>
                <w:sz w:val="24"/>
                <w:szCs w:val="24"/>
                <w:u w:color="000000"/>
              </w:rPr>
            </w:pPr>
            <w:r>
              <w:rPr>
                <w:rFonts w:hint="eastAsia" w:ascii="宋体" w:hAnsi="宋体" w:cs="宋体"/>
                <w:sz w:val="24"/>
              </w:rPr>
              <w:t>(1)</w:t>
            </w:r>
            <w:r>
              <w:rPr>
                <w:rFonts w:hint="eastAsia" w:ascii="宋体" w:hAnsi="宋体" w:cs="宋体"/>
                <w:kern w:val="0"/>
                <w:sz w:val="24"/>
                <w:szCs w:val="24"/>
                <w:u w:color="000000"/>
              </w:rPr>
              <w:t>人员培训、监督考核机制完善、合理，可操作性强的得15分；</w:t>
            </w:r>
          </w:p>
          <w:p w14:paraId="592FFFFE">
            <w:pPr>
              <w:adjustRightInd w:val="0"/>
              <w:snapToGrid w:val="0"/>
              <w:spacing w:line="288" w:lineRule="auto"/>
              <w:rPr>
                <w:rFonts w:ascii="宋体" w:hAnsi="宋体" w:cs="宋体"/>
                <w:kern w:val="0"/>
                <w:sz w:val="24"/>
                <w:szCs w:val="24"/>
                <w:u w:color="000000"/>
              </w:rPr>
            </w:pPr>
            <w:r>
              <w:rPr>
                <w:rFonts w:hint="eastAsia" w:ascii="宋体" w:hAnsi="宋体" w:cs="宋体"/>
                <w:sz w:val="24"/>
              </w:rPr>
              <w:t>(2)</w:t>
            </w:r>
            <w:r>
              <w:rPr>
                <w:rFonts w:hint="eastAsia" w:ascii="宋体" w:hAnsi="宋体" w:cs="宋体"/>
                <w:kern w:val="0"/>
                <w:sz w:val="24"/>
                <w:szCs w:val="24"/>
                <w:u w:color="000000"/>
              </w:rPr>
              <w:t>人员培训、监督考核机制不够完善、合理，可操作性良好得11分；</w:t>
            </w:r>
          </w:p>
          <w:p w14:paraId="0894535A">
            <w:pPr>
              <w:adjustRightInd w:val="0"/>
              <w:snapToGrid w:val="0"/>
              <w:spacing w:line="288" w:lineRule="auto"/>
              <w:rPr>
                <w:rFonts w:ascii="宋体" w:hAnsi="宋体" w:cs="宋体"/>
                <w:kern w:val="0"/>
                <w:sz w:val="24"/>
                <w:szCs w:val="24"/>
                <w:u w:color="000000"/>
              </w:rPr>
            </w:pPr>
            <w:r>
              <w:rPr>
                <w:rFonts w:hint="eastAsia" w:ascii="宋体" w:hAnsi="宋体" w:cs="宋体"/>
                <w:sz w:val="24"/>
              </w:rPr>
              <w:t>(3)</w:t>
            </w:r>
            <w:r>
              <w:rPr>
                <w:rFonts w:hint="eastAsia" w:ascii="宋体" w:hAnsi="宋体" w:cs="宋体"/>
                <w:kern w:val="0"/>
                <w:sz w:val="24"/>
                <w:szCs w:val="24"/>
                <w:u w:color="000000"/>
              </w:rPr>
              <w:t>人员培训、监督考核机制不够完善、合理，可操作性一般得7分；</w:t>
            </w:r>
          </w:p>
          <w:p w14:paraId="65B271BA">
            <w:pPr>
              <w:adjustRightInd w:val="0"/>
              <w:snapToGrid w:val="0"/>
              <w:spacing w:line="288" w:lineRule="auto"/>
              <w:rPr>
                <w:rFonts w:ascii="宋体" w:hAnsi="宋体" w:cs="宋体"/>
                <w:kern w:val="0"/>
                <w:sz w:val="24"/>
                <w:szCs w:val="24"/>
                <w:u w:color="000000"/>
              </w:rPr>
            </w:pPr>
            <w:r>
              <w:rPr>
                <w:rFonts w:hint="eastAsia" w:ascii="宋体" w:hAnsi="宋体" w:cs="宋体"/>
                <w:sz w:val="24"/>
              </w:rPr>
              <w:t>(4)</w:t>
            </w:r>
            <w:r>
              <w:rPr>
                <w:rFonts w:hint="eastAsia" w:ascii="宋体" w:hAnsi="宋体" w:cs="宋体"/>
                <w:kern w:val="0"/>
                <w:sz w:val="24"/>
                <w:szCs w:val="24"/>
                <w:u w:color="000000"/>
              </w:rPr>
              <w:t>人员培训、监督考核机制较差，可操作性较差的得3分；</w:t>
            </w:r>
          </w:p>
          <w:p w14:paraId="18D9823B">
            <w:pPr>
              <w:adjustRightInd w:val="0"/>
              <w:snapToGrid w:val="0"/>
              <w:spacing w:line="288" w:lineRule="auto"/>
              <w:rPr>
                <w:rFonts w:ascii="宋体" w:hAnsi="宋体" w:cs="宋体"/>
                <w:sz w:val="24"/>
                <w:szCs w:val="24"/>
              </w:rPr>
            </w:pPr>
            <w:r>
              <w:rPr>
                <w:rFonts w:hint="eastAsia" w:ascii="宋体" w:hAnsi="宋体" w:cs="宋体"/>
                <w:kern w:val="0"/>
                <w:sz w:val="24"/>
                <w:szCs w:val="24"/>
                <w:u w:color="000000"/>
              </w:rPr>
              <w:t>缺项得0分。</w:t>
            </w:r>
          </w:p>
        </w:tc>
      </w:tr>
      <w:tr w14:paraId="694B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587" w:type="dxa"/>
            <w:vMerge w:val="continue"/>
            <w:vAlign w:val="center"/>
          </w:tcPr>
          <w:p w14:paraId="1AC8020D">
            <w:pPr>
              <w:adjustRightInd w:val="0"/>
              <w:snapToGrid w:val="0"/>
              <w:spacing w:line="288" w:lineRule="auto"/>
              <w:jc w:val="center"/>
              <w:rPr>
                <w:rFonts w:ascii="宋体" w:hAnsi="宋体" w:cs="宋体"/>
                <w:sz w:val="24"/>
                <w:szCs w:val="24"/>
              </w:rPr>
            </w:pPr>
          </w:p>
        </w:tc>
        <w:tc>
          <w:tcPr>
            <w:tcW w:w="923" w:type="dxa"/>
            <w:vMerge w:val="continue"/>
            <w:vAlign w:val="center"/>
          </w:tcPr>
          <w:p w14:paraId="4ED373C5">
            <w:pPr>
              <w:adjustRightInd w:val="0"/>
              <w:snapToGrid w:val="0"/>
              <w:spacing w:line="288" w:lineRule="auto"/>
              <w:jc w:val="center"/>
              <w:rPr>
                <w:rFonts w:ascii="宋体" w:hAnsi="宋体" w:cs="宋体"/>
                <w:sz w:val="24"/>
                <w:szCs w:val="24"/>
              </w:rPr>
            </w:pPr>
          </w:p>
        </w:tc>
        <w:tc>
          <w:tcPr>
            <w:tcW w:w="2318" w:type="dxa"/>
            <w:vAlign w:val="center"/>
          </w:tcPr>
          <w:p w14:paraId="21C78D87">
            <w:pPr>
              <w:snapToGrid w:val="0"/>
              <w:spacing w:line="500" w:lineRule="exact"/>
              <w:jc w:val="center"/>
              <w:rPr>
                <w:rFonts w:ascii="宋体" w:hAnsi="宋体" w:cs="宋体"/>
                <w:sz w:val="24"/>
                <w:szCs w:val="24"/>
              </w:rPr>
            </w:pPr>
            <w:r>
              <w:rPr>
                <w:rFonts w:hint="eastAsia" w:ascii="宋体" w:hAnsi="宋体" w:cs="宋体"/>
                <w:sz w:val="24"/>
                <w:szCs w:val="24"/>
              </w:rPr>
              <w:t>拟投入的设施设备（10分）</w:t>
            </w:r>
          </w:p>
        </w:tc>
        <w:tc>
          <w:tcPr>
            <w:tcW w:w="5850" w:type="dxa"/>
            <w:vAlign w:val="center"/>
          </w:tcPr>
          <w:p w14:paraId="6707BBC7">
            <w:pPr>
              <w:adjustRightInd w:val="0"/>
              <w:snapToGrid w:val="0"/>
              <w:spacing w:line="360" w:lineRule="auto"/>
              <w:jc w:val="left"/>
              <w:rPr>
                <w:rFonts w:ascii="宋体" w:hAnsi="宋体" w:cs="宋体"/>
                <w:sz w:val="24"/>
              </w:rPr>
            </w:pPr>
            <w:r>
              <w:rPr>
                <w:rFonts w:hint="eastAsia" w:ascii="宋体" w:hAnsi="宋体" w:cs="宋体"/>
                <w:snapToGrid w:val="0"/>
                <w:sz w:val="24"/>
              </w:rPr>
              <w:t>磋商小组</w:t>
            </w:r>
            <w:r>
              <w:rPr>
                <w:rFonts w:hint="eastAsia" w:ascii="宋体" w:hAnsi="宋体" w:cs="宋体"/>
                <w:sz w:val="24"/>
              </w:rPr>
              <w:t>根据各供应商安保装备的配备情况，包括人员制服、安保器材等用于本项目的装备投入计划、装备配备等情况进行评审：</w:t>
            </w:r>
          </w:p>
          <w:p w14:paraId="059AA362">
            <w:pPr>
              <w:adjustRightInd w:val="0"/>
              <w:snapToGrid w:val="0"/>
              <w:spacing w:line="360" w:lineRule="auto"/>
              <w:jc w:val="left"/>
              <w:rPr>
                <w:rFonts w:ascii="宋体" w:hAnsi="宋体" w:cs="宋体"/>
                <w:sz w:val="24"/>
              </w:rPr>
            </w:pPr>
            <w:r>
              <w:rPr>
                <w:rFonts w:hint="eastAsia" w:ascii="宋体" w:hAnsi="宋体" w:cs="宋体"/>
                <w:sz w:val="24"/>
              </w:rPr>
              <w:t>(1)提供实施设备齐全、满足项目需求、</w:t>
            </w:r>
            <w:r>
              <w:rPr>
                <w:rFonts w:hint="eastAsia" w:ascii="宋体" w:hAnsi="宋体" w:cs="宋体"/>
                <w:sz w:val="24"/>
                <w:szCs w:val="24"/>
              </w:rPr>
              <w:t>实用性强</w:t>
            </w:r>
            <w:r>
              <w:rPr>
                <w:rFonts w:hint="eastAsia" w:ascii="宋体" w:hAnsi="宋体" w:cs="宋体"/>
                <w:sz w:val="24"/>
              </w:rPr>
              <w:t>的得10分；</w:t>
            </w:r>
          </w:p>
          <w:p w14:paraId="22FE4D7E">
            <w:pPr>
              <w:adjustRightInd w:val="0"/>
              <w:snapToGrid w:val="0"/>
              <w:spacing w:line="360" w:lineRule="auto"/>
              <w:jc w:val="left"/>
              <w:rPr>
                <w:rFonts w:ascii="宋体" w:hAnsi="宋体" w:cs="宋体"/>
                <w:sz w:val="24"/>
              </w:rPr>
            </w:pPr>
            <w:r>
              <w:rPr>
                <w:rFonts w:hint="eastAsia" w:ascii="宋体" w:hAnsi="宋体" w:cs="宋体"/>
                <w:sz w:val="24"/>
              </w:rPr>
              <w:t>(2)提供实施设备较齐全、基本满足项目需求、</w:t>
            </w:r>
            <w:r>
              <w:rPr>
                <w:rFonts w:hint="eastAsia" w:ascii="宋体" w:hAnsi="宋体" w:cs="宋体"/>
                <w:sz w:val="24"/>
                <w:szCs w:val="24"/>
              </w:rPr>
              <w:t>实用性强</w:t>
            </w:r>
            <w:r>
              <w:rPr>
                <w:rFonts w:hint="eastAsia" w:ascii="宋体" w:hAnsi="宋体" w:cs="宋体"/>
                <w:sz w:val="24"/>
              </w:rPr>
              <w:t>的得7分；</w:t>
            </w:r>
          </w:p>
          <w:p w14:paraId="432F7FA0">
            <w:pPr>
              <w:spacing w:line="276" w:lineRule="auto"/>
              <w:rPr>
                <w:rFonts w:ascii="宋体" w:hAnsi="宋体" w:cs="宋体"/>
                <w:snapToGrid w:val="0"/>
                <w:sz w:val="24"/>
              </w:rPr>
            </w:pPr>
            <w:r>
              <w:rPr>
                <w:rFonts w:hint="eastAsia" w:ascii="宋体" w:hAnsi="宋体" w:cs="宋体"/>
                <w:sz w:val="24"/>
              </w:rPr>
              <w:t>(3)提供实施设备较齐全、基本满足项目需求、</w:t>
            </w:r>
            <w:r>
              <w:rPr>
                <w:rFonts w:hint="eastAsia" w:ascii="宋体" w:hAnsi="宋体" w:cs="宋体"/>
                <w:sz w:val="24"/>
                <w:szCs w:val="24"/>
              </w:rPr>
              <w:t>实用性</w:t>
            </w:r>
            <w:r>
              <w:rPr>
                <w:rFonts w:hint="eastAsia" w:ascii="宋体" w:hAnsi="宋体" w:cs="宋体"/>
                <w:sz w:val="24"/>
              </w:rPr>
              <w:t>一般的得4分；</w:t>
            </w:r>
          </w:p>
          <w:p w14:paraId="0A0DF1E4">
            <w:pPr>
              <w:adjustRightInd w:val="0"/>
              <w:snapToGrid w:val="0"/>
              <w:spacing w:line="360" w:lineRule="auto"/>
              <w:jc w:val="left"/>
              <w:rPr>
                <w:rFonts w:ascii="宋体" w:hAnsi="宋体" w:cs="宋体"/>
                <w:sz w:val="24"/>
              </w:rPr>
            </w:pPr>
            <w:r>
              <w:rPr>
                <w:rFonts w:hint="eastAsia" w:ascii="宋体" w:hAnsi="宋体" w:cs="宋体"/>
                <w:sz w:val="24"/>
              </w:rPr>
              <w:t>(4)提供实施装备基本齐全、基本满足项目需求、实用性一般的，得2分；</w:t>
            </w:r>
          </w:p>
          <w:p w14:paraId="07D92AB1">
            <w:pPr>
              <w:adjustRightInd w:val="0"/>
              <w:snapToGrid w:val="0"/>
              <w:spacing w:line="360" w:lineRule="auto"/>
              <w:jc w:val="left"/>
              <w:rPr>
                <w:rFonts w:ascii="宋体" w:hAnsi="宋体" w:cs="宋体"/>
                <w:sz w:val="24"/>
                <w:szCs w:val="24"/>
              </w:rPr>
            </w:pPr>
            <w:r>
              <w:rPr>
                <w:rFonts w:hint="eastAsia" w:ascii="宋体" w:hAnsi="宋体" w:cs="宋体"/>
                <w:kern w:val="0"/>
                <w:sz w:val="24"/>
                <w:szCs w:val="24"/>
                <w:u w:color="000000"/>
              </w:rPr>
              <w:t>缺项得0分。</w:t>
            </w:r>
          </w:p>
        </w:tc>
      </w:tr>
      <w:tr w14:paraId="6318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trPr>
        <w:tc>
          <w:tcPr>
            <w:tcW w:w="587" w:type="dxa"/>
            <w:vMerge w:val="continue"/>
            <w:vAlign w:val="center"/>
          </w:tcPr>
          <w:p w14:paraId="548114DD">
            <w:pPr>
              <w:adjustRightInd w:val="0"/>
              <w:snapToGrid w:val="0"/>
              <w:spacing w:line="288" w:lineRule="auto"/>
              <w:jc w:val="center"/>
              <w:rPr>
                <w:rFonts w:ascii="宋体" w:hAnsi="宋体" w:cs="宋体"/>
                <w:sz w:val="24"/>
                <w:szCs w:val="24"/>
              </w:rPr>
            </w:pPr>
          </w:p>
        </w:tc>
        <w:tc>
          <w:tcPr>
            <w:tcW w:w="923" w:type="dxa"/>
            <w:vMerge w:val="continue"/>
            <w:vAlign w:val="center"/>
          </w:tcPr>
          <w:p w14:paraId="638F29AA">
            <w:pPr>
              <w:adjustRightInd w:val="0"/>
              <w:snapToGrid w:val="0"/>
              <w:spacing w:line="288" w:lineRule="auto"/>
              <w:jc w:val="center"/>
              <w:rPr>
                <w:rFonts w:ascii="宋体" w:hAnsi="宋体" w:cs="宋体"/>
                <w:sz w:val="24"/>
                <w:szCs w:val="24"/>
              </w:rPr>
            </w:pPr>
          </w:p>
        </w:tc>
        <w:tc>
          <w:tcPr>
            <w:tcW w:w="2318" w:type="dxa"/>
            <w:vAlign w:val="center"/>
          </w:tcPr>
          <w:p w14:paraId="56459B6E">
            <w:pPr>
              <w:spacing w:line="500" w:lineRule="exact"/>
              <w:jc w:val="center"/>
              <w:rPr>
                <w:rFonts w:ascii="宋体" w:hAnsi="宋体" w:cs="宋体"/>
                <w:spacing w:val="-10"/>
                <w:sz w:val="24"/>
                <w:szCs w:val="24"/>
              </w:rPr>
            </w:pPr>
            <w:r>
              <w:rPr>
                <w:rFonts w:hint="eastAsia" w:ascii="宋体" w:hAnsi="宋体" w:cs="宋体"/>
                <w:sz w:val="24"/>
                <w:szCs w:val="24"/>
              </w:rPr>
              <w:t>突发事件应急措施（15分）</w:t>
            </w:r>
          </w:p>
        </w:tc>
        <w:tc>
          <w:tcPr>
            <w:tcW w:w="5850" w:type="dxa"/>
            <w:vAlign w:val="center"/>
          </w:tcPr>
          <w:p w14:paraId="583AF6ED">
            <w:pPr>
              <w:widowControl/>
              <w:adjustRightInd w:val="0"/>
              <w:snapToGrid w:val="0"/>
              <w:spacing w:line="360" w:lineRule="auto"/>
              <w:jc w:val="left"/>
              <w:rPr>
                <w:rFonts w:ascii="宋体" w:hAnsi="宋体" w:cs="宋体"/>
                <w:sz w:val="24"/>
              </w:rPr>
            </w:pPr>
            <w:r>
              <w:rPr>
                <w:rFonts w:hint="eastAsia" w:ascii="宋体" w:hAnsi="宋体" w:cs="宋体"/>
                <w:sz w:val="24"/>
              </w:rPr>
              <w:t>磋商小组根据各供应商提供的突发事件应急措施（包括但不限于治安、消防、群体性事件等）的</w:t>
            </w:r>
            <w:r>
              <w:rPr>
                <w:rFonts w:hint="eastAsia" w:ascii="宋体" w:hAnsi="宋体" w:cs="宋体"/>
                <w:sz w:val="24"/>
                <w:szCs w:val="24"/>
              </w:rPr>
              <w:t>重难点把握、</w:t>
            </w:r>
            <w:r>
              <w:rPr>
                <w:rFonts w:hint="eastAsia" w:ascii="宋体" w:hAnsi="宋体" w:cs="宋体"/>
                <w:sz w:val="24"/>
              </w:rPr>
              <w:t>合理性、针对性、可操作性等进行综合评分。</w:t>
            </w:r>
          </w:p>
          <w:p w14:paraId="2E41F920">
            <w:pPr>
              <w:adjustRightInd w:val="0"/>
              <w:snapToGrid w:val="0"/>
              <w:spacing w:line="360" w:lineRule="auto"/>
              <w:jc w:val="left"/>
              <w:rPr>
                <w:rFonts w:ascii="宋体" w:hAnsi="宋体" w:cs="宋体"/>
                <w:sz w:val="24"/>
              </w:rPr>
            </w:pPr>
            <w:r>
              <w:rPr>
                <w:rFonts w:hint="eastAsia" w:ascii="宋体" w:hAnsi="宋体" w:cs="宋体"/>
                <w:sz w:val="24"/>
              </w:rPr>
              <w:t>(1)应急措施满足上述基本要求、有优化方案且内容全面合理，针对性强、可操作性强的得15分；</w:t>
            </w:r>
          </w:p>
          <w:p w14:paraId="40F36793">
            <w:pPr>
              <w:adjustRightInd w:val="0"/>
              <w:snapToGrid w:val="0"/>
              <w:spacing w:line="360" w:lineRule="auto"/>
              <w:jc w:val="left"/>
              <w:rPr>
                <w:rFonts w:ascii="宋体" w:hAnsi="宋体" w:cs="宋体"/>
                <w:sz w:val="24"/>
              </w:rPr>
            </w:pPr>
            <w:r>
              <w:rPr>
                <w:rFonts w:hint="eastAsia" w:ascii="宋体" w:hAnsi="宋体" w:cs="宋体"/>
                <w:sz w:val="24"/>
              </w:rPr>
              <w:t>(2)应急措施满足上述基本要求、有优化方案且内容针对性较强、可操作性较强的得11分；</w:t>
            </w:r>
          </w:p>
          <w:p w14:paraId="261FEC78">
            <w:pPr>
              <w:adjustRightInd w:val="0"/>
              <w:snapToGrid w:val="0"/>
              <w:spacing w:line="360" w:lineRule="auto"/>
              <w:jc w:val="left"/>
              <w:rPr>
                <w:rFonts w:ascii="宋体" w:hAnsi="宋体" w:cs="宋体"/>
                <w:sz w:val="24"/>
              </w:rPr>
            </w:pPr>
            <w:r>
              <w:rPr>
                <w:rFonts w:hint="eastAsia" w:ascii="宋体" w:hAnsi="宋体" w:cs="宋体"/>
                <w:sz w:val="24"/>
              </w:rPr>
              <w:t>(3)应急措施满足上述基本要求、内 容针对性一般、可操作性一般的得7分；</w:t>
            </w:r>
          </w:p>
          <w:p w14:paraId="4BDF66D8">
            <w:pPr>
              <w:adjustRightInd w:val="0"/>
              <w:snapToGrid w:val="0"/>
              <w:spacing w:line="288" w:lineRule="auto"/>
              <w:rPr>
                <w:rFonts w:ascii="宋体" w:hAnsi="宋体" w:cs="宋体"/>
                <w:sz w:val="24"/>
              </w:rPr>
            </w:pPr>
            <w:r>
              <w:rPr>
                <w:rFonts w:hint="eastAsia" w:ascii="宋体" w:hAnsi="宋体" w:cs="宋体"/>
                <w:sz w:val="24"/>
              </w:rPr>
              <w:t>(4)应急措施满足上述基本要求、内容针对性较差、可操作性较差的得3分；</w:t>
            </w:r>
          </w:p>
          <w:p w14:paraId="5F1534FB">
            <w:pPr>
              <w:pStyle w:val="25"/>
              <w:ind w:firstLine="0" w:firstLineChars="0"/>
              <w:rPr>
                <w:rFonts w:ascii="宋体" w:hAnsi="宋体" w:cs="宋体"/>
              </w:rPr>
            </w:pPr>
            <w:r>
              <w:rPr>
                <w:rFonts w:hint="eastAsia" w:ascii="宋体" w:hAnsi="宋体" w:cs="宋体"/>
                <w:kern w:val="0"/>
                <w:sz w:val="24"/>
                <w:u w:color="000000"/>
              </w:rPr>
              <w:t>缺项得0分。</w:t>
            </w:r>
          </w:p>
        </w:tc>
      </w:tr>
      <w:tr w14:paraId="0DDD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vMerge w:val="continue"/>
            <w:vAlign w:val="center"/>
          </w:tcPr>
          <w:p w14:paraId="50B416CF">
            <w:pPr>
              <w:adjustRightInd w:val="0"/>
              <w:snapToGrid w:val="0"/>
              <w:spacing w:line="288" w:lineRule="auto"/>
              <w:jc w:val="center"/>
              <w:rPr>
                <w:rFonts w:ascii="宋体" w:hAnsi="宋体" w:cs="宋体"/>
                <w:sz w:val="24"/>
                <w:szCs w:val="24"/>
              </w:rPr>
            </w:pPr>
          </w:p>
        </w:tc>
        <w:tc>
          <w:tcPr>
            <w:tcW w:w="923" w:type="dxa"/>
            <w:vMerge w:val="restart"/>
            <w:vAlign w:val="center"/>
          </w:tcPr>
          <w:p w14:paraId="341D8D89">
            <w:pPr>
              <w:adjustRightInd w:val="0"/>
              <w:snapToGrid w:val="0"/>
              <w:spacing w:line="288" w:lineRule="auto"/>
              <w:jc w:val="center"/>
              <w:rPr>
                <w:rFonts w:ascii="宋体" w:hAnsi="宋体" w:cs="宋体"/>
                <w:sz w:val="24"/>
                <w:szCs w:val="24"/>
              </w:rPr>
            </w:pPr>
            <w:r>
              <w:rPr>
                <w:rFonts w:hint="eastAsia" w:ascii="宋体" w:hAnsi="宋体" w:cs="宋体"/>
                <w:sz w:val="24"/>
                <w:szCs w:val="24"/>
              </w:rPr>
              <w:t>综合部分评分标准（20分）</w:t>
            </w:r>
          </w:p>
        </w:tc>
        <w:tc>
          <w:tcPr>
            <w:tcW w:w="2318" w:type="dxa"/>
            <w:vAlign w:val="center"/>
          </w:tcPr>
          <w:p w14:paraId="286D438C">
            <w:pPr>
              <w:adjustRightInd w:val="0"/>
              <w:snapToGrid w:val="0"/>
              <w:spacing w:line="288" w:lineRule="auto"/>
              <w:rPr>
                <w:rFonts w:ascii="宋体" w:hAnsi="宋体" w:cs="宋体"/>
                <w:sz w:val="24"/>
                <w:szCs w:val="24"/>
              </w:rPr>
            </w:pPr>
            <w:r>
              <w:rPr>
                <w:rFonts w:hint="eastAsia" w:ascii="宋体" w:hAnsi="宋体" w:cs="宋体"/>
                <w:sz w:val="24"/>
                <w:szCs w:val="24"/>
              </w:rPr>
              <w:t>企业业绩（4分）</w:t>
            </w:r>
          </w:p>
        </w:tc>
        <w:tc>
          <w:tcPr>
            <w:tcW w:w="5850" w:type="dxa"/>
            <w:vAlign w:val="center"/>
          </w:tcPr>
          <w:p w14:paraId="76CDD1D0">
            <w:pPr>
              <w:adjustRightInd w:val="0"/>
              <w:snapToGrid w:val="0"/>
              <w:spacing w:line="288" w:lineRule="auto"/>
              <w:rPr>
                <w:rFonts w:ascii="宋体" w:hAnsi="宋体" w:cs="宋体"/>
                <w:sz w:val="24"/>
                <w:szCs w:val="24"/>
              </w:rPr>
            </w:pPr>
            <w:r>
              <w:rPr>
                <w:rFonts w:hint="eastAsia" w:ascii="宋体" w:hAnsi="宋体" w:cs="宋体"/>
                <w:sz w:val="24"/>
                <w:szCs w:val="24"/>
              </w:rPr>
              <w:t>企业2022年1月1日以来承担过类似项目业绩每项得2分，最多得4分（须提供合同、中标通知书、中标公示查询页面）。</w:t>
            </w:r>
          </w:p>
          <w:p w14:paraId="7033D81C">
            <w:pPr>
              <w:adjustRightInd w:val="0"/>
              <w:snapToGrid w:val="0"/>
              <w:spacing w:line="288" w:lineRule="auto"/>
              <w:rPr>
                <w:rFonts w:ascii="宋体" w:hAnsi="宋体" w:cs="宋体"/>
                <w:sz w:val="24"/>
                <w:szCs w:val="24"/>
              </w:rPr>
            </w:pPr>
            <w:r>
              <w:rPr>
                <w:rFonts w:hint="eastAsia" w:ascii="宋体" w:hAnsi="宋体" w:cs="宋体"/>
                <w:sz w:val="24"/>
                <w:szCs w:val="24"/>
              </w:rPr>
              <w:t>以合同协议签订时间为准。</w:t>
            </w:r>
          </w:p>
        </w:tc>
      </w:tr>
      <w:tr w14:paraId="785A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trPr>
        <w:tc>
          <w:tcPr>
            <w:tcW w:w="587" w:type="dxa"/>
            <w:vMerge w:val="continue"/>
            <w:vAlign w:val="center"/>
          </w:tcPr>
          <w:p w14:paraId="63B5C7FC">
            <w:pPr>
              <w:adjustRightInd w:val="0"/>
              <w:snapToGrid w:val="0"/>
              <w:spacing w:line="288" w:lineRule="auto"/>
              <w:jc w:val="center"/>
              <w:rPr>
                <w:rFonts w:ascii="宋体" w:hAnsi="宋体" w:cs="宋体"/>
                <w:sz w:val="24"/>
                <w:szCs w:val="24"/>
              </w:rPr>
            </w:pPr>
          </w:p>
        </w:tc>
        <w:tc>
          <w:tcPr>
            <w:tcW w:w="923" w:type="dxa"/>
            <w:vMerge w:val="continue"/>
            <w:vAlign w:val="center"/>
          </w:tcPr>
          <w:p w14:paraId="7A8D2A96">
            <w:pPr>
              <w:adjustRightInd w:val="0"/>
              <w:snapToGrid w:val="0"/>
              <w:spacing w:line="288" w:lineRule="auto"/>
              <w:jc w:val="center"/>
              <w:rPr>
                <w:rFonts w:ascii="宋体" w:hAnsi="宋体" w:cs="宋体"/>
                <w:sz w:val="24"/>
                <w:szCs w:val="24"/>
              </w:rPr>
            </w:pPr>
          </w:p>
        </w:tc>
        <w:tc>
          <w:tcPr>
            <w:tcW w:w="2318" w:type="dxa"/>
            <w:vAlign w:val="center"/>
          </w:tcPr>
          <w:p w14:paraId="38DE8462">
            <w:pPr>
              <w:adjustRightInd w:val="0"/>
              <w:snapToGrid w:val="0"/>
              <w:spacing w:line="288" w:lineRule="auto"/>
              <w:jc w:val="center"/>
              <w:rPr>
                <w:rFonts w:ascii="宋体" w:hAnsi="宋体" w:cs="宋体"/>
                <w:sz w:val="24"/>
                <w:szCs w:val="24"/>
              </w:rPr>
            </w:pPr>
            <w:r>
              <w:rPr>
                <w:rFonts w:hint="eastAsia" w:ascii="宋体" w:hAnsi="宋体" w:cs="宋体"/>
                <w:sz w:val="24"/>
                <w:szCs w:val="24"/>
              </w:rPr>
              <w:t>配备人员（11分）</w:t>
            </w:r>
          </w:p>
        </w:tc>
        <w:tc>
          <w:tcPr>
            <w:tcW w:w="5850" w:type="dxa"/>
          </w:tcPr>
          <w:p w14:paraId="2B745FCE">
            <w:pPr>
              <w:spacing w:line="460" w:lineRule="exact"/>
              <w:jc w:val="left"/>
              <w:rPr>
                <w:rFonts w:ascii="宋体" w:hAnsi="宋体" w:cs="宋体"/>
                <w:sz w:val="24"/>
                <w:szCs w:val="24"/>
              </w:rPr>
            </w:pPr>
            <w:r>
              <w:rPr>
                <w:rFonts w:hint="eastAsia" w:ascii="宋体" w:hAnsi="宋体" w:cs="宋体"/>
                <w:sz w:val="24"/>
                <w:szCs w:val="24"/>
              </w:rPr>
              <w:t>（1）供应商针对本项目委派的项目负责人具有大专及以上学历且有退伍证的得3分；</w:t>
            </w:r>
          </w:p>
          <w:p w14:paraId="40CDAEC4">
            <w:pPr>
              <w:spacing w:line="460" w:lineRule="exact"/>
              <w:jc w:val="left"/>
              <w:rPr>
                <w:rFonts w:ascii="宋体" w:hAnsi="宋体" w:cs="宋体"/>
                <w:sz w:val="24"/>
                <w:szCs w:val="24"/>
              </w:rPr>
            </w:pPr>
            <w:r>
              <w:rPr>
                <w:rFonts w:hint="eastAsia" w:ascii="宋体" w:hAnsi="宋体" w:cs="宋体"/>
                <w:sz w:val="24"/>
                <w:szCs w:val="24"/>
              </w:rPr>
              <w:t>拟派项目负责人具有退伍证，</w:t>
            </w:r>
          </w:p>
          <w:p w14:paraId="0924850E">
            <w:pPr>
              <w:spacing w:line="460" w:lineRule="exact"/>
              <w:jc w:val="left"/>
              <w:rPr>
                <w:rFonts w:ascii="宋体" w:hAnsi="宋体" w:cs="宋体"/>
                <w:sz w:val="24"/>
                <w:szCs w:val="24"/>
              </w:rPr>
            </w:pPr>
            <w:r>
              <w:rPr>
                <w:rFonts w:hint="eastAsia" w:ascii="宋体" w:hAnsi="宋体" w:cs="宋体"/>
                <w:sz w:val="24"/>
                <w:szCs w:val="24"/>
              </w:rPr>
              <w:t>（2）供应商针对本项目配备人员中每有1名复转军人得1分，最高得5分；</w:t>
            </w:r>
          </w:p>
          <w:p w14:paraId="1FD2B063">
            <w:pPr>
              <w:spacing w:line="460" w:lineRule="exact"/>
              <w:jc w:val="left"/>
              <w:rPr>
                <w:rFonts w:ascii="宋体" w:hAnsi="宋体" w:cs="宋体"/>
                <w:sz w:val="24"/>
                <w:szCs w:val="24"/>
              </w:rPr>
            </w:pPr>
            <w:r>
              <w:rPr>
                <w:rFonts w:hint="eastAsia" w:ascii="宋体" w:hAnsi="宋体" w:cs="宋体"/>
                <w:sz w:val="24"/>
                <w:szCs w:val="24"/>
              </w:rPr>
              <w:t>（3）供应商针对本项目配备人员中每有1名具有中级（四级）及以上消防设施操作员证的人员得1分，最高得3分；</w:t>
            </w:r>
          </w:p>
          <w:p w14:paraId="53B31662">
            <w:pPr>
              <w:spacing w:line="460" w:lineRule="exact"/>
              <w:jc w:val="left"/>
              <w:rPr>
                <w:rFonts w:ascii="宋体" w:hAnsi="宋体" w:cs="宋体"/>
                <w:sz w:val="24"/>
                <w:szCs w:val="24"/>
              </w:rPr>
            </w:pPr>
            <w:r>
              <w:rPr>
                <w:rFonts w:hint="eastAsia" w:ascii="宋体" w:hAnsi="宋体" w:cs="宋体"/>
                <w:sz w:val="24"/>
                <w:szCs w:val="24"/>
              </w:rPr>
              <w:t>以上所配备人员需同时提供相关证书、供应商为其缴纳2025年1月以来任意三个月的养老保险证明。</w:t>
            </w:r>
          </w:p>
          <w:p w14:paraId="7BA65A72">
            <w:pPr>
              <w:spacing w:line="460" w:lineRule="exact"/>
              <w:jc w:val="left"/>
              <w:rPr>
                <w:rFonts w:ascii="宋体" w:hAnsi="宋体" w:cs="宋体"/>
              </w:rPr>
            </w:pPr>
            <w:r>
              <w:rPr>
                <w:rFonts w:hint="eastAsia" w:ascii="宋体" w:hAnsi="宋体" w:cs="宋体"/>
                <w:sz w:val="24"/>
                <w:szCs w:val="24"/>
              </w:rPr>
              <w:t>响应文件中附相关证明材料扫描件并加盖单位电子签章，（1）、（2）、（3）项不重复计分，合同签订后采购人进行复核。</w:t>
            </w:r>
          </w:p>
        </w:tc>
      </w:tr>
      <w:tr w14:paraId="0C6C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587" w:type="dxa"/>
            <w:vMerge w:val="continue"/>
            <w:vAlign w:val="center"/>
          </w:tcPr>
          <w:p w14:paraId="6084F89E">
            <w:pPr>
              <w:adjustRightInd w:val="0"/>
              <w:snapToGrid w:val="0"/>
              <w:spacing w:line="288" w:lineRule="auto"/>
              <w:jc w:val="center"/>
              <w:rPr>
                <w:rFonts w:ascii="宋体" w:hAnsi="宋体" w:cs="宋体"/>
                <w:sz w:val="24"/>
                <w:szCs w:val="24"/>
              </w:rPr>
            </w:pPr>
          </w:p>
        </w:tc>
        <w:tc>
          <w:tcPr>
            <w:tcW w:w="923" w:type="dxa"/>
            <w:vMerge w:val="continue"/>
            <w:vAlign w:val="center"/>
          </w:tcPr>
          <w:p w14:paraId="3A0C071E">
            <w:pPr>
              <w:adjustRightInd w:val="0"/>
              <w:snapToGrid w:val="0"/>
              <w:spacing w:line="288" w:lineRule="auto"/>
              <w:jc w:val="center"/>
              <w:rPr>
                <w:rFonts w:ascii="宋体" w:hAnsi="宋体" w:cs="宋体"/>
                <w:sz w:val="24"/>
                <w:szCs w:val="24"/>
              </w:rPr>
            </w:pPr>
          </w:p>
        </w:tc>
        <w:tc>
          <w:tcPr>
            <w:tcW w:w="2318" w:type="dxa"/>
            <w:vAlign w:val="center"/>
          </w:tcPr>
          <w:p w14:paraId="24CFADC9">
            <w:pPr>
              <w:adjustRightInd w:val="0"/>
              <w:snapToGrid w:val="0"/>
              <w:spacing w:line="288" w:lineRule="auto"/>
              <w:rPr>
                <w:rFonts w:ascii="宋体" w:hAnsi="宋体" w:cs="宋体"/>
                <w:sz w:val="24"/>
                <w:szCs w:val="24"/>
              </w:rPr>
            </w:pPr>
            <w:r>
              <w:rPr>
                <w:rFonts w:hint="eastAsia" w:ascii="宋体" w:hAnsi="宋体" w:cs="宋体"/>
                <w:sz w:val="24"/>
                <w:szCs w:val="24"/>
              </w:rPr>
              <w:t>服务承诺（5分）</w:t>
            </w:r>
          </w:p>
        </w:tc>
        <w:tc>
          <w:tcPr>
            <w:tcW w:w="5850" w:type="dxa"/>
          </w:tcPr>
          <w:p w14:paraId="07660D6B">
            <w:pPr>
              <w:spacing w:line="460" w:lineRule="exact"/>
              <w:jc w:val="left"/>
              <w:rPr>
                <w:rFonts w:ascii="宋体" w:hAnsi="宋体" w:cs="宋体"/>
                <w:sz w:val="24"/>
                <w:szCs w:val="24"/>
              </w:rPr>
            </w:pPr>
            <w:r>
              <w:rPr>
                <w:rFonts w:hint="eastAsia" w:ascii="宋体" w:hAnsi="宋体" w:cs="宋体"/>
                <w:sz w:val="24"/>
                <w:szCs w:val="24"/>
              </w:rPr>
              <w:t>磋商小组根据各供应商响应文件中提供的服务承诺内容具体、合理、贴合项目需求等方面进行评审。</w:t>
            </w:r>
          </w:p>
          <w:p w14:paraId="7525C8EA">
            <w:pPr>
              <w:spacing w:line="460" w:lineRule="exact"/>
              <w:jc w:val="left"/>
              <w:rPr>
                <w:rFonts w:ascii="宋体" w:hAnsi="宋体" w:cs="宋体"/>
                <w:sz w:val="24"/>
                <w:szCs w:val="24"/>
              </w:rPr>
            </w:pPr>
            <w:r>
              <w:rPr>
                <w:rFonts w:hint="eastAsia" w:ascii="宋体" w:hAnsi="宋体" w:cs="宋体"/>
                <w:sz w:val="24"/>
                <w:szCs w:val="24"/>
              </w:rPr>
              <w:t>服务承诺内容详细具体、合理、贴合项目需求的得5分；</w:t>
            </w:r>
          </w:p>
          <w:p w14:paraId="08649C4A">
            <w:pPr>
              <w:spacing w:line="460" w:lineRule="exact"/>
              <w:jc w:val="left"/>
              <w:rPr>
                <w:rFonts w:ascii="宋体" w:hAnsi="宋体" w:cs="宋体"/>
                <w:sz w:val="24"/>
                <w:szCs w:val="24"/>
              </w:rPr>
            </w:pPr>
            <w:r>
              <w:rPr>
                <w:rFonts w:hint="eastAsia" w:ascii="宋体" w:hAnsi="宋体" w:cs="宋体"/>
                <w:sz w:val="24"/>
                <w:szCs w:val="24"/>
              </w:rPr>
              <w:t>服务承诺内容具体、合理、比较贴合项目需求的得3分；</w:t>
            </w:r>
          </w:p>
          <w:p w14:paraId="20F8618D">
            <w:pPr>
              <w:spacing w:line="460" w:lineRule="exact"/>
              <w:jc w:val="left"/>
              <w:rPr>
                <w:rFonts w:ascii="宋体" w:hAnsi="宋体" w:cs="宋体"/>
                <w:sz w:val="24"/>
                <w:szCs w:val="24"/>
              </w:rPr>
            </w:pPr>
            <w:r>
              <w:rPr>
                <w:rFonts w:hint="eastAsia" w:ascii="宋体" w:hAnsi="宋体" w:cs="宋体"/>
                <w:sz w:val="24"/>
                <w:szCs w:val="24"/>
              </w:rPr>
              <w:t>服务承诺内容贴合项目需求，但不够具体的得2分；</w:t>
            </w:r>
          </w:p>
          <w:p w14:paraId="0BB88157">
            <w:pPr>
              <w:spacing w:line="460" w:lineRule="exact"/>
              <w:jc w:val="left"/>
              <w:rPr>
                <w:rFonts w:ascii="宋体" w:hAnsi="宋体" w:cs="宋体"/>
                <w:sz w:val="24"/>
                <w:szCs w:val="24"/>
              </w:rPr>
            </w:pPr>
            <w:r>
              <w:rPr>
                <w:rFonts w:hint="eastAsia" w:ascii="宋体" w:hAnsi="宋体" w:cs="宋体"/>
                <w:sz w:val="24"/>
                <w:szCs w:val="24"/>
              </w:rPr>
              <w:t>服务承诺内容较差、未贴合项目需求的得1分；</w:t>
            </w:r>
          </w:p>
          <w:p w14:paraId="4D56F743">
            <w:pPr>
              <w:spacing w:line="460" w:lineRule="exact"/>
              <w:jc w:val="left"/>
              <w:rPr>
                <w:rFonts w:ascii="宋体" w:hAnsi="宋体" w:cs="宋体"/>
              </w:rPr>
            </w:pPr>
            <w:r>
              <w:rPr>
                <w:rFonts w:hint="eastAsia" w:ascii="宋体" w:hAnsi="宋体" w:cs="宋体"/>
                <w:sz w:val="24"/>
                <w:szCs w:val="24"/>
              </w:rPr>
              <w:t>未提供或缺项得0分。</w:t>
            </w:r>
          </w:p>
        </w:tc>
      </w:tr>
    </w:tbl>
    <w:p w14:paraId="18AC1723">
      <w:pPr>
        <w:rPr>
          <w:rFonts w:ascii="宋体" w:hAnsi="宋体" w:cs="宋体"/>
          <w:color w:val="000000"/>
          <w:sz w:val="24"/>
          <w:szCs w:val="24"/>
        </w:rPr>
      </w:pPr>
    </w:p>
    <w:p w14:paraId="0FB8DE6E">
      <w:pPr>
        <w:pStyle w:val="4"/>
        <w:tabs>
          <w:tab w:val="left" w:pos="425"/>
        </w:tabs>
        <w:adjustRightInd w:val="0"/>
        <w:snapToGrid w:val="0"/>
        <w:spacing w:line="360" w:lineRule="auto"/>
        <w:rPr>
          <w:rFonts w:ascii="宋体" w:hAnsi="宋体" w:eastAsia="宋体" w:cs="宋体"/>
          <w:color w:val="000000"/>
          <w:sz w:val="24"/>
          <w:szCs w:val="24"/>
        </w:rPr>
      </w:pPr>
      <w:bookmarkStart w:id="80" w:name="_Toc18238"/>
      <w:bookmarkStart w:id="81" w:name="_Toc413744068"/>
      <w:bookmarkStart w:id="82" w:name="_Toc13819723"/>
      <w:bookmarkStart w:id="83" w:name="_Toc456171614"/>
      <w:bookmarkStart w:id="84" w:name="_Toc514740518"/>
      <w:r>
        <w:rPr>
          <w:rFonts w:hint="eastAsia" w:ascii="宋体" w:hAnsi="宋体" w:eastAsia="宋体" w:cs="宋体"/>
          <w:color w:val="000000"/>
          <w:sz w:val="24"/>
          <w:szCs w:val="24"/>
        </w:rPr>
        <w:t>1.评标方法</w:t>
      </w:r>
      <w:bookmarkEnd w:id="80"/>
      <w:bookmarkEnd w:id="81"/>
      <w:bookmarkEnd w:id="82"/>
      <w:bookmarkEnd w:id="83"/>
      <w:bookmarkEnd w:id="84"/>
    </w:p>
    <w:p w14:paraId="33106134">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本次评标采用综合评分法。磋商小组对满足磋商文件实质性要求的响应文件，按照本章第 2.2 款规定的评分标准进行打分，并按得分由高到低顺序推荐三名成交候选人。如出现得分并列的情况，磋商报价低的优先，如磋商报价也一致，由磋商小组根据技术标得分确定推荐顺序。</w:t>
      </w:r>
    </w:p>
    <w:p w14:paraId="15A16509">
      <w:pPr>
        <w:pStyle w:val="4"/>
        <w:tabs>
          <w:tab w:val="left" w:pos="425"/>
        </w:tabs>
        <w:adjustRightInd w:val="0"/>
        <w:snapToGrid w:val="0"/>
        <w:spacing w:line="360" w:lineRule="auto"/>
        <w:rPr>
          <w:rFonts w:ascii="宋体" w:hAnsi="宋体" w:eastAsia="宋体" w:cs="宋体"/>
          <w:color w:val="000000"/>
          <w:sz w:val="24"/>
          <w:szCs w:val="24"/>
        </w:rPr>
      </w:pPr>
      <w:bookmarkStart w:id="85" w:name="_Toc456171615"/>
      <w:bookmarkStart w:id="86" w:name="_Toc413744069"/>
      <w:bookmarkStart w:id="87" w:name="_Toc514740519"/>
      <w:bookmarkStart w:id="88" w:name="_Toc13819724"/>
      <w:bookmarkStart w:id="89" w:name="_Toc29872"/>
      <w:r>
        <w:rPr>
          <w:rFonts w:hint="eastAsia" w:ascii="宋体" w:hAnsi="宋体" w:eastAsia="宋体" w:cs="宋体"/>
          <w:color w:val="000000"/>
          <w:sz w:val="24"/>
          <w:szCs w:val="24"/>
        </w:rPr>
        <w:t>2.评审标准</w:t>
      </w:r>
      <w:bookmarkEnd w:id="85"/>
      <w:bookmarkEnd w:id="86"/>
      <w:bookmarkEnd w:id="87"/>
      <w:bookmarkEnd w:id="88"/>
      <w:bookmarkEnd w:id="89"/>
    </w:p>
    <w:p w14:paraId="47EC675F">
      <w:pPr>
        <w:adjustRightInd w:val="0"/>
        <w:snapToGrid w:val="0"/>
        <w:spacing w:line="360" w:lineRule="auto"/>
        <w:ind w:left="170"/>
        <w:rPr>
          <w:rFonts w:ascii="宋体" w:hAnsi="宋体" w:cs="宋体"/>
          <w:b/>
          <w:color w:val="000000"/>
          <w:sz w:val="24"/>
          <w:szCs w:val="24"/>
        </w:rPr>
      </w:pPr>
      <w:r>
        <w:rPr>
          <w:rFonts w:hint="eastAsia" w:ascii="宋体" w:hAnsi="宋体" w:cs="宋体"/>
          <w:b/>
          <w:color w:val="000000"/>
          <w:sz w:val="24"/>
          <w:szCs w:val="24"/>
        </w:rPr>
        <w:t>2.1初步评审标准</w:t>
      </w:r>
    </w:p>
    <w:p w14:paraId="4F701D02">
      <w:pPr>
        <w:adjustRightInd w:val="0"/>
        <w:snapToGrid w:val="0"/>
        <w:spacing w:line="360" w:lineRule="auto"/>
        <w:ind w:left="350"/>
        <w:rPr>
          <w:rFonts w:ascii="宋体" w:hAnsi="宋体" w:cs="宋体"/>
          <w:color w:val="000000"/>
          <w:sz w:val="24"/>
          <w:szCs w:val="24"/>
        </w:rPr>
      </w:pPr>
      <w:r>
        <w:rPr>
          <w:rFonts w:hint="eastAsia" w:ascii="宋体" w:hAnsi="宋体" w:cs="宋体"/>
          <w:color w:val="000000"/>
          <w:sz w:val="24"/>
          <w:szCs w:val="24"/>
        </w:rPr>
        <w:t>2.1.1资格审查：见磋商办法前附表。</w:t>
      </w:r>
    </w:p>
    <w:p w14:paraId="7232EF1B">
      <w:pPr>
        <w:adjustRightInd w:val="0"/>
        <w:snapToGrid w:val="0"/>
        <w:spacing w:line="360" w:lineRule="auto"/>
        <w:ind w:left="350"/>
        <w:rPr>
          <w:rFonts w:ascii="宋体" w:hAnsi="宋体" w:cs="宋体"/>
          <w:color w:val="000000"/>
          <w:sz w:val="24"/>
          <w:szCs w:val="24"/>
        </w:rPr>
      </w:pPr>
      <w:r>
        <w:rPr>
          <w:rFonts w:hint="eastAsia" w:ascii="宋体" w:hAnsi="宋体" w:cs="宋体"/>
          <w:color w:val="000000"/>
          <w:sz w:val="24"/>
          <w:szCs w:val="24"/>
        </w:rPr>
        <w:t>2.1.2形式性审查、响应性审查：见磋商办法前附表。</w:t>
      </w:r>
    </w:p>
    <w:p w14:paraId="657476D4">
      <w:pPr>
        <w:adjustRightInd w:val="0"/>
        <w:snapToGrid w:val="0"/>
        <w:spacing w:line="360" w:lineRule="auto"/>
        <w:ind w:left="170"/>
        <w:rPr>
          <w:rFonts w:ascii="宋体" w:hAnsi="宋体" w:cs="宋体"/>
          <w:b/>
          <w:color w:val="000000"/>
          <w:sz w:val="24"/>
          <w:szCs w:val="24"/>
        </w:rPr>
      </w:pPr>
      <w:r>
        <w:rPr>
          <w:rFonts w:hint="eastAsia" w:ascii="宋体" w:hAnsi="宋体" w:cs="宋体"/>
          <w:b/>
          <w:color w:val="000000"/>
          <w:sz w:val="24"/>
          <w:szCs w:val="24"/>
        </w:rPr>
        <w:t>2.2分值构成与评分标准</w:t>
      </w:r>
    </w:p>
    <w:p w14:paraId="0BBCA323">
      <w:pPr>
        <w:adjustRightInd w:val="0"/>
        <w:snapToGrid w:val="0"/>
        <w:spacing w:line="360" w:lineRule="auto"/>
        <w:ind w:firstLine="360" w:firstLineChars="150"/>
        <w:rPr>
          <w:rFonts w:ascii="宋体" w:hAnsi="宋体" w:cs="宋体"/>
          <w:color w:val="000000"/>
          <w:sz w:val="24"/>
          <w:szCs w:val="24"/>
        </w:rPr>
      </w:pPr>
      <w:r>
        <w:rPr>
          <w:rFonts w:hint="eastAsia" w:ascii="宋体" w:hAnsi="宋体" w:cs="宋体"/>
          <w:color w:val="000000"/>
          <w:sz w:val="24"/>
          <w:szCs w:val="24"/>
        </w:rPr>
        <w:t>2.2.1 分值构成：详见磋商办法前附表</w:t>
      </w:r>
    </w:p>
    <w:p w14:paraId="293275C0">
      <w:pPr>
        <w:adjustRightInd w:val="0"/>
        <w:snapToGrid w:val="0"/>
        <w:spacing w:line="360" w:lineRule="auto"/>
        <w:ind w:firstLine="360" w:firstLineChars="150"/>
        <w:rPr>
          <w:rFonts w:ascii="宋体" w:hAnsi="宋体" w:cs="宋体"/>
          <w:color w:val="000000"/>
          <w:sz w:val="24"/>
          <w:szCs w:val="24"/>
        </w:rPr>
      </w:pPr>
      <w:r>
        <w:rPr>
          <w:rFonts w:hint="eastAsia" w:ascii="宋体" w:hAnsi="宋体" w:cs="宋体"/>
          <w:color w:val="000000"/>
          <w:sz w:val="24"/>
          <w:szCs w:val="24"/>
        </w:rPr>
        <w:t>2.2.2 评分标准：详见磋商办法前附表</w:t>
      </w:r>
    </w:p>
    <w:p w14:paraId="4B14841C">
      <w:pPr>
        <w:pStyle w:val="4"/>
        <w:tabs>
          <w:tab w:val="left" w:pos="425"/>
        </w:tabs>
        <w:adjustRightInd w:val="0"/>
        <w:snapToGrid w:val="0"/>
        <w:spacing w:line="360" w:lineRule="auto"/>
        <w:rPr>
          <w:rFonts w:ascii="宋体" w:hAnsi="宋体" w:eastAsia="宋体" w:cs="宋体"/>
          <w:color w:val="000000"/>
          <w:sz w:val="24"/>
          <w:szCs w:val="24"/>
        </w:rPr>
      </w:pPr>
      <w:bookmarkStart w:id="90" w:name="_Toc13819725"/>
      <w:bookmarkStart w:id="91" w:name="_Toc5763"/>
      <w:bookmarkStart w:id="92" w:name="_Toc413744070"/>
      <w:bookmarkStart w:id="93" w:name="_Toc300314692"/>
      <w:bookmarkStart w:id="94" w:name="_Toc514740520"/>
      <w:bookmarkStart w:id="95" w:name="_Toc456171616"/>
      <w:r>
        <w:rPr>
          <w:rFonts w:hint="eastAsia" w:ascii="宋体" w:hAnsi="宋体" w:eastAsia="宋体" w:cs="宋体"/>
          <w:color w:val="000000"/>
          <w:sz w:val="24"/>
          <w:szCs w:val="24"/>
        </w:rPr>
        <w:t>3. 磋商程序</w:t>
      </w:r>
      <w:bookmarkEnd w:id="90"/>
      <w:bookmarkEnd w:id="91"/>
      <w:bookmarkEnd w:id="92"/>
      <w:bookmarkEnd w:id="93"/>
      <w:bookmarkEnd w:id="94"/>
      <w:bookmarkEnd w:id="95"/>
    </w:p>
    <w:p w14:paraId="0781FB32">
      <w:pPr>
        <w:adjustRightInd w:val="0"/>
        <w:snapToGrid w:val="0"/>
        <w:spacing w:line="360" w:lineRule="auto"/>
        <w:rPr>
          <w:rFonts w:ascii="宋体" w:hAnsi="宋体" w:cs="宋体"/>
          <w:b/>
          <w:color w:val="000000"/>
          <w:sz w:val="24"/>
          <w:szCs w:val="24"/>
        </w:rPr>
      </w:pPr>
      <w:r>
        <w:rPr>
          <w:rFonts w:hint="eastAsia" w:ascii="宋体" w:hAnsi="宋体" w:cs="宋体"/>
          <w:b/>
          <w:color w:val="000000"/>
          <w:sz w:val="24"/>
          <w:szCs w:val="24"/>
        </w:rPr>
        <w:t>3.1 初步审查标准</w:t>
      </w:r>
    </w:p>
    <w:p w14:paraId="05CC3AFD">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磋商小组按照评审办法前附表中资格审查、形式性审查、响应性审查的标准对各响应文件进行初步评审，有一项不符合评审标准的，否决其投标。</w:t>
      </w:r>
    </w:p>
    <w:p w14:paraId="6B705293">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最终报价：磋商小组对通过初步评审的各响应人按照磋商顺序分别进行磋商，并给予所有参加磋商的响应人平等的磋商机会。磋商结束后，磋商小组应当要求实质性响应的响应人在磋商小组规定时间内提交最终报价。</w:t>
      </w:r>
    </w:p>
    <w:p w14:paraId="7D56C54B">
      <w:pPr>
        <w:adjustRightInd w:val="0"/>
        <w:snapToGrid w:val="0"/>
        <w:spacing w:line="360" w:lineRule="auto"/>
        <w:rPr>
          <w:rFonts w:ascii="宋体" w:hAnsi="宋体" w:cs="宋体"/>
          <w:b/>
          <w:color w:val="000000"/>
          <w:sz w:val="24"/>
          <w:szCs w:val="24"/>
        </w:rPr>
      </w:pPr>
      <w:r>
        <w:rPr>
          <w:rFonts w:hint="eastAsia" w:ascii="宋体" w:hAnsi="宋体" w:cs="宋体"/>
          <w:b/>
          <w:color w:val="000000"/>
          <w:sz w:val="24"/>
          <w:szCs w:val="24"/>
        </w:rPr>
        <w:t>3.2详细评审</w:t>
      </w:r>
    </w:p>
    <w:p w14:paraId="40C26ACC">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3.2.1磋商小组按本章第2.2款规定的量化因素和分值进行打分，并计算出综合评分得分。</w:t>
      </w:r>
    </w:p>
    <w:p w14:paraId="280D66FD">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3.2.2评分分值计算保留小数点后两位，小数点后第三位“四舍五入”。</w:t>
      </w:r>
    </w:p>
    <w:p w14:paraId="0757119E">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3.2.3以各评标委员打分之和的算术平均值为各供应商最终得分。</w:t>
      </w:r>
    </w:p>
    <w:p w14:paraId="22732288">
      <w:pPr>
        <w:adjustRightInd w:val="0"/>
        <w:snapToGrid w:val="0"/>
        <w:spacing w:line="360" w:lineRule="auto"/>
        <w:rPr>
          <w:rFonts w:ascii="宋体" w:hAnsi="宋体" w:cs="宋体"/>
          <w:b/>
          <w:color w:val="000000"/>
          <w:sz w:val="24"/>
          <w:szCs w:val="24"/>
        </w:rPr>
      </w:pPr>
      <w:r>
        <w:rPr>
          <w:rFonts w:hint="eastAsia" w:ascii="宋体" w:hAnsi="宋体" w:cs="宋体"/>
          <w:b/>
          <w:color w:val="000000"/>
          <w:sz w:val="24"/>
          <w:szCs w:val="24"/>
        </w:rPr>
        <w:t>3.3 响应文件的澄清和补正</w:t>
      </w:r>
    </w:p>
    <w:p w14:paraId="2076D842">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不接受响应人主动提出的澄清、说明或补正。</w:t>
      </w:r>
    </w:p>
    <w:p w14:paraId="7B1CD825">
      <w:pPr>
        <w:spacing w:line="360" w:lineRule="auto"/>
        <w:ind w:firstLine="480" w:firstLineChars="200"/>
        <w:rPr>
          <w:rFonts w:ascii="宋体" w:hAnsi="宋体" w:cs="宋体"/>
          <w:sz w:val="24"/>
          <w:szCs w:val="24"/>
        </w:rPr>
      </w:pPr>
      <w:r>
        <w:rPr>
          <w:rFonts w:hint="eastAsia" w:ascii="宋体" w:hAnsi="宋体" w:cs="宋体"/>
          <w:sz w:val="24"/>
          <w:szCs w:val="24"/>
        </w:rPr>
        <w:t>磋商小组认为有必要，要求供应商对电子化响应文件某些问题作出必要的澄清、说明和纠正的，将通过电子化交易系统对供应商发起质疑。质疑回复内容确认后，并通过电子化交易系统提交至磋商小组。磋商供应商的回复澄清材料作为响应文件的补充。</w:t>
      </w:r>
    </w:p>
    <w:p w14:paraId="3EAD8AED">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如磋商报价表中的大写金额和小写金额不一致的，以大写金额为准，总价金额与单价金额不一致的，以单价合计金额为准，但单价金额的小数点有明显错误的除外。</w:t>
      </w:r>
    </w:p>
    <w:p w14:paraId="5ACD9727">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磋商小组认为响应人的报价明显低于其他响应人的报价，有可能影响服务质量或者不能诚信履约的，应当要求其在评标现场合理的时间内提供书面说明，必要时提交相关证明材料；响应人不能证明其报价合理性的，磋商小组应当将其作为无效投标处理。</w:t>
      </w:r>
    </w:p>
    <w:p w14:paraId="7767FCA4">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3.3.2 澄清、说明和补正不得改变响应文件的实质性内容（算术性错误修正的除外）。响应人的书面澄清、说明和补正属于响应文件的组成部分。</w:t>
      </w:r>
    </w:p>
    <w:p w14:paraId="60C4CB66">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3.3.3 磋商小组对供应商提交的澄清、说明或补正有疑问的，可以要求供应商进一步澄清、说明或补正，直至满足磋商小组的要求。</w:t>
      </w:r>
    </w:p>
    <w:p w14:paraId="73CD7231">
      <w:pPr>
        <w:adjustRightInd w:val="0"/>
        <w:snapToGrid w:val="0"/>
        <w:spacing w:line="360" w:lineRule="auto"/>
        <w:rPr>
          <w:rFonts w:ascii="宋体" w:hAnsi="宋体" w:cs="宋体"/>
          <w:b/>
          <w:color w:val="000000"/>
          <w:sz w:val="24"/>
          <w:szCs w:val="24"/>
        </w:rPr>
      </w:pPr>
      <w:r>
        <w:rPr>
          <w:rFonts w:hint="eastAsia" w:ascii="宋体" w:hAnsi="宋体" w:cs="宋体"/>
          <w:b/>
          <w:color w:val="000000"/>
          <w:sz w:val="24"/>
          <w:szCs w:val="24"/>
        </w:rPr>
        <w:t>3.4细微偏差不影响响应文件的有效性</w:t>
      </w:r>
    </w:p>
    <w:p w14:paraId="4F5EE767">
      <w:pPr>
        <w:adjustRightInd w:val="0"/>
        <w:snapToGrid w:val="0"/>
        <w:spacing w:line="360" w:lineRule="auto"/>
        <w:ind w:firstLine="470" w:firstLineChars="196"/>
        <w:rPr>
          <w:rFonts w:ascii="宋体" w:hAnsi="宋体" w:cs="宋体"/>
          <w:color w:val="000000"/>
          <w:sz w:val="24"/>
          <w:szCs w:val="24"/>
        </w:rPr>
      </w:pPr>
      <w:r>
        <w:rPr>
          <w:rFonts w:hint="eastAsia" w:ascii="宋体" w:hAnsi="宋体" w:cs="宋体"/>
          <w:color w:val="000000"/>
          <w:sz w:val="24"/>
          <w:szCs w:val="24"/>
        </w:rPr>
        <w:t>细微偏差是指响应文件在实质上响应磋商文件要求，但个别地方存在漏项或者提供了不完整的技术信息和数据等情况，并且补正这些遗漏或者不完整不会对其他供应商造成不公平的结果。</w:t>
      </w:r>
    </w:p>
    <w:p w14:paraId="0EA01883">
      <w:pPr>
        <w:adjustRightInd w:val="0"/>
        <w:snapToGrid w:val="0"/>
        <w:spacing w:line="360" w:lineRule="auto"/>
        <w:ind w:firstLine="470" w:firstLineChars="196"/>
        <w:rPr>
          <w:rFonts w:ascii="宋体" w:hAnsi="宋体" w:cs="宋体"/>
          <w:color w:val="000000"/>
          <w:sz w:val="24"/>
          <w:szCs w:val="24"/>
        </w:rPr>
      </w:pPr>
      <w:r>
        <w:rPr>
          <w:rFonts w:hint="eastAsia" w:ascii="宋体" w:hAnsi="宋体" w:cs="宋体"/>
          <w:color w:val="000000"/>
          <w:sz w:val="24"/>
          <w:szCs w:val="24"/>
        </w:rPr>
        <w:t>对于实质上符合磋商文件要求的响应文件，磋商小组将对其响应文件的细微偏差进行校核。并对有算术上和累加运算上的差错给予修正，这种修正应取得供应商的同意并确认修正后的最终结果。如果供应商拒绝确认，则其响应文件将不予评审。</w:t>
      </w:r>
    </w:p>
    <w:p w14:paraId="7F57B221">
      <w:pPr>
        <w:adjustRightInd w:val="0"/>
        <w:snapToGrid w:val="0"/>
        <w:spacing w:line="360" w:lineRule="auto"/>
        <w:ind w:firstLine="470" w:firstLineChars="196"/>
        <w:rPr>
          <w:rFonts w:ascii="宋体" w:hAnsi="宋体" w:cs="宋体"/>
          <w:color w:val="000000"/>
          <w:sz w:val="24"/>
          <w:szCs w:val="24"/>
        </w:rPr>
      </w:pPr>
      <w:r>
        <w:rPr>
          <w:rFonts w:hint="eastAsia" w:ascii="宋体" w:hAnsi="宋体" w:cs="宋体"/>
          <w:color w:val="000000"/>
          <w:sz w:val="24"/>
          <w:szCs w:val="24"/>
        </w:rPr>
        <w:t>磋商小组不对无效标评审。磋商小组不接受供应商在响应文件递交截止时间之后主动进行的一切修正或撤销其不符合要求的偏差。</w:t>
      </w:r>
    </w:p>
    <w:p w14:paraId="0C47CBF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响应文件存有重大偏差的，视为无效投标；下列情况属于重大偏差：</w:t>
      </w:r>
    </w:p>
    <w:p w14:paraId="14CBBE8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（1）响应文件未按磋商文件规定的格式填写，字迹模糊，难以辨认的；</w:t>
      </w:r>
    </w:p>
    <w:p w14:paraId="5C16312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（2）不符合磋商文件中规定的其他实质性要求的；</w:t>
      </w:r>
    </w:p>
    <w:p w14:paraId="01F6B68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（3）响应人以他人的名义投标、串通投标、以行贿手段谋取中标或者以其他弄虚作假方式投标的。</w:t>
      </w:r>
    </w:p>
    <w:p w14:paraId="42EC2DED">
      <w:pPr>
        <w:adjustRightInd w:val="0"/>
        <w:snapToGrid w:val="0"/>
        <w:spacing w:line="360" w:lineRule="auto"/>
        <w:rPr>
          <w:rFonts w:ascii="宋体" w:hAnsi="宋体" w:cs="宋体"/>
          <w:b/>
          <w:color w:val="000000"/>
          <w:sz w:val="24"/>
          <w:szCs w:val="24"/>
        </w:rPr>
      </w:pPr>
      <w:r>
        <w:rPr>
          <w:rFonts w:hint="eastAsia" w:ascii="宋体" w:hAnsi="宋体" w:cs="宋体"/>
          <w:b/>
          <w:color w:val="000000"/>
          <w:sz w:val="24"/>
          <w:szCs w:val="24"/>
        </w:rPr>
        <w:t>3.5评标保密</w:t>
      </w:r>
    </w:p>
    <w:p w14:paraId="47C40F87">
      <w:pPr>
        <w:adjustRightInd w:val="0"/>
        <w:snapToGrid w:val="0"/>
        <w:spacing w:line="360" w:lineRule="auto"/>
        <w:ind w:firstLine="470" w:firstLineChars="196"/>
        <w:rPr>
          <w:rFonts w:ascii="宋体" w:hAnsi="宋体" w:cs="宋体"/>
          <w:color w:val="000000"/>
          <w:sz w:val="24"/>
          <w:szCs w:val="24"/>
        </w:rPr>
      </w:pPr>
      <w:r>
        <w:rPr>
          <w:rFonts w:hint="eastAsia" w:ascii="宋体" w:hAnsi="宋体" w:cs="宋体"/>
          <w:color w:val="000000"/>
          <w:sz w:val="24"/>
          <w:szCs w:val="24"/>
        </w:rPr>
        <w:t>3.5.1开标后，直至授予成交人合同为止，凡属于对响应文件的审查、澄清、评价和比较的有关资料以及成交候选人的推荐情况，与评标有关的其他任何情况均严格保密。</w:t>
      </w:r>
    </w:p>
    <w:p w14:paraId="4D0073ED">
      <w:pPr>
        <w:adjustRightInd w:val="0"/>
        <w:snapToGrid w:val="0"/>
        <w:spacing w:line="360" w:lineRule="auto"/>
        <w:ind w:firstLine="470" w:firstLineChars="196"/>
        <w:rPr>
          <w:rFonts w:ascii="宋体" w:hAnsi="宋体" w:cs="宋体"/>
          <w:color w:val="000000"/>
          <w:sz w:val="24"/>
          <w:szCs w:val="24"/>
        </w:rPr>
      </w:pPr>
      <w:r>
        <w:rPr>
          <w:rFonts w:hint="eastAsia" w:ascii="宋体" w:hAnsi="宋体" w:cs="宋体"/>
          <w:color w:val="000000"/>
          <w:sz w:val="24"/>
          <w:szCs w:val="24"/>
        </w:rPr>
        <w:t>3.5.2在响应文件的评审和比较、成交候选人推荐以及授予合同的过程中，响应人向采购人和磋商小组施加影响的任何行为，都将会导致其投标被拒绝。</w:t>
      </w:r>
    </w:p>
    <w:p w14:paraId="5BB2F29D">
      <w:pPr>
        <w:adjustRightInd w:val="0"/>
        <w:snapToGrid w:val="0"/>
        <w:spacing w:line="360" w:lineRule="auto"/>
        <w:ind w:firstLine="470" w:firstLineChars="196"/>
        <w:rPr>
          <w:rFonts w:ascii="宋体" w:hAnsi="宋体" w:cs="宋体"/>
          <w:color w:val="000000"/>
          <w:sz w:val="24"/>
          <w:szCs w:val="24"/>
        </w:rPr>
      </w:pPr>
      <w:r>
        <w:rPr>
          <w:rFonts w:hint="eastAsia" w:ascii="宋体" w:hAnsi="宋体" w:cs="宋体"/>
          <w:color w:val="000000"/>
          <w:sz w:val="24"/>
          <w:szCs w:val="24"/>
        </w:rPr>
        <w:t>3.5.3成交人确定后，采购人不对未成交供应商就评标过程以及未能中标原因作出任何解释。未成交供应商不得向磋商小组组成人员或其他有关人员索问评标过程的情况和材料。</w:t>
      </w:r>
    </w:p>
    <w:p w14:paraId="42D93E03">
      <w:pPr>
        <w:adjustRightInd w:val="0"/>
        <w:snapToGrid w:val="0"/>
        <w:spacing w:line="360" w:lineRule="auto"/>
        <w:ind w:firstLine="470" w:firstLineChars="196"/>
        <w:rPr>
          <w:rFonts w:ascii="宋体" w:hAnsi="宋体" w:cs="宋体"/>
          <w:color w:val="000000"/>
          <w:sz w:val="24"/>
          <w:szCs w:val="24"/>
        </w:rPr>
      </w:pPr>
      <w:r>
        <w:rPr>
          <w:rFonts w:hint="eastAsia" w:ascii="宋体" w:hAnsi="宋体" w:cs="宋体"/>
          <w:color w:val="000000"/>
          <w:sz w:val="24"/>
          <w:szCs w:val="24"/>
        </w:rPr>
        <w:t>3.5.4凡参加评标的所有人员都不得向响应人或与该过程无公务关系的其他人泄露。</w:t>
      </w:r>
    </w:p>
    <w:p w14:paraId="0F07289D">
      <w:pPr>
        <w:adjustRightInd w:val="0"/>
        <w:snapToGrid w:val="0"/>
        <w:spacing w:line="360" w:lineRule="auto"/>
        <w:rPr>
          <w:rFonts w:ascii="宋体" w:hAnsi="宋体" w:cs="宋体"/>
          <w:b/>
          <w:color w:val="000000"/>
          <w:sz w:val="24"/>
          <w:szCs w:val="24"/>
        </w:rPr>
      </w:pPr>
      <w:r>
        <w:rPr>
          <w:rFonts w:hint="eastAsia" w:ascii="宋体" w:hAnsi="宋体" w:cs="宋体"/>
          <w:b/>
          <w:color w:val="000000"/>
          <w:sz w:val="24"/>
          <w:szCs w:val="24"/>
        </w:rPr>
        <w:t>3.6评标结果</w:t>
      </w:r>
    </w:p>
    <w:p w14:paraId="655EAD31">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3.6.1磋商小组按照得分高到低的顺序推荐前3名为成交候选人。</w:t>
      </w:r>
    </w:p>
    <w:p w14:paraId="7956D3C5">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3.6.2 磋商小组完成评标工作后向采购人提交书面磋商报告。</w:t>
      </w:r>
    </w:p>
    <w:p w14:paraId="420B5C99">
      <w:pPr>
        <w:pStyle w:val="23"/>
        <w:spacing w:before="0" w:after="0" w:line="360" w:lineRule="auto"/>
        <w:rPr>
          <w:rFonts w:ascii="宋体" w:hAnsi="宋体" w:cs="宋体"/>
          <w:b w:val="0"/>
          <w:sz w:val="24"/>
          <w:szCs w:val="24"/>
        </w:rPr>
      </w:pPr>
      <w:r>
        <w:rPr>
          <w:rFonts w:hint="eastAsia" w:ascii="宋体" w:hAnsi="宋体" w:cs="宋体"/>
          <w:kern w:val="0"/>
          <w:sz w:val="24"/>
          <w:szCs w:val="24"/>
        </w:rPr>
        <w:br w:type="page"/>
      </w:r>
      <w:bookmarkStart w:id="96" w:name="_Toc2432"/>
      <w:bookmarkStart w:id="97" w:name="_Toc25160839"/>
      <w:bookmarkStart w:id="98" w:name="_Toc25160329"/>
      <w:r>
        <w:rPr>
          <w:rStyle w:val="40"/>
          <w:rFonts w:hint="eastAsia" w:ascii="宋体" w:hAnsi="宋体" w:eastAsia="宋体" w:cs="宋体"/>
          <w:b/>
          <w:bCs w:val="0"/>
        </w:rPr>
        <w:t>第四章  服务内容及要求</w:t>
      </w:r>
      <w:bookmarkEnd w:id="96"/>
      <w:bookmarkEnd w:id="97"/>
      <w:bookmarkEnd w:id="98"/>
    </w:p>
    <w:p w14:paraId="6F06FFA5">
      <w:pPr>
        <w:spacing w:line="600" w:lineRule="exact"/>
        <w:ind w:firstLine="482" w:firstLineChars="200"/>
        <w:rPr>
          <w:rFonts w:ascii="宋体" w:hAnsi="宋体" w:cs="宋体"/>
          <w:b/>
          <w:sz w:val="24"/>
        </w:rPr>
      </w:pPr>
      <w:bookmarkStart w:id="99" w:name="_Toc25160847"/>
      <w:bookmarkStart w:id="100" w:name="_Toc25160337"/>
      <w:r>
        <w:rPr>
          <w:rFonts w:hint="eastAsia" w:ascii="宋体" w:hAnsi="宋体" w:cs="宋体"/>
          <w:b/>
          <w:sz w:val="24"/>
        </w:rPr>
        <w:t>一、服务内容：</w:t>
      </w:r>
    </w:p>
    <w:p w14:paraId="20FE9046">
      <w:pPr>
        <w:pStyle w:val="22"/>
        <w:shd w:val="clear" w:color="auto" w:fill="FFFFFF"/>
        <w:adjustRightInd w:val="0"/>
        <w:snapToGrid w:val="0"/>
        <w:spacing w:beforeAutospacing="0" w:afterAutospacing="0" w:line="372" w:lineRule="auto"/>
        <w:ind w:firstLine="480" w:firstLineChars="200"/>
        <w:rPr>
          <w:rFonts w:ascii="宋体" w:hAnsi="宋体" w:eastAsia="宋体" w:cs="宋体"/>
          <w:szCs w:val="24"/>
          <w:shd w:val="clear" w:color="auto" w:fill="FFFFFF"/>
        </w:rPr>
      </w:pPr>
      <w:r>
        <w:rPr>
          <w:rFonts w:hint="eastAsia" w:ascii="宋体" w:hAnsi="宋体" w:eastAsia="宋体" w:cs="宋体"/>
        </w:rPr>
        <w:t>服务内容：</w:t>
      </w:r>
      <w:r>
        <w:rPr>
          <w:rFonts w:hint="eastAsia" w:ascii="宋体" w:hAnsi="宋体" w:eastAsia="宋体" w:cs="宋体"/>
          <w:szCs w:val="24"/>
          <w:shd w:val="clear" w:color="auto" w:fill="FFFFFF"/>
        </w:rPr>
        <w:t>平顶山市财政局2026至2027年保安服务项目，包含以下服务：甲方指定办公区域来访人员的证件检验、登记；门卫、守护和巡逻，公共秩序维护，治安及其他突发事件处理；防盗、防火报警监控设备运行维修管理；院内道路交通管理，机动车和非机动车停放管理等；甲方安排的其他临时性工作任务。</w:t>
      </w:r>
    </w:p>
    <w:p w14:paraId="6AC995F2">
      <w:pPr>
        <w:spacing w:line="360" w:lineRule="auto"/>
        <w:ind w:firstLine="482" w:firstLineChars="200"/>
        <w:rPr>
          <w:rFonts w:ascii="宋体" w:hAnsi="宋体" w:cs="宋体"/>
          <w:b/>
          <w:sz w:val="24"/>
        </w:rPr>
      </w:pPr>
      <w:r>
        <w:rPr>
          <w:rFonts w:hint="eastAsia" w:ascii="宋体" w:hAnsi="宋体" w:cs="宋体"/>
          <w:b/>
          <w:sz w:val="24"/>
        </w:rPr>
        <w:t>二、服务标准：</w:t>
      </w:r>
    </w:p>
    <w:p w14:paraId="498EF972">
      <w:pPr>
        <w:spacing w:line="360" w:lineRule="auto"/>
        <w:ind w:firstLine="480" w:firstLineChars="200"/>
        <w:rPr>
          <w:rFonts w:ascii="宋体" w:hAnsi="宋体" w:cs="宋体"/>
          <w:sz w:val="24"/>
        </w:rPr>
      </w:pPr>
      <w:r>
        <w:rPr>
          <w:rFonts w:hint="eastAsia" w:ascii="宋体" w:hAnsi="宋体" w:cs="宋体"/>
          <w:sz w:val="24"/>
        </w:rPr>
        <w:t>1.办公区来访严格验证、登记，杜绝闲杂人员进入办公区，环境秩序良好，确保安全正常的工作环境；</w:t>
      </w:r>
    </w:p>
    <w:p w14:paraId="6CBFBC2F">
      <w:pPr>
        <w:pStyle w:val="140"/>
        <w:spacing w:line="360" w:lineRule="auto"/>
        <w:ind w:firstLine="480" w:firstLineChars="200"/>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rPr>
        <w:t>.</w:t>
      </w:r>
      <w:r>
        <w:rPr>
          <w:rFonts w:hint="eastAsia" w:ascii="宋体" w:hAnsi="宋体" w:eastAsia="宋体" w:cs="宋体"/>
          <w:color w:val="auto"/>
        </w:rPr>
        <w:t>维护和保证防盗、防火等报警监控设备的正常运行，对办公区的安全状况实行24小时监控，监控记录保持完整；监控中心收到火情、险情及其他异常情况报警信号后，应及时报警，并通知相关人员及时赶到现场进行处理；</w:t>
      </w:r>
    </w:p>
    <w:p w14:paraId="00661E16">
      <w:pPr>
        <w:pStyle w:val="140"/>
        <w:spacing w:line="360" w:lineRule="auto"/>
        <w:ind w:firstLine="480" w:firstLineChars="200"/>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rPr>
        <w:t>.</w:t>
      </w:r>
      <w:r>
        <w:rPr>
          <w:rFonts w:hint="eastAsia" w:ascii="宋体" w:hAnsi="宋体" w:eastAsia="宋体" w:cs="宋体"/>
          <w:color w:val="auto"/>
        </w:rPr>
        <w:t>做好安全防范和日常巡视工作，及时发现和处理各种安全和事故隐患，迅速有效处置突发事件，重点、要害部位巡逻，发现违法、违规行为应及时制止；</w:t>
      </w:r>
    </w:p>
    <w:p w14:paraId="731BF5E2">
      <w:pPr>
        <w:pStyle w:val="140"/>
        <w:spacing w:line="360" w:lineRule="auto"/>
        <w:ind w:firstLine="480" w:firstLineChars="200"/>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en-US"/>
        </w:rPr>
        <w:t>.</w:t>
      </w:r>
      <w:r>
        <w:rPr>
          <w:rFonts w:hint="eastAsia" w:ascii="宋体" w:hAnsi="宋体" w:eastAsia="宋体" w:cs="宋体"/>
          <w:color w:val="auto"/>
        </w:rPr>
        <w:t>道路畅通，各种车辆停放有序，无堵塞交通现象，不影响行人通行；</w:t>
      </w:r>
    </w:p>
    <w:p w14:paraId="1486D98D">
      <w:pPr>
        <w:pStyle w:val="140"/>
        <w:spacing w:line="360" w:lineRule="auto"/>
        <w:ind w:firstLine="480" w:firstLineChars="200"/>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en-US"/>
        </w:rPr>
        <w:t>.</w:t>
      </w:r>
      <w:r>
        <w:rPr>
          <w:rFonts w:hint="eastAsia" w:ascii="宋体" w:hAnsi="宋体" w:eastAsia="宋体" w:cs="宋体"/>
          <w:color w:val="auto"/>
        </w:rPr>
        <w:t>甲方安排的临时性工作按照甲方要求完成。</w:t>
      </w:r>
    </w:p>
    <w:p w14:paraId="2A3D6986">
      <w:pPr>
        <w:spacing w:line="360" w:lineRule="auto"/>
        <w:rPr>
          <w:rFonts w:ascii="宋体" w:hAnsi="宋体" w:cs="宋体"/>
          <w:b/>
          <w:sz w:val="24"/>
        </w:rPr>
      </w:pPr>
      <w:r>
        <w:rPr>
          <w:rFonts w:hint="eastAsia" w:ascii="宋体" w:hAnsi="宋体" w:cs="宋体"/>
          <w:b/>
          <w:sz w:val="24"/>
        </w:rPr>
        <w:t>三、保安从业人员的要求</w:t>
      </w:r>
    </w:p>
    <w:p w14:paraId="5EA8F72A">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（1）保安人员的个人素质条件：复转军人优先，具有相应的《国家保安员资格证》。身高170CM以上，年龄20—</w:t>
      </w:r>
      <w:r>
        <w:rPr>
          <w:rFonts w:hint="eastAsia" w:ascii="宋体" w:hAnsi="宋体" w:eastAsia="宋体" w:cs="宋体"/>
          <w:color w:val="auto"/>
          <w:lang w:val="en-US"/>
        </w:rPr>
        <w:t>45</w:t>
      </w:r>
      <w:r>
        <w:rPr>
          <w:rFonts w:hint="eastAsia" w:ascii="宋体" w:hAnsi="宋体" w:eastAsia="宋体" w:cs="宋体"/>
          <w:color w:val="auto"/>
        </w:rPr>
        <w:t>岁，身体健康，没有传染病、精神病等不能控制自己行为能力的疾病病史，体貌端正，无犯罪记录。</w:t>
      </w:r>
    </w:p>
    <w:p w14:paraId="5D38BF52">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 xml:space="preserve">（2）保安从业人员应知法、懂法、守法，并依法履行职责；必须严格遵守保安从业规范，模范遵守甲方安全管理规定。             </w:t>
      </w:r>
    </w:p>
    <w:p w14:paraId="3BF68461">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（3）保安从业人员应具有吃苦耐劳的精神和高度的责任感，熟知甲方的管理规定，严格履行岗位职责，具有一定的语言表达和沟通能力，仪容仪态规范。</w:t>
      </w:r>
    </w:p>
    <w:p w14:paraId="53CEC78C">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（4）保安服务队长应具备较高的政治思想素养和业务水平，善于发现各类问题，具有高中及以上学历，具备一定的管理经验和处理突发事件的能力，有较强的组织协调能力，受过专门的保安业务、</w:t>
      </w:r>
      <w:r>
        <w:rPr>
          <w:rFonts w:hint="eastAsia" w:ascii="宋体" w:hAnsi="宋体" w:eastAsia="宋体" w:cs="宋体"/>
          <w:color w:val="auto"/>
          <w:lang w:val="en-US"/>
        </w:rPr>
        <w:t>消防业务培训</w:t>
      </w:r>
      <w:r>
        <w:rPr>
          <w:rFonts w:hint="eastAsia" w:ascii="宋体" w:hAnsi="宋体" w:eastAsia="宋体" w:cs="宋体"/>
          <w:color w:val="auto"/>
        </w:rPr>
        <w:t>。</w:t>
      </w:r>
    </w:p>
    <w:p w14:paraId="4E740B64">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（5）保安服务队长平时要加强对保安队伍的管理，确保保安在工作范围内无违法、违规事件发生。</w:t>
      </w:r>
    </w:p>
    <w:p w14:paraId="4EFC1EC1">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（6）保安队员不得有下列行为：</w:t>
      </w:r>
    </w:p>
    <w:p w14:paraId="29642481">
      <w:pPr>
        <w:pStyle w:val="140"/>
        <w:spacing w:line="360" w:lineRule="auto"/>
        <w:ind w:firstLine="480" w:firstLineChars="200"/>
        <w:rPr>
          <w:rFonts w:ascii="宋体" w:hAnsi="宋体" w:eastAsia="宋体" w:cs="宋体"/>
          <w:color w:val="auto"/>
        </w:rPr>
      </w:pPr>
      <w:r>
        <w:rPr>
          <w:rFonts w:hint="eastAsia" w:ascii="宋体" w:hAnsi="宋体" w:eastAsia="宋体" w:cs="宋体"/>
          <w:color w:val="auto"/>
        </w:rPr>
        <w:t>私自限制他人人身自由，搜查他人身体或侮辱、调戏、打骂他人。扣押、没收他人证件、财物、阻碍依法执行公务，参与追索债务，采用暴力或者以暴力相威胁的手段处置纠纷。</w:t>
      </w:r>
    </w:p>
    <w:p w14:paraId="33020B07">
      <w:pPr>
        <w:pStyle w:val="140"/>
        <w:spacing w:line="360" w:lineRule="auto"/>
        <w:ind w:firstLine="480" w:firstLineChars="200"/>
        <w:rPr>
          <w:rFonts w:ascii="宋体" w:hAnsi="宋体" w:eastAsia="宋体" w:cs="宋体"/>
          <w:color w:val="auto"/>
        </w:rPr>
      </w:pPr>
      <w:r>
        <w:rPr>
          <w:rFonts w:hint="eastAsia" w:ascii="宋体" w:hAnsi="宋体" w:eastAsia="宋体" w:cs="宋体"/>
          <w:color w:val="auto"/>
        </w:rPr>
        <w:t>私自删改、储存或者扩散保安服务中形成的监控影像资料、报警记录，侵犯个人隐私或者泄露在保安服务中获知的单位明确要求保密的信息。</w:t>
      </w:r>
    </w:p>
    <w:p w14:paraId="7FAE2FC9">
      <w:pPr>
        <w:pStyle w:val="140"/>
        <w:spacing w:line="360" w:lineRule="auto"/>
        <w:ind w:firstLine="480" w:firstLineChars="200"/>
        <w:rPr>
          <w:rFonts w:ascii="宋体" w:hAnsi="宋体" w:eastAsia="宋体" w:cs="宋体"/>
          <w:color w:val="auto"/>
        </w:rPr>
      </w:pPr>
      <w:r>
        <w:rPr>
          <w:rFonts w:hint="eastAsia" w:ascii="宋体" w:hAnsi="宋体" w:eastAsia="宋体" w:cs="宋体"/>
          <w:color w:val="auto"/>
        </w:rPr>
        <w:t>违反法律、法规的其他行为。</w:t>
      </w:r>
    </w:p>
    <w:p w14:paraId="3169975D">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（7）保安队员应有统一的保安服装、佩戴统一的保安标志，并应持有乙方统一制作的保安人员工作牌。</w:t>
      </w:r>
    </w:p>
    <w:p w14:paraId="1828DC11">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（8）保安队员在保安服务过程中，因保安人员过失造成甲方财产损失，应由提供保安服务的公司进行赔偿。</w:t>
      </w:r>
    </w:p>
    <w:p w14:paraId="3C23122C">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（9）供应商根据采购人的要求制定具体人员的编制方案，派驻人员在服务过程中如需更换，应征得采购人同意。</w:t>
      </w:r>
    </w:p>
    <w:p w14:paraId="6792147C">
      <w:pPr>
        <w:pStyle w:val="140"/>
        <w:spacing w:line="360" w:lineRule="auto"/>
        <w:rPr>
          <w:rFonts w:ascii="宋体" w:hAnsi="宋体" w:eastAsia="宋体" w:cs="宋体"/>
          <w:b/>
          <w:bCs/>
          <w:color w:val="auto"/>
          <w:kern w:val="44"/>
        </w:rPr>
      </w:pPr>
      <w:r>
        <w:rPr>
          <w:rFonts w:hint="eastAsia" w:ascii="宋体" w:hAnsi="宋体" w:eastAsia="宋体" w:cs="宋体"/>
          <w:b/>
          <w:color w:val="auto"/>
        </w:rPr>
        <w:t xml:space="preserve">  四、保安人员的配备</w:t>
      </w:r>
    </w:p>
    <w:p w14:paraId="52874A1C">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保安队长1人；</w:t>
      </w:r>
    </w:p>
    <w:p w14:paraId="205E3D96">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前  门：三班倒,每班2人，共计6人；</w:t>
      </w:r>
    </w:p>
    <w:p w14:paraId="2857AF23">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西  门：三班倒,每班2人，共计6人；</w:t>
      </w:r>
    </w:p>
    <w:p w14:paraId="6E286D20">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后  门：三班倒,</w:t>
      </w:r>
      <w:r>
        <w:rPr>
          <w:rFonts w:hint="eastAsia" w:ascii="宋体" w:hAnsi="宋体" w:eastAsia="宋体" w:cs="宋体"/>
          <w:color w:val="auto"/>
          <w:lang w:val="en-US"/>
        </w:rPr>
        <w:t>早班、中班</w:t>
      </w:r>
      <w:r>
        <w:rPr>
          <w:rFonts w:hint="eastAsia" w:ascii="宋体" w:hAnsi="宋体" w:eastAsia="宋体" w:cs="宋体"/>
          <w:color w:val="auto"/>
        </w:rPr>
        <w:t>2人，</w:t>
      </w:r>
      <w:r>
        <w:rPr>
          <w:rFonts w:hint="eastAsia" w:ascii="宋体" w:hAnsi="宋体" w:eastAsia="宋体" w:cs="宋体"/>
          <w:color w:val="auto"/>
          <w:lang w:val="en-US"/>
        </w:rPr>
        <w:t>晚班1人</w:t>
      </w:r>
      <w:r>
        <w:rPr>
          <w:rFonts w:hint="eastAsia" w:ascii="宋体" w:hAnsi="宋体" w:eastAsia="宋体" w:cs="宋体"/>
          <w:color w:val="auto"/>
        </w:rPr>
        <w:t>，</w:t>
      </w:r>
      <w:r>
        <w:rPr>
          <w:rFonts w:hint="eastAsia" w:ascii="宋体" w:hAnsi="宋体" w:eastAsia="宋体" w:cs="宋体"/>
          <w:color w:val="auto"/>
          <w:lang w:val="en-US"/>
        </w:rPr>
        <w:t>共</w:t>
      </w:r>
      <w:r>
        <w:rPr>
          <w:rFonts w:hint="eastAsia" w:ascii="宋体" w:hAnsi="宋体" w:eastAsia="宋体" w:cs="宋体"/>
          <w:color w:val="auto"/>
        </w:rPr>
        <w:t>计</w:t>
      </w:r>
      <w:r>
        <w:rPr>
          <w:rFonts w:hint="eastAsia" w:ascii="宋体" w:hAnsi="宋体" w:eastAsia="宋体" w:cs="宋体"/>
          <w:color w:val="auto"/>
          <w:lang w:val="en-US"/>
        </w:rPr>
        <w:t>5</w:t>
      </w:r>
      <w:r>
        <w:rPr>
          <w:rFonts w:hint="eastAsia" w:ascii="宋体" w:hAnsi="宋体" w:eastAsia="宋体" w:cs="宋体"/>
          <w:color w:val="auto"/>
        </w:rPr>
        <w:t>人；</w:t>
      </w:r>
    </w:p>
    <w:p w14:paraId="293BADD7">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监控室：三班倒,每班1人，共计3人；</w:t>
      </w:r>
    </w:p>
    <w:p w14:paraId="5BED6479">
      <w:pPr>
        <w:pStyle w:val="140"/>
        <w:spacing w:line="360" w:lineRule="auto"/>
        <w:ind w:firstLine="240" w:firstLineChars="100"/>
        <w:rPr>
          <w:rFonts w:ascii="宋体" w:hAnsi="宋体" w:eastAsia="宋体" w:cs="宋体"/>
          <w:color w:val="auto"/>
        </w:rPr>
      </w:pPr>
      <w:r>
        <w:rPr>
          <w:rFonts w:hint="eastAsia" w:ascii="宋体" w:hAnsi="宋体" w:eastAsia="宋体" w:cs="宋体"/>
          <w:color w:val="auto"/>
        </w:rPr>
        <w:t>共计21人。</w:t>
      </w:r>
    </w:p>
    <w:p w14:paraId="634A3115">
      <w:pPr>
        <w:pStyle w:val="10"/>
        <w:spacing w:line="360" w:lineRule="auto"/>
        <w:ind w:firstLine="480" w:firstLineChars="200"/>
        <w:rPr>
          <w:rFonts w:ascii="宋体" w:hAnsi="宋体" w:cs="宋体"/>
          <w:sz w:val="24"/>
          <w:szCs w:val="24"/>
        </w:rPr>
      </w:pPr>
    </w:p>
    <w:p w14:paraId="39563F4D">
      <w:pPr>
        <w:spacing w:line="360" w:lineRule="auto"/>
        <w:jc w:val="center"/>
        <w:outlineLvl w:val="0"/>
        <w:rPr>
          <w:rFonts w:ascii="宋体" w:hAnsi="宋体" w:cs="宋体"/>
          <w:b/>
          <w:bCs/>
          <w:kern w:val="0"/>
          <w:sz w:val="28"/>
          <w:szCs w:val="28"/>
        </w:rPr>
      </w:pPr>
      <w:bookmarkStart w:id="101" w:name="_Toc25160848"/>
      <w:bookmarkStart w:id="102" w:name="_Toc25160338"/>
      <w:r>
        <w:rPr>
          <w:rStyle w:val="43"/>
          <w:rFonts w:hint="eastAsia" w:ascii="宋体" w:hAnsi="宋体" w:cs="宋体"/>
        </w:rPr>
        <w:br w:type="page"/>
      </w:r>
      <w:bookmarkStart w:id="103" w:name="_Toc25178"/>
      <w:r>
        <w:rPr>
          <w:rStyle w:val="43"/>
          <w:rFonts w:hint="eastAsia" w:ascii="宋体" w:hAnsi="宋体" w:cs="宋体"/>
        </w:rPr>
        <w:t>第五章 合同条款及格式</w:t>
      </w:r>
      <w:bookmarkEnd w:id="99"/>
      <w:bookmarkEnd w:id="100"/>
      <w:bookmarkEnd w:id="101"/>
      <w:bookmarkEnd w:id="102"/>
      <w:bookmarkEnd w:id="103"/>
    </w:p>
    <w:p w14:paraId="42A3428D">
      <w:pPr>
        <w:jc w:val="center"/>
        <w:rPr>
          <w:rFonts w:ascii="宋体" w:hAnsi="宋体" w:cs="宋体"/>
          <w:sz w:val="24"/>
          <w:szCs w:val="24"/>
        </w:rPr>
      </w:pPr>
      <w:bookmarkStart w:id="104" w:name="_Toc38263604"/>
      <w:r>
        <w:rPr>
          <w:rFonts w:hint="eastAsia" w:ascii="宋体" w:hAnsi="宋体" w:cs="宋体"/>
          <w:sz w:val="24"/>
          <w:szCs w:val="24"/>
        </w:rPr>
        <w:t>（以双方实际签订合同为准，仅供参考）</w:t>
      </w:r>
      <w:bookmarkEnd w:id="104"/>
    </w:p>
    <w:p w14:paraId="6A241853">
      <w:pPr>
        <w:pStyle w:val="25"/>
        <w:ind w:firstLine="240"/>
        <w:rPr>
          <w:rFonts w:ascii="宋体" w:hAnsi="宋体" w:cs="宋体"/>
          <w:sz w:val="24"/>
        </w:rPr>
      </w:pPr>
    </w:p>
    <w:p w14:paraId="31BEE19F">
      <w:pPr>
        <w:spacing w:line="360" w:lineRule="auto"/>
        <w:rPr>
          <w:rFonts w:ascii="宋体" w:hAnsi="宋体" w:cs="宋体"/>
          <w:b/>
          <w:bCs/>
          <w:sz w:val="24"/>
        </w:rPr>
      </w:pPr>
      <w:r>
        <w:rPr>
          <w:rFonts w:hint="eastAsia" w:ascii="宋体" w:hAnsi="宋体" w:cs="宋体"/>
          <w:b/>
          <w:bCs/>
          <w:sz w:val="24"/>
        </w:rPr>
        <w:t>甲方：平顶山市财政局</w:t>
      </w:r>
    </w:p>
    <w:p w14:paraId="21471140">
      <w:pPr>
        <w:spacing w:line="360" w:lineRule="auto"/>
        <w:rPr>
          <w:rFonts w:ascii="宋体" w:hAnsi="宋体" w:cs="宋体"/>
          <w:b/>
          <w:bCs/>
          <w:sz w:val="24"/>
        </w:rPr>
      </w:pPr>
      <w:r>
        <w:rPr>
          <w:rFonts w:hint="eastAsia" w:ascii="宋体" w:hAnsi="宋体" w:cs="宋体"/>
          <w:b/>
          <w:bCs/>
          <w:sz w:val="24"/>
        </w:rPr>
        <w:t xml:space="preserve">乙方：               </w:t>
      </w:r>
    </w:p>
    <w:p w14:paraId="17EC2BAA">
      <w:pPr>
        <w:pStyle w:val="44"/>
        <w:spacing w:line="360" w:lineRule="auto"/>
        <w:ind w:firstLine="480" w:firstLineChars="200"/>
        <w:rPr>
          <w:rFonts w:ascii="宋体" w:hAnsi="宋体" w:cs="宋体"/>
        </w:rPr>
      </w:pPr>
      <w:r>
        <w:rPr>
          <w:rFonts w:hint="eastAsia" w:ascii="宋体" w:hAnsi="宋体" w:cs="宋体"/>
        </w:rPr>
        <w:t>经公开招标，甲乙双方根据相关法律法规，经甲乙双方充分协商，就乙方为甲方提供安保服务工作签订合同如下：</w:t>
      </w:r>
    </w:p>
    <w:p w14:paraId="23DBB80D">
      <w:pPr>
        <w:numPr>
          <w:ilvl w:val="0"/>
          <w:numId w:val="5"/>
        </w:numPr>
        <w:spacing w:line="360" w:lineRule="auto"/>
        <w:ind w:firstLine="482" w:firstLineChars="200"/>
        <w:jc w:val="left"/>
        <w:rPr>
          <w:rFonts w:ascii="宋体" w:hAnsi="宋体" w:cs="宋体"/>
          <w:b/>
          <w:bCs/>
          <w:sz w:val="24"/>
        </w:rPr>
      </w:pPr>
      <w:r>
        <w:rPr>
          <w:rFonts w:hint="eastAsia" w:ascii="宋体" w:hAnsi="宋体" w:cs="宋体"/>
          <w:b/>
          <w:bCs/>
          <w:sz w:val="24"/>
        </w:rPr>
        <w:t>甲方聘用人员数量和费用</w:t>
      </w:r>
    </w:p>
    <w:p w14:paraId="7EEC8222">
      <w:pPr>
        <w:pStyle w:val="51"/>
        <w:ind w:firstLine="480"/>
        <w:rPr>
          <w:rFonts w:cs="宋体"/>
          <w:sz w:val="24"/>
        </w:rPr>
      </w:pPr>
      <w:r>
        <w:rPr>
          <w:rFonts w:hint="eastAsia" w:cs="宋体"/>
          <w:sz w:val="24"/>
        </w:rPr>
        <w:t>甲方聘用乙方</w:t>
      </w:r>
      <w:r>
        <w:rPr>
          <w:rFonts w:hint="eastAsia" w:cs="宋体"/>
          <w:sz w:val="24"/>
          <w:u w:val="single"/>
        </w:rPr>
        <w:t xml:space="preserve">    </w:t>
      </w:r>
      <w:r>
        <w:rPr>
          <w:rFonts w:hint="eastAsia" w:cs="宋体"/>
          <w:sz w:val="24"/>
        </w:rPr>
        <w:t>名保安队员，合同总费用人民币大写：</w:t>
      </w:r>
      <w:r>
        <w:rPr>
          <w:rFonts w:hint="eastAsia" w:cs="宋体"/>
          <w:sz w:val="24"/>
          <w:u w:val="single"/>
        </w:rPr>
        <w:t xml:space="preserve">      </w:t>
      </w:r>
      <w:r>
        <w:rPr>
          <w:rFonts w:hint="eastAsia" w:cs="宋体"/>
          <w:sz w:val="24"/>
        </w:rPr>
        <w:t>，小写：</w:t>
      </w:r>
      <w:r>
        <w:rPr>
          <w:rFonts w:hint="eastAsia" w:cs="宋体"/>
          <w:sz w:val="24"/>
          <w:u w:val="single"/>
        </w:rPr>
        <w:t xml:space="preserve">          </w:t>
      </w:r>
      <w:r>
        <w:rPr>
          <w:rFonts w:hint="eastAsia" w:cs="宋体"/>
          <w:sz w:val="24"/>
        </w:rPr>
        <w:t>。</w:t>
      </w:r>
    </w:p>
    <w:p w14:paraId="32F2A47C">
      <w:pPr>
        <w:numPr>
          <w:ilvl w:val="0"/>
          <w:numId w:val="5"/>
        </w:numPr>
        <w:spacing w:line="360" w:lineRule="auto"/>
        <w:ind w:firstLine="482" w:firstLineChars="200"/>
        <w:jc w:val="left"/>
        <w:rPr>
          <w:rFonts w:ascii="宋体" w:hAnsi="宋体" w:cs="宋体"/>
          <w:b/>
          <w:bCs/>
          <w:sz w:val="24"/>
        </w:rPr>
      </w:pPr>
      <w:r>
        <w:rPr>
          <w:rFonts w:hint="eastAsia" w:ascii="宋体" w:hAnsi="宋体" w:cs="宋体"/>
          <w:b/>
          <w:bCs/>
          <w:sz w:val="24"/>
        </w:rPr>
        <w:t>服务区域、内容</w:t>
      </w:r>
    </w:p>
    <w:p w14:paraId="17F20E30">
      <w:pPr>
        <w:spacing w:line="360" w:lineRule="auto"/>
        <w:ind w:firstLine="480" w:firstLineChars="200"/>
        <w:rPr>
          <w:rFonts w:ascii="宋体" w:hAnsi="宋体" w:cs="宋体"/>
          <w:sz w:val="24"/>
        </w:rPr>
      </w:pPr>
      <w:r>
        <w:rPr>
          <w:rFonts w:hint="eastAsia" w:ascii="宋体" w:hAnsi="宋体" w:cs="宋体"/>
          <w:sz w:val="24"/>
        </w:rPr>
        <w:t>1.甲方指定办公区域来人来访的证件检验、登记等；</w:t>
      </w:r>
    </w:p>
    <w:p w14:paraId="1E5D2E7C">
      <w:pPr>
        <w:pStyle w:val="25"/>
        <w:ind w:firstLine="480" w:firstLineChars="200"/>
        <w:rPr>
          <w:rFonts w:ascii="宋体" w:hAnsi="宋体" w:cs="宋体"/>
          <w:sz w:val="24"/>
          <w:szCs w:val="20"/>
        </w:rPr>
      </w:pPr>
      <w:r>
        <w:rPr>
          <w:rFonts w:hint="eastAsia" w:ascii="宋体" w:hAnsi="宋体" w:cs="宋体"/>
          <w:sz w:val="24"/>
          <w:szCs w:val="20"/>
        </w:rPr>
        <w:t>2.门卫、守护和巡逻，公共秩序维护，治安及其它突发事件处理等；</w:t>
      </w:r>
    </w:p>
    <w:p w14:paraId="59D77DBD">
      <w:pPr>
        <w:pStyle w:val="25"/>
        <w:ind w:firstLine="480" w:firstLineChars="200"/>
        <w:rPr>
          <w:rFonts w:ascii="宋体" w:hAnsi="宋体" w:cs="宋体"/>
          <w:sz w:val="24"/>
          <w:szCs w:val="20"/>
        </w:rPr>
      </w:pPr>
      <w:r>
        <w:rPr>
          <w:rFonts w:hint="eastAsia" w:ascii="宋体" w:hAnsi="宋体" w:cs="宋体"/>
          <w:sz w:val="24"/>
          <w:szCs w:val="20"/>
        </w:rPr>
        <w:t>3.院内道路交通管理，机动车和非机动车停放管理等；</w:t>
      </w:r>
    </w:p>
    <w:p w14:paraId="41C1EB7A">
      <w:pPr>
        <w:pStyle w:val="25"/>
        <w:ind w:firstLine="480" w:firstLineChars="200"/>
        <w:rPr>
          <w:rFonts w:ascii="宋体" w:hAnsi="宋体" w:cs="宋体"/>
          <w:sz w:val="24"/>
          <w:szCs w:val="20"/>
        </w:rPr>
      </w:pPr>
      <w:r>
        <w:rPr>
          <w:rFonts w:hint="eastAsia" w:ascii="宋体" w:hAnsi="宋体" w:cs="宋体"/>
          <w:sz w:val="24"/>
          <w:szCs w:val="20"/>
        </w:rPr>
        <w:t>4..其他甲方安排的临时性工作任务。</w:t>
      </w:r>
    </w:p>
    <w:p w14:paraId="6BDDD840">
      <w:pPr>
        <w:numPr>
          <w:ilvl w:val="0"/>
          <w:numId w:val="5"/>
        </w:numPr>
        <w:spacing w:line="360" w:lineRule="auto"/>
        <w:ind w:firstLine="420"/>
        <w:rPr>
          <w:rFonts w:ascii="宋体" w:hAnsi="宋体" w:cs="宋体"/>
          <w:b/>
          <w:bCs/>
          <w:sz w:val="24"/>
        </w:rPr>
      </w:pPr>
      <w:r>
        <w:rPr>
          <w:rFonts w:hint="eastAsia" w:ascii="宋体" w:hAnsi="宋体" w:cs="宋体"/>
          <w:b/>
          <w:bCs/>
          <w:sz w:val="24"/>
        </w:rPr>
        <w:t>服务期限</w:t>
      </w:r>
    </w:p>
    <w:p w14:paraId="1F571F26">
      <w:pPr>
        <w:spacing w:line="360" w:lineRule="auto"/>
        <w:ind w:firstLine="480" w:firstLineChars="200"/>
        <w:rPr>
          <w:rFonts w:ascii="宋体" w:hAnsi="宋体" w:cs="宋体"/>
          <w:sz w:val="24"/>
        </w:rPr>
      </w:pPr>
      <w:r>
        <w:rPr>
          <w:rFonts w:hint="eastAsia" w:ascii="宋体" w:hAnsi="宋体" w:cs="宋体"/>
          <w:sz w:val="24"/>
        </w:rPr>
        <w:t>服务期限：两年，自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14:paraId="2427736A">
      <w:pPr>
        <w:numPr>
          <w:ilvl w:val="0"/>
          <w:numId w:val="5"/>
        </w:numPr>
        <w:spacing w:line="360" w:lineRule="auto"/>
        <w:ind w:firstLine="420"/>
        <w:rPr>
          <w:rFonts w:ascii="宋体" w:hAnsi="宋体" w:cs="宋体"/>
          <w:b/>
          <w:bCs/>
          <w:sz w:val="24"/>
        </w:rPr>
      </w:pPr>
      <w:r>
        <w:rPr>
          <w:rFonts w:hint="eastAsia" w:ascii="宋体" w:hAnsi="宋体" w:cs="宋体"/>
          <w:b/>
          <w:bCs/>
          <w:sz w:val="24"/>
        </w:rPr>
        <w:t>人事关系</w:t>
      </w:r>
    </w:p>
    <w:p w14:paraId="10619A6E">
      <w:pPr>
        <w:spacing w:line="360" w:lineRule="auto"/>
        <w:ind w:firstLine="480" w:firstLineChars="200"/>
        <w:rPr>
          <w:rFonts w:ascii="宋体" w:hAnsi="宋体" w:cs="宋体"/>
          <w:sz w:val="24"/>
        </w:rPr>
      </w:pPr>
      <w:r>
        <w:rPr>
          <w:rFonts w:hint="eastAsia" w:ascii="宋体" w:hAnsi="宋体" w:cs="宋体"/>
          <w:sz w:val="24"/>
        </w:rPr>
        <w:t>保安人员为乙方公司雇员，与甲方不存在劳动或雇佣关系。乙方应按照国家法律规定办理安保人员的社保、社会保险、劳动保护及福利待遇等事项。</w:t>
      </w:r>
    </w:p>
    <w:p w14:paraId="78116380">
      <w:pPr>
        <w:spacing w:line="360" w:lineRule="auto"/>
        <w:ind w:firstLine="480" w:firstLineChars="200"/>
        <w:rPr>
          <w:rFonts w:ascii="宋体" w:hAnsi="宋体" w:cs="宋体"/>
          <w:sz w:val="24"/>
        </w:rPr>
      </w:pPr>
      <w:r>
        <w:rPr>
          <w:rFonts w:hint="eastAsia" w:ascii="宋体" w:hAnsi="宋体" w:cs="宋体"/>
          <w:sz w:val="24"/>
        </w:rPr>
        <w:t>保安人员进行执勤过程中，本人致伤、致残、致亡的，或者导致他人财产、人身损害的，由乙方按照《劳动法》、《工伤保险条例》、《民法典》等规定依法承担相应责任，并妥善处理善后工作。甲方不承担上述问题的责任。</w:t>
      </w:r>
    </w:p>
    <w:p w14:paraId="0B2862AA">
      <w:pPr>
        <w:spacing w:line="360" w:lineRule="auto"/>
        <w:ind w:firstLine="482" w:firstLineChars="200"/>
        <w:rPr>
          <w:rFonts w:ascii="宋体" w:hAnsi="宋体" w:cs="宋体"/>
          <w:b/>
          <w:bCs/>
          <w:sz w:val="24"/>
        </w:rPr>
      </w:pPr>
      <w:r>
        <w:rPr>
          <w:rFonts w:hint="eastAsia" w:ascii="宋体" w:hAnsi="宋体" w:cs="宋体"/>
          <w:b/>
          <w:bCs/>
          <w:sz w:val="24"/>
        </w:rPr>
        <w:t>第五条 项目服务要求</w:t>
      </w:r>
    </w:p>
    <w:p w14:paraId="25129A49">
      <w:pPr>
        <w:spacing w:line="360" w:lineRule="auto"/>
        <w:ind w:firstLine="480" w:firstLineChars="200"/>
        <w:rPr>
          <w:rFonts w:ascii="宋体" w:hAnsi="宋体" w:cs="宋体"/>
          <w:sz w:val="24"/>
        </w:rPr>
      </w:pPr>
      <w:r>
        <w:rPr>
          <w:rFonts w:hint="eastAsia" w:ascii="宋体" w:hAnsi="宋体" w:cs="宋体"/>
          <w:sz w:val="24"/>
        </w:rPr>
        <w:t>详见平顶山市财政局保安服务项目竞争性磋商文件“服务内容及要求”。</w:t>
      </w:r>
    </w:p>
    <w:p w14:paraId="1FE28F1A">
      <w:pPr>
        <w:spacing w:line="360" w:lineRule="auto"/>
        <w:ind w:firstLine="482" w:firstLineChars="200"/>
        <w:rPr>
          <w:rFonts w:ascii="宋体" w:hAnsi="宋体" w:cs="宋体"/>
          <w:b/>
          <w:bCs/>
          <w:sz w:val="24"/>
        </w:rPr>
      </w:pPr>
      <w:r>
        <w:rPr>
          <w:rFonts w:hint="eastAsia" w:ascii="宋体" w:hAnsi="宋体" w:cs="宋体"/>
          <w:b/>
          <w:bCs/>
          <w:sz w:val="24"/>
        </w:rPr>
        <w:t>第六条 双方权利义务</w:t>
      </w:r>
    </w:p>
    <w:p w14:paraId="2124F408">
      <w:pPr>
        <w:spacing w:line="360" w:lineRule="auto"/>
        <w:ind w:firstLine="480" w:firstLineChars="200"/>
        <w:rPr>
          <w:rFonts w:ascii="宋体" w:hAnsi="宋体" w:cs="宋体"/>
          <w:sz w:val="24"/>
        </w:rPr>
      </w:pPr>
      <w:r>
        <w:rPr>
          <w:rFonts w:hint="eastAsia" w:ascii="宋体" w:hAnsi="宋体" w:cs="宋体"/>
          <w:sz w:val="24"/>
        </w:rPr>
        <w:t>（一）甲方权利义务</w:t>
      </w:r>
    </w:p>
    <w:p w14:paraId="5CAEA618">
      <w:pPr>
        <w:spacing w:line="360" w:lineRule="auto"/>
        <w:ind w:firstLine="480" w:firstLineChars="200"/>
        <w:rPr>
          <w:rFonts w:ascii="宋体" w:hAnsi="宋体" w:cs="宋体"/>
          <w:sz w:val="24"/>
        </w:rPr>
      </w:pPr>
      <w:r>
        <w:rPr>
          <w:rFonts w:hint="eastAsia" w:ascii="宋体" w:hAnsi="宋体" w:cs="宋体"/>
          <w:sz w:val="24"/>
        </w:rPr>
        <w:t>1.甲方按照合同规定的安全保卫服务内容，全权负责对保安人员的各项日常工作的部署安排，并对工作完成质量进行检查验收。乙方不得对甲方依据合同安排的工作进行任何形式的干涉。</w:t>
      </w:r>
    </w:p>
    <w:p w14:paraId="48A36A4E">
      <w:pPr>
        <w:spacing w:line="360" w:lineRule="auto"/>
        <w:ind w:firstLine="480" w:firstLineChars="200"/>
        <w:rPr>
          <w:rFonts w:ascii="宋体" w:hAnsi="宋体" w:cs="宋体"/>
          <w:sz w:val="24"/>
        </w:rPr>
      </w:pPr>
      <w:r>
        <w:rPr>
          <w:rFonts w:hint="eastAsia" w:ascii="宋体" w:hAnsi="宋体" w:cs="宋体"/>
          <w:sz w:val="24"/>
        </w:rPr>
        <w:t>2.甲方根据各岗位职责对所在岗位保安的工作质量和效果进行评价，有权独立对保安个人依法依规进行各类形式的奖励和处罚，有权独立确定保安人员的职务和岗位，有权处理不合格的保安人员并有权要求乙方及时调换，乙方不得以任何理由进行干涉和拒绝，必须无条件满足甲方要求。</w:t>
      </w:r>
    </w:p>
    <w:p w14:paraId="6EC1D246">
      <w:pPr>
        <w:spacing w:line="360" w:lineRule="auto"/>
        <w:ind w:firstLine="480" w:firstLineChars="200"/>
        <w:rPr>
          <w:rFonts w:ascii="宋体" w:hAnsi="宋体" w:cs="宋体"/>
          <w:sz w:val="24"/>
        </w:rPr>
      </w:pPr>
      <w:r>
        <w:rPr>
          <w:rFonts w:hint="eastAsia" w:ascii="宋体" w:hAnsi="宋体" w:cs="宋体"/>
          <w:sz w:val="24"/>
        </w:rPr>
        <w:t>3.甲方对乙方确定的保安人员的工作有建议及监督权，乙方应予以配合。</w:t>
      </w:r>
    </w:p>
    <w:p w14:paraId="302A8F52">
      <w:pPr>
        <w:spacing w:line="360" w:lineRule="auto"/>
        <w:ind w:firstLine="480" w:firstLineChars="200"/>
        <w:rPr>
          <w:rFonts w:ascii="宋体" w:hAnsi="宋体" w:cs="宋体"/>
          <w:sz w:val="24"/>
        </w:rPr>
      </w:pPr>
      <w:r>
        <w:rPr>
          <w:rFonts w:hint="eastAsia" w:ascii="宋体" w:hAnsi="宋体" w:cs="宋体"/>
          <w:sz w:val="24"/>
        </w:rPr>
        <w:t>4.甲方有权根据工作需要，依法依规安排保安人员执行临时任务。保安个人和乙方不得予以拒绝。</w:t>
      </w:r>
    </w:p>
    <w:p w14:paraId="0C77A43C">
      <w:pPr>
        <w:spacing w:line="360" w:lineRule="auto"/>
        <w:ind w:firstLine="480" w:firstLineChars="200"/>
        <w:rPr>
          <w:rFonts w:ascii="宋体" w:hAnsi="宋体" w:cs="宋体"/>
          <w:sz w:val="24"/>
        </w:rPr>
      </w:pPr>
      <w:r>
        <w:rPr>
          <w:rFonts w:hint="eastAsia" w:ascii="宋体" w:hAnsi="宋体" w:cs="宋体"/>
          <w:sz w:val="24"/>
        </w:rPr>
        <w:t>5.甲方有权督促乙方组织保安人员进行有关安全防范措施和相关规章制度的学习，保安须按照甲方制定的规章制度和要求生活和工作。根据情况，甲方有权要求乙方无条件按照甲方的要求配合处理保安执勤过程中发生的纠纷。</w:t>
      </w:r>
    </w:p>
    <w:p w14:paraId="3D88EDB9">
      <w:pPr>
        <w:spacing w:line="360" w:lineRule="auto"/>
        <w:ind w:firstLine="480" w:firstLineChars="200"/>
        <w:rPr>
          <w:rFonts w:ascii="宋体" w:hAnsi="宋体" w:cs="宋体"/>
          <w:sz w:val="24"/>
        </w:rPr>
      </w:pPr>
      <w:r>
        <w:rPr>
          <w:rFonts w:hint="eastAsia" w:ascii="宋体" w:hAnsi="宋体" w:cs="宋体"/>
          <w:sz w:val="24"/>
        </w:rPr>
        <w:t>6.甲方不负责提供乙方保安人员的伙食及医疗等费用。</w:t>
      </w:r>
    </w:p>
    <w:p w14:paraId="2501C90A">
      <w:pPr>
        <w:spacing w:line="360" w:lineRule="auto"/>
        <w:ind w:firstLine="480" w:firstLineChars="200"/>
        <w:rPr>
          <w:rFonts w:ascii="宋体" w:hAnsi="宋体" w:cs="宋体"/>
          <w:sz w:val="24"/>
        </w:rPr>
      </w:pPr>
      <w:r>
        <w:rPr>
          <w:rFonts w:hint="eastAsia" w:ascii="宋体" w:hAnsi="宋体" w:cs="宋体"/>
          <w:sz w:val="24"/>
        </w:rPr>
        <w:t>7.乙方保安人员在执行工作任务期间，违反甲方规定或保安守则，所引起的法律后果由乙方自行负责解决处理。</w:t>
      </w:r>
    </w:p>
    <w:p w14:paraId="1FE9EB11">
      <w:pPr>
        <w:spacing w:line="360" w:lineRule="auto"/>
        <w:ind w:firstLine="480" w:firstLineChars="200"/>
        <w:rPr>
          <w:rFonts w:ascii="宋体" w:hAnsi="宋体" w:cs="宋体"/>
          <w:sz w:val="24"/>
        </w:rPr>
      </w:pPr>
      <w:r>
        <w:rPr>
          <w:rFonts w:hint="eastAsia" w:ascii="宋体" w:hAnsi="宋体" w:cs="宋体"/>
          <w:sz w:val="24"/>
        </w:rPr>
        <w:t>8.甲方应按照合同约定的服务费的标准、支付时间和支付方式向乙方支付保安服务费。</w:t>
      </w:r>
    </w:p>
    <w:p w14:paraId="06F7B44F">
      <w:pPr>
        <w:spacing w:line="360" w:lineRule="auto"/>
        <w:ind w:firstLine="480" w:firstLineChars="200"/>
        <w:rPr>
          <w:rFonts w:ascii="宋体" w:hAnsi="宋体" w:cs="宋体"/>
          <w:sz w:val="24"/>
        </w:rPr>
      </w:pPr>
      <w:r>
        <w:rPr>
          <w:rFonts w:hint="eastAsia" w:ascii="宋体" w:hAnsi="宋体" w:cs="宋体"/>
          <w:sz w:val="24"/>
        </w:rPr>
        <w:t>9.甲方不得安排保安人员做违反法律法规的事情。</w:t>
      </w:r>
    </w:p>
    <w:p w14:paraId="615ABD03">
      <w:pPr>
        <w:spacing w:line="360" w:lineRule="auto"/>
        <w:ind w:firstLine="480" w:firstLineChars="200"/>
        <w:rPr>
          <w:rFonts w:ascii="宋体" w:hAnsi="宋体" w:cs="宋体"/>
          <w:sz w:val="24"/>
        </w:rPr>
      </w:pPr>
      <w:r>
        <w:rPr>
          <w:rFonts w:hint="eastAsia" w:ascii="宋体" w:hAnsi="宋体" w:cs="宋体"/>
          <w:sz w:val="24"/>
        </w:rPr>
        <w:t>10.乙方（或保安人员）如有以下行为，甲方有权终止合同，因此产生的损失由乙方负责，直至追究法律责任。</w:t>
      </w:r>
    </w:p>
    <w:p w14:paraId="3CD80359">
      <w:pPr>
        <w:spacing w:line="360" w:lineRule="auto"/>
        <w:ind w:firstLine="480" w:firstLineChars="200"/>
        <w:rPr>
          <w:rFonts w:ascii="宋体" w:hAnsi="宋体" w:cs="宋体"/>
          <w:sz w:val="24"/>
        </w:rPr>
      </w:pPr>
      <w:r>
        <w:rPr>
          <w:rFonts w:hint="eastAsia" w:ascii="宋体" w:hAnsi="宋体" w:cs="宋体"/>
          <w:sz w:val="24"/>
        </w:rPr>
        <w:t>（1）泄露在保安服务中获知的国家秘密、商业秘密以及客户单位明确要求保密的信息的；</w:t>
      </w:r>
    </w:p>
    <w:p w14:paraId="071B42CD">
      <w:pPr>
        <w:spacing w:line="360" w:lineRule="auto"/>
        <w:ind w:firstLine="480" w:firstLineChars="200"/>
        <w:rPr>
          <w:rFonts w:ascii="宋体" w:hAnsi="宋体" w:cs="宋体"/>
          <w:sz w:val="24"/>
        </w:rPr>
      </w:pPr>
      <w:r>
        <w:rPr>
          <w:rFonts w:hint="eastAsia" w:ascii="宋体" w:hAnsi="宋体" w:cs="宋体"/>
          <w:sz w:val="24"/>
        </w:rPr>
        <w:t>（2）使用监控设备侵犯他人合法权益或者个人隐私的；</w:t>
      </w:r>
    </w:p>
    <w:p w14:paraId="0729F94E">
      <w:pPr>
        <w:spacing w:line="360" w:lineRule="auto"/>
        <w:ind w:firstLine="480" w:firstLineChars="200"/>
        <w:rPr>
          <w:rFonts w:ascii="宋体" w:hAnsi="宋体" w:cs="宋体"/>
          <w:sz w:val="24"/>
        </w:rPr>
      </w:pPr>
      <w:r>
        <w:rPr>
          <w:rFonts w:hint="eastAsia" w:ascii="宋体" w:hAnsi="宋体" w:cs="宋体"/>
          <w:sz w:val="24"/>
        </w:rPr>
        <w:t>（3）删改或者扩散保安服务中形成的监控影像资料、报警记录的；</w:t>
      </w:r>
    </w:p>
    <w:p w14:paraId="55B6D763">
      <w:pPr>
        <w:spacing w:line="360" w:lineRule="auto"/>
        <w:ind w:firstLine="480" w:firstLineChars="200"/>
        <w:rPr>
          <w:rFonts w:ascii="宋体" w:hAnsi="宋体" w:cs="宋体"/>
          <w:sz w:val="24"/>
        </w:rPr>
      </w:pPr>
      <w:r>
        <w:rPr>
          <w:rFonts w:hint="eastAsia" w:ascii="宋体" w:hAnsi="宋体" w:cs="宋体"/>
          <w:sz w:val="24"/>
        </w:rPr>
        <w:t>（4）指使、纵容保安员阻碍依法执行公务、参与追索债务、采用暴力或者以暴力相威胁的手段处置纠纷的；</w:t>
      </w:r>
    </w:p>
    <w:p w14:paraId="305F3C8C">
      <w:pPr>
        <w:spacing w:line="360" w:lineRule="auto"/>
        <w:ind w:firstLine="480" w:firstLineChars="200"/>
        <w:rPr>
          <w:rFonts w:ascii="宋体" w:hAnsi="宋体" w:cs="宋体"/>
          <w:sz w:val="24"/>
        </w:rPr>
      </w:pPr>
      <w:r>
        <w:rPr>
          <w:rFonts w:hint="eastAsia" w:ascii="宋体" w:hAnsi="宋体" w:cs="宋体"/>
          <w:sz w:val="24"/>
        </w:rPr>
        <w:t>（5）对保安员疏于管理、教育和培训，发生保安员违法犯罪案件，造成严重后果的；</w:t>
      </w:r>
    </w:p>
    <w:p w14:paraId="31CC18A1">
      <w:pPr>
        <w:spacing w:line="360" w:lineRule="auto"/>
        <w:ind w:firstLine="480" w:firstLineChars="200"/>
        <w:rPr>
          <w:rFonts w:ascii="宋体" w:hAnsi="宋体" w:cs="宋体"/>
          <w:sz w:val="24"/>
        </w:rPr>
      </w:pPr>
      <w:r>
        <w:rPr>
          <w:rFonts w:hint="eastAsia" w:ascii="宋体" w:hAnsi="宋体" w:cs="宋体"/>
          <w:sz w:val="24"/>
        </w:rPr>
        <w:t>（6）滥用职权，非法限制他人人身自由、搜查他人身体或者侮辱、殴打他人；</w:t>
      </w:r>
    </w:p>
    <w:p w14:paraId="2391EDFA">
      <w:pPr>
        <w:spacing w:line="360" w:lineRule="auto"/>
        <w:ind w:firstLine="480" w:firstLineChars="200"/>
        <w:rPr>
          <w:rFonts w:ascii="宋体" w:hAnsi="宋体" w:cs="宋体"/>
          <w:sz w:val="24"/>
        </w:rPr>
      </w:pPr>
      <w:r>
        <w:rPr>
          <w:rFonts w:hint="eastAsia" w:ascii="宋体" w:hAnsi="宋体" w:cs="宋体"/>
          <w:sz w:val="24"/>
        </w:rPr>
        <w:t>（7）扣押、没收他人证件、财物的；</w:t>
      </w:r>
    </w:p>
    <w:p w14:paraId="1758586C">
      <w:pPr>
        <w:spacing w:line="360" w:lineRule="auto"/>
        <w:ind w:firstLine="480" w:firstLineChars="200"/>
        <w:rPr>
          <w:rFonts w:ascii="宋体" w:hAnsi="宋体" w:cs="宋体"/>
          <w:sz w:val="24"/>
        </w:rPr>
      </w:pPr>
      <w:r>
        <w:rPr>
          <w:rFonts w:hint="eastAsia" w:ascii="宋体" w:hAnsi="宋体" w:cs="宋体"/>
          <w:sz w:val="24"/>
        </w:rPr>
        <w:t>（8）阻碍依法执行公务的；</w:t>
      </w:r>
    </w:p>
    <w:p w14:paraId="20987216">
      <w:pPr>
        <w:spacing w:line="360" w:lineRule="auto"/>
        <w:ind w:firstLine="480" w:firstLineChars="200"/>
        <w:rPr>
          <w:rFonts w:ascii="宋体" w:hAnsi="宋体" w:cs="宋体"/>
          <w:sz w:val="24"/>
        </w:rPr>
      </w:pPr>
      <w:r>
        <w:rPr>
          <w:rFonts w:hint="eastAsia" w:ascii="宋体" w:hAnsi="宋体" w:cs="宋体"/>
          <w:sz w:val="24"/>
        </w:rPr>
        <w:t>（9）有违反法律、行政法规的其他行为的。</w:t>
      </w:r>
    </w:p>
    <w:p w14:paraId="5D230A25">
      <w:pPr>
        <w:spacing w:line="360" w:lineRule="auto"/>
        <w:ind w:firstLine="480" w:firstLineChars="200"/>
        <w:rPr>
          <w:rFonts w:ascii="宋体" w:hAnsi="宋体" w:cs="宋体"/>
          <w:sz w:val="24"/>
        </w:rPr>
      </w:pPr>
      <w:r>
        <w:rPr>
          <w:rFonts w:hint="eastAsia" w:ascii="宋体" w:hAnsi="宋体" w:cs="宋体"/>
          <w:sz w:val="24"/>
        </w:rPr>
        <w:t>（二）乙方权利义务</w:t>
      </w:r>
    </w:p>
    <w:p w14:paraId="255D9702">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val="zh-CN" w:bidi="zh-CN"/>
        </w:rPr>
        <w:t>1.乙方必须在双方签订合同后，于</w:t>
      </w:r>
      <w:r>
        <w:rPr>
          <w:rFonts w:hint="eastAsia" w:ascii="宋体" w:hAnsi="宋体" w:cs="宋体"/>
          <w:kern w:val="0"/>
          <w:sz w:val="24"/>
          <w:szCs w:val="24"/>
          <w:u w:val="single"/>
          <w:lang w:bidi="zh-CN"/>
        </w:rPr>
        <w:t xml:space="preserve">    </w:t>
      </w:r>
      <w:r>
        <w:rPr>
          <w:rFonts w:hint="eastAsia" w:ascii="宋体" w:hAnsi="宋体" w:cs="宋体"/>
          <w:kern w:val="0"/>
          <w:sz w:val="24"/>
          <w:szCs w:val="24"/>
          <w:lang w:val="zh-CN" w:bidi="zh-CN"/>
        </w:rPr>
        <w:t>年</w:t>
      </w:r>
      <w:r>
        <w:rPr>
          <w:rFonts w:hint="eastAsia" w:ascii="宋体" w:hAnsi="宋体" w:cs="宋体"/>
          <w:kern w:val="0"/>
          <w:sz w:val="24"/>
          <w:szCs w:val="24"/>
          <w:u w:val="single"/>
          <w:lang w:bidi="zh-CN"/>
        </w:rPr>
        <w:t xml:space="preserve">    </w:t>
      </w:r>
      <w:r>
        <w:rPr>
          <w:rFonts w:hint="eastAsia" w:ascii="宋体" w:hAnsi="宋体" w:cs="宋体"/>
          <w:kern w:val="0"/>
          <w:sz w:val="24"/>
          <w:szCs w:val="24"/>
          <w:lang w:val="zh-CN" w:bidi="zh-CN"/>
        </w:rPr>
        <w:t>月</w:t>
      </w:r>
      <w:r>
        <w:rPr>
          <w:rFonts w:hint="eastAsia" w:ascii="宋体" w:hAnsi="宋体" w:cs="宋体"/>
          <w:kern w:val="0"/>
          <w:sz w:val="24"/>
          <w:szCs w:val="24"/>
          <w:u w:val="single"/>
          <w:lang w:bidi="zh-CN"/>
        </w:rPr>
        <w:t xml:space="preserve">    </w:t>
      </w:r>
      <w:r>
        <w:rPr>
          <w:rFonts w:hint="eastAsia" w:ascii="宋体" w:hAnsi="宋体" w:cs="宋体"/>
          <w:kern w:val="0"/>
          <w:sz w:val="24"/>
          <w:szCs w:val="24"/>
          <w:lang w:val="zh-CN" w:bidi="zh-CN"/>
        </w:rPr>
        <w:t>日上午8点之前将按照合同约定的符合条件并经甲方确定的保安人员送至甲方单位所在地上岗履职。乙方保安人员入职后必须服从甲方管理人员的指挥，但有权拒绝不合法的服务。</w:t>
      </w:r>
    </w:p>
    <w:p w14:paraId="465A2A1A">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val="zh-CN" w:bidi="zh-CN"/>
        </w:rPr>
        <w:t>2.乙方应对派驻甲方的保安人员进行上岗前身体检查，确保派驻甲方的保安人员身体健康并能胜任甲方所分配的工作。</w:t>
      </w:r>
    </w:p>
    <w:p w14:paraId="7940B9B9">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val="zh-CN" w:bidi="zh-CN"/>
        </w:rPr>
        <w:t>3.乙方中标后应向甲方提供选派保安人员的身份证原件、身份证复印件、个人简历、无违法犯罪记录证明、健康证明等资料，并保证所提供资料的真实性。乙方选派的保安人员须经过乙方的岗前专业培训（获得培训合格证），上岗后继续按照甲方要求对保安人员进行必要的教育和训练，保证其人员的素质满足甲方工作的要求，保证所提供保安人员必须无条件遵守甲方制定的规章制度并按照甲方的要求和标准开展工作。乙方必须密切联系甲方，征求意见，加强对保安人员的管理，按照甲方的要求和标准，定时或者不定时对保安人员履职情况进行抽查检查，发现问题及时改正，抽查检查时必须经甲方同意并由甲方指定的管理人员参加。</w:t>
      </w:r>
    </w:p>
    <w:p w14:paraId="22BDA296">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val="zh-CN" w:bidi="zh-CN"/>
        </w:rPr>
        <w:t>4.乙方负责按照与保安人员劳动合同约定的时间足额支付保安人员的工资。</w:t>
      </w:r>
    </w:p>
    <w:p w14:paraId="74C38393">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val="zh-CN" w:bidi="zh-CN"/>
        </w:rPr>
        <w:t>5.为了保护甲方人员的生命、财产安全，在防火、防盗、救灾和维护治安秩序中，造成甲方财产损失的，乙方可不予赔偿。构成治安或者刑事案件的，乙方需要按照公安、司法部门的裁决、判决执行。</w:t>
      </w:r>
    </w:p>
    <w:p w14:paraId="7014C03D">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val="zh-CN" w:bidi="zh-CN"/>
        </w:rPr>
        <w:t>6.未经甲方同意，乙方不得抽调本项目保安人员出外勤，并确保本项目人员出勤率达到95%以上。</w:t>
      </w:r>
    </w:p>
    <w:p w14:paraId="31865C4E">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val="zh-CN" w:bidi="zh-CN"/>
        </w:rPr>
        <w:t>7.对甲方认为不合格的保安人员，乙方须在接到甲方书面通知次日撤回不合格人员，并在3日内将新的符合条件的保安人员派到甲方。</w:t>
      </w:r>
    </w:p>
    <w:p w14:paraId="5160ED45">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val="zh-CN" w:bidi="zh-CN"/>
        </w:rPr>
        <w:t>8.因执勤保安人员失职给甲方或第三方造成损失的，除由乙方全额赔偿损失外，乙方还应支付违约金一千至五千元。如果保安人员发生监守自盗行为，乙方应按每人次三千至五千元的标准向甲方支付违约金，费用直接从服务费中扣除。</w:t>
      </w:r>
    </w:p>
    <w:p w14:paraId="44E00A2C">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val="zh-CN" w:bidi="zh-CN"/>
        </w:rPr>
        <w:t>9.乙方管理该项目人员必须保持手机24小时开机，确保甲方随时联系畅通。一次联系不到扣二百元整，如果造成后果扣除乙方服务费一千至五千元。</w:t>
      </w:r>
    </w:p>
    <w:p w14:paraId="4B172B70">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bidi="zh-CN"/>
        </w:rPr>
        <w:t>1</w:t>
      </w:r>
      <w:r>
        <w:rPr>
          <w:rFonts w:hint="eastAsia" w:ascii="宋体" w:hAnsi="宋体" w:cs="宋体"/>
          <w:kern w:val="0"/>
          <w:sz w:val="24"/>
          <w:szCs w:val="24"/>
          <w:lang w:val="zh-CN" w:bidi="zh-CN"/>
        </w:rPr>
        <w:t>0.自本合同生效之日，如乙方没能达到甲方要求的工作质量和标准或者保安人员违反法律、法规和甲方有关规定对甲方造成秩序、安全及其他不利影响和经济损失的，甲方有权终止与乙方的保安服务协议，乙方必须在甲方规定的时间内全部撤场。</w:t>
      </w:r>
    </w:p>
    <w:p w14:paraId="0A14F00C">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bidi="zh-CN"/>
        </w:rPr>
        <w:t>1</w:t>
      </w:r>
      <w:r>
        <w:rPr>
          <w:rFonts w:hint="eastAsia" w:ascii="宋体" w:hAnsi="宋体" w:cs="宋体"/>
          <w:kern w:val="0"/>
          <w:sz w:val="24"/>
          <w:szCs w:val="24"/>
          <w:lang w:val="zh-CN" w:bidi="zh-CN"/>
        </w:rPr>
        <w:t>1.乙方应对本合同之所有条款以及其他在谈判、本合同实施或履行过程中所得到的所有信息予以保密。该保密责任应在本合同到期及终止后依然有效。</w:t>
      </w:r>
    </w:p>
    <w:p w14:paraId="7C455BC1">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bidi="zh-CN"/>
        </w:rPr>
        <w:t>1</w:t>
      </w:r>
      <w:r>
        <w:rPr>
          <w:rFonts w:hint="eastAsia" w:ascii="宋体" w:hAnsi="宋体" w:cs="宋体"/>
          <w:kern w:val="0"/>
          <w:sz w:val="24"/>
          <w:szCs w:val="24"/>
          <w:lang w:val="zh-CN" w:bidi="zh-CN"/>
        </w:rPr>
        <w:t>2.乙方有义务及时将甲方的安全隐患告知甲方，甲方应及时答复，积极改进。</w:t>
      </w:r>
    </w:p>
    <w:p w14:paraId="732546DE">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bidi="zh-CN"/>
        </w:rPr>
        <w:t>1</w:t>
      </w:r>
      <w:r>
        <w:rPr>
          <w:rFonts w:hint="eastAsia" w:ascii="宋体" w:hAnsi="宋体" w:cs="宋体"/>
          <w:kern w:val="0"/>
          <w:sz w:val="24"/>
          <w:szCs w:val="24"/>
          <w:lang w:val="zh-CN" w:bidi="zh-CN"/>
        </w:rPr>
        <w:t>3.乙方负责协调社会治安、交通、消防等政府部门关系，积极配合相关部门处理好发生在服务区域内的治安案件、交通及火灾事故等。</w:t>
      </w:r>
    </w:p>
    <w:p w14:paraId="19CBB77D">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bidi="zh-CN"/>
        </w:rPr>
        <w:t>1</w:t>
      </w:r>
      <w:r>
        <w:rPr>
          <w:rFonts w:hint="eastAsia" w:ascii="宋体" w:hAnsi="宋体" w:cs="宋体"/>
          <w:kern w:val="0"/>
          <w:sz w:val="24"/>
          <w:szCs w:val="24"/>
          <w:lang w:val="zh-CN" w:bidi="zh-CN"/>
        </w:rPr>
        <w:t>4.乙方应派公司1-2名管理人员常驻甲方解决相关问题。</w:t>
      </w:r>
    </w:p>
    <w:p w14:paraId="6F50A1B2">
      <w:pPr>
        <w:spacing w:line="360" w:lineRule="auto"/>
        <w:ind w:firstLine="482" w:firstLineChars="200"/>
        <w:rPr>
          <w:rFonts w:ascii="宋体" w:hAnsi="宋体" w:cs="宋体"/>
          <w:b/>
          <w:bCs/>
          <w:sz w:val="24"/>
          <w:lang w:val="zh-CN"/>
        </w:rPr>
      </w:pPr>
      <w:r>
        <w:rPr>
          <w:rFonts w:hint="eastAsia" w:ascii="宋体" w:hAnsi="宋体" w:cs="宋体"/>
          <w:b/>
          <w:bCs/>
          <w:sz w:val="24"/>
          <w:lang w:val="zh-CN"/>
        </w:rPr>
        <w:t>第七条 服务费用支付方式</w:t>
      </w:r>
    </w:p>
    <w:p w14:paraId="7607CFC5">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bidi="zh-CN"/>
        </w:rPr>
        <w:t>1</w:t>
      </w:r>
      <w:r>
        <w:rPr>
          <w:rFonts w:hint="eastAsia" w:ascii="宋体" w:hAnsi="宋体" w:cs="宋体"/>
          <w:kern w:val="0"/>
          <w:sz w:val="24"/>
          <w:szCs w:val="24"/>
          <w:lang w:val="zh-CN" w:bidi="zh-CN"/>
        </w:rPr>
        <w:t>.付款方式：甲方以月为单位向乙方支付保安服务费。</w:t>
      </w:r>
    </w:p>
    <w:p w14:paraId="10842877">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val="zh-CN" w:bidi="zh-CN"/>
        </w:rPr>
        <w:t>2.如管理服务区域扩大，按甲方需求及乙方实际投入人员数量、相应人员工资标准、实际工作月数，甲方给予乙方增加相应人员工资。</w:t>
      </w:r>
    </w:p>
    <w:p w14:paraId="7993EF86">
      <w:pPr>
        <w:spacing w:line="360" w:lineRule="auto"/>
        <w:ind w:firstLine="480" w:firstLineChars="200"/>
        <w:rPr>
          <w:rFonts w:ascii="宋体" w:hAnsi="宋体" w:cs="宋体"/>
          <w:kern w:val="0"/>
          <w:sz w:val="24"/>
          <w:szCs w:val="24"/>
          <w:lang w:val="zh-CN" w:bidi="zh-CN"/>
        </w:rPr>
      </w:pPr>
      <w:r>
        <w:rPr>
          <w:rFonts w:hint="eastAsia" w:ascii="宋体" w:hAnsi="宋体" w:cs="宋体"/>
          <w:kern w:val="0"/>
          <w:sz w:val="24"/>
          <w:szCs w:val="24"/>
          <w:lang w:bidi="zh-CN"/>
        </w:rPr>
        <w:t>3</w:t>
      </w:r>
      <w:r>
        <w:rPr>
          <w:rFonts w:hint="eastAsia" w:ascii="宋体" w:hAnsi="宋体" w:cs="宋体"/>
          <w:kern w:val="0"/>
          <w:sz w:val="24"/>
          <w:szCs w:val="24"/>
          <w:lang w:val="zh-CN" w:bidi="zh-CN"/>
        </w:rPr>
        <w:t>.遇上述2款情形，在不改变合同其他条款的前提下，甲方可以与乙方协商签订补充合同，但所有补充合同的采购金额不得超过原合同采购金额的10%。</w:t>
      </w:r>
    </w:p>
    <w:p w14:paraId="0D30FAFB">
      <w:pPr>
        <w:spacing w:line="360" w:lineRule="auto"/>
        <w:ind w:firstLine="482" w:firstLineChars="200"/>
        <w:rPr>
          <w:rFonts w:ascii="宋体" w:hAnsi="宋体" w:cs="宋体"/>
          <w:b/>
          <w:bCs/>
          <w:sz w:val="24"/>
        </w:rPr>
      </w:pPr>
      <w:r>
        <w:rPr>
          <w:rFonts w:hint="eastAsia" w:ascii="宋体" w:hAnsi="宋体" w:cs="宋体"/>
          <w:b/>
          <w:bCs/>
          <w:sz w:val="24"/>
        </w:rPr>
        <w:t>第八条 违约责任及纠纷解决</w:t>
      </w:r>
    </w:p>
    <w:p w14:paraId="068B32C2">
      <w:pPr>
        <w:spacing w:line="360" w:lineRule="auto"/>
        <w:ind w:firstLine="480" w:firstLineChars="200"/>
        <w:rPr>
          <w:rFonts w:ascii="宋体" w:hAnsi="宋体" w:cs="宋体"/>
          <w:sz w:val="24"/>
        </w:rPr>
      </w:pPr>
      <w:r>
        <w:rPr>
          <w:rFonts w:hint="eastAsia" w:ascii="宋体" w:hAnsi="宋体" w:cs="宋体"/>
          <w:sz w:val="24"/>
        </w:rPr>
        <w:t>1.因乙方保安人员工作失误、失职而造成甲方财产损失或者在甲方责任区内的人员人身伤害，经司法部门认定属实，确定责任大小，由乙方赔偿相应的损失；</w:t>
      </w:r>
    </w:p>
    <w:p w14:paraId="1DB3F8D6">
      <w:pPr>
        <w:spacing w:line="360" w:lineRule="auto"/>
        <w:ind w:firstLine="480" w:firstLineChars="200"/>
        <w:rPr>
          <w:rFonts w:ascii="宋体" w:hAnsi="宋体" w:cs="宋体"/>
          <w:sz w:val="24"/>
        </w:rPr>
      </w:pPr>
      <w:r>
        <w:rPr>
          <w:rFonts w:hint="eastAsia" w:ascii="宋体" w:hAnsi="宋体" w:cs="宋体"/>
          <w:sz w:val="24"/>
        </w:rPr>
        <w:t>2.因下列原因造成的甲方损失，乙方不负责赔偿：</w:t>
      </w:r>
    </w:p>
    <w:p w14:paraId="722B9C93">
      <w:pPr>
        <w:spacing w:line="360" w:lineRule="auto"/>
        <w:ind w:firstLine="480" w:firstLineChars="200"/>
        <w:rPr>
          <w:rFonts w:ascii="宋体" w:hAnsi="宋体" w:cs="宋体"/>
          <w:sz w:val="24"/>
        </w:rPr>
      </w:pPr>
      <w:r>
        <w:rPr>
          <w:rFonts w:hint="eastAsia" w:ascii="宋体" w:hAnsi="宋体" w:cs="宋体"/>
          <w:sz w:val="24"/>
        </w:rPr>
        <w:t>（1）因紧急避险造成的损失；</w:t>
      </w:r>
    </w:p>
    <w:p w14:paraId="40F17912">
      <w:pPr>
        <w:spacing w:line="360" w:lineRule="auto"/>
        <w:ind w:firstLine="480" w:firstLineChars="200"/>
        <w:rPr>
          <w:rFonts w:ascii="宋体" w:hAnsi="宋体" w:cs="宋体"/>
          <w:sz w:val="24"/>
        </w:rPr>
      </w:pPr>
      <w:r>
        <w:rPr>
          <w:rFonts w:hint="eastAsia" w:ascii="宋体" w:hAnsi="宋体" w:cs="宋体"/>
          <w:sz w:val="24"/>
        </w:rPr>
        <w:t>（2）在紧急情况下从事对甲方或社会有益的工作而造成的损失；</w:t>
      </w:r>
    </w:p>
    <w:p w14:paraId="74CDB792">
      <w:pPr>
        <w:spacing w:line="360" w:lineRule="auto"/>
        <w:ind w:firstLine="480" w:firstLineChars="200"/>
        <w:rPr>
          <w:rFonts w:ascii="宋体" w:hAnsi="宋体" w:cs="宋体"/>
          <w:sz w:val="24"/>
        </w:rPr>
      </w:pPr>
      <w:r>
        <w:rPr>
          <w:rFonts w:hint="eastAsia" w:ascii="宋体" w:hAnsi="宋体" w:cs="宋体"/>
          <w:sz w:val="24"/>
        </w:rPr>
        <w:t>（3）遭受不可抗拒的意外事故造成的损失。</w:t>
      </w:r>
    </w:p>
    <w:p w14:paraId="524FD4A3">
      <w:pPr>
        <w:spacing w:line="360" w:lineRule="auto"/>
        <w:ind w:firstLine="482" w:firstLineChars="200"/>
        <w:rPr>
          <w:rFonts w:ascii="宋体" w:hAnsi="宋体" w:cs="宋体"/>
          <w:b/>
          <w:bCs/>
          <w:sz w:val="24"/>
        </w:rPr>
      </w:pPr>
      <w:r>
        <w:rPr>
          <w:rFonts w:hint="eastAsia" w:ascii="宋体" w:hAnsi="宋体" w:cs="宋体"/>
          <w:b/>
          <w:bCs/>
          <w:sz w:val="24"/>
        </w:rPr>
        <w:t>第九条 其他</w:t>
      </w:r>
    </w:p>
    <w:p w14:paraId="350525D0">
      <w:pPr>
        <w:spacing w:line="360" w:lineRule="auto"/>
        <w:ind w:firstLine="480" w:firstLineChars="200"/>
        <w:rPr>
          <w:rFonts w:ascii="宋体" w:hAnsi="宋体" w:cs="宋体"/>
          <w:sz w:val="24"/>
        </w:rPr>
      </w:pPr>
      <w:r>
        <w:rPr>
          <w:rFonts w:hint="eastAsia" w:ascii="宋体" w:hAnsi="宋体" w:cs="宋体"/>
          <w:sz w:val="24"/>
        </w:rPr>
        <w:t>1.甲乙双方之间的所有协议、补充协议、确认书、结算书、往来函等任何与本协议相关的文件必须加盖甲方公章并由授权代表人签字方可有效；</w:t>
      </w:r>
    </w:p>
    <w:p w14:paraId="3D9D3449">
      <w:pPr>
        <w:spacing w:line="360" w:lineRule="auto"/>
        <w:ind w:firstLine="480" w:firstLineChars="200"/>
        <w:rPr>
          <w:rFonts w:ascii="宋体" w:hAnsi="宋体" w:cs="宋体"/>
          <w:sz w:val="24"/>
        </w:rPr>
      </w:pPr>
      <w:r>
        <w:rPr>
          <w:rFonts w:hint="eastAsia" w:ascii="宋体" w:hAnsi="宋体" w:cs="宋体"/>
          <w:sz w:val="24"/>
        </w:rPr>
        <w:t>2.任何无书面授权的个人在未加盖甲方公章的情况下签订的任何与本协议有关的文件，不能认定为甲方的意思表示，对甲方不具有约束力；</w:t>
      </w:r>
    </w:p>
    <w:p w14:paraId="6502F23D">
      <w:pPr>
        <w:spacing w:line="360" w:lineRule="auto"/>
        <w:ind w:firstLine="480" w:firstLineChars="200"/>
        <w:rPr>
          <w:rFonts w:ascii="宋体" w:hAnsi="宋体" w:cs="宋体"/>
          <w:sz w:val="24"/>
        </w:rPr>
      </w:pPr>
      <w:r>
        <w:rPr>
          <w:rFonts w:hint="eastAsia" w:ascii="宋体" w:hAnsi="宋体" w:cs="宋体"/>
          <w:sz w:val="24"/>
        </w:rPr>
        <w:t>乙方已确知甲方的上述告示内容，若乙方认可、履行上述不符合约定的文件，所产生的任何经济及法律问题与甲方无关，相关责任由乙方自负，乙方无权向甲方主张任何权利；</w:t>
      </w:r>
    </w:p>
    <w:p w14:paraId="43872BD6">
      <w:pPr>
        <w:spacing w:line="360" w:lineRule="auto"/>
        <w:ind w:firstLine="480" w:firstLineChars="200"/>
        <w:rPr>
          <w:rFonts w:ascii="宋体" w:hAnsi="宋体" w:cs="宋体"/>
          <w:sz w:val="24"/>
        </w:rPr>
      </w:pPr>
      <w:r>
        <w:rPr>
          <w:rFonts w:hint="eastAsia" w:ascii="宋体" w:hAnsi="宋体" w:cs="宋体"/>
          <w:sz w:val="24"/>
        </w:rPr>
        <w:t>3.甲方的各项安全制度和管理规定为与乙方签订合同的组成部分，乙方及乙方派出的保安人员在签署本合同前已经知晓并接受其约束；</w:t>
      </w:r>
    </w:p>
    <w:p w14:paraId="4444E5A5">
      <w:pPr>
        <w:spacing w:line="360" w:lineRule="auto"/>
        <w:ind w:firstLine="480" w:firstLineChars="200"/>
        <w:rPr>
          <w:rFonts w:ascii="宋体" w:hAnsi="宋体" w:cs="宋体"/>
          <w:sz w:val="24"/>
        </w:rPr>
      </w:pPr>
      <w:r>
        <w:rPr>
          <w:rFonts w:hint="eastAsia" w:ascii="宋体" w:hAnsi="宋体" w:cs="宋体"/>
          <w:sz w:val="24"/>
        </w:rPr>
        <w:t>4.甲乙双方在执行本合同的过程中发生争议的，应协商解决，协商不成向甲方所在地法院起诉；</w:t>
      </w:r>
    </w:p>
    <w:p w14:paraId="3E0EE03E">
      <w:pPr>
        <w:spacing w:line="360" w:lineRule="auto"/>
        <w:ind w:firstLine="480" w:firstLineChars="200"/>
        <w:rPr>
          <w:rFonts w:ascii="宋体" w:hAnsi="宋体" w:cs="宋体"/>
          <w:sz w:val="24"/>
        </w:rPr>
      </w:pPr>
      <w:r>
        <w:rPr>
          <w:rFonts w:hint="eastAsia" w:ascii="宋体" w:hAnsi="宋体" w:cs="宋体"/>
          <w:sz w:val="24"/>
        </w:rPr>
        <w:t>5.本合同一式</w:t>
      </w:r>
      <w:r>
        <w:rPr>
          <w:rFonts w:hint="eastAsia" w:ascii="宋体" w:hAnsi="宋体" w:cs="宋体"/>
          <w:sz w:val="24"/>
          <w:u w:val="single"/>
        </w:rPr>
        <w:t xml:space="preserve">     </w:t>
      </w:r>
      <w:r>
        <w:rPr>
          <w:rFonts w:hint="eastAsia" w:ascii="宋体" w:hAnsi="宋体" w:cs="宋体"/>
          <w:sz w:val="24"/>
        </w:rPr>
        <w:t>份，双方各执</w:t>
      </w:r>
      <w:r>
        <w:rPr>
          <w:rFonts w:hint="eastAsia" w:ascii="宋体" w:hAnsi="宋体" w:cs="宋体"/>
          <w:sz w:val="24"/>
          <w:u w:val="single"/>
        </w:rPr>
        <w:t xml:space="preserve">     </w:t>
      </w:r>
      <w:r>
        <w:rPr>
          <w:rFonts w:hint="eastAsia" w:ascii="宋体" w:hAnsi="宋体" w:cs="宋体"/>
          <w:sz w:val="24"/>
        </w:rPr>
        <w:t>份。本合同由双方法定代表人（或授权代表）签字盖章生效。</w:t>
      </w:r>
    </w:p>
    <w:p w14:paraId="67C73947">
      <w:pPr>
        <w:spacing w:line="360" w:lineRule="auto"/>
        <w:ind w:firstLine="480" w:firstLineChars="200"/>
        <w:rPr>
          <w:rFonts w:ascii="宋体" w:hAnsi="宋体" w:cs="宋体"/>
          <w:sz w:val="24"/>
        </w:rPr>
      </w:pPr>
    </w:p>
    <w:p w14:paraId="1C6041D7">
      <w:pPr>
        <w:spacing w:line="600" w:lineRule="auto"/>
        <w:ind w:firstLine="480" w:firstLineChars="200"/>
        <w:rPr>
          <w:rFonts w:ascii="宋体" w:hAnsi="宋体" w:cs="宋体"/>
          <w:sz w:val="24"/>
        </w:rPr>
      </w:pPr>
      <w:r>
        <w:rPr>
          <w:rFonts w:hint="eastAsia" w:ascii="宋体" w:hAnsi="宋体" w:cs="宋体"/>
          <w:sz w:val="24"/>
        </w:rPr>
        <w:t>甲方（盖章）：                    乙方（盖章）：</w:t>
      </w:r>
    </w:p>
    <w:p w14:paraId="77B3C9DC">
      <w:pPr>
        <w:spacing w:line="600" w:lineRule="auto"/>
        <w:ind w:firstLine="480" w:firstLineChars="200"/>
        <w:rPr>
          <w:rFonts w:ascii="宋体" w:hAnsi="宋体" w:cs="宋体"/>
          <w:sz w:val="24"/>
        </w:rPr>
      </w:pPr>
      <w:r>
        <w:rPr>
          <w:rFonts w:hint="eastAsia" w:ascii="宋体" w:hAnsi="宋体" w:cs="宋体"/>
          <w:sz w:val="24"/>
        </w:rPr>
        <w:t>代表（签字）：                    代表（签字）：</w:t>
      </w:r>
    </w:p>
    <w:p w14:paraId="7C5428DF">
      <w:pPr>
        <w:spacing w:line="600" w:lineRule="auto"/>
        <w:ind w:firstLine="480" w:firstLineChars="200"/>
        <w:rPr>
          <w:rFonts w:ascii="宋体" w:hAnsi="宋体" w:cs="宋体"/>
          <w:sz w:val="24"/>
        </w:rPr>
      </w:pPr>
      <w:r>
        <w:rPr>
          <w:rFonts w:hint="eastAsia" w:ascii="宋体" w:hAnsi="宋体" w:cs="宋体"/>
          <w:sz w:val="24"/>
        </w:rPr>
        <w:t>日期：                             日期：</w:t>
      </w:r>
    </w:p>
    <w:p w14:paraId="489B9741">
      <w:pPr>
        <w:pStyle w:val="16"/>
        <w:ind w:firstLine="461"/>
        <w:rPr>
          <w:rFonts w:cs="宋体"/>
          <w:sz w:val="24"/>
        </w:rPr>
      </w:pPr>
    </w:p>
    <w:p w14:paraId="4E73B262">
      <w:pPr>
        <w:rPr>
          <w:rFonts w:ascii="宋体" w:hAnsi="宋体" w:cs="宋体"/>
        </w:rPr>
      </w:pPr>
    </w:p>
    <w:p w14:paraId="193BE623">
      <w:pPr>
        <w:rPr>
          <w:rFonts w:ascii="宋体" w:hAnsi="宋体" w:cs="宋体"/>
        </w:rPr>
      </w:pPr>
    </w:p>
    <w:p w14:paraId="4F117457">
      <w:pPr>
        <w:rPr>
          <w:rFonts w:ascii="宋体" w:hAnsi="宋体" w:cs="宋体"/>
        </w:rPr>
      </w:pPr>
    </w:p>
    <w:p w14:paraId="276ACA21">
      <w:pPr>
        <w:rPr>
          <w:rFonts w:ascii="宋体" w:hAnsi="宋体" w:cs="宋体"/>
        </w:rPr>
      </w:pPr>
    </w:p>
    <w:p w14:paraId="1C606D83">
      <w:pPr>
        <w:rPr>
          <w:rFonts w:ascii="宋体" w:hAnsi="宋体" w:cs="宋体"/>
        </w:rPr>
      </w:pPr>
    </w:p>
    <w:p w14:paraId="0B48A62E">
      <w:pPr>
        <w:rPr>
          <w:rFonts w:ascii="宋体" w:hAnsi="宋体" w:cs="宋体"/>
        </w:rPr>
      </w:pPr>
    </w:p>
    <w:p w14:paraId="791D58C6">
      <w:pPr>
        <w:rPr>
          <w:rFonts w:ascii="宋体" w:hAnsi="宋体" w:cs="宋体"/>
        </w:rPr>
      </w:pPr>
    </w:p>
    <w:p w14:paraId="2B43DC32">
      <w:pPr>
        <w:rPr>
          <w:rFonts w:ascii="宋体" w:hAnsi="宋体" w:cs="宋体"/>
        </w:rPr>
      </w:pPr>
    </w:p>
    <w:p w14:paraId="49A1B309">
      <w:pPr>
        <w:rPr>
          <w:rFonts w:ascii="宋体" w:hAnsi="宋体" w:cs="宋体"/>
        </w:rPr>
      </w:pPr>
    </w:p>
    <w:p w14:paraId="3A67FB06">
      <w:pPr>
        <w:rPr>
          <w:rFonts w:ascii="宋体" w:hAnsi="宋体" w:cs="宋体"/>
        </w:rPr>
      </w:pPr>
    </w:p>
    <w:p w14:paraId="1ED8B17A">
      <w:pPr>
        <w:rPr>
          <w:rFonts w:ascii="宋体" w:hAnsi="宋体" w:cs="宋体"/>
        </w:rPr>
      </w:pPr>
    </w:p>
    <w:p w14:paraId="3369D9B4">
      <w:pPr>
        <w:rPr>
          <w:rFonts w:ascii="宋体" w:hAnsi="宋体" w:cs="宋体"/>
        </w:rPr>
      </w:pPr>
    </w:p>
    <w:p w14:paraId="5F4622B8">
      <w:pPr>
        <w:pStyle w:val="25"/>
        <w:ind w:firstLine="210"/>
        <w:rPr>
          <w:rFonts w:ascii="宋体" w:hAnsi="宋体" w:cs="宋体"/>
        </w:rPr>
      </w:pPr>
    </w:p>
    <w:p w14:paraId="3E35A974">
      <w:pPr>
        <w:pStyle w:val="26"/>
        <w:ind w:firstLine="540"/>
        <w:rPr>
          <w:rFonts w:ascii="宋体" w:hAnsi="宋体" w:eastAsia="宋体" w:cs="宋体"/>
        </w:rPr>
      </w:pPr>
    </w:p>
    <w:p w14:paraId="43894505">
      <w:pPr>
        <w:rPr>
          <w:rFonts w:ascii="宋体" w:hAnsi="宋体" w:cs="宋体"/>
        </w:rPr>
      </w:pPr>
    </w:p>
    <w:p w14:paraId="77F8A9B9">
      <w:pPr>
        <w:pStyle w:val="25"/>
        <w:ind w:firstLine="210"/>
        <w:rPr>
          <w:rFonts w:ascii="宋体" w:hAnsi="宋体" w:cs="宋体"/>
        </w:rPr>
      </w:pPr>
    </w:p>
    <w:p w14:paraId="59EB07C9">
      <w:pPr>
        <w:pStyle w:val="26"/>
        <w:ind w:firstLine="540"/>
        <w:rPr>
          <w:rFonts w:ascii="宋体" w:hAnsi="宋体" w:eastAsia="宋体" w:cs="宋体"/>
        </w:rPr>
      </w:pPr>
    </w:p>
    <w:p w14:paraId="7CCA7DA7">
      <w:pPr>
        <w:pStyle w:val="23"/>
        <w:rPr>
          <w:rFonts w:ascii="宋体" w:hAnsi="宋体" w:cs="宋体"/>
          <w:kern w:val="0"/>
        </w:rPr>
      </w:pPr>
      <w:bookmarkStart w:id="105" w:name="_Toc20683"/>
      <w:bookmarkStart w:id="106" w:name="_Toc25160852"/>
      <w:bookmarkStart w:id="107" w:name="_Toc25160340"/>
      <w:r>
        <w:rPr>
          <w:rFonts w:hint="eastAsia" w:ascii="宋体" w:hAnsi="宋体" w:cs="宋体"/>
          <w:kern w:val="0"/>
        </w:rPr>
        <w:t>第六章  响应文件格式</w:t>
      </w:r>
      <w:bookmarkEnd w:id="105"/>
      <w:bookmarkEnd w:id="106"/>
      <w:bookmarkEnd w:id="107"/>
    </w:p>
    <w:p w14:paraId="0BF68D22">
      <w:pPr>
        <w:autoSpaceDE w:val="0"/>
        <w:autoSpaceDN w:val="0"/>
        <w:adjustRightInd w:val="0"/>
        <w:spacing w:line="580" w:lineRule="exact"/>
        <w:rPr>
          <w:rFonts w:ascii="宋体" w:hAnsi="宋体" w:cs="宋体"/>
          <w:b/>
          <w:sz w:val="44"/>
          <w:szCs w:val="44"/>
          <w:u w:val="single"/>
        </w:rPr>
      </w:pPr>
    </w:p>
    <w:p w14:paraId="3CD236FD">
      <w:pPr>
        <w:autoSpaceDE w:val="0"/>
        <w:autoSpaceDN w:val="0"/>
        <w:adjustRightInd w:val="0"/>
        <w:spacing w:line="580" w:lineRule="exact"/>
        <w:jc w:val="center"/>
        <w:rPr>
          <w:rFonts w:ascii="宋体" w:hAnsi="宋体" w:cs="宋体"/>
          <w:b/>
          <w:sz w:val="44"/>
          <w:szCs w:val="44"/>
          <w:u w:val="single"/>
        </w:rPr>
      </w:pPr>
      <w:r>
        <w:rPr>
          <w:rFonts w:hint="eastAsia" w:ascii="宋体" w:hAnsi="宋体" w:cs="宋体"/>
          <w:b/>
          <w:sz w:val="44"/>
          <w:szCs w:val="44"/>
          <w:u w:val="single"/>
        </w:rPr>
        <w:t xml:space="preserve">    （项目名称）</w:t>
      </w:r>
      <w:r>
        <w:rPr>
          <w:rFonts w:hint="eastAsia" w:ascii="宋体" w:hAnsi="宋体" w:cs="宋体"/>
          <w:b/>
          <w:sz w:val="44"/>
          <w:szCs w:val="44"/>
        </w:rPr>
        <w:t>项目</w:t>
      </w:r>
    </w:p>
    <w:p w14:paraId="03C5AF8C">
      <w:pPr>
        <w:autoSpaceDE w:val="0"/>
        <w:autoSpaceDN w:val="0"/>
        <w:adjustRightInd w:val="0"/>
        <w:spacing w:line="580" w:lineRule="exact"/>
        <w:rPr>
          <w:rFonts w:ascii="宋体" w:hAnsi="宋体" w:cs="宋体"/>
          <w:b/>
          <w:sz w:val="28"/>
          <w:szCs w:val="28"/>
        </w:rPr>
      </w:pPr>
      <w:r>
        <w:rPr>
          <w:rFonts w:hint="eastAsia" w:ascii="宋体" w:hAnsi="宋体" w:cs="宋体"/>
          <w:b/>
          <w:sz w:val="32"/>
          <w:szCs w:val="32"/>
        </w:rPr>
        <w:t xml:space="preserve">         </w:t>
      </w:r>
      <w:r>
        <w:rPr>
          <w:rFonts w:hint="eastAsia" w:ascii="宋体" w:hAnsi="宋体" w:cs="宋体"/>
          <w:b/>
          <w:sz w:val="28"/>
          <w:szCs w:val="28"/>
        </w:rPr>
        <w:t xml:space="preserve">        </w:t>
      </w:r>
    </w:p>
    <w:p w14:paraId="7A4C82BF">
      <w:pPr>
        <w:autoSpaceDE w:val="0"/>
        <w:autoSpaceDN w:val="0"/>
        <w:adjustRightInd w:val="0"/>
        <w:spacing w:line="580" w:lineRule="exact"/>
        <w:ind w:firstLine="2249" w:firstLineChars="800"/>
        <w:rPr>
          <w:rFonts w:ascii="宋体" w:hAnsi="宋体" w:cs="宋体"/>
          <w:b/>
          <w:sz w:val="24"/>
          <w:szCs w:val="24"/>
        </w:rPr>
      </w:pPr>
      <w:r>
        <w:rPr>
          <w:rFonts w:hint="eastAsia" w:ascii="宋体" w:hAnsi="宋体" w:cs="宋体"/>
          <w:b/>
          <w:sz w:val="28"/>
          <w:szCs w:val="28"/>
        </w:rPr>
        <w:t>采购编号：</w:t>
      </w:r>
    </w:p>
    <w:p w14:paraId="1C858201">
      <w:pPr>
        <w:autoSpaceDE w:val="0"/>
        <w:autoSpaceDN w:val="0"/>
        <w:adjustRightInd w:val="0"/>
        <w:spacing w:line="580" w:lineRule="exact"/>
        <w:rPr>
          <w:rFonts w:ascii="宋体" w:hAnsi="宋体" w:cs="宋体"/>
          <w:b/>
          <w:sz w:val="24"/>
          <w:szCs w:val="24"/>
        </w:rPr>
      </w:pPr>
      <w:r>
        <w:rPr>
          <w:rFonts w:hint="eastAsia" w:ascii="宋体" w:hAnsi="宋体" w:cs="宋体"/>
          <w:b/>
          <w:sz w:val="24"/>
          <w:szCs w:val="24"/>
        </w:rPr>
        <w:t xml:space="preserve"> </w:t>
      </w:r>
    </w:p>
    <w:p w14:paraId="01A441B6">
      <w:pPr>
        <w:pStyle w:val="44"/>
        <w:rPr>
          <w:rFonts w:ascii="宋体" w:hAnsi="宋体" w:cs="宋体"/>
        </w:rPr>
      </w:pPr>
    </w:p>
    <w:p w14:paraId="0951021B">
      <w:pPr>
        <w:autoSpaceDE w:val="0"/>
        <w:autoSpaceDN w:val="0"/>
        <w:adjustRightInd w:val="0"/>
        <w:spacing w:line="580" w:lineRule="exact"/>
        <w:rPr>
          <w:rFonts w:ascii="宋体" w:hAnsi="宋体" w:cs="宋体"/>
          <w:b/>
          <w:sz w:val="24"/>
          <w:szCs w:val="24"/>
        </w:rPr>
      </w:pPr>
    </w:p>
    <w:p w14:paraId="1AA38144">
      <w:pPr>
        <w:autoSpaceDE w:val="0"/>
        <w:autoSpaceDN w:val="0"/>
        <w:adjustRightInd w:val="0"/>
        <w:spacing w:line="580" w:lineRule="exact"/>
        <w:rPr>
          <w:rFonts w:ascii="宋体" w:hAnsi="宋体" w:cs="宋体"/>
          <w:b/>
          <w:sz w:val="24"/>
          <w:szCs w:val="24"/>
        </w:rPr>
      </w:pPr>
    </w:p>
    <w:p w14:paraId="0FA5E902">
      <w:pPr>
        <w:autoSpaceDE w:val="0"/>
        <w:autoSpaceDN w:val="0"/>
        <w:adjustRightInd w:val="0"/>
        <w:spacing w:line="1000" w:lineRule="exact"/>
        <w:jc w:val="center"/>
        <w:rPr>
          <w:rFonts w:ascii="宋体" w:hAnsi="宋体" w:cs="宋体"/>
          <w:b/>
          <w:sz w:val="96"/>
          <w:szCs w:val="96"/>
        </w:rPr>
      </w:pPr>
      <w:r>
        <w:rPr>
          <w:rFonts w:hint="eastAsia" w:ascii="宋体" w:hAnsi="宋体" w:cs="宋体"/>
          <w:b/>
          <w:sz w:val="96"/>
          <w:szCs w:val="96"/>
        </w:rPr>
        <w:t>响应文件</w:t>
      </w:r>
    </w:p>
    <w:p w14:paraId="43967330">
      <w:pPr>
        <w:autoSpaceDE w:val="0"/>
        <w:autoSpaceDN w:val="0"/>
        <w:adjustRightInd w:val="0"/>
        <w:spacing w:line="580" w:lineRule="exact"/>
        <w:rPr>
          <w:rFonts w:ascii="宋体" w:hAnsi="宋体" w:cs="宋体"/>
          <w:b/>
          <w:sz w:val="24"/>
          <w:szCs w:val="24"/>
        </w:rPr>
      </w:pPr>
      <w:r>
        <w:rPr>
          <w:rFonts w:hint="eastAsia" w:ascii="宋体" w:hAnsi="宋体" w:cs="宋体"/>
          <w:b/>
          <w:sz w:val="24"/>
          <w:szCs w:val="24"/>
        </w:rPr>
        <w:t xml:space="preserve">                        </w:t>
      </w:r>
    </w:p>
    <w:p w14:paraId="41C73019">
      <w:pPr>
        <w:autoSpaceDE w:val="0"/>
        <w:autoSpaceDN w:val="0"/>
        <w:adjustRightInd w:val="0"/>
        <w:spacing w:line="580" w:lineRule="exact"/>
        <w:rPr>
          <w:rFonts w:ascii="宋体" w:hAnsi="宋体" w:cs="宋体"/>
          <w:b/>
          <w:sz w:val="24"/>
          <w:szCs w:val="24"/>
        </w:rPr>
      </w:pPr>
    </w:p>
    <w:p w14:paraId="324C20A1">
      <w:pPr>
        <w:pStyle w:val="44"/>
        <w:rPr>
          <w:rFonts w:ascii="宋体" w:hAnsi="宋体" w:cs="宋体"/>
          <w:b/>
        </w:rPr>
      </w:pPr>
    </w:p>
    <w:p w14:paraId="74799D2B">
      <w:pPr>
        <w:autoSpaceDE w:val="0"/>
        <w:autoSpaceDN w:val="0"/>
        <w:adjustRightInd w:val="0"/>
        <w:spacing w:line="580" w:lineRule="exact"/>
        <w:rPr>
          <w:rFonts w:ascii="宋体" w:hAnsi="宋体" w:cs="宋体"/>
          <w:b/>
          <w:sz w:val="24"/>
          <w:szCs w:val="24"/>
        </w:rPr>
      </w:pPr>
    </w:p>
    <w:p w14:paraId="2A00C224">
      <w:pPr>
        <w:autoSpaceDE w:val="0"/>
        <w:autoSpaceDN w:val="0"/>
        <w:adjustRightInd w:val="0"/>
        <w:spacing w:line="580" w:lineRule="exact"/>
        <w:rPr>
          <w:rFonts w:ascii="宋体" w:hAnsi="宋体" w:cs="宋体"/>
          <w:b/>
          <w:sz w:val="24"/>
          <w:szCs w:val="24"/>
        </w:rPr>
      </w:pPr>
    </w:p>
    <w:p w14:paraId="71BF776A">
      <w:pPr>
        <w:autoSpaceDE w:val="0"/>
        <w:autoSpaceDN w:val="0"/>
        <w:adjustRightInd w:val="0"/>
        <w:spacing w:line="580" w:lineRule="exact"/>
        <w:rPr>
          <w:rFonts w:ascii="宋体" w:hAnsi="宋体" w:cs="宋体"/>
          <w:b/>
          <w:sz w:val="24"/>
          <w:szCs w:val="24"/>
        </w:rPr>
      </w:pPr>
    </w:p>
    <w:p w14:paraId="7E0A0726">
      <w:pPr>
        <w:autoSpaceDE w:val="0"/>
        <w:autoSpaceDN w:val="0"/>
        <w:adjustRightInd w:val="0"/>
        <w:spacing w:line="580" w:lineRule="exact"/>
        <w:rPr>
          <w:rFonts w:ascii="宋体" w:hAnsi="宋体" w:cs="宋体"/>
          <w:b/>
          <w:sz w:val="24"/>
          <w:szCs w:val="24"/>
        </w:rPr>
      </w:pPr>
    </w:p>
    <w:p w14:paraId="621148B5">
      <w:pPr>
        <w:autoSpaceDE w:val="0"/>
        <w:autoSpaceDN w:val="0"/>
        <w:adjustRightInd w:val="0"/>
        <w:spacing w:line="580" w:lineRule="exact"/>
        <w:rPr>
          <w:rFonts w:ascii="宋体" w:hAnsi="宋体" w:cs="宋体"/>
          <w:b/>
          <w:sz w:val="28"/>
          <w:szCs w:val="28"/>
        </w:rPr>
      </w:pPr>
      <w:r>
        <w:rPr>
          <w:rFonts w:hint="eastAsia" w:ascii="宋体" w:hAnsi="宋体" w:cs="宋体"/>
          <w:b/>
          <w:sz w:val="24"/>
          <w:szCs w:val="24"/>
        </w:rPr>
        <w:t xml:space="preserve">       </w:t>
      </w:r>
      <w:r>
        <w:rPr>
          <w:rFonts w:hint="eastAsia" w:ascii="宋体" w:hAnsi="宋体" w:cs="宋体"/>
          <w:b/>
          <w:sz w:val="28"/>
          <w:szCs w:val="28"/>
        </w:rPr>
        <w:t>供应商名称:</w:t>
      </w:r>
      <w:r>
        <w:rPr>
          <w:rFonts w:hint="eastAsia" w:ascii="宋体" w:hAnsi="宋体" w:cs="宋体"/>
          <w:b/>
          <w:sz w:val="28"/>
          <w:szCs w:val="28"/>
          <w:u w:val="single"/>
        </w:rPr>
        <w:t xml:space="preserve">                          </w:t>
      </w:r>
      <w:r>
        <w:rPr>
          <w:rFonts w:hint="eastAsia" w:ascii="宋体" w:hAnsi="宋体" w:cs="宋体"/>
          <w:b/>
          <w:sz w:val="28"/>
          <w:szCs w:val="28"/>
        </w:rPr>
        <w:t>（电子签章)</w:t>
      </w:r>
    </w:p>
    <w:p w14:paraId="096965E9">
      <w:pPr>
        <w:autoSpaceDE w:val="0"/>
        <w:autoSpaceDN w:val="0"/>
        <w:adjustRightInd w:val="0"/>
        <w:spacing w:line="580" w:lineRule="exact"/>
        <w:rPr>
          <w:rFonts w:ascii="宋体" w:hAnsi="宋体" w:cs="宋体"/>
          <w:b/>
          <w:sz w:val="28"/>
          <w:szCs w:val="28"/>
        </w:rPr>
      </w:pPr>
      <w:r>
        <w:rPr>
          <w:rFonts w:hint="eastAsia" w:ascii="宋体" w:hAnsi="宋体" w:cs="宋体"/>
          <w:b/>
          <w:sz w:val="28"/>
          <w:szCs w:val="28"/>
        </w:rPr>
        <w:t xml:space="preserve">      法定代表人或其委托代理人：</w:t>
      </w:r>
      <w:r>
        <w:rPr>
          <w:rFonts w:hint="eastAsia" w:ascii="宋体" w:hAnsi="宋体" w:cs="宋体"/>
          <w:b/>
          <w:sz w:val="28"/>
          <w:szCs w:val="28"/>
          <w:u w:val="single"/>
        </w:rPr>
        <w:t xml:space="preserve">           </w:t>
      </w:r>
      <w:r>
        <w:rPr>
          <w:rFonts w:hint="eastAsia" w:ascii="宋体" w:hAnsi="宋体" w:cs="宋体"/>
          <w:b/>
          <w:sz w:val="28"/>
          <w:szCs w:val="28"/>
        </w:rPr>
        <w:t>（电子签字或电子签章）</w:t>
      </w:r>
    </w:p>
    <w:p w14:paraId="6095E033">
      <w:pPr>
        <w:autoSpaceDE w:val="0"/>
        <w:autoSpaceDN w:val="0"/>
        <w:adjustRightInd w:val="0"/>
        <w:spacing w:line="580" w:lineRule="exact"/>
        <w:rPr>
          <w:rFonts w:ascii="宋体" w:hAnsi="宋体" w:cs="宋体"/>
          <w:b/>
          <w:sz w:val="28"/>
          <w:szCs w:val="28"/>
          <w:u w:val="single"/>
        </w:rPr>
      </w:pPr>
      <w:r>
        <w:rPr>
          <w:rFonts w:hint="eastAsia" w:ascii="宋体" w:hAnsi="宋体" w:cs="宋体"/>
          <w:b/>
          <w:sz w:val="28"/>
          <w:szCs w:val="28"/>
        </w:rPr>
        <w:t xml:space="preserve">      联系电话：</w:t>
      </w:r>
      <w:r>
        <w:rPr>
          <w:rFonts w:hint="eastAsia" w:ascii="宋体" w:hAnsi="宋体" w:cs="宋体"/>
          <w:b/>
          <w:sz w:val="28"/>
          <w:szCs w:val="28"/>
          <w:u w:val="single"/>
        </w:rPr>
        <w:t xml:space="preserve">                            </w:t>
      </w:r>
    </w:p>
    <w:p w14:paraId="26B6DB6A">
      <w:pPr>
        <w:autoSpaceDE w:val="0"/>
        <w:autoSpaceDN w:val="0"/>
        <w:adjustRightInd w:val="0"/>
        <w:spacing w:line="580" w:lineRule="exac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0D63E917">
      <w:pPr>
        <w:pStyle w:val="10"/>
        <w:rPr>
          <w:rFonts w:ascii="宋体" w:hAnsi="宋体" w:cs="宋体"/>
          <w:sz w:val="28"/>
          <w:szCs w:val="28"/>
        </w:rPr>
      </w:pPr>
    </w:p>
    <w:p w14:paraId="49EFB568">
      <w:pPr>
        <w:pStyle w:val="50"/>
        <w:spacing w:line="360" w:lineRule="auto"/>
        <w:jc w:val="center"/>
        <w:outlineLvl w:val="9"/>
        <w:rPr>
          <w:rFonts w:ascii="宋体" w:hAnsi="宋体" w:eastAsia="宋体"/>
          <w:b/>
          <w:bCs/>
          <w:sz w:val="24"/>
          <w:szCs w:val="24"/>
        </w:rPr>
      </w:pPr>
      <w:r>
        <w:rPr>
          <w:rFonts w:hint="eastAsia" w:ascii="宋体" w:hAnsi="宋体" w:eastAsia="宋体"/>
          <w:b/>
          <w:bCs/>
          <w:sz w:val="24"/>
          <w:szCs w:val="24"/>
        </w:rPr>
        <w:t>目  录</w:t>
      </w:r>
    </w:p>
    <w:p w14:paraId="3863472B">
      <w:pPr>
        <w:pStyle w:val="10"/>
        <w:jc w:val="center"/>
        <w:rPr>
          <w:rFonts w:ascii="宋体" w:hAnsi="宋体" w:cs="宋体"/>
          <w:sz w:val="24"/>
          <w:szCs w:val="24"/>
        </w:rPr>
      </w:pPr>
      <w:r>
        <w:rPr>
          <w:rFonts w:hint="eastAsia" w:ascii="宋体" w:hAnsi="宋体" w:cs="宋体"/>
          <w:sz w:val="24"/>
          <w:szCs w:val="24"/>
        </w:rPr>
        <w:t>（格式自拟）</w:t>
      </w:r>
    </w:p>
    <w:p w14:paraId="3263025C">
      <w:pPr>
        <w:pStyle w:val="10"/>
        <w:rPr>
          <w:rFonts w:ascii="宋体" w:hAnsi="宋体" w:cs="宋体"/>
          <w:sz w:val="28"/>
          <w:szCs w:val="28"/>
        </w:rPr>
      </w:pPr>
    </w:p>
    <w:p w14:paraId="3A2A126C">
      <w:pPr>
        <w:rPr>
          <w:rFonts w:ascii="宋体" w:hAnsi="宋体" w:cs="宋体"/>
        </w:rPr>
      </w:pPr>
    </w:p>
    <w:p w14:paraId="3A69B095">
      <w:pPr>
        <w:pStyle w:val="10"/>
        <w:rPr>
          <w:rFonts w:ascii="宋体" w:hAnsi="宋体" w:cs="宋体"/>
        </w:rPr>
      </w:pPr>
    </w:p>
    <w:p w14:paraId="656316A5">
      <w:pPr>
        <w:rPr>
          <w:rFonts w:ascii="宋体" w:hAnsi="宋体" w:cs="宋体"/>
        </w:rPr>
      </w:pPr>
    </w:p>
    <w:p w14:paraId="1779072F">
      <w:pPr>
        <w:pStyle w:val="10"/>
        <w:rPr>
          <w:rFonts w:ascii="宋体" w:hAnsi="宋体" w:cs="宋体"/>
        </w:rPr>
      </w:pPr>
    </w:p>
    <w:p w14:paraId="5A316557">
      <w:pPr>
        <w:rPr>
          <w:rFonts w:ascii="宋体" w:hAnsi="宋体" w:cs="宋体"/>
        </w:rPr>
      </w:pPr>
    </w:p>
    <w:p w14:paraId="715AAA19">
      <w:pPr>
        <w:pStyle w:val="10"/>
        <w:rPr>
          <w:rFonts w:ascii="宋体" w:hAnsi="宋体" w:cs="宋体"/>
        </w:rPr>
      </w:pPr>
    </w:p>
    <w:p w14:paraId="67EDC512">
      <w:pPr>
        <w:rPr>
          <w:rFonts w:ascii="宋体" w:hAnsi="宋体" w:cs="宋体"/>
        </w:rPr>
      </w:pPr>
    </w:p>
    <w:p w14:paraId="56A57A8D">
      <w:pPr>
        <w:pStyle w:val="10"/>
        <w:rPr>
          <w:rFonts w:ascii="宋体" w:hAnsi="宋体" w:cs="宋体"/>
        </w:rPr>
      </w:pPr>
    </w:p>
    <w:p w14:paraId="59A7B1A7">
      <w:pPr>
        <w:rPr>
          <w:rFonts w:ascii="宋体" w:hAnsi="宋体" w:cs="宋体"/>
        </w:rPr>
      </w:pPr>
    </w:p>
    <w:p w14:paraId="0CE07161">
      <w:pPr>
        <w:pStyle w:val="10"/>
        <w:rPr>
          <w:rFonts w:ascii="宋体" w:hAnsi="宋体" w:cs="宋体"/>
        </w:rPr>
      </w:pPr>
    </w:p>
    <w:p w14:paraId="605C83DA">
      <w:pPr>
        <w:rPr>
          <w:rFonts w:ascii="宋体" w:hAnsi="宋体" w:cs="宋体"/>
        </w:rPr>
      </w:pPr>
    </w:p>
    <w:p w14:paraId="33A6DDAD">
      <w:pPr>
        <w:pStyle w:val="10"/>
        <w:rPr>
          <w:rFonts w:ascii="宋体" w:hAnsi="宋体" w:cs="宋体"/>
        </w:rPr>
      </w:pPr>
    </w:p>
    <w:p w14:paraId="016F3894">
      <w:pPr>
        <w:rPr>
          <w:rFonts w:ascii="宋体" w:hAnsi="宋体" w:cs="宋体"/>
        </w:rPr>
      </w:pPr>
    </w:p>
    <w:p w14:paraId="45AFDB68">
      <w:pPr>
        <w:pStyle w:val="10"/>
        <w:rPr>
          <w:rFonts w:ascii="宋体" w:hAnsi="宋体" w:cs="宋体"/>
        </w:rPr>
      </w:pPr>
    </w:p>
    <w:p w14:paraId="4A0BB717">
      <w:pPr>
        <w:rPr>
          <w:rFonts w:ascii="宋体" w:hAnsi="宋体" w:cs="宋体"/>
        </w:rPr>
      </w:pPr>
    </w:p>
    <w:p w14:paraId="65EB3321">
      <w:pPr>
        <w:pStyle w:val="10"/>
        <w:rPr>
          <w:rFonts w:ascii="宋体" w:hAnsi="宋体" w:cs="宋体"/>
        </w:rPr>
      </w:pPr>
    </w:p>
    <w:p w14:paraId="07F23773">
      <w:pPr>
        <w:rPr>
          <w:rFonts w:ascii="宋体" w:hAnsi="宋体" w:cs="宋体"/>
        </w:rPr>
      </w:pPr>
    </w:p>
    <w:p w14:paraId="039DB99D">
      <w:pPr>
        <w:pStyle w:val="10"/>
        <w:rPr>
          <w:rFonts w:ascii="宋体" w:hAnsi="宋体" w:cs="宋体"/>
        </w:rPr>
      </w:pPr>
    </w:p>
    <w:p w14:paraId="0437CC39">
      <w:pPr>
        <w:rPr>
          <w:rFonts w:ascii="宋体" w:hAnsi="宋体" w:cs="宋体"/>
        </w:rPr>
      </w:pPr>
    </w:p>
    <w:p w14:paraId="608AB2FE">
      <w:pPr>
        <w:pStyle w:val="10"/>
        <w:rPr>
          <w:rFonts w:ascii="宋体" w:hAnsi="宋体" w:cs="宋体"/>
        </w:rPr>
      </w:pPr>
    </w:p>
    <w:p w14:paraId="4D549072">
      <w:pPr>
        <w:rPr>
          <w:rFonts w:ascii="宋体" w:hAnsi="宋体" w:cs="宋体"/>
        </w:rPr>
      </w:pPr>
    </w:p>
    <w:p w14:paraId="29C5EB6C">
      <w:pPr>
        <w:pStyle w:val="10"/>
        <w:rPr>
          <w:rFonts w:ascii="宋体" w:hAnsi="宋体" w:cs="宋体"/>
        </w:rPr>
      </w:pPr>
    </w:p>
    <w:p w14:paraId="7DBF9FFD">
      <w:pPr>
        <w:rPr>
          <w:rFonts w:ascii="宋体" w:hAnsi="宋体" w:cs="宋体"/>
        </w:rPr>
      </w:pPr>
    </w:p>
    <w:p w14:paraId="4BB2280D">
      <w:pPr>
        <w:pStyle w:val="10"/>
        <w:rPr>
          <w:rFonts w:ascii="宋体" w:hAnsi="宋体" w:cs="宋体"/>
        </w:rPr>
      </w:pPr>
    </w:p>
    <w:p w14:paraId="7F603CC2">
      <w:pPr>
        <w:rPr>
          <w:rFonts w:ascii="宋体" w:hAnsi="宋体" w:cs="宋体"/>
        </w:rPr>
      </w:pPr>
    </w:p>
    <w:p w14:paraId="35718181">
      <w:pPr>
        <w:pStyle w:val="10"/>
        <w:rPr>
          <w:rFonts w:ascii="宋体" w:hAnsi="宋体" w:cs="宋体"/>
        </w:rPr>
      </w:pPr>
    </w:p>
    <w:p w14:paraId="1D7158E1">
      <w:pPr>
        <w:rPr>
          <w:rFonts w:ascii="宋体" w:hAnsi="宋体" w:cs="宋体"/>
        </w:rPr>
      </w:pPr>
    </w:p>
    <w:p w14:paraId="6635C897">
      <w:pPr>
        <w:pStyle w:val="10"/>
        <w:rPr>
          <w:rFonts w:ascii="宋体" w:hAnsi="宋体" w:cs="宋体"/>
        </w:rPr>
      </w:pPr>
    </w:p>
    <w:p w14:paraId="2D8AD544">
      <w:pPr>
        <w:rPr>
          <w:rFonts w:ascii="宋体" w:hAnsi="宋体" w:cs="宋体"/>
        </w:rPr>
      </w:pPr>
    </w:p>
    <w:p w14:paraId="24D6472A">
      <w:pPr>
        <w:pStyle w:val="10"/>
        <w:rPr>
          <w:rFonts w:ascii="宋体" w:hAnsi="宋体" w:cs="宋体"/>
        </w:rPr>
      </w:pPr>
    </w:p>
    <w:p w14:paraId="76FAA374">
      <w:pPr>
        <w:rPr>
          <w:rFonts w:ascii="宋体" w:hAnsi="宋体" w:cs="宋体"/>
        </w:rPr>
      </w:pPr>
    </w:p>
    <w:p w14:paraId="34756651">
      <w:pPr>
        <w:pStyle w:val="10"/>
        <w:rPr>
          <w:rFonts w:ascii="宋体" w:hAnsi="宋体" w:cs="宋体"/>
          <w:sz w:val="18"/>
          <w:szCs w:val="18"/>
        </w:rPr>
      </w:pPr>
    </w:p>
    <w:p w14:paraId="709A7989">
      <w:pPr>
        <w:rPr>
          <w:rFonts w:ascii="宋体" w:hAnsi="宋体" w:cs="宋体"/>
          <w:sz w:val="18"/>
          <w:szCs w:val="18"/>
        </w:rPr>
      </w:pPr>
    </w:p>
    <w:p w14:paraId="08373935">
      <w:pPr>
        <w:pStyle w:val="10"/>
        <w:rPr>
          <w:rFonts w:ascii="宋体" w:hAnsi="宋体" w:cs="宋体"/>
        </w:rPr>
      </w:pPr>
    </w:p>
    <w:p w14:paraId="7D6F8EAE">
      <w:pPr>
        <w:rPr>
          <w:rFonts w:ascii="宋体" w:hAnsi="宋体" w:cs="宋体"/>
        </w:rPr>
      </w:pPr>
    </w:p>
    <w:p w14:paraId="03280C50">
      <w:pPr>
        <w:pStyle w:val="10"/>
        <w:rPr>
          <w:rFonts w:ascii="宋体" w:hAnsi="宋体" w:cs="宋体"/>
        </w:rPr>
      </w:pPr>
    </w:p>
    <w:p w14:paraId="6A16F39B">
      <w:pPr>
        <w:rPr>
          <w:rFonts w:ascii="宋体" w:hAnsi="宋体" w:cs="宋体"/>
        </w:rPr>
      </w:pPr>
    </w:p>
    <w:p w14:paraId="5F1595F2">
      <w:pPr>
        <w:pStyle w:val="10"/>
        <w:rPr>
          <w:rFonts w:ascii="宋体" w:hAnsi="宋体" w:cs="宋体"/>
        </w:rPr>
      </w:pPr>
    </w:p>
    <w:p w14:paraId="2DD28A68">
      <w:pPr>
        <w:rPr>
          <w:rFonts w:ascii="宋体" w:hAnsi="宋体" w:cs="宋体"/>
        </w:rPr>
      </w:pPr>
    </w:p>
    <w:p w14:paraId="5162BCF6">
      <w:pPr>
        <w:pStyle w:val="10"/>
        <w:rPr>
          <w:rFonts w:ascii="宋体" w:hAnsi="宋体" w:cs="宋体"/>
        </w:rPr>
      </w:pPr>
    </w:p>
    <w:p w14:paraId="336DD149">
      <w:pPr>
        <w:rPr>
          <w:rFonts w:ascii="宋体" w:hAnsi="宋体" w:cs="宋体"/>
        </w:rPr>
      </w:pPr>
    </w:p>
    <w:p w14:paraId="40045600">
      <w:pPr>
        <w:pStyle w:val="10"/>
        <w:rPr>
          <w:rFonts w:ascii="宋体" w:hAnsi="宋体" w:cs="宋体"/>
        </w:rPr>
      </w:pPr>
    </w:p>
    <w:p w14:paraId="4726D36C">
      <w:pPr>
        <w:rPr>
          <w:rFonts w:ascii="宋体" w:hAnsi="宋体" w:cs="宋体"/>
        </w:rPr>
      </w:pPr>
    </w:p>
    <w:p w14:paraId="74DC08E6">
      <w:pPr>
        <w:pStyle w:val="50"/>
        <w:spacing w:line="360" w:lineRule="auto"/>
        <w:jc w:val="center"/>
        <w:outlineLvl w:val="9"/>
        <w:rPr>
          <w:rFonts w:ascii="宋体" w:hAnsi="宋体" w:eastAsia="宋体"/>
          <w:b/>
          <w:bCs/>
          <w:szCs w:val="28"/>
        </w:rPr>
      </w:pPr>
      <w:bookmarkStart w:id="108" w:name="_Toc12852"/>
      <w:bookmarkStart w:id="109" w:name="_Toc25160341"/>
      <w:bookmarkStart w:id="110" w:name="_Toc25160853"/>
      <w:r>
        <w:rPr>
          <w:rFonts w:hint="eastAsia" w:ascii="宋体" w:hAnsi="宋体" w:eastAsia="宋体"/>
          <w:b/>
          <w:bCs/>
          <w:szCs w:val="28"/>
        </w:rPr>
        <w:t>一、磋商函及磋商函附录</w:t>
      </w:r>
      <w:bookmarkEnd w:id="108"/>
      <w:bookmarkEnd w:id="109"/>
      <w:bookmarkEnd w:id="110"/>
    </w:p>
    <w:p w14:paraId="56AB998A">
      <w:pPr>
        <w:pStyle w:val="47"/>
        <w:spacing w:line="360" w:lineRule="auto"/>
        <w:jc w:val="center"/>
        <w:outlineLvl w:val="9"/>
        <w:rPr>
          <w:rFonts w:ascii="宋体" w:hAnsi="宋体" w:eastAsia="宋体"/>
          <w:szCs w:val="24"/>
        </w:rPr>
      </w:pPr>
      <w:bookmarkStart w:id="111" w:name="_Toc20785"/>
      <w:bookmarkStart w:id="112" w:name="_Toc25160854"/>
      <w:r>
        <w:rPr>
          <w:rFonts w:hint="eastAsia" w:ascii="宋体" w:hAnsi="宋体" w:eastAsia="宋体"/>
          <w:szCs w:val="24"/>
        </w:rPr>
        <w:t>（一）磋商函</w:t>
      </w:r>
      <w:bookmarkEnd w:id="111"/>
      <w:bookmarkEnd w:id="112"/>
    </w:p>
    <w:p w14:paraId="64B4DEF8">
      <w:pPr>
        <w:spacing w:line="360" w:lineRule="auto"/>
        <w:rPr>
          <w:rFonts w:ascii="宋体" w:hAnsi="宋体" w:cs="宋体"/>
          <w:sz w:val="24"/>
          <w:szCs w:val="24"/>
          <w:highlight w:val="yellow"/>
        </w:rPr>
      </w:pPr>
      <w:r>
        <w:rPr>
          <w:rFonts w:hint="eastAsia" w:ascii="宋体" w:hAnsi="宋体" w:cs="宋体"/>
          <w:sz w:val="24"/>
          <w:szCs w:val="24"/>
          <w:u w:val="single"/>
        </w:rPr>
        <w:t xml:space="preserve">                </w:t>
      </w:r>
      <w:r>
        <w:rPr>
          <w:rFonts w:hint="eastAsia" w:ascii="宋体" w:hAnsi="宋体" w:cs="宋体"/>
          <w:sz w:val="24"/>
          <w:szCs w:val="24"/>
        </w:rPr>
        <w:t>（采购人名称）：</w:t>
      </w:r>
    </w:p>
    <w:p w14:paraId="39FE0CC9">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1．我方已仔细研究了</w:t>
      </w:r>
      <w:r>
        <w:rPr>
          <w:rFonts w:hint="eastAsia" w:ascii="宋体" w:hAnsi="宋体" w:cs="宋体"/>
          <w:sz w:val="24"/>
          <w:szCs w:val="24"/>
          <w:u w:val="single"/>
        </w:rPr>
        <w:t xml:space="preserve">          </w:t>
      </w:r>
      <w:r>
        <w:rPr>
          <w:rFonts w:hint="eastAsia" w:ascii="宋体" w:hAnsi="宋体" w:cs="宋体"/>
          <w:sz w:val="24"/>
          <w:szCs w:val="24"/>
        </w:rPr>
        <w:t>（项目名称）竞争性磋商文件的全部内容，愿意以人民币（大写）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 xml:space="preserve"> 元）的投标总报价，</w:t>
      </w:r>
      <w:r>
        <w:rPr>
          <w:rFonts w:hint="eastAsia" w:ascii="宋体" w:hAnsi="宋体" w:cs="宋体"/>
          <w:sz w:val="24"/>
          <w:szCs w:val="21"/>
        </w:rPr>
        <w:t>作为首次磋商报价，服务期限</w:t>
      </w:r>
      <w:r>
        <w:rPr>
          <w:rFonts w:hint="eastAsia" w:ascii="宋体" w:hAnsi="宋体" w:cs="宋体"/>
          <w:sz w:val="24"/>
          <w:szCs w:val="24"/>
          <w:u w:val="single"/>
        </w:rPr>
        <w:t xml:space="preserve">        </w:t>
      </w:r>
      <w:r>
        <w:rPr>
          <w:rFonts w:hint="eastAsia" w:ascii="宋体" w:hAnsi="宋体" w:cs="宋体"/>
          <w:sz w:val="24"/>
          <w:szCs w:val="24"/>
        </w:rPr>
        <w:t>年，按合同约定实施和完成本项目服务，服务质量</w:t>
      </w:r>
      <w:r>
        <w:rPr>
          <w:rFonts w:hint="eastAsia" w:ascii="宋体" w:hAnsi="宋体" w:cs="宋体"/>
          <w:sz w:val="24"/>
          <w:szCs w:val="24"/>
          <w:u w:val="single"/>
        </w:rPr>
        <w:t xml:space="preserve">           </w:t>
      </w:r>
      <w:r>
        <w:rPr>
          <w:rFonts w:hint="eastAsia" w:ascii="宋体" w:hAnsi="宋体" w:cs="宋体"/>
          <w:sz w:val="24"/>
          <w:szCs w:val="24"/>
        </w:rPr>
        <w:t xml:space="preserve"> 。</w:t>
      </w:r>
    </w:p>
    <w:p w14:paraId="6AAF0355">
      <w:pPr>
        <w:spacing w:line="360" w:lineRule="auto"/>
        <w:ind w:firstLine="480" w:firstLineChars="200"/>
        <w:rPr>
          <w:rFonts w:ascii="宋体" w:hAnsi="宋体" w:cs="宋体"/>
          <w:sz w:val="24"/>
          <w:szCs w:val="24"/>
        </w:rPr>
      </w:pPr>
      <w:r>
        <w:rPr>
          <w:rFonts w:hint="eastAsia" w:ascii="宋体" w:hAnsi="宋体" w:cs="宋体"/>
          <w:sz w:val="24"/>
          <w:szCs w:val="24"/>
        </w:rPr>
        <w:t>2．我方承诺在磋商有效期内不修改、撤销响应文件。</w:t>
      </w:r>
    </w:p>
    <w:p w14:paraId="5BD48697">
      <w:pPr>
        <w:spacing w:line="360" w:lineRule="auto"/>
        <w:ind w:firstLine="480" w:firstLineChars="200"/>
        <w:rPr>
          <w:rFonts w:ascii="宋体" w:hAnsi="宋体" w:cs="宋体"/>
          <w:sz w:val="24"/>
          <w:szCs w:val="24"/>
        </w:rPr>
      </w:pPr>
      <w:r>
        <w:rPr>
          <w:rFonts w:hint="eastAsia" w:ascii="宋体" w:hAnsi="宋体" w:cs="宋体"/>
          <w:sz w:val="24"/>
          <w:szCs w:val="24"/>
        </w:rPr>
        <w:t>3．如我方中标：</w:t>
      </w:r>
    </w:p>
    <w:p w14:paraId="627835D5">
      <w:pPr>
        <w:spacing w:line="360" w:lineRule="auto"/>
        <w:ind w:firstLine="638" w:firstLineChars="266"/>
        <w:rPr>
          <w:rFonts w:ascii="宋体" w:hAnsi="宋体" w:cs="宋体"/>
          <w:sz w:val="24"/>
          <w:szCs w:val="24"/>
        </w:rPr>
      </w:pPr>
      <w:r>
        <w:rPr>
          <w:rFonts w:hint="eastAsia" w:ascii="宋体" w:hAnsi="宋体" w:cs="宋体"/>
          <w:sz w:val="24"/>
          <w:szCs w:val="24"/>
        </w:rPr>
        <w:t>（1）我方承诺在收到成交通知书后，在成交通知书规定的期限内与你方签订合同。</w:t>
      </w:r>
    </w:p>
    <w:p w14:paraId="111671F2">
      <w:pPr>
        <w:spacing w:line="360" w:lineRule="auto"/>
        <w:ind w:firstLine="638" w:firstLineChars="266"/>
        <w:rPr>
          <w:rFonts w:ascii="宋体" w:hAnsi="宋体" w:cs="宋体"/>
          <w:sz w:val="24"/>
          <w:szCs w:val="24"/>
        </w:rPr>
      </w:pPr>
      <w:r>
        <w:rPr>
          <w:rFonts w:hint="eastAsia" w:ascii="宋体" w:hAnsi="宋体" w:cs="宋体"/>
          <w:sz w:val="24"/>
          <w:szCs w:val="24"/>
        </w:rPr>
        <w:t>（2）随同本磋商函递交的磋商函附录属于合同文件的组成部分。</w:t>
      </w:r>
    </w:p>
    <w:p w14:paraId="1887F9B5">
      <w:pPr>
        <w:spacing w:line="360" w:lineRule="auto"/>
        <w:ind w:firstLine="638" w:firstLineChars="266"/>
        <w:rPr>
          <w:rFonts w:ascii="宋体" w:hAnsi="宋体" w:cs="宋体"/>
          <w:sz w:val="24"/>
          <w:szCs w:val="24"/>
        </w:rPr>
      </w:pPr>
      <w:r>
        <w:rPr>
          <w:rFonts w:hint="eastAsia" w:ascii="宋体" w:hAnsi="宋体" w:cs="宋体"/>
          <w:sz w:val="24"/>
          <w:szCs w:val="24"/>
        </w:rPr>
        <w:t>（3）</w:t>
      </w:r>
      <w:r>
        <w:rPr>
          <w:rFonts w:hint="eastAsia" w:ascii="宋体" w:hAnsi="宋体" w:cs="宋体"/>
          <w:sz w:val="24"/>
        </w:rPr>
        <w:t>我方承诺在合同约定的期限内完成合同规定的全部义务。</w:t>
      </w:r>
    </w:p>
    <w:p w14:paraId="4D9CD30B">
      <w:pPr>
        <w:spacing w:line="360" w:lineRule="auto"/>
        <w:ind w:firstLine="638" w:firstLineChars="266"/>
        <w:rPr>
          <w:rFonts w:ascii="宋体" w:hAnsi="宋体" w:cs="宋体"/>
          <w:sz w:val="24"/>
          <w:szCs w:val="24"/>
        </w:rPr>
      </w:pPr>
      <w:r>
        <w:rPr>
          <w:rFonts w:hint="eastAsia" w:ascii="宋体" w:hAnsi="宋体" w:cs="宋体"/>
          <w:sz w:val="24"/>
          <w:szCs w:val="24"/>
        </w:rPr>
        <w:t>（4）我方承诺在磋商有效期内不修改、不撤回响应文件。</w:t>
      </w:r>
    </w:p>
    <w:p w14:paraId="5A25AC18">
      <w:pPr>
        <w:spacing w:line="360" w:lineRule="auto"/>
        <w:ind w:firstLine="638" w:firstLineChars="266"/>
        <w:rPr>
          <w:rFonts w:ascii="宋体" w:hAnsi="宋体" w:cs="宋体"/>
          <w:sz w:val="24"/>
          <w:szCs w:val="24"/>
        </w:rPr>
      </w:pPr>
      <w:r>
        <w:rPr>
          <w:rFonts w:hint="eastAsia" w:ascii="宋体" w:hAnsi="宋体" w:cs="宋体"/>
          <w:sz w:val="24"/>
          <w:szCs w:val="24"/>
        </w:rPr>
        <w:t>（5）我方已详细审查全部招标文件，包括修改文件（如有）及全部参考资料和附件，我们完全理解并同意放弃对这方面有不明及误解的权力。</w:t>
      </w:r>
    </w:p>
    <w:p w14:paraId="59A8D486">
      <w:pPr>
        <w:spacing w:line="360" w:lineRule="auto"/>
        <w:ind w:firstLine="638" w:firstLineChars="266"/>
        <w:rPr>
          <w:rFonts w:ascii="宋体" w:hAnsi="宋体" w:cs="宋体"/>
          <w:sz w:val="24"/>
          <w:szCs w:val="24"/>
        </w:rPr>
      </w:pPr>
      <w:r>
        <w:rPr>
          <w:rFonts w:hint="eastAsia" w:ascii="宋体" w:hAnsi="宋体" w:cs="宋体"/>
          <w:sz w:val="24"/>
          <w:szCs w:val="24"/>
        </w:rPr>
        <w:t>4．我方在此声明，所递交的响应文件及有关资料内容完整、真实和准确，且不存在虚假情形。</w:t>
      </w:r>
    </w:p>
    <w:p w14:paraId="70F1B8E6">
      <w:pPr>
        <w:spacing w:line="360" w:lineRule="auto"/>
        <w:ind w:firstLine="480" w:firstLineChars="200"/>
        <w:rPr>
          <w:rFonts w:ascii="宋体" w:hAnsi="宋体" w:cs="宋体"/>
          <w:sz w:val="24"/>
          <w:szCs w:val="24"/>
        </w:rPr>
      </w:pPr>
      <w:r>
        <w:rPr>
          <w:rFonts w:hint="eastAsia" w:ascii="宋体" w:hAnsi="宋体" w:cs="宋体"/>
          <w:sz w:val="24"/>
          <w:szCs w:val="24"/>
        </w:rPr>
        <w:t xml:space="preserve">5．其他补充说明： </w:t>
      </w:r>
      <w:r>
        <w:rPr>
          <w:rFonts w:hint="eastAsia" w:ascii="宋体" w:hAnsi="宋体" w:cs="宋体"/>
          <w:sz w:val="24"/>
          <w:szCs w:val="24"/>
          <w:u w:val="single"/>
        </w:rPr>
        <w:t xml:space="preserve">                               </w:t>
      </w:r>
      <w:r>
        <w:rPr>
          <w:rFonts w:hint="eastAsia" w:ascii="宋体" w:hAnsi="宋体" w:cs="宋体"/>
          <w:sz w:val="24"/>
          <w:szCs w:val="24"/>
        </w:rPr>
        <w:t>。</w:t>
      </w:r>
    </w:p>
    <w:p w14:paraId="3161D736">
      <w:pPr>
        <w:spacing w:line="440" w:lineRule="exact"/>
        <w:rPr>
          <w:rFonts w:ascii="宋体" w:hAnsi="宋体" w:cs="宋体"/>
          <w:sz w:val="24"/>
          <w:szCs w:val="24"/>
        </w:rPr>
      </w:pPr>
    </w:p>
    <w:p w14:paraId="36E8938A">
      <w:pPr>
        <w:spacing w:line="480" w:lineRule="auto"/>
        <w:ind w:firstLine="2880" w:firstLineChars="120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（电子签章）</w:t>
      </w:r>
    </w:p>
    <w:p w14:paraId="5CC901A1">
      <w:pPr>
        <w:spacing w:line="480" w:lineRule="auto"/>
        <w:jc w:val="right"/>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（电子签字或电子签章）</w:t>
      </w:r>
    </w:p>
    <w:p w14:paraId="474C39AA">
      <w:pPr>
        <w:spacing w:line="480" w:lineRule="auto"/>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429DA0C">
      <w:pPr>
        <w:pStyle w:val="16"/>
        <w:rPr>
          <w:rFonts w:cs="宋体"/>
        </w:rPr>
      </w:pPr>
    </w:p>
    <w:p w14:paraId="0FF79A1A">
      <w:pPr>
        <w:pStyle w:val="16"/>
        <w:rPr>
          <w:rFonts w:cs="宋体"/>
        </w:rPr>
      </w:pPr>
    </w:p>
    <w:p w14:paraId="276FE90E">
      <w:pPr>
        <w:pStyle w:val="16"/>
        <w:rPr>
          <w:rFonts w:cs="宋体"/>
        </w:rPr>
      </w:pPr>
    </w:p>
    <w:p w14:paraId="7D5D8232">
      <w:pPr>
        <w:rPr>
          <w:rFonts w:ascii="宋体" w:hAnsi="宋体" w:cs="宋体"/>
        </w:rPr>
      </w:pPr>
    </w:p>
    <w:p w14:paraId="27064A12">
      <w:pPr>
        <w:pStyle w:val="26"/>
        <w:ind w:firstLine="540"/>
        <w:rPr>
          <w:rFonts w:ascii="宋体" w:hAnsi="宋体" w:eastAsia="宋体" w:cs="宋体"/>
        </w:rPr>
      </w:pPr>
    </w:p>
    <w:p w14:paraId="7209F8EF">
      <w:pPr>
        <w:pStyle w:val="16"/>
        <w:rPr>
          <w:rFonts w:cs="宋体"/>
        </w:rPr>
      </w:pPr>
    </w:p>
    <w:p w14:paraId="66CF24B8">
      <w:pPr>
        <w:pStyle w:val="47"/>
        <w:spacing w:line="360" w:lineRule="auto"/>
        <w:jc w:val="center"/>
        <w:outlineLvl w:val="9"/>
        <w:rPr>
          <w:rFonts w:ascii="宋体" w:hAnsi="宋体" w:eastAsia="宋体"/>
          <w:szCs w:val="24"/>
        </w:rPr>
      </w:pPr>
      <w:bookmarkStart w:id="113" w:name="_Toc9269"/>
      <w:bookmarkStart w:id="114" w:name="_Toc25160855"/>
      <w:r>
        <w:rPr>
          <w:rFonts w:hint="eastAsia" w:ascii="宋体" w:hAnsi="宋体" w:eastAsia="宋体"/>
          <w:szCs w:val="24"/>
        </w:rPr>
        <w:t>（二）磋商函附录</w:t>
      </w:r>
      <w:bookmarkEnd w:id="113"/>
      <w:bookmarkEnd w:id="114"/>
    </w:p>
    <w:p w14:paraId="0E2898D9">
      <w:pPr>
        <w:pStyle w:val="14"/>
        <w:ind w:firstLine="120" w:firstLineChars="50"/>
        <w:jc w:val="center"/>
        <w:rPr>
          <w:rFonts w:hint="default" w:hAnsi="宋体" w:cs="宋体"/>
          <w:sz w:val="24"/>
          <w:szCs w:val="24"/>
        </w:rPr>
      </w:pPr>
      <w:r>
        <w:rPr>
          <w:rFonts w:hAnsi="宋体" w:cs="宋体"/>
          <w:sz w:val="24"/>
          <w:szCs w:val="24"/>
        </w:rPr>
        <w:t xml:space="preserve">                                                       </w:t>
      </w:r>
    </w:p>
    <w:p w14:paraId="731B8F55">
      <w:pPr>
        <w:pStyle w:val="14"/>
        <w:ind w:firstLine="120" w:firstLineChars="50"/>
        <w:jc w:val="right"/>
        <w:rPr>
          <w:rFonts w:hint="default" w:hAnsi="宋体" w:cs="宋体"/>
          <w:sz w:val="24"/>
          <w:szCs w:val="24"/>
        </w:rPr>
      </w:pPr>
      <w:r>
        <w:rPr>
          <w:rFonts w:hAnsi="宋体" w:cs="宋体"/>
          <w:sz w:val="24"/>
          <w:szCs w:val="24"/>
        </w:rPr>
        <w:t xml:space="preserve">                               </w:t>
      </w:r>
    </w:p>
    <w:tbl>
      <w:tblPr>
        <w:tblStyle w:val="2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5890"/>
      </w:tblGrid>
      <w:tr w14:paraId="7E18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89" w:type="dxa"/>
            <w:vAlign w:val="center"/>
          </w:tcPr>
          <w:p w14:paraId="055EF20D">
            <w:pPr>
              <w:ind w:left="30"/>
              <w:jc w:val="center"/>
              <w:rPr>
                <w:rFonts w:ascii="宋体" w:hAnsi="宋体" w:cs="宋体"/>
                <w:sz w:val="24"/>
                <w:szCs w:val="24"/>
              </w:rPr>
            </w:pPr>
            <w:r>
              <w:rPr>
                <w:rFonts w:hint="eastAsia" w:ascii="宋体" w:hAnsi="宋体" w:cs="宋体"/>
                <w:sz w:val="24"/>
                <w:szCs w:val="24"/>
              </w:rPr>
              <w:t>项目名称</w:t>
            </w:r>
          </w:p>
        </w:tc>
        <w:tc>
          <w:tcPr>
            <w:tcW w:w="5890" w:type="dxa"/>
            <w:vAlign w:val="center"/>
          </w:tcPr>
          <w:p w14:paraId="185CA393">
            <w:pPr>
              <w:pStyle w:val="14"/>
              <w:jc w:val="center"/>
              <w:rPr>
                <w:rFonts w:hint="default" w:hAnsi="宋体" w:cs="宋体"/>
                <w:sz w:val="24"/>
                <w:szCs w:val="24"/>
              </w:rPr>
            </w:pPr>
          </w:p>
        </w:tc>
      </w:tr>
      <w:tr w14:paraId="23FF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3389" w:type="dxa"/>
            <w:vAlign w:val="center"/>
          </w:tcPr>
          <w:p w14:paraId="69077E7E">
            <w:pPr>
              <w:jc w:val="center"/>
              <w:rPr>
                <w:rFonts w:ascii="宋体" w:hAnsi="宋体" w:cs="宋体"/>
                <w:sz w:val="24"/>
                <w:szCs w:val="24"/>
              </w:rPr>
            </w:pPr>
            <w:r>
              <w:rPr>
                <w:rFonts w:hint="eastAsia" w:ascii="宋体" w:hAnsi="宋体" w:cs="宋体"/>
                <w:sz w:val="24"/>
                <w:szCs w:val="24"/>
              </w:rPr>
              <w:t>供应商名称</w:t>
            </w:r>
          </w:p>
        </w:tc>
        <w:tc>
          <w:tcPr>
            <w:tcW w:w="5890" w:type="dxa"/>
            <w:vAlign w:val="center"/>
          </w:tcPr>
          <w:p w14:paraId="5F939D86">
            <w:pPr>
              <w:spacing w:line="360" w:lineRule="auto"/>
              <w:ind w:firstLine="480" w:firstLineChars="200"/>
              <w:rPr>
                <w:rFonts w:ascii="宋体" w:hAnsi="宋体" w:cs="宋体"/>
                <w:sz w:val="24"/>
                <w:szCs w:val="24"/>
              </w:rPr>
            </w:pPr>
          </w:p>
        </w:tc>
      </w:tr>
      <w:tr w14:paraId="47F8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3389" w:type="dxa"/>
            <w:vAlign w:val="center"/>
          </w:tcPr>
          <w:p w14:paraId="28E3BDDA">
            <w:pPr>
              <w:jc w:val="center"/>
              <w:rPr>
                <w:rFonts w:ascii="宋体" w:hAnsi="宋体" w:cs="宋体"/>
                <w:sz w:val="24"/>
                <w:szCs w:val="24"/>
              </w:rPr>
            </w:pPr>
            <w:r>
              <w:rPr>
                <w:rFonts w:hint="eastAsia" w:ascii="宋体" w:hAnsi="宋体" w:cs="宋体"/>
                <w:sz w:val="24"/>
                <w:szCs w:val="24"/>
              </w:rPr>
              <w:t>投标内容（采购内容）</w:t>
            </w:r>
          </w:p>
        </w:tc>
        <w:tc>
          <w:tcPr>
            <w:tcW w:w="5890" w:type="dxa"/>
            <w:vAlign w:val="center"/>
          </w:tcPr>
          <w:p w14:paraId="57A9A086">
            <w:pPr>
              <w:spacing w:line="360" w:lineRule="auto"/>
              <w:ind w:firstLine="480" w:firstLineChars="200"/>
              <w:rPr>
                <w:rFonts w:ascii="宋体" w:hAnsi="宋体" w:cs="宋体"/>
                <w:sz w:val="24"/>
                <w:szCs w:val="24"/>
              </w:rPr>
            </w:pPr>
          </w:p>
        </w:tc>
      </w:tr>
      <w:tr w14:paraId="747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3389" w:type="dxa"/>
            <w:vAlign w:val="center"/>
          </w:tcPr>
          <w:p w14:paraId="035BB2C0">
            <w:pPr>
              <w:jc w:val="center"/>
              <w:rPr>
                <w:rFonts w:ascii="宋体" w:hAnsi="宋体" w:cs="宋体"/>
                <w:sz w:val="24"/>
                <w:szCs w:val="24"/>
              </w:rPr>
            </w:pPr>
            <w:r>
              <w:rPr>
                <w:rFonts w:hint="eastAsia" w:ascii="宋体" w:hAnsi="宋体" w:cs="宋体"/>
                <w:sz w:val="24"/>
                <w:szCs w:val="24"/>
              </w:rPr>
              <w:t>首次磋商总报价（元）</w:t>
            </w:r>
          </w:p>
        </w:tc>
        <w:tc>
          <w:tcPr>
            <w:tcW w:w="5890" w:type="dxa"/>
            <w:vAlign w:val="center"/>
          </w:tcPr>
          <w:p w14:paraId="6B2F43B2">
            <w:pPr>
              <w:spacing w:line="360" w:lineRule="auto"/>
              <w:ind w:firstLine="480" w:firstLineChars="200"/>
              <w:rPr>
                <w:rFonts w:ascii="宋体" w:hAnsi="宋体" w:cs="宋体"/>
                <w:sz w:val="24"/>
                <w:szCs w:val="24"/>
                <w:u w:val="single"/>
              </w:rPr>
            </w:pPr>
            <w:r>
              <w:rPr>
                <w:rFonts w:hint="eastAsia" w:ascii="宋体" w:hAnsi="宋体" w:cs="宋体"/>
                <w:sz w:val="24"/>
                <w:szCs w:val="24"/>
              </w:rPr>
              <w:t xml:space="preserve">大写： </w:t>
            </w:r>
            <w:r>
              <w:rPr>
                <w:rFonts w:hint="eastAsia" w:ascii="宋体" w:hAnsi="宋体" w:cs="宋体"/>
                <w:sz w:val="24"/>
                <w:szCs w:val="24"/>
                <w:u w:val="single"/>
              </w:rPr>
              <w:t xml:space="preserve">              </w:t>
            </w:r>
          </w:p>
          <w:p w14:paraId="5D205FDD">
            <w:pPr>
              <w:spacing w:line="360" w:lineRule="auto"/>
              <w:ind w:firstLine="480" w:firstLineChars="200"/>
              <w:rPr>
                <w:rFonts w:ascii="宋体" w:hAnsi="宋体" w:cs="宋体"/>
                <w:sz w:val="24"/>
                <w:szCs w:val="24"/>
              </w:rPr>
            </w:pPr>
            <w:r>
              <w:rPr>
                <w:rFonts w:hint="eastAsia" w:ascii="宋体" w:hAnsi="宋体" w:cs="宋体"/>
                <w:sz w:val="24"/>
                <w:szCs w:val="24"/>
              </w:rPr>
              <w:t xml:space="preserve">小写： </w:t>
            </w:r>
            <w:r>
              <w:rPr>
                <w:rFonts w:hint="eastAsia" w:ascii="宋体" w:hAnsi="宋体" w:cs="宋体"/>
                <w:sz w:val="24"/>
                <w:szCs w:val="24"/>
                <w:u w:val="single"/>
              </w:rPr>
              <w:t xml:space="preserve">              </w:t>
            </w:r>
          </w:p>
        </w:tc>
      </w:tr>
      <w:tr w14:paraId="6972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389" w:type="dxa"/>
            <w:vAlign w:val="center"/>
          </w:tcPr>
          <w:p w14:paraId="10D7FF22">
            <w:pPr>
              <w:ind w:left="30"/>
              <w:jc w:val="center"/>
              <w:rPr>
                <w:rFonts w:ascii="宋体" w:hAnsi="宋体" w:cs="宋体"/>
                <w:sz w:val="24"/>
                <w:szCs w:val="24"/>
              </w:rPr>
            </w:pPr>
            <w:r>
              <w:rPr>
                <w:rFonts w:hint="eastAsia" w:ascii="宋体" w:hAnsi="宋体" w:cs="宋体"/>
                <w:sz w:val="24"/>
                <w:szCs w:val="24"/>
              </w:rPr>
              <w:t>服务期限</w:t>
            </w:r>
          </w:p>
        </w:tc>
        <w:tc>
          <w:tcPr>
            <w:tcW w:w="5890" w:type="dxa"/>
            <w:vAlign w:val="center"/>
          </w:tcPr>
          <w:p w14:paraId="3A37F15D">
            <w:pPr>
              <w:ind w:left="30"/>
              <w:jc w:val="center"/>
              <w:rPr>
                <w:rFonts w:ascii="宋体" w:hAnsi="宋体" w:cs="宋体"/>
                <w:sz w:val="24"/>
                <w:szCs w:val="24"/>
              </w:rPr>
            </w:pPr>
          </w:p>
        </w:tc>
      </w:tr>
      <w:tr w14:paraId="11C9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389" w:type="dxa"/>
            <w:vAlign w:val="center"/>
          </w:tcPr>
          <w:p w14:paraId="30DB122A">
            <w:pPr>
              <w:ind w:left="30"/>
              <w:jc w:val="center"/>
              <w:rPr>
                <w:rFonts w:ascii="宋体" w:hAnsi="宋体" w:cs="宋体"/>
                <w:sz w:val="24"/>
                <w:szCs w:val="24"/>
              </w:rPr>
            </w:pPr>
            <w:r>
              <w:rPr>
                <w:rFonts w:hint="eastAsia" w:ascii="宋体" w:hAnsi="宋体" w:cs="宋体"/>
                <w:sz w:val="24"/>
                <w:szCs w:val="24"/>
              </w:rPr>
              <w:t>服务质量</w:t>
            </w:r>
          </w:p>
        </w:tc>
        <w:tc>
          <w:tcPr>
            <w:tcW w:w="5890" w:type="dxa"/>
            <w:vAlign w:val="center"/>
          </w:tcPr>
          <w:p w14:paraId="4B3AAB8F">
            <w:pPr>
              <w:ind w:left="30"/>
              <w:jc w:val="center"/>
              <w:rPr>
                <w:rFonts w:ascii="宋体" w:hAnsi="宋体" w:cs="宋体"/>
                <w:sz w:val="24"/>
                <w:szCs w:val="24"/>
              </w:rPr>
            </w:pPr>
          </w:p>
        </w:tc>
      </w:tr>
      <w:tr w14:paraId="12D8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389" w:type="dxa"/>
            <w:vAlign w:val="center"/>
          </w:tcPr>
          <w:p w14:paraId="29B6A467">
            <w:pPr>
              <w:ind w:left="30"/>
              <w:jc w:val="center"/>
              <w:rPr>
                <w:rFonts w:ascii="宋体" w:hAnsi="宋体" w:cs="宋体"/>
                <w:sz w:val="24"/>
                <w:szCs w:val="24"/>
              </w:rPr>
            </w:pPr>
            <w:r>
              <w:rPr>
                <w:rFonts w:hint="eastAsia" w:ascii="宋体" w:hAnsi="宋体" w:cs="宋体"/>
                <w:sz w:val="24"/>
                <w:szCs w:val="24"/>
              </w:rPr>
              <w:t>磋商有效期</w:t>
            </w:r>
          </w:p>
        </w:tc>
        <w:tc>
          <w:tcPr>
            <w:tcW w:w="5890" w:type="dxa"/>
            <w:vAlign w:val="center"/>
          </w:tcPr>
          <w:p w14:paraId="6E64C228">
            <w:pPr>
              <w:ind w:left="30"/>
              <w:jc w:val="center"/>
              <w:rPr>
                <w:rFonts w:ascii="宋体" w:hAnsi="宋体" w:cs="宋体"/>
                <w:sz w:val="24"/>
                <w:szCs w:val="24"/>
              </w:rPr>
            </w:pPr>
          </w:p>
        </w:tc>
      </w:tr>
      <w:tr w14:paraId="7C6C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279" w:type="dxa"/>
            <w:gridSpan w:val="2"/>
            <w:vAlign w:val="center"/>
          </w:tcPr>
          <w:p w14:paraId="7FEFA6ED">
            <w:pPr>
              <w:rPr>
                <w:rFonts w:ascii="宋体" w:hAnsi="宋体" w:cs="宋体"/>
                <w:sz w:val="24"/>
                <w:szCs w:val="24"/>
              </w:rPr>
            </w:pPr>
            <w:r>
              <w:rPr>
                <w:rFonts w:hint="eastAsia" w:ascii="宋体" w:hAnsi="宋体" w:cs="宋体"/>
                <w:sz w:val="24"/>
                <w:szCs w:val="24"/>
              </w:rPr>
              <w:t>其他优惠说明：</w:t>
            </w:r>
          </w:p>
        </w:tc>
      </w:tr>
    </w:tbl>
    <w:p w14:paraId="149E8D37">
      <w:pPr>
        <w:spacing w:line="360" w:lineRule="auto"/>
        <w:ind w:firstLine="480" w:firstLineChars="200"/>
        <w:rPr>
          <w:rFonts w:ascii="宋体" w:hAnsi="宋体" w:cs="宋体"/>
          <w:sz w:val="24"/>
          <w:szCs w:val="24"/>
        </w:rPr>
      </w:pPr>
    </w:p>
    <w:p w14:paraId="52D52C6B">
      <w:pPr>
        <w:spacing w:line="360" w:lineRule="auto"/>
        <w:ind w:firstLine="480" w:firstLineChars="200"/>
        <w:rPr>
          <w:rFonts w:ascii="宋体" w:hAnsi="宋体" w:cs="宋体"/>
          <w:sz w:val="24"/>
          <w:szCs w:val="24"/>
        </w:rPr>
      </w:pPr>
    </w:p>
    <w:p w14:paraId="63FA9F48">
      <w:pPr>
        <w:spacing w:line="480" w:lineRule="auto"/>
        <w:ind w:firstLine="480" w:firstLineChars="200"/>
        <w:jc w:val="center"/>
        <w:rPr>
          <w:rFonts w:ascii="宋体" w:hAnsi="宋体" w:cs="宋体"/>
          <w:sz w:val="24"/>
          <w:szCs w:val="24"/>
          <w:u w:val="single"/>
        </w:rPr>
      </w:pPr>
      <w:r>
        <w:rPr>
          <w:rFonts w:hint="eastAsia" w:ascii="宋体" w:hAnsi="宋体" w:cs="宋体"/>
          <w:sz w:val="24"/>
          <w:szCs w:val="24"/>
        </w:rPr>
        <w:t xml:space="preserve">               供应商名称：</w:t>
      </w:r>
      <w:r>
        <w:rPr>
          <w:rFonts w:hint="eastAsia" w:ascii="宋体" w:hAnsi="宋体" w:cs="宋体"/>
          <w:sz w:val="24"/>
          <w:szCs w:val="24"/>
          <w:u w:val="single"/>
        </w:rPr>
        <w:t xml:space="preserve">                </w:t>
      </w:r>
      <w:r>
        <w:rPr>
          <w:rFonts w:hint="eastAsia" w:ascii="宋体" w:hAnsi="宋体" w:cs="宋体"/>
          <w:sz w:val="24"/>
          <w:szCs w:val="24"/>
        </w:rPr>
        <w:t xml:space="preserve">（电子签章） </w:t>
      </w:r>
    </w:p>
    <w:p w14:paraId="6A733AE4">
      <w:pPr>
        <w:spacing w:line="480" w:lineRule="auto"/>
        <w:ind w:firstLine="480" w:firstLineChars="200"/>
        <w:jc w:val="right"/>
        <w:rPr>
          <w:rFonts w:ascii="宋体" w:hAnsi="宋体" w:cs="宋体"/>
          <w:sz w:val="24"/>
          <w:szCs w:val="24"/>
        </w:rPr>
      </w:pPr>
      <w:r>
        <w:rPr>
          <w:rFonts w:hint="eastAsia" w:ascii="宋体" w:hAnsi="宋体" w:cs="宋体"/>
          <w:sz w:val="24"/>
          <w:szCs w:val="24"/>
        </w:rPr>
        <w:t>法人代表或委托代理人：</w:t>
      </w:r>
      <w:r>
        <w:rPr>
          <w:rFonts w:hint="eastAsia" w:ascii="宋体" w:hAnsi="宋体" w:cs="宋体"/>
          <w:sz w:val="24"/>
          <w:szCs w:val="24"/>
          <w:u w:val="single"/>
        </w:rPr>
        <w:t xml:space="preserve">              </w:t>
      </w:r>
      <w:r>
        <w:rPr>
          <w:rFonts w:hint="eastAsia" w:ascii="宋体" w:hAnsi="宋体" w:cs="宋体"/>
          <w:sz w:val="24"/>
          <w:szCs w:val="24"/>
        </w:rPr>
        <w:t>（电子签字或电子签章）</w:t>
      </w:r>
    </w:p>
    <w:p w14:paraId="463D2059">
      <w:pPr>
        <w:spacing w:line="480" w:lineRule="auto"/>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A3A30C0">
      <w:pPr>
        <w:pStyle w:val="50"/>
        <w:jc w:val="center"/>
        <w:outlineLvl w:val="9"/>
        <w:rPr>
          <w:rFonts w:ascii="宋体" w:hAnsi="宋体" w:eastAsia="宋体"/>
          <w:sz w:val="24"/>
          <w:szCs w:val="24"/>
        </w:rPr>
      </w:pPr>
    </w:p>
    <w:p w14:paraId="59E655FA">
      <w:pPr>
        <w:pStyle w:val="50"/>
        <w:spacing w:line="360" w:lineRule="auto"/>
        <w:jc w:val="center"/>
        <w:outlineLvl w:val="9"/>
        <w:rPr>
          <w:rFonts w:ascii="宋体" w:hAnsi="宋体" w:eastAsia="宋体"/>
          <w:b/>
          <w:bCs/>
          <w:sz w:val="24"/>
          <w:szCs w:val="24"/>
        </w:rPr>
      </w:pPr>
      <w:r>
        <w:rPr>
          <w:rFonts w:hint="eastAsia" w:ascii="宋体" w:hAnsi="宋体" w:eastAsia="宋体"/>
          <w:sz w:val="24"/>
          <w:szCs w:val="24"/>
        </w:rPr>
        <w:br w:type="page"/>
      </w:r>
      <w:bookmarkStart w:id="115" w:name="_Toc31269"/>
      <w:bookmarkStart w:id="116" w:name="_Toc25160856"/>
      <w:bookmarkStart w:id="117" w:name="_Toc25160342"/>
      <w:r>
        <w:rPr>
          <w:rFonts w:hint="eastAsia" w:ascii="宋体" w:hAnsi="宋体" w:eastAsia="宋体"/>
          <w:b/>
          <w:bCs/>
          <w:szCs w:val="28"/>
        </w:rPr>
        <w:t>二、法定代表人身份证明及授权委托书</w:t>
      </w:r>
      <w:bookmarkEnd w:id="115"/>
      <w:bookmarkEnd w:id="116"/>
      <w:bookmarkEnd w:id="117"/>
    </w:p>
    <w:p w14:paraId="2A334E8B">
      <w:pPr>
        <w:spacing w:before="240" w:beforeLines="100" w:after="120" w:afterLines="50"/>
        <w:jc w:val="center"/>
        <w:rPr>
          <w:rFonts w:ascii="宋体" w:hAnsi="宋体" w:cs="宋体"/>
          <w:b/>
          <w:bCs/>
          <w:sz w:val="24"/>
          <w:szCs w:val="24"/>
        </w:rPr>
      </w:pPr>
      <w:r>
        <w:rPr>
          <w:rFonts w:hint="eastAsia" w:ascii="宋体" w:hAnsi="宋体" w:cs="宋体"/>
          <w:b/>
          <w:bCs/>
          <w:sz w:val="24"/>
          <w:szCs w:val="24"/>
        </w:rPr>
        <w:t>法定代表人身份证明</w:t>
      </w:r>
    </w:p>
    <w:p w14:paraId="487D0D68">
      <w:pPr>
        <w:spacing w:line="500" w:lineRule="exact"/>
        <w:ind w:firstLine="360" w:firstLineChars="15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p>
    <w:p w14:paraId="78BDDFAE">
      <w:pPr>
        <w:spacing w:line="500" w:lineRule="exact"/>
        <w:ind w:firstLine="360" w:firstLineChars="15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4FB5DF11">
      <w:pPr>
        <w:spacing w:line="500" w:lineRule="exact"/>
        <w:ind w:firstLine="360" w:firstLineChars="150"/>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p>
    <w:p w14:paraId="19545EB0">
      <w:pPr>
        <w:spacing w:line="500" w:lineRule="exact"/>
        <w:ind w:firstLine="360" w:firstLineChars="15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A6920E1">
      <w:pPr>
        <w:spacing w:line="500" w:lineRule="exact"/>
        <w:ind w:firstLine="360" w:firstLineChars="15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7DB77E3B">
      <w:pPr>
        <w:spacing w:line="500" w:lineRule="exact"/>
        <w:ind w:firstLine="360" w:firstLineChars="150"/>
        <w:rPr>
          <w:rFonts w:ascii="宋体" w:hAnsi="宋体" w:cs="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rPr>
        <w:t>性        别：</w:t>
      </w:r>
      <w:r>
        <w:rPr>
          <w:rFonts w:hint="eastAsia" w:ascii="宋体" w:hAnsi="宋体" w:cs="宋体"/>
          <w:sz w:val="24"/>
          <w:szCs w:val="24"/>
          <w:u w:val="single"/>
        </w:rPr>
        <w:t xml:space="preserve">                </w:t>
      </w:r>
    </w:p>
    <w:p w14:paraId="43CFFDE8">
      <w:pPr>
        <w:spacing w:line="500" w:lineRule="exact"/>
        <w:ind w:firstLine="360" w:firstLineChars="150"/>
        <w:rPr>
          <w:rFonts w:ascii="宋体" w:hAnsi="宋体" w:cs="宋体"/>
          <w:sz w:val="24"/>
          <w:szCs w:val="24"/>
        </w:rPr>
      </w:pPr>
      <w:r>
        <w:rPr>
          <w:rFonts w:hint="eastAsia" w:ascii="宋体" w:hAnsi="宋体" w:cs="宋体"/>
          <w:sz w:val="24"/>
          <w:szCs w:val="24"/>
        </w:rPr>
        <w:t>年    龄：</w:t>
      </w:r>
      <w:r>
        <w:rPr>
          <w:rFonts w:hint="eastAsia" w:ascii="宋体" w:hAnsi="宋体" w:cs="宋体"/>
          <w:sz w:val="24"/>
          <w:szCs w:val="24"/>
          <w:u w:val="single"/>
        </w:rPr>
        <w:t xml:space="preserve">                          </w:t>
      </w:r>
      <w:r>
        <w:rPr>
          <w:rFonts w:hint="eastAsia" w:ascii="宋体" w:hAnsi="宋体" w:cs="宋体"/>
          <w:sz w:val="24"/>
          <w:szCs w:val="24"/>
        </w:rPr>
        <w:t>职        务：</w:t>
      </w:r>
      <w:r>
        <w:rPr>
          <w:rFonts w:hint="eastAsia" w:ascii="宋体" w:hAnsi="宋体" w:cs="宋体"/>
          <w:sz w:val="24"/>
          <w:szCs w:val="24"/>
          <w:u w:val="single"/>
        </w:rPr>
        <w:t xml:space="preserve">                </w:t>
      </w:r>
    </w:p>
    <w:p w14:paraId="2A45399C">
      <w:pPr>
        <w:spacing w:line="500" w:lineRule="exact"/>
        <w:rPr>
          <w:rFonts w:ascii="宋体" w:hAnsi="宋体" w:cs="宋体"/>
          <w:sz w:val="24"/>
          <w:szCs w:val="24"/>
        </w:rPr>
      </w:pPr>
      <w:r>
        <w:rPr>
          <w:rFonts w:hint="eastAsia" w:ascii="宋体" w:hAnsi="宋体" w:cs="宋体"/>
          <w:sz w:val="24"/>
          <w:szCs w:val="24"/>
        </w:rPr>
        <w:t xml:space="preserve">   系</w:t>
      </w:r>
      <w:r>
        <w:rPr>
          <w:rFonts w:hint="eastAsia" w:ascii="宋体" w:hAnsi="宋体" w:cs="宋体"/>
          <w:sz w:val="24"/>
          <w:szCs w:val="24"/>
          <w:u w:val="single"/>
        </w:rPr>
        <w:t xml:space="preserve">                                     </w:t>
      </w:r>
      <w:r>
        <w:rPr>
          <w:rFonts w:hint="eastAsia" w:ascii="宋体" w:hAnsi="宋体" w:cs="宋体"/>
          <w:sz w:val="24"/>
          <w:szCs w:val="24"/>
        </w:rPr>
        <w:t>（供应商名称）的法定代表人。</w:t>
      </w:r>
    </w:p>
    <w:p w14:paraId="69D0471A">
      <w:pPr>
        <w:spacing w:line="500" w:lineRule="exact"/>
        <w:rPr>
          <w:rFonts w:ascii="宋体" w:hAnsi="宋体" w:cs="宋体"/>
          <w:sz w:val="24"/>
          <w:szCs w:val="24"/>
        </w:rPr>
      </w:pPr>
    </w:p>
    <w:p w14:paraId="69E544B2">
      <w:pPr>
        <w:spacing w:line="500" w:lineRule="exact"/>
        <w:rPr>
          <w:rFonts w:ascii="宋体" w:hAnsi="宋体" w:cs="宋体"/>
          <w:sz w:val="24"/>
          <w:szCs w:val="24"/>
        </w:rPr>
      </w:pPr>
      <w:r>
        <w:rPr>
          <w:rFonts w:hint="eastAsia" w:ascii="宋体" w:hAnsi="宋体" w:cs="宋体"/>
          <w:sz w:val="24"/>
          <w:szCs w:val="24"/>
        </w:rPr>
        <w:t xml:space="preserve">   特此证明。</w:t>
      </w:r>
    </w:p>
    <w:p w14:paraId="25D09701">
      <w:pPr>
        <w:spacing w:line="500" w:lineRule="exact"/>
        <w:ind w:firstLine="1233" w:firstLineChars="514"/>
        <w:rPr>
          <w:rFonts w:ascii="宋体" w:hAnsi="宋体" w:cs="宋体"/>
          <w:sz w:val="24"/>
          <w:szCs w:val="24"/>
        </w:rPr>
      </w:pPr>
    </w:p>
    <w:p w14:paraId="1A1E8C9B">
      <w:pPr>
        <w:spacing w:line="500" w:lineRule="exact"/>
        <w:ind w:firstLine="1233" w:firstLineChars="514"/>
        <w:rPr>
          <w:rFonts w:ascii="宋体" w:hAnsi="宋体" w:cs="宋体"/>
          <w:sz w:val="24"/>
          <w:szCs w:val="24"/>
        </w:rPr>
      </w:pPr>
    </w:p>
    <w:p w14:paraId="1C11802D">
      <w:pPr>
        <w:wordWrap w:val="0"/>
        <w:spacing w:line="500" w:lineRule="exact"/>
        <w:ind w:firstLine="1233" w:firstLineChars="514"/>
        <w:jc w:val="right"/>
        <w:rPr>
          <w:rFonts w:ascii="宋体" w:hAnsi="宋体" w:cs="宋体"/>
          <w:sz w:val="24"/>
          <w:szCs w:val="24"/>
        </w:rPr>
      </w:pPr>
    </w:p>
    <w:p w14:paraId="29C8A35E">
      <w:pPr>
        <w:spacing w:line="500" w:lineRule="exact"/>
        <w:ind w:firstLine="1233" w:firstLineChars="514"/>
        <w:jc w:val="right"/>
        <w:rPr>
          <w:rFonts w:ascii="宋体" w:hAnsi="宋体" w:cs="宋体"/>
          <w:sz w:val="24"/>
          <w:szCs w:val="24"/>
        </w:rPr>
      </w:pPr>
    </w:p>
    <w:p w14:paraId="60973ED2">
      <w:pPr>
        <w:spacing w:line="500" w:lineRule="exact"/>
        <w:ind w:firstLine="1233" w:firstLineChars="514"/>
        <w:jc w:val="right"/>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（电子签章）</w:t>
      </w:r>
    </w:p>
    <w:p w14:paraId="7AE0A792">
      <w:pPr>
        <w:wordWrap w:val="0"/>
        <w:spacing w:line="500" w:lineRule="exact"/>
        <w:ind w:firstLine="1233" w:firstLineChars="514"/>
        <w:jc w:val="right"/>
        <w:rPr>
          <w:rFonts w:ascii="宋体" w:hAnsi="宋体" w:cs="宋体"/>
          <w:sz w:val="24"/>
          <w:szCs w:val="24"/>
        </w:rPr>
      </w:pPr>
    </w:p>
    <w:p w14:paraId="1C393ED0">
      <w:pPr>
        <w:spacing w:line="480" w:lineRule="auto"/>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728EE06">
      <w:pPr>
        <w:wordWrap w:val="0"/>
        <w:spacing w:line="500" w:lineRule="exact"/>
        <w:ind w:firstLine="1233" w:firstLineChars="514"/>
        <w:jc w:val="right"/>
        <w:rPr>
          <w:rFonts w:ascii="宋体" w:hAnsi="宋体" w:cs="宋体"/>
          <w:sz w:val="24"/>
          <w:szCs w:val="24"/>
        </w:rPr>
      </w:pPr>
      <w:r>
        <w:rPr>
          <w:rFonts w:hint="eastAsia" w:ascii="宋体" w:hAnsi="宋体" w:cs="宋体"/>
          <w:sz w:val="24"/>
          <w:szCs w:val="24"/>
        </w:rPr>
        <w:t xml:space="preserve">         </w:t>
      </w:r>
    </w:p>
    <w:p w14:paraId="18AA7150">
      <w:pPr>
        <w:spacing w:before="240" w:beforeLines="100" w:after="120" w:afterLines="50"/>
        <w:jc w:val="center"/>
        <w:rPr>
          <w:rFonts w:ascii="宋体" w:hAnsi="宋体" w:cs="宋体"/>
          <w:sz w:val="24"/>
          <w:szCs w:val="24"/>
        </w:rPr>
      </w:pPr>
      <w:r>
        <w:rPr>
          <w:rFonts w:hint="eastAsia" w:ascii="宋体" w:hAnsi="宋体" w:cs="宋体"/>
          <w:sz w:val="24"/>
          <w:szCs w:val="24"/>
        </w:rPr>
        <w:br w:type="page"/>
      </w:r>
      <w:bookmarkStart w:id="118" w:name="_Toc31605"/>
      <w:bookmarkStart w:id="119" w:name="_Toc25160857"/>
      <w:bookmarkStart w:id="120" w:name="_Toc25160343"/>
      <w:r>
        <w:rPr>
          <w:rFonts w:hint="eastAsia" w:ascii="宋体" w:hAnsi="宋体" w:cs="宋体"/>
          <w:b/>
          <w:bCs/>
          <w:sz w:val="24"/>
          <w:szCs w:val="24"/>
        </w:rPr>
        <w:t>授权委托书</w:t>
      </w:r>
      <w:bookmarkEnd w:id="118"/>
      <w:bookmarkEnd w:id="119"/>
      <w:bookmarkEnd w:id="120"/>
    </w:p>
    <w:p w14:paraId="40ABA7F4">
      <w:pPr>
        <w:spacing w:line="500" w:lineRule="exact"/>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（供应商名称）的法定代表人，现委托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（项目名称）响应文件、签订合同和处理有关事宜，其法律后果由我方承担。</w:t>
      </w:r>
    </w:p>
    <w:p w14:paraId="38BF2175">
      <w:pPr>
        <w:spacing w:before="240" w:beforeLines="100" w:after="240" w:afterLines="100" w:line="500" w:lineRule="exact"/>
        <w:ind w:firstLine="480" w:firstLineChars="20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w:t>
      </w:r>
    </w:p>
    <w:p w14:paraId="6A21E8D7">
      <w:pPr>
        <w:spacing w:before="240" w:beforeLines="100" w:after="240" w:afterLines="100" w:line="500" w:lineRule="exact"/>
        <w:ind w:firstLine="480" w:firstLineChars="200"/>
        <w:rPr>
          <w:rFonts w:ascii="宋体" w:hAnsi="宋体" w:cs="宋体"/>
          <w:sz w:val="24"/>
          <w:szCs w:val="24"/>
        </w:rPr>
      </w:pPr>
      <w:r>
        <w:rPr>
          <w:rFonts w:hint="eastAsia" w:ascii="宋体" w:hAnsi="宋体" w:cs="宋体"/>
          <w:sz w:val="24"/>
          <w:szCs w:val="24"/>
        </w:rPr>
        <w:t>代理人无转委托权。</w:t>
      </w:r>
    </w:p>
    <w:p w14:paraId="5680936C">
      <w:pPr>
        <w:spacing w:after="240" w:afterLines="100" w:line="500" w:lineRule="exact"/>
        <w:ind w:firstLine="480" w:firstLineChars="200"/>
        <w:rPr>
          <w:rFonts w:ascii="宋体" w:hAnsi="宋体" w:cs="宋体"/>
          <w:sz w:val="24"/>
          <w:szCs w:val="24"/>
        </w:rPr>
      </w:pPr>
      <w:r>
        <w:rPr>
          <w:rFonts w:hint="eastAsia" w:ascii="宋体" w:hAnsi="宋体" w:cs="宋体"/>
          <w:sz w:val="24"/>
          <w:szCs w:val="24"/>
        </w:rPr>
        <w:t>附：法定代表人和代理人身份证复印件</w:t>
      </w:r>
    </w:p>
    <w:p w14:paraId="11D5C02E">
      <w:pPr>
        <w:spacing w:line="500" w:lineRule="exact"/>
        <w:rPr>
          <w:rFonts w:ascii="宋体" w:hAnsi="宋体" w:cs="宋体"/>
          <w:sz w:val="24"/>
          <w:szCs w:val="24"/>
        </w:rPr>
      </w:pPr>
    </w:p>
    <w:p w14:paraId="3AD88776">
      <w:pPr>
        <w:wordWrap w:val="0"/>
        <w:spacing w:line="440" w:lineRule="exact"/>
        <w:jc w:val="right"/>
        <w:rPr>
          <w:rFonts w:ascii="宋体" w:hAnsi="宋体" w:cs="宋体"/>
          <w:sz w:val="24"/>
          <w:szCs w:val="24"/>
        </w:rPr>
      </w:pPr>
      <w:r>
        <w:rPr>
          <w:rFonts w:hint="eastAsia" w:ascii="宋体" w:hAnsi="宋体" w:cs="宋体"/>
          <w:sz w:val="24"/>
          <w:szCs w:val="24"/>
        </w:rPr>
        <w:t xml:space="preserve">    供应商名称：</w:t>
      </w:r>
      <w:r>
        <w:rPr>
          <w:rFonts w:hint="eastAsia" w:ascii="宋体" w:hAnsi="宋体" w:cs="宋体"/>
          <w:sz w:val="24"/>
          <w:szCs w:val="24"/>
          <w:u w:val="single"/>
        </w:rPr>
        <w:t xml:space="preserve">                                  </w:t>
      </w:r>
      <w:r>
        <w:rPr>
          <w:rFonts w:hint="eastAsia" w:ascii="宋体" w:hAnsi="宋体" w:cs="宋体"/>
          <w:sz w:val="24"/>
          <w:szCs w:val="24"/>
        </w:rPr>
        <w:t>（电子签章）</w:t>
      </w:r>
    </w:p>
    <w:p w14:paraId="5014B9C8">
      <w:pPr>
        <w:spacing w:line="440" w:lineRule="exact"/>
        <w:rPr>
          <w:rFonts w:ascii="宋体" w:hAnsi="宋体" w:cs="宋体"/>
          <w:sz w:val="24"/>
          <w:szCs w:val="24"/>
        </w:rPr>
      </w:pPr>
    </w:p>
    <w:p w14:paraId="130F7B38">
      <w:pPr>
        <w:spacing w:line="440" w:lineRule="exact"/>
        <w:jc w:val="righ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（电子签字或电子签章）</w:t>
      </w:r>
    </w:p>
    <w:p w14:paraId="289665F2">
      <w:pPr>
        <w:spacing w:line="440" w:lineRule="exact"/>
        <w:rPr>
          <w:rFonts w:ascii="宋体" w:hAnsi="宋体" w:cs="宋体"/>
          <w:sz w:val="24"/>
          <w:szCs w:val="24"/>
        </w:rPr>
      </w:pPr>
    </w:p>
    <w:p w14:paraId="0E8AAA7A">
      <w:pPr>
        <w:spacing w:line="440" w:lineRule="exact"/>
        <w:rPr>
          <w:rFonts w:ascii="宋体" w:hAnsi="宋体" w:cs="宋体"/>
          <w:sz w:val="24"/>
          <w:szCs w:val="24"/>
        </w:rPr>
      </w:pPr>
    </w:p>
    <w:p w14:paraId="35001416">
      <w:pPr>
        <w:spacing w:line="440" w:lineRule="exact"/>
        <w:ind w:firstLine="2640" w:firstLineChars="110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4751BF3">
      <w:pPr>
        <w:spacing w:line="440" w:lineRule="exact"/>
        <w:ind w:firstLine="2640" w:firstLineChars="1100"/>
        <w:jc w:val="right"/>
        <w:rPr>
          <w:rFonts w:ascii="宋体" w:hAnsi="宋体" w:cs="宋体"/>
          <w:sz w:val="24"/>
          <w:szCs w:val="24"/>
        </w:rPr>
      </w:pPr>
    </w:p>
    <w:p w14:paraId="4C029B3F">
      <w:pPr>
        <w:spacing w:line="440" w:lineRule="exact"/>
        <w:ind w:firstLine="2640" w:firstLineChars="1100"/>
        <w:jc w:val="right"/>
        <w:rPr>
          <w:rFonts w:ascii="宋体" w:hAnsi="宋体" w:cs="宋体"/>
          <w:sz w:val="24"/>
          <w:szCs w:val="24"/>
        </w:rPr>
      </w:pPr>
    </w:p>
    <w:p w14:paraId="04D44384">
      <w:pPr>
        <w:spacing w:line="480" w:lineRule="auto"/>
        <w:rPr>
          <w:rFonts w:ascii="宋体" w:hAnsi="宋体" w:cs="宋体"/>
          <w:sz w:val="24"/>
        </w:rPr>
      </w:pPr>
      <w:r>
        <w:rPr>
          <w:rFonts w:hint="eastAsia" w:ascii="宋体" w:hAnsi="宋体" w:cs="宋体"/>
          <w:sz w:val="24"/>
        </w:rPr>
        <w:t>注：供应商“法定代表人”直接参加投标及签署相关文件的无须提供该授权委托书。</w:t>
      </w:r>
    </w:p>
    <w:p w14:paraId="07161C58">
      <w:pPr>
        <w:spacing w:line="440" w:lineRule="exact"/>
        <w:ind w:firstLine="2640" w:firstLineChars="1100"/>
        <w:jc w:val="right"/>
        <w:rPr>
          <w:rFonts w:ascii="宋体" w:hAnsi="宋体" w:cs="宋体"/>
          <w:sz w:val="24"/>
          <w:szCs w:val="24"/>
        </w:rPr>
      </w:pPr>
    </w:p>
    <w:p w14:paraId="52AD20FA">
      <w:pPr>
        <w:spacing w:line="440" w:lineRule="exact"/>
        <w:ind w:firstLine="2640" w:firstLineChars="1100"/>
        <w:jc w:val="right"/>
        <w:rPr>
          <w:rFonts w:ascii="宋体" w:hAnsi="宋体" w:cs="宋体"/>
          <w:sz w:val="24"/>
          <w:szCs w:val="24"/>
        </w:rPr>
      </w:pPr>
    </w:p>
    <w:p w14:paraId="40BE2E29">
      <w:pPr>
        <w:spacing w:line="440" w:lineRule="exact"/>
        <w:ind w:firstLine="2640" w:firstLineChars="1100"/>
        <w:jc w:val="right"/>
        <w:rPr>
          <w:rFonts w:ascii="宋体" w:hAnsi="宋体" w:cs="宋体"/>
          <w:sz w:val="24"/>
          <w:szCs w:val="24"/>
        </w:rPr>
      </w:pPr>
    </w:p>
    <w:p w14:paraId="5F20C2A9">
      <w:pPr>
        <w:spacing w:line="440" w:lineRule="exact"/>
        <w:ind w:firstLine="2640" w:firstLineChars="1100"/>
        <w:jc w:val="right"/>
        <w:rPr>
          <w:rFonts w:ascii="宋体" w:hAnsi="宋体" w:cs="宋体"/>
          <w:sz w:val="24"/>
          <w:szCs w:val="24"/>
        </w:rPr>
      </w:pPr>
    </w:p>
    <w:p w14:paraId="256CCE94">
      <w:pPr>
        <w:spacing w:line="440" w:lineRule="exact"/>
        <w:ind w:firstLine="2640" w:firstLineChars="1100"/>
        <w:jc w:val="right"/>
        <w:rPr>
          <w:rFonts w:ascii="宋体" w:hAnsi="宋体" w:cs="宋体"/>
          <w:sz w:val="24"/>
          <w:szCs w:val="24"/>
        </w:rPr>
      </w:pPr>
    </w:p>
    <w:p w14:paraId="3245AC57">
      <w:pPr>
        <w:spacing w:line="440" w:lineRule="exact"/>
        <w:ind w:firstLine="2640" w:firstLineChars="1100"/>
        <w:jc w:val="right"/>
        <w:rPr>
          <w:rFonts w:ascii="宋体" w:hAnsi="宋体" w:cs="宋体"/>
          <w:sz w:val="24"/>
          <w:szCs w:val="24"/>
        </w:rPr>
      </w:pPr>
    </w:p>
    <w:p w14:paraId="3FAC4F97">
      <w:pPr>
        <w:spacing w:line="440" w:lineRule="exact"/>
        <w:ind w:firstLine="2640" w:firstLineChars="1100"/>
        <w:jc w:val="right"/>
        <w:rPr>
          <w:rFonts w:ascii="宋体" w:hAnsi="宋体" w:cs="宋体"/>
          <w:sz w:val="24"/>
          <w:szCs w:val="24"/>
        </w:rPr>
      </w:pPr>
    </w:p>
    <w:p w14:paraId="0F2928E3">
      <w:pPr>
        <w:pStyle w:val="50"/>
        <w:spacing w:line="360" w:lineRule="auto"/>
        <w:jc w:val="center"/>
        <w:outlineLvl w:val="9"/>
        <w:rPr>
          <w:rFonts w:ascii="宋体" w:hAnsi="宋体" w:eastAsia="宋体"/>
          <w:b/>
          <w:bCs/>
          <w:szCs w:val="28"/>
        </w:rPr>
      </w:pPr>
      <w:r>
        <w:rPr>
          <w:rFonts w:hint="eastAsia" w:ascii="宋体" w:hAnsi="宋体" w:eastAsia="宋体"/>
          <w:b/>
          <w:bCs/>
          <w:szCs w:val="28"/>
        </w:rPr>
        <w:t>三、投标承诺函</w:t>
      </w:r>
    </w:p>
    <w:p w14:paraId="64013046">
      <w:pPr>
        <w:adjustRightInd w:val="0"/>
        <w:snapToGrid w:val="0"/>
        <w:spacing w:line="360" w:lineRule="auto"/>
        <w:rPr>
          <w:rFonts w:ascii="宋体" w:hAnsi="宋体" w:cs="宋体"/>
          <w:color w:val="000000"/>
          <w:sz w:val="24"/>
          <w:szCs w:val="24"/>
          <w:u w:val="single"/>
        </w:rPr>
      </w:pPr>
    </w:p>
    <w:p w14:paraId="73850678">
      <w:pPr>
        <w:adjustRightInd w:val="0"/>
        <w:snapToGrid w:val="0"/>
        <w:spacing w:before="59" w:line="360" w:lineRule="auto"/>
        <w:ind w:firstLine="420"/>
        <w:rPr>
          <w:rFonts w:ascii="宋体" w:hAnsi="宋体" w:cs="宋体"/>
          <w:sz w:val="24"/>
        </w:rPr>
      </w:pPr>
      <w:r>
        <w:rPr>
          <w:rFonts w:hint="eastAsia" w:ascii="宋体" w:hAnsi="宋体" w:cs="宋体"/>
          <w:spacing w:val="-11"/>
          <w:sz w:val="24"/>
        </w:rPr>
        <w:t>致</w:t>
      </w:r>
      <w:r>
        <w:rPr>
          <w:rFonts w:hint="eastAsia" w:ascii="宋体" w:hAnsi="宋体" w:cs="宋体"/>
          <w:spacing w:val="-47"/>
          <w:sz w:val="24"/>
          <w:u w:val="single"/>
        </w:rPr>
        <w:t xml:space="preserve"> </w:t>
      </w:r>
      <w:r>
        <w:rPr>
          <w:rFonts w:hint="eastAsia" w:ascii="宋体" w:hAnsi="宋体" w:cs="宋体"/>
          <w:spacing w:val="-11"/>
          <w:sz w:val="24"/>
          <w:u w:val="single"/>
        </w:rPr>
        <w:t>（采购人及招标代理机构</w:t>
      </w:r>
      <w:r>
        <w:rPr>
          <w:rFonts w:hint="eastAsia" w:ascii="宋体" w:hAnsi="宋体" w:cs="宋体"/>
          <w:spacing w:val="-25"/>
          <w:sz w:val="24"/>
          <w:u w:val="single"/>
        </w:rPr>
        <w:t>）</w:t>
      </w:r>
      <w:r>
        <w:rPr>
          <w:rFonts w:hint="eastAsia" w:ascii="宋体" w:hAnsi="宋体" w:cs="宋体"/>
          <w:spacing w:val="15"/>
          <w:sz w:val="24"/>
          <w:u w:val="single"/>
        </w:rPr>
        <w:t xml:space="preserve"> </w:t>
      </w:r>
      <w:r>
        <w:rPr>
          <w:rFonts w:hint="eastAsia" w:ascii="宋体" w:hAnsi="宋体" w:cs="宋体"/>
          <w:spacing w:val="-25"/>
          <w:sz w:val="24"/>
        </w:rPr>
        <w:t>：</w:t>
      </w:r>
    </w:p>
    <w:p w14:paraId="01B5BB60">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我公司作为本次采购项目的供应商，根据磋商文件要求，现郑重承诺如下：</w:t>
      </w:r>
    </w:p>
    <w:p w14:paraId="7B45753F">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一、具备《中华人民共和国政府采购法》第二十二条和本项目规定的条件：</w:t>
      </w:r>
    </w:p>
    <w:p w14:paraId="6BF1B051">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（一） 具有独立承担民事责任的能力；</w:t>
      </w:r>
    </w:p>
    <w:p w14:paraId="3EFAC07D">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（二） 具有良好的商业信誉和健全的财务会计制度；</w:t>
      </w:r>
    </w:p>
    <w:p w14:paraId="304F69BE">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（三） 具有履行合同所必需的设备和专业技术能力；</w:t>
      </w:r>
    </w:p>
    <w:p w14:paraId="0302F642">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（四） 有依法缴纳税收和社会保障资金的良好记录；</w:t>
      </w:r>
    </w:p>
    <w:p w14:paraId="3A680CFC">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（五） 参加政府采购活动前三年内，在经营活动中没有重大违法记录；</w:t>
      </w:r>
    </w:p>
    <w:p w14:paraId="36974C83">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（六） 法律、行政法规规定的其他条件；</w:t>
      </w:r>
    </w:p>
    <w:p w14:paraId="4D9467B5">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（七） 根据采购项目提出的特殊条件。</w:t>
      </w:r>
    </w:p>
    <w:p w14:paraId="64D3DBAF">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5E1B5634">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三、参加本次招标采购活动，不存在与单位负责人为同一人或者存在直接控股、管理关系的其他供应商参与同一合同项下的政府采购活动的行为。</w:t>
      </w:r>
    </w:p>
    <w:p w14:paraId="34ED2F45">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四、参加本次招标采购活动，不存在为采购项目提供整体设计、规范编制或者项目管理、监理、检测等服务的行为。</w:t>
      </w:r>
    </w:p>
    <w:p w14:paraId="2B3D9FB9">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五、参加本次招标采购活动，不存在和其他供应商在同一合同项下的采购项目中，同时委托同一个自然人、同一家庭的人员、同一单位的人员作为代理人的行为。</w:t>
      </w:r>
    </w:p>
    <w:p w14:paraId="73C2D380">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六、投标人参加本次政府采购活动要求在近三年内投标人和其法定代表人没有行贿犯罪行为。</w:t>
      </w:r>
    </w:p>
    <w:p w14:paraId="2767F654">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七、参加本次招标采购活动，不存在联合体投标。</w:t>
      </w:r>
    </w:p>
    <w:p w14:paraId="329A0936">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八、响应文件中提供的能够给予我公司带来优惠、好处的任何材料资料和技术、服务、商务等响应承诺情况都是真实的、有效的、合法的。</w:t>
      </w:r>
    </w:p>
    <w:p w14:paraId="28D92A05">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九、存在以下行为之一的愿意接受相关部门的处理：</w:t>
      </w:r>
    </w:p>
    <w:p w14:paraId="70E96563">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（一） 投标有效期内撤销投标文件的；</w:t>
      </w:r>
    </w:p>
    <w:p w14:paraId="74467F5D">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（二） 在采购人确定中标人以前放弃中标候选资格的；</w:t>
      </w:r>
    </w:p>
    <w:p w14:paraId="31349809">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（三） 由于中标人的原因未能按照磋商文件的规定与采购人签订合同；</w:t>
      </w:r>
    </w:p>
    <w:p w14:paraId="5D3FC494">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（四） 由于中标人的原因未能按照磋商文件的规定交纳履约保证金；</w:t>
      </w:r>
    </w:p>
    <w:p w14:paraId="28AEE78A">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（五） 在响应文件中提供虚假材料谋取中标；</w:t>
      </w:r>
    </w:p>
    <w:p w14:paraId="3E2FC439">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（六） 与采购人、其他投标人或者招标代理机构恶意串通的；</w:t>
      </w:r>
    </w:p>
    <w:p w14:paraId="70933AD7">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（七） 投标有效期内，供应商在政府采购活动中有违法、违规、违纪行为。</w:t>
      </w:r>
    </w:p>
    <w:p w14:paraId="4DF4F174">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由此产生的一切法律后果和责任由我公司承担。我公司声明放弃对此提出任何异议和追索的权利。</w:t>
      </w:r>
    </w:p>
    <w:p w14:paraId="43A17BE4">
      <w:pPr>
        <w:autoSpaceDE w:val="0"/>
        <w:autoSpaceDN w:val="0"/>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本公司对上述承诺的内容事项真实性负责。如经查实上述承诺的内容事项存在虚假，我公司愿意接受 以提供虚假材料谋取中标追究法律责任。</w:t>
      </w:r>
    </w:p>
    <w:p w14:paraId="793C88D5">
      <w:pPr>
        <w:pStyle w:val="2"/>
        <w:rPr>
          <w:rFonts w:hAnsi="宋体"/>
        </w:rPr>
      </w:pPr>
    </w:p>
    <w:p w14:paraId="51A09759">
      <w:pPr>
        <w:pStyle w:val="2"/>
        <w:rPr>
          <w:rFonts w:hAnsi="宋体"/>
        </w:rPr>
      </w:pPr>
    </w:p>
    <w:p w14:paraId="12851A86">
      <w:pPr>
        <w:pStyle w:val="2"/>
        <w:rPr>
          <w:rFonts w:hAnsi="宋体"/>
        </w:rPr>
      </w:pPr>
    </w:p>
    <w:p w14:paraId="4ECAF5C9">
      <w:pPr>
        <w:wordWrap w:val="0"/>
        <w:spacing w:line="440" w:lineRule="exact"/>
        <w:jc w:val="right"/>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（电子签章）</w:t>
      </w:r>
    </w:p>
    <w:p w14:paraId="151820CE">
      <w:pPr>
        <w:spacing w:line="440" w:lineRule="exact"/>
        <w:rPr>
          <w:rFonts w:ascii="宋体" w:hAnsi="宋体" w:cs="宋体"/>
          <w:sz w:val="24"/>
          <w:szCs w:val="24"/>
        </w:rPr>
      </w:pPr>
    </w:p>
    <w:p w14:paraId="26947E43">
      <w:pPr>
        <w:spacing w:line="440" w:lineRule="exact"/>
        <w:jc w:val="righ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（电子签字或电子签章）</w:t>
      </w:r>
    </w:p>
    <w:p w14:paraId="611A865C">
      <w:pPr>
        <w:spacing w:line="440" w:lineRule="exact"/>
        <w:rPr>
          <w:rFonts w:ascii="宋体" w:hAnsi="宋体" w:cs="宋体"/>
          <w:sz w:val="24"/>
          <w:szCs w:val="24"/>
        </w:rPr>
      </w:pPr>
    </w:p>
    <w:p w14:paraId="3AD0A45D">
      <w:pPr>
        <w:spacing w:line="440" w:lineRule="exact"/>
        <w:rPr>
          <w:rFonts w:ascii="宋体" w:hAnsi="宋体" w:cs="宋体"/>
          <w:sz w:val="24"/>
          <w:szCs w:val="24"/>
        </w:rPr>
      </w:pPr>
    </w:p>
    <w:p w14:paraId="171BEBDF">
      <w:pPr>
        <w:spacing w:line="440" w:lineRule="exact"/>
        <w:ind w:firstLine="2640" w:firstLineChars="110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DDC43B8">
      <w:pPr>
        <w:pStyle w:val="26"/>
        <w:ind w:firstLine="540"/>
        <w:rPr>
          <w:rFonts w:ascii="宋体" w:hAnsi="宋体" w:eastAsia="宋体" w:cs="宋体"/>
        </w:rPr>
      </w:pPr>
    </w:p>
    <w:p w14:paraId="0096D3E8">
      <w:pPr>
        <w:pStyle w:val="15"/>
        <w:ind w:left="5250"/>
        <w:rPr>
          <w:rFonts w:ascii="宋体" w:hAnsi="宋体" w:cs="宋体"/>
        </w:rPr>
      </w:pPr>
    </w:p>
    <w:p w14:paraId="378DBBDE">
      <w:pPr>
        <w:rPr>
          <w:rFonts w:ascii="宋体" w:hAnsi="宋体" w:cs="宋体"/>
        </w:rPr>
      </w:pPr>
    </w:p>
    <w:p w14:paraId="0BE2F532">
      <w:pPr>
        <w:pStyle w:val="2"/>
        <w:rPr>
          <w:rFonts w:hAnsi="宋体"/>
        </w:rPr>
      </w:pPr>
    </w:p>
    <w:p w14:paraId="046DC029">
      <w:pPr>
        <w:pStyle w:val="2"/>
        <w:rPr>
          <w:rFonts w:hAnsi="宋体"/>
        </w:rPr>
      </w:pPr>
    </w:p>
    <w:p w14:paraId="19700A38">
      <w:pPr>
        <w:pStyle w:val="2"/>
        <w:rPr>
          <w:rFonts w:hAnsi="宋体"/>
        </w:rPr>
      </w:pPr>
    </w:p>
    <w:p w14:paraId="26F3AE17">
      <w:pPr>
        <w:pStyle w:val="2"/>
        <w:rPr>
          <w:rFonts w:hAnsi="宋体"/>
        </w:rPr>
      </w:pPr>
    </w:p>
    <w:p w14:paraId="69C13D8A">
      <w:pPr>
        <w:pStyle w:val="2"/>
        <w:rPr>
          <w:rFonts w:hAnsi="宋体"/>
        </w:rPr>
      </w:pPr>
    </w:p>
    <w:p w14:paraId="61682D41">
      <w:pPr>
        <w:pStyle w:val="2"/>
        <w:rPr>
          <w:rFonts w:hAnsi="宋体"/>
        </w:rPr>
      </w:pPr>
    </w:p>
    <w:p w14:paraId="3275B5A0">
      <w:pPr>
        <w:pStyle w:val="2"/>
        <w:rPr>
          <w:rFonts w:hAnsi="宋体"/>
        </w:rPr>
      </w:pPr>
    </w:p>
    <w:p w14:paraId="50CE90F3">
      <w:pPr>
        <w:pStyle w:val="2"/>
        <w:rPr>
          <w:rFonts w:hAnsi="宋体"/>
        </w:rPr>
      </w:pPr>
    </w:p>
    <w:p w14:paraId="740AE429">
      <w:pPr>
        <w:pStyle w:val="2"/>
        <w:rPr>
          <w:rFonts w:hAnsi="宋体"/>
        </w:rPr>
      </w:pPr>
    </w:p>
    <w:p w14:paraId="7094382E">
      <w:pPr>
        <w:pStyle w:val="50"/>
        <w:spacing w:line="360" w:lineRule="auto"/>
        <w:jc w:val="center"/>
        <w:outlineLvl w:val="9"/>
        <w:rPr>
          <w:rFonts w:ascii="宋体" w:hAnsi="宋体" w:eastAsia="宋体"/>
          <w:b/>
          <w:bCs/>
          <w:szCs w:val="28"/>
        </w:rPr>
      </w:pPr>
      <w:bookmarkStart w:id="121" w:name="_Toc25040"/>
      <w:bookmarkStart w:id="122" w:name="_Toc25160344"/>
      <w:bookmarkStart w:id="123" w:name="_Toc25160858"/>
      <w:r>
        <w:rPr>
          <w:rFonts w:hint="eastAsia" w:ascii="宋体" w:hAnsi="宋体" w:eastAsia="宋体"/>
          <w:b/>
          <w:bCs/>
          <w:szCs w:val="28"/>
        </w:rPr>
        <w:t>四、</w:t>
      </w:r>
      <w:bookmarkEnd w:id="121"/>
      <w:bookmarkEnd w:id="122"/>
      <w:bookmarkEnd w:id="123"/>
      <w:r>
        <w:rPr>
          <w:rFonts w:hint="eastAsia" w:ascii="宋体" w:hAnsi="宋体" w:eastAsia="宋体"/>
          <w:b/>
          <w:bCs/>
          <w:szCs w:val="28"/>
        </w:rPr>
        <w:t>技术部分</w:t>
      </w:r>
      <w:r>
        <w:rPr>
          <w:rFonts w:hint="eastAsia" w:ascii="宋体" w:hAnsi="宋体" w:eastAsia="宋体"/>
          <w:sz w:val="24"/>
          <w:szCs w:val="24"/>
        </w:rPr>
        <w:br w:type="page"/>
      </w:r>
      <w:bookmarkStart w:id="124" w:name="_Toc25160345"/>
      <w:bookmarkStart w:id="125" w:name="_Toc20172"/>
      <w:bookmarkStart w:id="126" w:name="_Toc25160859"/>
      <w:r>
        <w:rPr>
          <w:rFonts w:hint="eastAsia" w:ascii="宋体" w:hAnsi="宋体" w:eastAsia="宋体"/>
          <w:b/>
          <w:bCs/>
          <w:szCs w:val="28"/>
        </w:rPr>
        <w:t>五、</w:t>
      </w:r>
      <w:bookmarkEnd w:id="124"/>
      <w:bookmarkEnd w:id="125"/>
      <w:bookmarkEnd w:id="126"/>
      <w:r>
        <w:rPr>
          <w:rFonts w:hint="eastAsia" w:ascii="宋体" w:hAnsi="宋体" w:eastAsia="宋体"/>
          <w:b/>
          <w:bCs/>
          <w:szCs w:val="28"/>
        </w:rPr>
        <w:t>综合部分</w:t>
      </w:r>
    </w:p>
    <w:p w14:paraId="7C6A0A15">
      <w:pPr>
        <w:spacing w:line="360" w:lineRule="auto"/>
        <w:jc w:val="center"/>
        <w:rPr>
          <w:rFonts w:ascii="宋体" w:hAnsi="宋体" w:cs="宋体"/>
          <w:sz w:val="24"/>
          <w:szCs w:val="24"/>
        </w:rPr>
      </w:pPr>
      <w:r>
        <w:rPr>
          <w:rFonts w:hint="eastAsia" w:ascii="宋体" w:hAnsi="宋体" w:cs="宋体"/>
          <w:sz w:val="24"/>
          <w:szCs w:val="24"/>
        </w:rPr>
        <w:t>（一）类似项目业绩明细表</w:t>
      </w:r>
    </w:p>
    <w:tbl>
      <w:tblPr>
        <w:tblStyle w:val="27"/>
        <w:tblpPr w:leftFromText="180" w:rightFromText="180" w:vertAnchor="text" w:horzAnchor="page" w:tblpX="1174" w:tblpY="222"/>
        <w:tblOverlap w:val="never"/>
        <w:tblW w:w="98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1979"/>
        <w:gridCol w:w="1903"/>
        <w:gridCol w:w="1178"/>
        <w:gridCol w:w="880"/>
        <w:gridCol w:w="1387"/>
        <w:gridCol w:w="1267"/>
        <w:gridCol w:w="775"/>
      </w:tblGrid>
      <w:tr w14:paraId="15AA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507" w:type="dxa"/>
            <w:vAlign w:val="center"/>
          </w:tcPr>
          <w:p w14:paraId="0361F5BD">
            <w:pPr>
              <w:pStyle w:val="76"/>
              <w:spacing w:line="360" w:lineRule="auto"/>
              <w:jc w:val="center"/>
              <w:rPr>
                <w:rFonts w:ascii="宋体" w:hAnsi="宋体" w:cs="宋体"/>
                <w:sz w:val="24"/>
                <w:szCs w:val="24"/>
              </w:rPr>
            </w:pPr>
            <w:r>
              <w:rPr>
                <w:rFonts w:hint="eastAsia" w:ascii="宋体" w:hAnsi="宋体" w:cs="宋体"/>
                <w:sz w:val="24"/>
                <w:szCs w:val="24"/>
              </w:rPr>
              <w:t>序号</w:t>
            </w:r>
          </w:p>
        </w:tc>
        <w:tc>
          <w:tcPr>
            <w:tcW w:w="1979" w:type="dxa"/>
            <w:vAlign w:val="center"/>
          </w:tcPr>
          <w:p w14:paraId="70B7595B">
            <w:pPr>
              <w:pStyle w:val="76"/>
              <w:spacing w:line="360" w:lineRule="auto"/>
              <w:jc w:val="center"/>
              <w:rPr>
                <w:rFonts w:ascii="宋体" w:hAnsi="宋体" w:cs="宋体"/>
                <w:sz w:val="24"/>
                <w:szCs w:val="24"/>
              </w:rPr>
            </w:pPr>
            <w:r>
              <w:rPr>
                <w:rFonts w:hint="eastAsia" w:ascii="宋体" w:hAnsi="宋体" w:cs="宋体"/>
                <w:sz w:val="24"/>
                <w:szCs w:val="24"/>
              </w:rPr>
              <w:t>项目名称</w:t>
            </w:r>
          </w:p>
        </w:tc>
        <w:tc>
          <w:tcPr>
            <w:tcW w:w="1903" w:type="dxa"/>
            <w:vAlign w:val="center"/>
          </w:tcPr>
          <w:p w14:paraId="0233D545">
            <w:pPr>
              <w:pStyle w:val="76"/>
              <w:spacing w:line="360" w:lineRule="auto"/>
              <w:jc w:val="center"/>
              <w:rPr>
                <w:rFonts w:ascii="宋体" w:hAnsi="宋体" w:cs="宋体"/>
                <w:sz w:val="24"/>
                <w:szCs w:val="24"/>
              </w:rPr>
            </w:pPr>
            <w:r>
              <w:rPr>
                <w:rFonts w:hint="eastAsia" w:ascii="宋体" w:hAnsi="宋体" w:cs="宋体"/>
                <w:sz w:val="24"/>
                <w:szCs w:val="24"/>
              </w:rPr>
              <w:t>项目负责人名单</w:t>
            </w:r>
          </w:p>
        </w:tc>
        <w:tc>
          <w:tcPr>
            <w:tcW w:w="1178" w:type="dxa"/>
            <w:vAlign w:val="center"/>
          </w:tcPr>
          <w:p w14:paraId="356D4F02">
            <w:pPr>
              <w:pStyle w:val="76"/>
              <w:spacing w:line="360" w:lineRule="auto"/>
              <w:jc w:val="center"/>
              <w:rPr>
                <w:rFonts w:ascii="宋体" w:hAnsi="宋体" w:cs="宋体"/>
                <w:sz w:val="24"/>
                <w:szCs w:val="24"/>
              </w:rPr>
            </w:pPr>
            <w:r>
              <w:rPr>
                <w:rFonts w:hint="eastAsia" w:ascii="宋体" w:hAnsi="宋体" w:cs="宋体"/>
                <w:sz w:val="24"/>
                <w:szCs w:val="24"/>
              </w:rPr>
              <w:t>中标公示查询媒体</w:t>
            </w:r>
          </w:p>
        </w:tc>
        <w:tc>
          <w:tcPr>
            <w:tcW w:w="880" w:type="dxa"/>
            <w:vAlign w:val="center"/>
          </w:tcPr>
          <w:p w14:paraId="6E21BC32">
            <w:pPr>
              <w:pStyle w:val="76"/>
              <w:spacing w:line="360" w:lineRule="auto"/>
              <w:jc w:val="center"/>
              <w:rPr>
                <w:rFonts w:ascii="宋体" w:hAnsi="宋体" w:cs="宋体"/>
                <w:sz w:val="24"/>
                <w:szCs w:val="24"/>
              </w:rPr>
            </w:pPr>
            <w:r>
              <w:rPr>
                <w:rFonts w:hint="eastAsia" w:ascii="宋体" w:hAnsi="宋体" w:cs="宋体"/>
                <w:sz w:val="24"/>
                <w:szCs w:val="24"/>
              </w:rPr>
              <w:t>合同金额（元）</w:t>
            </w:r>
          </w:p>
        </w:tc>
        <w:tc>
          <w:tcPr>
            <w:tcW w:w="1387" w:type="dxa"/>
            <w:vAlign w:val="center"/>
          </w:tcPr>
          <w:p w14:paraId="0FD4DB4F">
            <w:pPr>
              <w:pStyle w:val="76"/>
              <w:spacing w:line="360" w:lineRule="auto"/>
              <w:jc w:val="center"/>
              <w:rPr>
                <w:rFonts w:ascii="宋体" w:hAnsi="宋体" w:cs="宋体"/>
                <w:sz w:val="24"/>
                <w:szCs w:val="24"/>
              </w:rPr>
            </w:pPr>
            <w:r>
              <w:rPr>
                <w:rFonts w:hint="eastAsia" w:ascii="宋体" w:hAnsi="宋体" w:cs="宋体"/>
                <w:sz w:val="24"/>
                <w:szCs w:val="24"/>
              </w:rPr>
              <w:t>合同签订日期</w:t>
            </w:r>
          </w:p>
        </w:tc>
        <w:tc>
          <w:tcPr>
            <w:tcW w:w="1267" w:type="dxa"/>
            <w:vAlign w:val="center"/>
          </w:tcPr>
          <w:p w14:paraId="616F5E47">
            <w:pPr>
              <w:pStyle w:val="76"/>
              <w:spacing w:line="360" w:lineRule="auto"/>
              <w:jc w:val="center"/>
              <w:rPr>
                <w:rFonts w:ascii="宋体" w:hAnsi="宋体" w:cs="宋体"/>
                <w:sz w:val="24"/>
                <w:szCs w:val="24"/>
              </w:rPr>
            </w:pPr>
            <w:r>
              <w:rPr>
                <w:rFonts w:hint="eastAsia" w:ascii="宋体" w:hAnsi="宋体" w:cs="宋体"/>
                <w:sz w:val="24"/>
                <w:szCs w:val="24"/>
              </w:rPr>
              <w:t>验收日期</w:t>
            </w:r>
          </w:p>
        </w:tc>
        <w:tc>
          <w:tcPr>
            <w:tcW w:w="775" w:type="dxa"/>
            <w:vAlign w:val="center"/>
          </w:tcPr>
          <w:p w14:paraId="564DB7A0">
            <w:pPr>
              <w:pStyle w:val="76"/>
              <w:spacing w:line="360" w:lineRule="auto"/>
              <w:jc w:val="center"/>
              <w:rPr>
                <w:rFonts w:ascii="宋体" w:hAnsi="宋体" w:cs="宋体"/>
                <w:sz w:val="24"/>
                <w:szCs w:val="24"/>
              </w:rPr>
            </w:pPr>
            <w:r>
              <w:rPr>
                <w:rFonts w:hint="eastAsia" w:ascii="宋体" w:hAnsi="宋体" w:cs="宋体"/>
                <w:sz w:val="24"/>
                <w:szCs w:val="24"/>
              </w:rPr>
              <w:t>备注</w:t>
            </w:r>
          </w:p>
        </w:tc>
      </w:tr>
      <w:tr w14:paraId="6CBF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507" w:type="dxa"/>
            <w:vAlign w:val="center"/>
          </w:tcPr>
          <w:p w14:paraId="2C7605D1">
            <w:pPr>
              <w:pStyle w:val="76"/>
              <w:spacing w:line="360" w:lineRule="auto"/>
              <w:jc w:val="center"/>
              <w:rPr>
                <w:rFonts w:ascii="宋体" w:hAnsi="宋体" w:cs="宋体"/>
                <w:sz w:val="24"/>
                <w:szCs w:val="24"/>
              </w:rPr>
            </w:pPr>
          </w:p>
        </w:tc>
        <w:tc>
          <w:tcPr>
            <w:tcW w:w="1979" w:type="dxa"/>
            <w:vAlign w:val="center"/>
          </w:tcPr>
          <w:p w14:paraId="33A3A914">
            <w:pPr>
              <w:pStyle w:val="76"/>
              <w:spacing w:line="360" w:lineRule="auto"/>
              <w:jc w:val="center"/>
              <w:rPr>
                <w:rFonts w:ascii="宋体" w:hAnsi="宋体" w:cs="宋体"/>
                <w:sz w:val="24"/>
                <w:szCs w:val="24"/>
              </w:rPr>
            </w:pPr>
          </w:p>
        </w:tc>
        <w:tc>
          <w:tcPr>
            <w:tcW w:w="1903" w:type="dxa"/>
            <w:vAlign w:val="center"/>
          </w:tcPr>
          <w:p w14:paraId="4ACA111C">
            <w:pPr>
              <w:pStyle w:val="76"/>
              <w:spacing w:line="360" w:lineRule="auto"/>
              <w:jc w:val="center"/>
              <w:rPr>
                <w:rFonts w:ascii="宋体" w:hAnsi="宋体" w:cs="宋体"/>
                <w:sz w:val="24"/>
                <w:szCs w:val="24"/>
              </w:rPr>
            </w:pPr>
          </w:p>
        </w:tc>
        <w:tc>
          <w:tcPr>
            <w:tcW w:w="1178" w:type="dxa"/>
            <w:vAlign w:val="center"/>
          </w:tcPr>
          <w:p w14:paraId="3D996D57">
            <w:pPr>
              <w:pStyle w:val="76"/>
              <w:spacing w:line="360" w:lineRule="auto"/>
              <w:jc w:val="center"/>
              <w:rPr>
                <w:rFonts w:ascii="宋体" w:hAnsi="宋体" w:cs="宋体"/>
                <w:sz w:val="24"/>
                <w:szCs w:val="24"/>
              </w:rPr>
            </w:pPr>
          </w:p>
        </w:tc>
        <w:tc>
          <w:tcPr>
            <w:tcW w:w="880" w:type="dxa"/>
            <w:vAlign w:val="center"/>
          </w:tcPr>
          <w:p w14:paraId="42EA19B0">
            <w:pPr>
              <w:pStyle w:val="76"/>
              <w:spacing w:line="360" w:lineRule="auto"/>
              <w:jc w:val="center"/>
              <w:rPr>
                <w:rFonts w:ascii="宋体" w:hAnsi="宋体" w:cs="宋体"/>
                <w:sz w:val="24"/>
                <w:szCs w:val="24"/>
              </w:rPr>
            </w:pPr>
          </w:p>
        </w:tc>
        <w:tc>
          <w:tcPr>
            <w:tcW w:w="1387" w:type="dxa"/>
            <w:vAlign w:val="center"/>
          </w:tcPr>
          <w:p w14:paraId="5486DFDC">
            <w:pPr>
              <w:pStyle w:val="76"/>
              <w:spacing w:line="360" w:lineRule="auto"/>
              <w:jc w:val="center"/>
              <w:rPr>
                <w:rFonts w:ascii="宋体" w:hAnsi="宋体" w:cs="宋体"/>
                <w:sz w:val="24"/>
                <w:szCs w:val="24"/>
              </w:rPr>
            </w:pPr>
          </w:p>
        </w:tc>
        <w:tc>
          <w:tcPr>
            <w:tcW w:w="1267" w:type="dxa"/>
            <w:vAlign w:val="center"/>
          </w:tcPr>
          <w:p w14:paraId="787D3895">
            <w:pPr>
              <w:pStyle w:val="76"/>
              <w:spacing w:line="360" w:lineRule="auto"/>
              <w:jc w:val="center"/>
              <w:rPr>
                <w:rFonts w:ascii="宋体" w:hAnsi="宋体" w:cs="宋体"/>
                <w:sz w:val="24"/>
                <w:szCs w:val="24"/>
              </w:rPr>
            </w:pPr>
          </w:p>
        </w:tc>
        <w:tc>
          <w:tcPr>
            <w:tcW w:w="775" w:type="dxa"/>
            <w:vAlign w:val="center"/>
          </w:tcPr>
          <w:p w14:paraId="45045707">
            <w:pPr>
              <w:pStyle w:val="76"/>
              <w:spacing w:line="360" w:lineRule="auto"/>
              <w:jc w:val="center"/>
              <w:rPr>
                <w:rFonts w:ascii="宋体" w:hAnsi="宋体" w:cs="宋体"/>
                <w:sz w:val="24"/>
                <w:szCs w:val="24"/>
              </w:rPr>
            </w:pPr>
          </w:p>
        </w:tc>
      </w:tr>
      <w:tr w14:paraId="0B8F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507" w:type="dxa"/>
            <w:vAlign w:val="center"/>
          </w:tcPr>
          <w:p w14:paraId="046028F7">
            <w:pPr>
              <w:pStyle w:val="76"/>
              <w:spacing w:line="360" w:lineRule="auto"/>
              <w:jc w:val="center"/>
              <w:rPr>
                <w:rFonts w:ascii="宋体" w:hAnsi="宋体" w:cs="宋体"/>
                <w:sz w:val="24"/>
                <w:szCs w:val="24"/>
              </w:rPr>
            </w:pPr>
          </w:p>
        </w:tc>
        <w:tc>
          <w:tcPr>
            <w:tcW w:w="1979" w:type="dxa"/>
            <w:vAlign w:val="center"/>
          </w:tcPr>
          <w:p w14:paraId="607F237F">
            <w:pPr>
              <w:pStyle w:val="76"/>
              <w:spacing w:line="360" w:lineRule="auto"/>
              <w:jc w:val="center"/>
              <w:rPr>
                <w:rFonts w:ascii="宋体" w:hAnsi="宋体" w:cs="宋体"/>
                <w:sz w:val="24"/>
                <w:szCs w:val="24"/>
              </w:rPr>
            </w:pPr>
          </w:p>
        </w:tc>
        <w:tc>
          <w:tcPr>
            <w:tcW w:w="1903" w:type="dxa"/>
            <w:vAlign w:val="center"/>
          </w:tcPr>
          <w:p w14:paraId="67EBEE9E">
            <w:pPr>
              <w:pStyle w:val="76"/>
              <w:spacing w:line="360" w:lineRule="auto"/>
              <w:jc w:val="center"/>
              <w:rPr>
                <w:rFonts w:ascii="宋体" w:hAnsi="宋体" w:cs="宋体"/>
                <w:sz w:val="24"/>
                <w:szCs w:val="24"/>
              </w:rPr>
            </w:pPr>
          </w:p>
        </w:tc>
        <w:tc>
          <w:tcPr>
            <w:tcW w:w="1178" w:type="dxa"/>
            <w:vAlign w:val="center"/>
          </w:tcPr>
          <w:p w14:paraId="1F5BB352">
            <w:pPr>
              <w:pStyle w:val="76"/>
              <w:spacing w:line="360" w:lineRule="auto"/>
              <w:jc w:val="center"/>
              <w:rPr>
                <w:rFonts w:ascii="宋体" w:hAnsi="宋体" w:cs="宋体"/>
                <w:sz w:val="24"/>
                <w:szCs w:val="24"/>
              </w:rPr>
            </w:pPr>
          </w:p>
        </w:tc>
        <w:tc>
          <w:tcPr>
            <w:tcW w:w="880" w:type="dxa"/>
            <w:vAlign w:val="center"/>
          </w:tcPr>
          <w:p w14:paraId="7D1F86E0">
            <w:pPr>
              <w:pStyle w:val="76"/>
              <w:spacing w:line="360" w:lineRule="auto"/>
              <w:jc w:val="center"/>
              <w:rPr>
                <w:rFonts w:ascii="宋体" w:hAnsi="宋体" w:cs="宋体"/>
                <w:sz w:val="24"/>
                <w:szCs w:val="24"/>
              </w:rPr>
            </w:pPr>
          </w:p>
        </w:tc>
        <w:tc>
          <w:tcPr>
            <w:tcW w:w="1387" w:type="dxa"/>
            <w:vAlign w:val="center"/>
          </w:tcPr>
          <w:p w14:paraId="13B67DA2">
            <w:pPr>
              <w:pStyle w:val="76"/>
              <w:spacing w:line="360" w:lineRule="auto"/>
              <w:jc w:val="center"/>
              <w:rPr>
                <w:rFonts w:ascii="宋体" w:hAnsi="宋体" w:cs="宋体"/>
                <w:sz w:val="24"/>
                <w:szCs w:val="24"/>
              </w:rPr>
            </w:pPr>
          </w:p>
        </w:tc>
        <w:tc>
          <w:tcPr>
            <w:tcW w:w="1267" w:type="dxa"/>
            <w:vAlign w:val="center"/>
          </w:tcPr>
          <w:p w14:paraId="279A041E">
            <w:pPr>
              <w:pStyle w:val="76"/>
              <w:spacing w:line="360" w:lineRule="auto"/>
              <w:jc w:val="center"/>
              <w:rPr>
                <w:rFonts w:ascii="宋体" w:hAnsi="宋体" w:cs="宋体"/>
                <w:sz w:val="24"/>
                <w:szCs w:val="24"/>
              </w:rPr>
            </w:pPr>
          </w:p>
        </w:tc>
        <w:tc>
          <w:tcPr>
            <w:tcW w:w="775" w:type="dxa"/>
            <w:vAlign w:val="center"/>
          </w:tcPr>
          <w:p w14:paraId="62705A8B">
            <w:pPr>
              <w:pStyle w:val="76"/>
              <w:spacing w:line="360" w:lineRule="auto"/>
              <w:jc w:val="center"/>
              <w:rPr>
                <w:rFonts w:ascii="宋体" w:hAnsi="宋体" w:cs="宋体"/>
                <w:sz w:val="24"/>
                <w:szCs w:val="24"/>
              </w:rPr>
            </w:pPr>
          </w:p>
        </w:tc>
      </w:tr>
      <w:tr w14:paraId="02E5C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507" w:type="dxa"/>
            <w:vAlign w:val="center"/>
          </w:tcPr>
          <w:p w14:paraId="6DBBE85C">
            <w:pPr>
              <w:pStyle w:val="76"/>
              <w:spacing w:line="360" w:lineRule="auto"/>
              <w:jc w:val="center"/>
              <w:rPr>
                <w:rFonts w:ascii="宋体" w:hAnsi="宋体" w:cs="宋体"/>
                <w:sz w:val="24"/>
                <w:szCs w:val="24"/>
              </w:rPr>
            </w:pPr>
          </w:p>
        </w:tc>
        <w:tc>
          <w:tcPr>
            <w:tcW w:w="1979" w:type="dxa"/>
            <w:vAlign w:val="center"/>
          </w:tcPr>
          <w:p w14:paraId="746372D7">
            <w:pPr>
              <w:pStyle w:val="76"/>
              <w:spacing w:line="360" w:lineRule="auto"/>
              <w:jc w:val="center"/>
              <w:rPr>
                <w:rFonts w:ascii="宋体" w:hAnsi="宋体" w:cs="宋体"/>
                <w:sz w:val="24"/>
                <w:szCs w:val="24"/>
              </w:rPr>
            </w:pPr>
          </w:p>
        </w:tc>
        <w:tc>
          <w:tcPr>
            <w:tcW w:w="1903" w:type="dxa"/>
            <w:vAlign w:val="center"/>
          </w:tcPr>
          <w:p w14:paraId="58E3C0C8">
            <w:pPr>
              <w:pStyle w:val="76"/>
              <w:spacing w:line="360" w:lineRule="auto"/>
              <w:jc w:val="center"/>
              <w:rPr>
                <w:rFonts w:ascii="宋体" w:hAnsi="宋体" w:cs="宋体"/>
                <w:sz w:val="24"/>
                <w:szCs w:val="24"/>
              </w:rPr>
            </w:pPr>
          </w:p>
        </w:tc>
        <w:tc>
          <w:tcPr>
            <w:tcW w:w="1178" w:type="dxa"/>
            <w:vAlign w:val="center"/>
          </w:tcPr>
          <w:p w14:paraId="3843D675">
            <w:pPr>
              <w:pStyle w:val="76"/>
              <w:spacing w:line="360" w:lineRule="auto"/>
              <w:jc w:val="center"/>
              <w:rPr>
                <w:rFonts w:ascii="宋体" w:hAnsi="宋体" w:cs="宋体"/>
                <w:sz w:val="24"/>
                <w:szCs w:val="24"/>
              </w:rPr>
            </w:pPr>
          </w:p>
        </w:tc>
        <w:tc>
          <w:tcPr>
            <w:tcW w:w="880" w:type="dxa"/>
            <w:vAlign w:val="center"/>
          </w:tcPr>
          <w:p w14:paraId="4AC55BE9">
            <w:pPr>
              <w:pStyle w:val="76"/>
              <w:spacing w:line="360" w:lineRule="auto"/>
              <w:jc w:val="center"/>
              <w:rPr>
                <w:rFonts w:ascii="宋体" w:hAnsi="宋体" w:cs="宋体"/>
                <w:sz w:val="24"/>
                <w:szCs w:val="24"/>
              </w:rPr>
            </w:pPr>
          </w:p>
        </w:tc>
        <w:tc>
          <w:tcPr>
            <w:tcW w:w="1387" w:type="dxa"/>
            <w:vAlign w:val="center"/>
          </w:tcPr>
          <w:p w14:paraId="76FD902F">
            <w:pPr>
              <w:pStyle w:val="76"/>
              <w:spacing w:line="360" w:lineRule="auto"/>
              <w:jc w:val="center"/>
              <w:rPr>
                <w:rFonts w:ascii="宋体" w:hAnsi="宋体" w:cs="宋体"/>
                <w:sz w:val="24"/>
                <w:szCs w:val="24"/>
              </w:rPr>
            </w:pPr>
          </w:p>
        </w:tc>
        <w:tc>
          <w:tcPr>
            <w:tcW w:w="1267" w:type="dxa"/>
            <w:vAlign w:val="center"/>
          </w:tcPr>
          <w:p w14:paraId="1DD58416">
            <w:pPr>
              <w:pStyle w:val="76"/>
              <w:spacing w:line="360" w:lineRule="auto"/>
              <w:jc w:val="center"/>
              <w:rPr>
                <w:rFonts w:ascii="宋体" w:hAnsi="宋体" w:cs="宋体"/>
                <w:sz w:val="24"/>
                <w:szCs w:val="24"/>
              </w:rPr>
            </w:pPr>
          </w:p>
        </w:tc>
        <w:tc>
          <w:tcPr>
            <w:tcW w:w="775" w:type="dxa"/>
            <w:vAlign w:val="center"/>
          </w:tcPr>
          <w:p w14:paraId="48B366ED">
            <w:pPr>
              <w:pStyle w:val="76"/>
              <w:spacing w:line="360" w:lineRule="auto"/>
              <w:jc w:val="center"/>
              <w:rPr>
                <w:rFonts w:ascii="宋体" w:hAnsi="宋体" w:cs="宋体"/>
                <w:sz w:val="24"/>
                <w:szCs w:val="24"/>
              </w:rPr>
            </w:pPr>
          </w:p>
        </w:tc>
      </w:tr>
      <w:tr w14:paraId="5B92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507" w:type="dxa"/>
            <w:vAlign w:val="center"/>
          </w:tcPr>
          <w:p w14:paraId="0F497C28">
            <w:pPr>
              <w:pStyle w:val="76"/>
              <w:spacing w:line="360" w:lineRule="auto"/>
              <w:jc w:val="center"/>
              <w:rPr>
                <w:rFonts w:ascii="宋体" w:hAnsi="宋体" w:cs="宋体"/>
                <w:sz w:val="24"/>
                <w:szCs w:val="24"/>
              </w:rPr>
            </w:pPr>
          </w:p>
        </w:tc>
        <w:tc>
          <w:tcPr>
            <w:tcW w:w="1979" w:type="dxa"/>
            <w:vAlign w:val="center"/>
          </w:tcPr>
          <w:p w14:paraId="6FA47A93">
            <w:pPr>
              <w:pStyle w:val="76"/>
              <w:spacing w:line="360" w:lineRule="auto"/>
              <w:jc w:val="center"/>
              <w:rPr>
                <w:rFonts w:ascii="宋体" w:hAnsi="宋体" w:cs="宋体"/>
                <w:sz w:val="24"/>
                <w:szCs w:val="24"/>
              </w:rPr>
            </w:pPr>
          </w:p>
        </w:tc>
        <w:tc>
          <w:tcPr>
            <w:tcW w:w="1903" w:type="dxa"/>
            <w:vAlign w:val="center"/>
          </w:tcPr>
          <w:p w14:paraId="305F183A">
            <w:pPr>
              <w:pStyle w:val="76"/>
              <w:spacing w:line="360" w:lineRule="auto"/>
              <w:jc w:val="center"/>
              <w:rPr>
                <w:rFonts w:ascii="宋体" w:hAnsi="宋体" w:cs="宋体"/>
                <w:sz w:val="24"/>
                <w:szCs w:val="24"/>
              </w:rPr>
            </w:pPr>
          </w:p>
        </w:tc>
        <w:tc>
          <w:tcPr>
            <w:tcW w:w="1178" w:type="dxa"/>
            <w:vAlign w:val="center"/>
          </w:tcPr>
          <w:p w14:paraId="3BBE9A73">
            <w:pPr>
              <w:pStyle w:val="76"/>
              <w:spacing w:line="360" w:lineRule="auto"/>
              <w:jc w:val="center"/>
              <w:rPr>
                <w:rFonts w:ascii="宋体" w:hAnsi="宋体" w:cs="宋体"/>
                <w:sz w:val="24"/>
                <w:szCs w:val="24"/>
              </w:rPr>
            </w:pPr>
          </w:p>
        </w:tc>
        <w:tc>
          <w:tcPr>
            <w:tcW w:w="880" w:type="dxa"/>
            <w:vAlign w:val="center"/>
          </w:tcPr>
          <w:p w14:paraId="3727F304">
            <w:pPr>
              <w:pStyle w:val="76"/>
              <w:spacing w:line="360" w:lineRule="auto"/>
              <w:jc w:val="center"/>
              <w:rPr>
                <w:rFonts w:ascii="宋体" w:hAnsi="宋体" w:cs="宋体"/>
                <w:sz w:val="24"/>
                <w:szCs w:val="24"/>
              </w:rPr>
            </w:pPr>
          </w:p>
        </w:tc>
        <w:tc>
          <w:tcPr>
            <w:tcW w:w="1387" w:type="dxa"/>
            <w:vAlign w:val="center"/>
          </w:tcPr>
          <w:p w14:paraId="7C443AFE">
            <w:pPr>
              <w:pStyle w:val="76"/>
              <w:spacing w:line="360" w:lineRule="auto"/>
              <w:jc w:val="center"/>
              <w:rPr>
                <w:rFonts w:ascii="宋体" w:hAnsi="宋体" w:cs="宋体"/>
                <w:sz w:val="24"/>
                <w:szCs w:val="24"/>
              </w:rPr>
            </w:pPr>
          </w:p>
        </w:tc>
        <w:tc>
          <w:tcPr>
            <w:tcW w:w="1267" w:type="dxa"/>
            <w:vAlign w:val="center"/>
          </w:tcPr>
          <w:p w14:paraId="4496AD1C">
            <w:pPr>
              <w:pStyle w:val="76"/>
              <w:spacing w:line="360" w:lineRule="auto"/>
              <w:jc w:val="center"/>
              <w:rPr>
                <w:rFonts w:ascii="宋体" w:hAnsi="宋体" w:cs="宋体"/>
                <w:sz w:val="24"/>
                <w:szCs w:val="24"/>
              </w:rPr>
            </w:pPr>
          </w:p>
        </w:tc>
        <w:tc>
          <w:tcPr>
            <w:tcW w:w="775" w:type="dxa"/>
            <w:vAlign w:val="center"/>
          </w:tcPr>
          <w:p w14:paraId="49EFBD71">
            <w:pPr>
              <w:pStyle w:val="76"/>
              <w:spacing w:line="360" w:lineRule="auto"/>
              <w:jc w:val="center"/>
              <w:rPr>
                <w:rFonts w:ascii="宋体" w:hAnsi="宋体" w:cs="宋体"/>
                <w:sz w:val="24"/>
                <w:szCs w:val="24"/>
              </w:rPr>
            </w:pPr>
          </w:p>
        </w:tc>
      </w:tr>
      <w:tr w14:paraId="04C92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507" w:type="dxa"/>
            <w:vAlign w:val="center"/>
          </w:tcPr>
          <w:p w14:paraId="4F6ADEF0">
            <w:pPr>
              <w:pStyle w:val="76"/>
              <w:spacing w:line="360" w:lineRule="auto"/>
              <w:jc w:val="center"/>
              <w:rPr>
                <w:rFonts w:ascii="宋体" w:hAnsi="宋体" w:cs="宋体"/>
                <w:sz w:val="24"/>
                <w:szCs w:val="24"/>
              </w:rPr>
            </w:pPr>
          </w:p>
        </w:tc>
        <w:tc>
          <w:tcPr>
            <w:tcW w:w="1979" w:type="dxa"/>
            <w:vAlign w:val="center"/>
          </w:tcPr>
          <w:p w14:paraId="4430BAA6">
            <w:pPr>
              <w:pStyle w:val="76"/>
              <w:spacing w:line="360" w:lineRule="auto"/>
              <w:jc w:val="center"/>
              <w:rPr>
                <w:rFonts w:ascii="宋体" w:hAnsi="宋体" w:cs="宋体"/>
                <w:sz w:val="24"/>
                <w:szCs w:val="24"/>
              </w:rPr>
            </w:pPr>
          </w:p>
        </w:tc>
        <w:tc>
          <w:tcPr>
            <w:tcW w:w="1903" w:type="dxa"/>
            <w:vAlign w:val="center"/>
          </w:tcPr>
          <w:p w14:paraId="7D015E2C">
            <w:pPr>
              <w:pStyle w:val="76"/>
              <w:spacing w:line="360" w:lineRule="auto"/>
              <w:jc w:val="center"/>
              <w:rPr>
                <w:rFonts w:ascii="宋体" w:hAnsi="宋体" w:cs="宋体"/>
                <w:sz w:val="24"/>
                <w:szCs w:val="24"/>
              </w:rPr>
            </w:pPr>
          </w:p>
        </w:tc>
        <w:tc>
          <w:tcPr>
            <w:tcW w:w="1178" w:type="dxa"/>
            <w:vAlign w:val="center"/>
          </w:tcPr>
          <w:p w14:paraId="6284E4DD">
            <w:pPr>
              <w:pStyle w:val="76"/>
              <w:spacing w:line="360" w:lineRule="auto"/>
              <w:jc w:val="center"/>
              <w:rPr>
                <w:rFonts w:ascii="宋体" w:hAnsi="宋体" w:cs="宋体"/>
                <w:sz w:val="24"/>
                <w:szCs w:val="24"/>
              </w:rPr>
            </w:pPr>
          </w:p>
        </w:tc>
        <w:tc>
          <w:tcPr>
            <w:tcW w:w="880" w:type="dxa"/>
            <w:vAlign w:val="center"/>
          </w:tcPr>
          <w:p w14:paraId="59330B05">
            <w:pPr>
              <w:pStyle w:val="76"/>
              <w:spacing w:line="360" w:lineRule="auto"/>
              <w:jc w:val="center"/>
              <w:rPr>
                <w:rFonts w:ascii="宋体" w:hAnsi="宋体" w:cs="宋体"/>
                <w:sz w:val="24"/>
                <w:szCs w:val="24"/>
              </w:rPr>
            </w:pPr>
          </w:p>
        </w:tc>
        <w:tc>
          <w:tcPr>
            <w:tcW w:w="1387" w:type="dxa"/>
            <w:vAlign w:val="center"/>
          </w:tcPr>
          <w:p w14:paraId="06978AA1">
            <w:pPr>
              <w:pStyle w:val="76"/>
              <w:spacing w:line="360" w:lineRule="auto"/>
              <w:jc w:val="center"/>
              <w:rPr>
                <w:rFonts w:ascii="宋体" w:hAnsi="宋体" w:cs="宋体"/>
                <w:sz w:val="24"/>
                <w:szCs w:val="24"/>
              </w:rPr>
            </w:pPr>
          </w:p>
        </w:tc>
        <w:tc>
          <w:tcPr>
            <w:tcW w:w="1267" w:type="dxa"/>
            <w:vAlign w:val="center"/>
          </w:tcPr>
          <w:p w14:paraId="1FE4D97B">
            <w:pPr>
              <w:pStyle w:val="76"/>
              <w:spacing w:line="360" w:lineRule="auto"/>
              <w:jc w:val="center"/>
              <w:rPr>
                <w:rFonts w:ascii="宋体" w:hAnsi="宋体" w:cs="宋体"/>
                <w:sz w:val="24"/>
                <w:szCs w:val="24"/>
              </w:rPr>
            </w:pPr>
          </w:p>
        </w:tc>
        <w:tc>
          <w:tcPr>
            <w:tcW w:w="775" w:type="dxa"/>
            <w:vAlign w:val="center"/>
          </w:tcPr>
          <w:p w14:paraId="6B217F85">
            <w:pPr>
              <w:pStyle w:val="76"/>
              <w:spacing w:line="360" w:lineRule="auto"/>
              <w:jc w:val="center"/>
              <w:rPr>
                <w:rFonts w:ascii="宋体" w:hAnsi="宋体" w:cs="宋体"/>
                <w:sz w:val="24"/>
                <w:szCs w:val="24"/>
              </w:rPr>
            </w:pPr>
          </w:p>
        </w:tc>
      </w:tr>
      <w:tr w14:paraId="70B73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507" w:type="dxa"/>
            <w:vAlign w:val="center"/>
          </w:tcPr>
          <w:p w14:paraId="49D9C75D">
            <w:pPr>
              <w:pStyle w:val="76"/>
              <w:spacing w:line="360" w:lineRule="auto"/>
              <w:jc w:val="center"/>
              <w:rPr>
                <w:rFonts w:ascii="宋体" w:hAnsi="宋体" w:cs="宋体"/>
                <w:sz w:val="24"/>
                <w:szCs w:val="24"/>
              </w:rPr>
            </w:pPr>
          </w:p>
        </w:tc>
        <w:tc>
          <w:tcPr>
            <w:tcW w:w="1979" w:type="dxa"/>
            <w:vAlign w:val="center"/>
          </w:tcPr>
          <w:p w14:paraId="75D64E21">
            <w:pPr>
              <w:pStyle w:val="76"/>
              <w:spacing w:line="360" w:lineRule="auto"/>
              <w:jc w:val="center"/>
              <w:rPr>
                <w:rFonts w:ascii="宋体" w:hAnsi="宋体" w:cs="宋体"/>
                <w:sz w:val="24"/>
                <w:szCs w:val="24"/>
              </w:rPr>
            </w:pPr>
          </w:p>
        </w:tc>
        <w:tc>
          <w:tcPr>
            <w:tcW w:w="1903" w:type="dxa"/>
            <w:vAlign w:val="center"/>
          </w:tcPr>
          <w:p w14:paraId="7D112E42">
            <w:pPr>
              <w:pStyle w:val="76"/>
              <w:spacing w:line="360" w:lineRule="auto"/>
              <w:jc w:val="center"/>
              <w:rPr>
                <w:rFonts w:ascii="宋体" w:hAnsi="宋体" w:cs="宋体"/>
                <w:sz w:val="24"/>
                <w:szCs w:val="24"/>
              </w:rPr>
            </w:pPr>
          </w:p>
        </w:tc>
        <w:tc>
          <w:tcPr>
            <w:tcW w:w="1178" w:type="dxa"/>
            <w:vAlign w:val="center"/>
          </w:tcPr>
          <w:p w14:paraId="7198DF1C">
            <w:pPr>
              <w:pStyle w:val="76"/>
              <w:spacing w:line="360" w:lineRule="auto"/>
              <w:jc w:val="center"/>
              <w:rPr>
                <w:rFonts w:ascii="宋体" w:hAnsi="宋体" w:cs="宋体"/>
                <w:sz w:val="24"/>
                <w:szCs w:val="24"/>
              </w:rPr>
            </w:pPr>
          </w:p>
        </w:tc>
        <w:tc>
          <w:tcPr>
            <w:tcW w:w="880" w:type="dxa"/>
            <w:vAlign w:val="center"/>
          </w:tcPr>
          <w:p w14:paraId="66B0CA81">
            <w:pPr>
              <w:pStyle w:val="76"/>
              <w:spacing w:line="360" w:lineRule="auto"/>
              <w:jc w:val="center"/>
              <w:rPr>
                <w:rFonts w:ascii="宋体" w:hAnsi="宋体" w:cs="宋体"/>
                <w:sz w:val="24"/>
                <w:szCs w:val="24"/>
              </w:rPr>
            </w:pPr>
          </w:p>
        </w:tc>
        <w:tc>
          <w:tcPr>
            <w:tcW w:w="1387" w:type="dxa"/>
            <w:vAlign w:val="center"/>
          </w:tcPr>
          <w:p w14:paraId="05D1CB61">
            <w:pPr>
              <w:pStyle w:val="76"/>
              <w:spacing w:line="360" w:lineRule="auto"/>
              <w:jc w:val="center"/>
              <w:rPr>
                <w:rFonts w:ascii="宋体" w:hAnsi="宋体" w:cs="宋体"/>
                <w:sz w:val="24"/>
                <w:szCs w:val="24"/>
              </w:rPr>
            </w:pPr>
          </w:p>
        </w:tc>
        <w:tc>
          <w:tcPr>
            <w:tcW w:w="1267" w:type="dxa"/>
            <w:vAlign w:val="center"/>
          </w:tcPr>
          <w:p w14:paraId="0076402F">
            <w:pPr>
              <w:pStyle w:val="76"/>
              <w:spacing w:line="360" w:lineRule="auto"/>
              <w:jc w:val="center"/>
              <w:rPr>
                <w:rFonts w:ascii="宋体" w:hAnsi="宋体" w:cs="宋体"/>
                <w:sz w:val="24"/>
                <w:szCs w:val="24"/>
              </w:rPr>
            </w:pPr>
          </w:p>
        </w:tc>
        <w:tc>
          <w:tcPr>
            <w:tcW w:w="775" w:type="dxa"/>
            <w:vAlign w:val="center"/>
          </w:tcPr>
          <w:p w14:paraId="2635537A">
            <w:pPr>
              <w:pStyle w:val="76"/>
              <w:spacing w:line="360" w:lineRule="auto"/>
              <w:jc w:val="center"/>
              <w:rPr>
                <w:rFonts w:ascii="宋体" w:hAnsi="宋体" w:cs="宋体"/>
                <w:sz w:val="24"/>
                <w:szCs w:val="24"/>
              </w:rPr>
            </w:pPr>
          </w:p>
        </w:tc>
      </w:tr>
      <w:tr w14:paraId="54273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507" w:type="dxa"/>
            <w:vAlign w:val="center"/>
          </w:tcPr>
          <w:p w14:paraId="274AC6E7">
            <w:pPr>
              <w:pStyle w:val="76"/>
              <w:spacing w:line="360" w:lineRule="auto"/>
              <w:jc w:val="center"/>
              <w:rPr>
                <w:rFonts w:ascii="宋体" w:hAnsi="宋体" w:cs="宋体"/>
                <w:sz w:val="24"/>
                <w:szCs w:val="24"/>
              </w:rPr>
            </w:pPr>
          </w:p>
        </w:tc>
        <w:tc>
          <w:tcPr>
            <w:tcW w:w="1979" w:type="dxa"/>
            <w:vAlign w:val="center"/>
          </w:tcPr>
          <w:p w14:paraId="70923094">
            <w:pPr>
              <w:pStyle w:val="76"/>
              <w:spacing w:line="360" w:lineRule="auto"/>
              <w:jc w:val="center"/>
              <w:rPr>
                <w:rFonts w:ascii="宋体" w:hAnsi="宋体" w:cs="宋体"/>
                <w:sz w:val="24"/>
                <w:szCs w:val="24"/>
              </w:rPr>
            </w:pPr>
          </w:p>
        </w:tc>
        <w:tc>
          <w:tcPr>
            <w:tcW w:w="1903" w:type="dxa"/>
            <w:vAlign w:val="center"/>
          </w:tcPr>
          <w:p w14:paraId="64971A95">
            <w:pPr>
              <w:pStyle w:val="76"/>
              <w:spacing w:line="360" w:lineRule="auto"/>
              <w:jc w:val="center"/>
              <w:rPr>
                <w:rFonts w:ascii="宋体" w:hAnsi="宋体" w:cs="宋体"/>
                <w:sz w:val="24"/>
                <w:szCs w:val="24"/>
              </w:rPr>
            </w:pPr>
          </w:p>
        </w:tc>
        <w:tc>
          <w:tcPr>
            <w:tcW w:w="1178" w:type="dxa"/>
            <w:vAlign w:val="center"/>
          </w:tcPr>
          <w:p w14:paraId="5E9C4101">
            <w:pPr>
              <w:pStyle w:val="76"/>
              <w:spacing w:line="360" w:lineRule="auto"/>
              <w:jc w:val="center"/>
              <w:rPr>
                <w:rFonts w:ascii="宋体" w:hAnsi="宋体" w:cs="宋体"/>
                <w:sz w:val="24"/>
                <w:szCs w:val="24"/>
              </w:rPr>
            </w:pPr>
          </w:p>
        </w:tc>
        <w:tc>
          <w:tcPr>
            <w:tcW w:w="880" w:type="dxa"/>
            <w:vAlign w:val="center"/>
          </w:tcPr>
          <w:p w14:paraId="11636E6B">
            <w:pPr>
              <w:pStyle w:val="76"/>
              <w:spacing w:line="360" w:lineRule="auto"/>
              <w:jc w:val="center"/>
              <w:rPr>
                <w:rFonts w:ascii="宋体" w:hAnsi="宋体" w:cs="宋体"/>
                <w:sz w:val="24"/>
                <w:szCs w:val="24"/>
              </w:rPr>
            </w:pPr>
          </w:p>
        </w:tc>
        <w:tc>
          <w:tcPr>
            <w:tcW w:w="1387" w:type="dxa"/>
            <w:vAlign w:val="center"/>
          </w:tcPr>
          <w:p w14:paraId="5E8754B1">
            <w:pPr>
              <w:pStyle w:val="76"/>
              <w:spacing w:line="360" w:lineRule="auto"/>
              <w:jc w:val="center"/>
              <w:rPr>
                <w:rFonts w:ascii="宋体" w:hAnsi="宋体" w:cs="宋体"/>
                <w:sz w:val="24"/>
                <w:szCs w:val="24"/>
              </w:rPr>
            </w:pPr>
          </w:p>
        </w:tc>
        <w:tc>
          <w:tcPr>
            <w:tcW w:w="1267" w:type="dxa"/>
            <w:vAlign w:val="center"/>
          </w:tcPr>
          <w:p w14:paraId="29A29DAF">
            <w:pPr>
              <w:pStyle w:val="76"/>
              <w:spacing w:line="360" w:lineRule="auto"/>
              <w:jc w:val="center"/>
              <w:rPr>
                <w:rFonts w:ascii="宋体" w:hAnsi="宋体" w:cs="宋体"/>
                <w:sz w:val="24"/>
                <w:szCs w:val="24"/>
              </w:rPr>
            </w:pPr>
          </w:p>
        </w:tc>
        <w:tc>
          <w:tcPr>
            <w:tcW w:w="775" w:type="dxa"/>
            <w:vAlign w:val="center"/>
          </w:tcPr>
          <w:p w14:paraId="5F2A638E">
            <w:pPr>
              <w:pStyle w:val="76"/>
              <w:spacing w:line="360" w:lineRule="auto"/>
              <w:jc w:val="center"/>
              <w:rPr>
                <w:rFonts w:ascii="宋体" w:hAnsi="宋体" w:cs="宋体"/>
                <w:sz w:val="24"/>
                <w:szCs w:val="24"/>
              </w:rPr>
            </w:pPr>
          </w:p>
        </w:tc>
      </w:tr>
    </w:tbl>
    <w:p w14:paraId="4F2EA6D2">
      <w:pPr>
        <w:rPr>
          <w:rFonts w:ascii="宋体" w:hAnsi="宋体" w:cs="宋体"/>
          <w:sz w:val="24"/>
          <w:szCs w:val="24"/>
        </w:rPr>
      </w:pPr>
    </w:p>
    <w:p w14:paraId="6638F6F4">
      <w:pPr>
        <w:pStyle w:val="25"/>
        <w:ind w:firstLine="210"/>
        <w:rPr>
          <w:rFonts w:ascii="宋体" w:hAnsi="宋体" w:cs="宋体"/>
        </w:rPr>
      </w:pPr>
      <w:r>
        <w:rPr>
          <w:rFonts w:hint="eastAsia" w:ascii="宋体" w:hAnsi="宋体" w:cs="宋体"/>
        </w:rPr>
        <w:br w:type="textWrapping"/>
      </w:r>
    </w:p>
    <w:p w14:paraId="7BCEDA26">
      <w:pPr>
        <w:pStyle w:val="26"/>
        <w:ind w:firstLine="540"/>
        <w:rPr>
          <w:rFonts w:ascii="宋体" w:hAnsi="宋体" w:eastAsia="宋体" w:cs="宋体"/>
        </w:rPr>
      </w:pPr>
    </w:p>
    <w:p w14:paraId="635907F2">
      <w:pPr>
        <w:rPr>
          <w:rFonts w:ascii="宋体" w:hAnsi="宋体" w:cs="宋体"/>
        </w:rPr>
      </w:pPr>
    </w:p>
    <w:p w14:paraId="6D4E98DF">
      <w:pPr>
        <w:pStyle w:val="25"/>
        <w:ind w:firstLine="210"/>
        <w:rPr>
          <w:rFonts w:ascii="宋体" w:hAnsi="宋体" w:cs="宋体"/>
        </w:rPr>
      </w:pPr>
    </w:p>
    <w:p w14:paraId="556EE031">
      <w:pPr>
        <w:pStyle w:val="26"/>
        <w:ind w:firstLine="540"/>
        <w:rPr>
          <w:rFonts w:ascii="宋体" w:hAnsi="宋体" w:eastAsia="宋体" w:cs="宋体"/>
        </w:rPr>
      </w:pPr>
    </w:p>
    <w:p w14:paraId="52D4A749">
      <w:pPr>
        <w:rPr>
          <w:rFonts w:ascii="宋体" w:hAnsi="宋体" w:cs="宋体"/>
        </w:rPr>
      </w:pPr>
    </w:p>
    <w:p w14:paraId="09E1689B">
      <w:pPr>
        <w:pStyle w:val="25"/>
        <w:ind w:firstLine="210"/>
        <w:rPr>
          <w:rFonts w:ascii="宋体" w:hAnsi="宋体" w:cs="宋体"/>
        </w:rPr>
      </w:pPr>
    </w:p>
    <w:p w14:paraId="222C924E">
      <w:pPr>
        <w:pStyle w:val="26"/>
        <w:ind w:firstLine="540"/>
        <w:rPr>
          <w:rFonts w:ascii="宋体" w:hAnsi="宋体" w:eastAsia="宋体" w:cs="宋体"/>
        </w:rPr>
      </w:pPr>
    </w:p>
    <w:p w14:paraId="6C93EAE5">
      <w:pPr>
        <w:rPr>
          <w:rFonts w:ascii="宋体" w:hAnsi="宋体" w:cs="宋体"/>
        </w:rPr>
      </w:pPr>
    </w:p>
    <w:p w14:paraId="69FFBA87">
      <w:pPr>
        <w:pStyle w:val="8"/>
        <w:spacing w:line="360" w:lineRule="auto"/>
        <w:jc w:val="center"/>
        <w:rPr>
          <w:rFonts w:ascii="宋体" w:hAnsi="宋体" w:cs="宋体"/>
          <w:sz w:val="24"/>
          <w:szCs w:val="24"/>
        </w:rPr>
      </w:pPr>
      <w:r>
        <w:rPr>
          <w:rFonts w:hint="eastAsia" w:ascii="宋体" w:hAnsi="宋体" w:cs="宋体"/>
          <w:sz w:val="24"/>
          <w:szCs w:val="24"/>
        </w:rPr>
        <w:t>（二）项目人员配备情况表</w:t>
      </w:r>
    </w:p>
    <w:tbl>
      <w:tblPr>
        <w:tblStyle w:val="27"/>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738"/>
        <w:gridCol w:w="1424"/>
        <w:gridCol w:w="3468"/>
        <w:gridCol w:w="1224"/>
      </w:tblGrid>
      <w:tr w14:paraId="0DD2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vAlign w:val="center"/>
          </w:tcPr>
          <w:p w14:paraId="2DA2BFCC">
            <w:pPr>
              <w:spacing w:before="120" w:beforeLines="50" w:after="120" w:afterLines="50" w:line="360" w:lineRule="auto"/>
              <w:jc w:val="center"/>
              <w:rPr>
                <w:rFonts w:ascii="宋体" w:hAnsi="宋体" w:cs="宋体"/>
                <w:sz w:val="24"/>
                <w:szCs w:val="24"/>
              </w:rPr>
            </w:pPr>
            <w:r>
              <w:rPr>
                <w:rFonts w:hint="eastAsia" w:ascii="宋体" w:hAnsi="宋体" w:cs="宋体"/>
                <w:sz w:val="24"/>
                <w:szCs w:val="24"/>
              </w:rPr>
              <w:t>姓名</w:t>
            </w:r>
          </w:p>
        </w:tc>
        <w:tc>
          <w:tcPr>
            <w:tcW w:w="1738" w:type="dxa"/>
            <w:tcBorders>
              <w:top w:val="single" w:color="auto" w:sz="4" w:space="0"/>
              <w:left w:val="nil"/>
              <w:bottom w:val="single" w:color="auto" w:sz="4" w:space="0"/>
              <w:right w:val="single" w:color="auto" w:sz="4" w:space="0"/>
            </w:tcBorders>
            <w:vAlign w:val="center"/>
          </w:tcPr>
          <w:p w14:paraId="5D2BF330">
            <w:pPr>
              <w:spacing w:before="120" w:beforeLines="50" w:after="120" w:afterLines="50" w:line="360" w:lineRule="auto"/>
              <w:jc w:val="center"/>
              <w:rPr>
                <w:rFonts w:ascii="宋体" w:hAnsi="宋体" w:cs="宋体"/>
                <w:sz w:val="24"/>
                <w:szCs w:val="24"/>
              </w:rPr>
            </w:pPr>
            <w:r>
              <w:rPr>
                <w:rFonts w:hint="eastAsia" w:ascii="宋体" w:hAnsi="宋体" w:cs="宋体"/>
                <w:sz w:val="24"/>
                <w:szCs w:val="24"/>
              </w:rPr>
              <w:t>拟任岗位</w:t>
            </w:r>
          </w:p>
        </w:tc>
        <w:tc>
          <w:tcPr>
            <w:tcW w:w="1424" w:type="dxa"/>
            <w:tcBorders>
              <w:top w:val="single" w:color="auto" w:sz="4" w:space="0"/>
              <w:left w:val="nil"/>
              <w:bottom w:val="single" w:color="auto" w:sz="4" w:space="0"/>
              <w:right w:val="single" w:color="auto" w:sz="4" w:space="0"/>
            </w:tcBorders>
            <w:vAlign w:val="center"/>
          </w:tcPr>
          <w:p w14:paraId="5732078E">
            <w:pPr>
              <w:spacing w:before="120" w:beforeLines="50" w:after="120" w:afterLines="50" w:line="360" w:lineRule="auto"/>
              <w:jc w:val="center"/>
              <w:rPr>
                <w:rFonts w:ascii="宋体" w:hAnsi="宋体" w:cs="宋体"/>
                <w:sz w:val="24"/>
                <w:szCs w:val="24"/>
              </w:rPr>
            </w:pPr>
            <w:r>
              <w:rPr>
                <w:rFonts w:hint="eastAsia" w:ascii="宋体" w:hAnsi="宋体" w:cs="宋体"/>
                <w:sz w:val="24"/>
                <w:szCs w:val="24"/>
              </w:rPr>
              <w:t>年龄</w:t>
            </w:r>
          </w:p>
        </w:tc>
        <w:tc>
          <w:tcPr>
            <w:tcW w:w="3468" w:type="dxa"/>
            <w:tcBorders>
              <w:top w:val="single" w:color="auto" w:sz="4" w:space="0"/>
              <w:left w:val="nil"/>
              <w:bottom w:val="single" w:color="auto" w:sz="4" w:space="0"/>
              <w:right w:val="single" w:color="auto" w:sz="4" w:space="0"/>
            </w:tcBorders>
            <w:vAlign w:val="center"/>
          </w:tcPr>
          <w:p w14:paraId="3C21962C">
            <w:pPr>
              <w:spacing w:before="120" w:beforeLines="50" w:after="120" w:afterLines="50" w:line="360" w:lineRule="auto"/>
              <w:jc w:val="center"/>
              <w:rPr>
                <w:rFonts w:ascii="宋体" w:hAnsi="宋体" w:cs="宋体"/>
                <w:sz w:val="24"/>
                <w:szCs w:val="24"/>
              </w:rPr>
            </w:pPr>
            <w:r>
              <w:rPr>
                <w:rFonts w:hint="eastAsia" w:ascii="宋体" w:hAnsi="宋体" w:cs="宋体"/>
                <w:sz w:val="24"/>
                <w:szCs w:val="24"/>
              </w:rPr>
              <w:t>资格、经验简述</w:t>
            </w:r>
          </w:p>
        </w:tc>
        <w:tc>
          <w:tcPr>
            <w:tcW w:w="1224" w:type="dxa"/>
            <w:tcBorders>
              <w:top w:val="single" w:color="auto" w:sz="4" w:space="0"/>
              <w:left w:val="nil"/>
              <w:bottom w:val="single" w:color="auto" w:sz="4" w:space="0"/>
              <w:right w:val="single" w:color="auto" w:sz="4" w:space="0"/>
            </w:tcBorders>
            <w:vAlign w:val="center"/>
          </w:tcPr>
          <w:p w14:paraId="610A0F68">
            <w:pPr>
              <w:spacing w:before="120" w:beforeLines="50" w:after="120" w:afterLines="50" w:line="360" w:lineRule="auto"/>
              <w:jc w:val="center"/>
              <w:rPr>
                <w:rFonts w:ascii="宋体" w:hAnsi="宋体" w:cs="宋体"/>
                <w:sz w:val="24"/>
                <w:szCs w:val="24"/>
              </w:rPr>
            </w:pPr>
            <w:r>
              <w:rPr>
                <w:rFonts w:hint="eastAsia" w:ascii="宋体" w:hAnsi="宋体" w:cs="宋体"/>
                <w:sz w:val="24"/>
                <w:szCs w:val="24"/>
              </w:rPr>
              <w:t>备注</w:t>
            </w:r>
          </w:p>
        </w:tc>
      </w:tr>
      <w:tr w14:paraId="58F2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54717C97">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31A4A97E">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6DF14DEC">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77667016">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2DF21E1C">
            <w:pPr>
              <w:spacing w:before="120" w:beforeLines="50" w:after="120" w:afterLines="50" w:line="360" w:lineRule="auto"/>
              <w:rPr>
                <w:rFonts w:ascii="宋体" w:hAnsi="宋体" w:cs="宋体"/>
                <w:sz w:val="24"/>
                <w:szCs w:val="24"/>
              </w:rPr>
            </w:pPr>
          </w:p>
        </w:tc>
      </w:tr>
      <w:tr w14:paraId="1BE2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3ADFE248">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4F78B753">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4E828DAB">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0CEFE6E9">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6B360DD3">
            <w:pPr>
              <w:spacing w:before="120" w:beforeLines="50" w:after="120" w:afterLines="50" w:line="360" w:lineRule="auto"/>
              <w:rPr>
                <w:rFonts w:ascii="宋体" w:hAnsi="宋体" w:cs="宋体"/>
                <w:sz w:val="24"/>
                <w:szCs w:val="24"/>
              </w:rPr>
            </w:pPr>
          </w:p>
        </w:tc>
      </w:tr>
      <w:tr w14:paraId="4045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779F63F6">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1CE28B0A">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2ACC8AA6">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425EB197">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393C5586">
            <w:pPr>
              <w:spacing w:before="120" w:beforeLines="50" w:after="120" w:afterLines="50" w:line="360" w:lineRule="auto"/>
              <w:rPr>
                <w:rFonts w:ascii="宋体" w:hAnsi="宋体" w:cs="宋体"/>
                <w:sz w:val="24"/>
                <w:szCs w:val="24"/>
              </w:rPr>
            </w:pPr>
          </w:p>
        </w:tc>
      </w:tr>
      <w:tr w14:paraId="03C8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7D00A5FA">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51183EFC">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78EEB981">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04014AB0">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7D0E62D4">
            <w:pPr>
              <w:spacing w:before="120" w:beforeLines="50" w:after="120" w:afterLines="50" w:line="360" w:lineRule="auto"/>
              <w:rPr>
                <w:rFonts w:ascii="宋体" w:hAnsi="宋体" w:cs="宋体"/>
                <w:sz w:val="24"/>
                <w:szCs w:val="24"/>
              </w:rPr>
            </w:pPr>
          </w:p>
        </w:tc>
      </w:tr>
      <w:tr w14:paraId="162D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3A523ACE">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2F1AF82B">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58AB6C9A">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2FB3EBBA">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03F2EE68">
            <w:pPr>
              <w:spacing w:before="120" w:beforeLines="50" w:after="120" w:afterLines="50" w:line="360" w:lineRule="auto"/>
              <w:rPr>
                <w:rFonts w:ascii="宋体" w:hAnsi="宋体" w:cs="宋体"/>
                <w:sz w:val="24"/>
                <w:szCs w:val="24"/>
              </w:rPr>
            </w:pPr>
          </w:p>
        </w:tc>
      </w:tr>
      <w:tr w14:paraId="0837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216587D7">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385792AF">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5FB7CF58">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54CF65E0">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01E4669D">
            <w:pPr>
              <w:spacing w:before="120" w:beforeLines="50" w:after="120" w:afterLines="50" w:line="360" w:lineRule="auto"/>
              <w:rPr>
                <w:rFonts w:ascii="宋体" w:hAnsi="宋体" w:cs="宋体"/>
                <w:sz w:val="24"/>
                <w:szCs w:val="24"/>
              </w:rPr>
            </w:pPr>
          </w:p>
        </w:tc>
      </w:tr>
      <w:tr w14:paraId="79F4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6C990E3A">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4AB8CBDC">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7BBBE887">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1CA4E4F3">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013B92A4">
            <w:pPr>
              <w:spacing w:before="120" w:beforeLines="50" w:after="120" w:afterLines="50" w:line="360" w:lineRule="auto"/>
              <w:rPr>
                <w:rFonts w:ascii="宋体" w:hAnsi="宋体" w:cs="宋体"/>
                <w:sz w:val="24"/>
                <w:szCs w:val="24"/>
              </w:rPr>
            </w:pPr>
          </w:p>
        </w:tc>
      </w:tr>
      <w:tr w14:paraId="52CC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142CFC72">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47D34151">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180BF520">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35979B1E">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08C1A1C0">
            <w:pPr>
              <w:spacing w:before="120" w:beforeLines="50" w:after="120" w:afterLines="50" w:line="360" w:lineRule="auto"/>
              <w:rPr>
                <w:rFonts w:ascii="宋体" w:hAnsi="宋体" w:cs="宋体"/>
                <w:sz w:val="24"/>
                <w:szCs w:val="24"/>
              </w:rPr>
            </w:pPr>
          </w:p>
        </w:tc>
      </w:tr>
      <w:tr w14:paraId="4247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2807007B">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009B7A3A">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5961A870">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7BEF4039">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57542346">
            <w:pPr>
              <w:spacing w:before="120" w:beforeLines="50" w:after="120" w:afterLines="50" w:line="360" w:lineRule="auto"/>
              <w:rPr>
                <w:rFonts w:ascii="宋体" w:hAnsi="宋体" w:cs="宋体"/>
                <w:sz w:val="24"/>
                <w:szCs w:val="24"/>
              </w:rPr>
            </w:pPr>
          </w:p>
        </w:tc>
      </w:tr>
      <w:tr w14:paraId="7005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43E7C3CF">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2B3E96D5">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4043BA1F">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1F39AA1B">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2D9F8A7F">
            <w:pPr>
              <w:spacing w:before="120" w:beforeLines="50" w:after="120" w:afterLines="50" w:line="360" w:lineRule="auto"/>
              <w:rPr>
                <w:rFonts w:ascii="宋体" w:hAnsi="宋体" w:cs="宋体"/>
                <w:sz w:val="24"/>
                <w:szCs w:val="24"/>
              </w:rPr>
            </w:pPr>
          </w:p>
        </w:tc>
      </w:tr>
      <w:tr w14:paraId="6B2C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767ECAEF">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369564D5">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7AFD9E7B">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25337AEA">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7FBCB14B">
            <w:pPr>
              <w:spacing w:before="120" w:beforeLines="50" w:after="120" w:afterLines="50" w:line="360" w:lineRule="auto"/>
              <w:rPr>
                <w:rFonts w:ascii="宋体" w:hAnsi="宋体" w:cs="宋体"/>
                <w:sz w:val="24"/>
                <w:szCs w:val="24"/>
              </w:rPr>
            </w:pPr>
          </w:p>
        </w:tc>
      </w:tr>
      <w:tr w14:paraId="0A7A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0C01AC37">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29319713">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242EE2E1">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2D389E17">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12E5C9DE">
            <w:pPr>
              <w:spacing w:before="120" w:beforeLines="50" w:after="120" w:afterLines="50" w:line="360" w:lineRule="auto"/>
              <w:rPr>
                <w:rFonts w:ascii="宋体" w:hAnsi="宋体" w:cs="宋体"/>
                <w:sz w:val="24"/>
                <w:szCs w:val="24"/>
              </w:rPr>
            </w:pPr>
          </w:p>
        </w:tc>
      </w:tr>
      <w:tr w14:paraId="5FB5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tcBorders>
              <w:top w:val="single" w:color="auto" w:sz="4" w:space="0"/>
              <w:left w:val="single" w:color="auto" w:sz="4" w:space="0"/>
              <w:bottom w:val="single" w:color="auto" w:sz="4" w:space="0"/>
              <w:right w:val="single" w:color="auto" w:sz="4" w:space="0"/>
            </w:tcBorders>
          </w:tcPr>
          <w:p w14:paraId="3FB148C9">
            <w:pPr>
              <w:spacing w:before="120" w:beforeLines="50" w:after="120" w:afterLines="50" w:line="360" w:lineRule="auto"/>
              <w:rPr>
                <w:rFonts w:ascii="宋体" w:hAnsi="宋体" w:cs="宋体"/>
                <w:sz w:val="24"/>
                <w:szCs w:val="24"/>
              </w:rPr>
            </w:pPr>
          </w:p>
        </w:tc>
        <w:tc>
          <w:tcPr>
            <w:tcW w:w="1738" w:type="dxa"/>
            <w:tcBorders>
              <w:top w:val="single" w:color="auto" w:sz="4" w:space="0"/>
              <w:left w:val="nil"/>
              <w:bottom w:val="single" w:color="auto" w:sz="4" w:space="0"/>
              <w:right w:val="single" w:color="auto" w:sz="4" w:space="0"/>
            </w:tcBorders>
          </w:tcPr>
          <w:p w14:paraId="20DC0837">
            <w:pPr>
              <w:spacing w:before="120" w:beforeLines="50" w:after="120" w:afterLines="50" w:line="360" w:lineRule="auto"/>
              <w:rPr>
                <w:rFonts w:ascii="宋体" w:hAnsi="宋体" w:cs="宋体"/>
                <w:sz w:val="24"/>
                <w:szCs w:val="24"/>
              </w:rPr>
            </w:pPr>
          </w:p>
        </w:tc>
        <w:tc>
          <w:tcPr>
            <w:tcW w:w="1424" w:type="dxa"/>
            <w:tcBorders>
              <w:top w:val="single" w:color="auto" w:sz="4" w:space="0"/>
              <w:left w:val="nil"/>
              <w:bottom w:val="single" w:color="auto" w:sz="4" w:space="0"/>
              <w:right w:val="single" w:color="auto" w:sz="4" w:space="0"/>
            </w:tcBorders>
          </w:tcPr>
          <w:p w14:paraId="3D7B828D">
            <w:pPr>
              <w:spacing w:before="120" w:beforeLines="50" w:after="120" w:afterLines="50" w:line="360" w:lineRule="auto"/>
              <w:rPr>
                <w:rFonts w:ascii="宋体" w:hAnsi="宋体" w:cs="宋体"/>
                <w:sz w:val="24"/>
                <w:szCs w:val="24"/>
              </w:rPr>
            </w:pPr>
          </w:p>
        </w:tc>
        <w:tc>
          <w:tcPr>
            <w:tcW w:w="3468" w:type="dxa"/>
            <w:tcBorders>
              <w:top w:val="single" w:color="auto" w:sz="4" w:space="0"/>
              <w:left w:val="nil"/>
              <w:bottom w:val="single" w:color="auto" w:sz="4" w:space="0"/>
              <w:right w:val="single" w:color="auto" w:sz="4" w:space="0"/>
            </w:tcBorders>
          </w:tcPr>
          <w:p w14:paraId="67FC3D0A">
            <w:pPr>
              <w:spacing w:before="120" w:beforeLines="50" w:after="120" w:afterLines="50" w:line="360" w:lineRule="auto"/>
              <w:rPr>
                <w:rFonts w:ascii="宋体" w:hAnsi="宋体" w:cs="宋体"/>
                <w:sz w:val="24"/>
                <w:szCs w:val="24"/>
              </w:rPr>
            </w:pPr>
          </w:p>
        </w:tc>
        <w:tc>
          <w:tcPr>
            <w:tcW w:w="1224" w:type="dxa"/>
            <w:tcBorders>
              <w:top w:val="single" w:color="auto" w:sz="4" w:space="0"/>
              <w:left w:val="nil"/>
              <w:bottom w:val="single" w:color="auto" w:sz="4" w:space="0"/>
              <w:right w:val="single" w:color="auto" w:sz="4" w:space="0"/>
            </w:tcBorders>
          </w:tcPr>
          <w:p w14:paraId="06DC9810">
            <w:pPr>
              <w:spacing w:before="120" w:beforeLines="50" w:after="120" w:afterLines="50" w:line="360" w:lineRule="auto"/>
              <w:rPr>
                <w:rFonts w:ascii="宋体" w:hAnsi="宋体" w:cs="宋体"/>
                <w:sz w:val="24"/>
                <w:szCs w:val="24"/>
              </w:rPr>
            </w:pPr>
          </w:p>
        </w:tc>
      </w:tr>
    </w:tbl>
    <w:p w14:paraId="3CA0FEBA">
      <w:pPr>
        <w:spacing w:line="360" w:lineRule="auto"/>
        <w:rPr>
          <w:rFonts w:ascii="宋体" w:hAnsi="宋体" w:cs="宋体"/>
          <w:sz w:val="24"/>
          <w:szCs w:val="24"/>
        </w:rPr>
      </w:pPr>
      <w:r>
        <w:rPr>
          <w:rFonts w:hint="eastAsia" w:ascii="宋体" w:hAnsi="宋体" w:cs="宋体"/>
          <w:sz w:val="24"/>
          <w:szCs w:val="24"/>
        </w:rPr>
        <w:t>注：根据磋商文件评分办法及标准，后附以上人员证明材料；</w:t>
      </w:r>
    </w:p>
    <w:p w14:paraId="5555F275">
      <w:pPr>
        <w:pStyle w:val="2"/>
        <w:rPr>
          <w:rFonts w:hAnsi="宋体"/>
        </w:rPr>
      </w:pPr>
    </w:p>
    <w:p w14:paraId="071A8465">
      <w:pPr>
        <w:pStyle w:val="2"/>
        <w:rPr>
          <w:rFonts w:hAnsi="宋体"/>
        </w:rPr>
      </w:pPr>
    </w:p>
    <w:p w14:paraId="414D8FC0">
      <w:pPr>
        <w:pStyle w:val="2"/>
        <w:rPr>
          <w:rFonts w:hAnsi="宋体"/>
        </w:rPr>
      </w:pPr>
    </w:p>
    <w:p w14:paraId="683D081F">
      <w:pPr>
        <w:pStyle w:val="2"/>
        <w:rPr>
          <w:rFonts w:hAnsi="宋体"/>
        </w:rPr>
      </w:pPr>
    </w:p>
    <w:p w14:paraId="61E09344">
      <w:pPr>
        <w:pStyle w:val="2"/>
        <w:rPr>
          <w:rFonts w:hAnsi="宋体"/>
        </w:rPr>
      </w:pPr>
    </w:p>
    <w:p w14:paraId="3BF5CCB7">
      <w:pPr>
        <w:pStyle w:val="2"/>
        <w:rPr>
          <w:rFonts w:hAnsi="宋体"/>
        </w:rPr>
      </w:pPr>
    </w:p>
    <w:p w14:paraId="090F19A6">
      <w:pPr>
        <w:pStyle w:val="8"/>
        <w:spacing w:line="360" w:lineRule="auto"/>
        <w:jc w:val="center"/>
        <w:rPr>
          <w:rFonts w:ascii="宋体" w:hAnsi="宋体" w:cs="宋体"/>
          <w:sz w:val="24"/>
          <w:szCs w:val="24"/>
        </w:rPr>
      </w:pPr>
      <w:r>
        <w:rPr>
          <w:rFonts w:hint="eastAsia" w:ascii="宋体" w:hAnsi="宋体" w:cs="宋体"/>
          <w:sz w:val="24"/>
          <w:szCs w:val="24"/>
        </w:rPr>
        <w:t>（三）服务承诺</w:t>
      </w:r>
    </w:p>
    <w:p w14:paraId="30E54705">
      <w:pPr>
        <w:pStyle w:val="26"/>
        <w:ind w:firstLine="540"/>
        <w:rPr>
          <w:rFonts w:ascii="宋体" w:hAnsi="宋体" w:eastAsia="宋体" w:cs="宋体"/>
        </w:rPr>
      </w:pPr>
    </w:p>
    <w:p w14:paraId="5E580DE6">
      <w:pPr>
        <w:pStyle w:val="15"/>
        <w:ind w:left="5250"/>
        <w:rPr>
          <w:rFonts w:ascii="宋体" w:hAnsi="宋体" w:cs="宋体"/>
          <w:sz w:val="24"/>
          <w:szCs w:val="24"/>
        </w:rPr>
      </w:pPr>
    </w:p>
    <w:p w14:paraId="244F70D5">
      <w:pPr>
        <w:rPr>
          <w:rFonts w:ascii="宋体" w:hAnsi="宋体" w:cs="宋体"/>
          <w:sz w:val="24"/>
          <w:szCs w:val="24"/>
        </w:rPr>
      </w:pPr>
    </w:p>
    <w:p w14:paraId="64E34222">
      <w:pPr>
        <w:pStyle w:val="2"/>
        <w:rPr>
          <w:rFonts w:hAnsi="宋体"/>
        </w:rPr>
      </w:pPr>
    </w:p>
    <w:p w14:paraId="62C06C75">
      <w:pPr>
        <w:pStyle w:val="2"/>
        <w:rPr>
          <w:rFonts w:hAnsi="宋体"/>
        </w:rPr>
      </w:pPr>
    </w:p>
    <w:p w14:paraId="6B36A911">
      <w:pPr>
        <w:pStyle w:val="2"/>
        <w:rPr>
          <w:rFonts w:hAnsi="宋体"/>
        </w:rPr>
      </w:pPr>
    </w:p>
    <w:p w14:paraId="0990A66A">
      <w:pPr>
        <w:pStyle w:val="2"/>
        <w:rPr>
          <w:rFonts w:hAnsi="宋体"/>
        </w:rPr>
      </w:pPr>
    </w:p>
    <w:p w14:paraId="47EFB8BB">
      <w:pPr>
        <w:pStyle w:val="2"/>
        <w:rPr>
          <w:rFonts w:hAnsi="宋体"/>
        </w:rPr>
      </w:pPr>
    </w:p>
    <w:p w14:paraId="315B5563">
      <w:pPr>
        <w:pStyle w:val="2"/>
        <w:rPr>
          <w:rFonts w:hAnsi="宋体"/>
        </w:rPr>
      </w:pPr>
    </w:p>
    <w:p w14:paraId="1AAE1AAE">
      <w:pPr>
        <w:pStyle w:val="2"/>
        <w:rPr>
          <w:rFonts w:hAnsi="宋体"/>
        </w:rPr>
      </w:pPr>
    </w:p>
    <w:p w14:paraId="633C6DA0">
      <w:pPr>
        <w:pStyle w:val="2"/>
        <w:rPr>
          <w:rFonts w:hAnsi="宋体"/>
        </w:rPr>
      </w:pPr>
    </w:p>
    <w:p w14:paraId="723F82BC">
      <w:pPr>
        <w:pStyle w:val="2"/>
        <w:rPr>
          <w:rFonts w:hAnsi="宋体"/>
        </w:rPr>
      </w:pPr>
    </w:p>
    <w:p w14:paraId="2BEAAF44">
      <w:pPr>
        <w:pStyle w:val="2"/>
        <w:rPr>
          <w:rFonts w:hAnsi="宋体"/>
        </w:rPr>
      </w:pPr>
    </w:p>
    <w:p w14:paraId="131F77A3">
      <w:pPr>
        <w:pStyle w:val="2"/>
        <w:rPr>
          <w:rFonts w:hAnsi="宋体"/>
        </w:rPr>
      </w:pPr>
    </w:p>
    <w:p w14:paraId="0F75FCD4">
      <w:pPr>
        <w:pStyle w:val="2"/>
        <w:rPr>
          <w:rFonts w:hAnsi="宋体"/>
        </w:rPr>
      </w:pPr>
    </w:p>
    <w:p w14:paraId="35D175AA">
      <w:pPr>
        <w:pStyle w:val="2"/>
        <w:rPr>
          <w:rFonts w:hAnsi="宋体"/>
        </w:rPr>
      </w:pPr>
    </w:p>
    <w:p w14:paraId="10080F4F">
      <w:pPr>
        <w:pStyle w:val="2"/>
        <w:rPr>
          <w:rFonts w:hAnsi="宋体"/>
        </w:rPr>
      </w:pPr>
    </w:p>
    <w:p w14:paraId="4323BBD7">
      <w:pPr>
        <w:pStyle w:val="2"/>
        <w:rPr>
          <w:rFonts w:hAnsi="宋体"/>
        </w:rPr>
      </w:pPr>
    </w:p>
    <w:p w14:paraId="1FB93B2C">
      <w:pPr>
        <w:pStyle w:val="2"/>
        <w:rPr>
          <w:rFonts w:hAnsi="宋体"/>
        </w:rPr>
      </w:pPr>
    </w:p>
    <w:p w14:paraId="07EB23BC">
      <w:pPr>
        <w:pStyle w:val="2"/>
        <w:rPr>
          <w:rFonts w:hAnsi="宋体"/>
        </w:rPr>
      </w:pPr>
    </w:p>
    <w:p w14:paraId="11627DEA">
      <w:pPr>
        <w:pStyle w:val="2"/>
        <w:rPr>
          <w:rFonts w:hAnsi="宋体"/>
        </w:rPr>
      </w:pPr>
    </w:p>
    <w:p w14:paraId="32C92049">
      <w:pPr>
        <w:pStyle w:val="2"/>
        <w:rPr>
          <w:rFonts w:hAnsi="宋体"/>
        </w:rPr>
      </w:pPr>
    </w:p>
    <w:p w14:paraId="222ABE00">
      <w:pPr>
        <w:pStyle w:val="2"/>
        <w:rPr>
          <w:rFonts w:hAnsi="宋体"/>
        </w:rPr>
      </w:pPr>
    </w:p>
    <w:p w14:paraId="054963C0">
      <w:pPr>
        <w:pStyle w:val="2"/>
        <w:rPr>
          <w:rFonts w:hAnsi="宋体"/>
        </w:rPr>
      </w:pPr>
    </w:p>
    <w:p w14:paraId="0DE256D3">
      <w:pPr>
        <w:pStyle w:val="2"/>
        <w:rPr>
          <w:rFonts w:hAnsi="宋体"/>
        </w:rPr>
      </w:pPr>
    </w:p>
    <w:p w14:paraId="13E8E720">
      <w:pPr>
        <w:pStyle w:val="2"/>
        <w:rPr>
          <w:rFonts w:hAnsi="宋体"/>
        </w:rPr>
      </w:pPr>
    </w:p>
    <w:p w14:paraId="110E28A0">
      <w:pPr>
        <w:pStyle w:val="2"/>
        <w:rPr>
          <w:rFonts w:hAnsi="宋体"/>
        </w:rPr>
      </w:pPr>
    </w:p>
    <w:p w14:paraId="70E4A3F2">
      <w:pPr>
        <w:pStyle w:val="2"/>
        <w:rPr>
          <w:rFonts w:hAnsi="宋体"/>
        </w:rPr>
      </w:pPr>
    </w:p>
    <w:p w14:paraId="733B47F9">
      <w:pPr>
        <w:pStyle w:val="2"/>
        <w:rPr>
          <w:rFonts w:hAnsi="宋体"/>
        </w:rPr>
      </w:pPr>
    </w:p>
    <w:p w14:paraId="4A2465BA">
      <w:pPr>
        <w:pStyle w:val="2"/>
        <w:rPr>
          <w:rFonts w:hAnsi="宋体"/>
        </w:rPr>
      </w:pPr>
    </w:p>
    <w:p w14:paraId="60BFAE7F">
      <w:pPr>
        <w:pStyle w:val="2"/>
        <w:rPr>
          <w:rFonts w:hAnsi="宋体"/>
        </w:rPr>
      </w:pPr>
    </w:p>
    <w:p w14:paraId="37EA25AF">
      <w:pPr>
        <w:pStyle w:val="2"/>
        <w:rPr>
          <w:rFonts w:hAnsi="宋体"/>
        </w:rPr>
      </w:pPr>
    </w:p>
    <w:p w14:paraId="4C4DC8A1">
      <w:pPr>
        <w:pStyle w:val="2"/>
        <w:rPr>
          <w:rFonts w:hAnsi="宋体"/>
        </w:rPr>
      </w:pPr>
    </w:p>
    <w:p w14:paraId="499853E6">
      <w:pPr>
        <w:pStyle w:val="2"/>
        <w:rPr>
          <w:rFonts w:hAnsi="宋体"/>
        </w:rPr>
      </w:pPr>
    </w:p>
    <w:p w14:paraId="6FEF9BDD">
      <w:pPr>
        <w:pStyle w:val="2"/>
        <w:rPr>
          <w:rFonts w:hAnsi="宋体"/>
        </w:rPr>
      </w:pPr>
    </w:p>
    <w:p w14:paraId="082D78E1">
      <w:pPr>
        <w:rPr>
          <w:rFonts w:ascii="宋体" w:hAnsi="宋体" w:cs="宋体"/>
        </w:rPr>
      </w:pPr>
    </w:p>
    <w:p w14:paraId="4418273C">
      <w:pPr>
        <w:pStyle w:val="25"/>
        <w:ind w:firstLine="210"/>
        <w:rPr>
          <w:rFonts w:ascii="宋体" w:hAnsi="宋体" w:cs="宋体"/>
        </w:rPr>
      </w:pPr>
    </w:p>
    <w:p w14:paraId="6F04AAFF">
      <w:pPr>
        <w:pStyle w:val="50"/>
        <w:spacing w:line="360" w:lineRule="auto"/>
        <w:jc w:val="center"/>
        <w:outlineLvl w:val="9"/>
        <w:rPr>
          <w:rFonts w:ascii="宋体" w:hAnsi="宋体" w:eastAsia="宋体"/>
          <w:b/>
          <w:bCs/>
          <w:szCs w:val="28"/>
        </w:rPr>
      </w:pPr>
      <w:bookmarkStart w:id="127" w:name="_Toc11491"/>
      <w:bookmarkStart w:id="128" w:name="_Toc25160348"/>
      <w:bookmarkStart w:id="129" w:name="_Toc25160866"/>
      <w:r>
        <w:rPr>
          <w:rFonts w:hint="eastAsia" w:ascii="宋体" w:hAnsi="宋体" w:eastAsia="宋体"/>
          <w:b/>
          <w:bCs/>
          <w:szCs w:val="28"/>
        </w:rPr>
        <w:t>六、资格审查资料</w:t>
      </w:r>
      <w:bookmarkEnd w:id="127"/>
      <w:bookmarkEnd w:id="128"/>
      <w:bookmarkEnd w:id="129"/>
    </w:p>
    <w:p w14:paraId="072E34E9">
      <w:pPr>
        <w:spacing w:line="360" w:lineRule="auto"/>
        <w:jc w:val="center"/>
        <w:rPr>
          <w:rFonts w:ascii="宋体" w:hAnsi="宋体" w:cs="宋体"/>
          <w:color w:val="000000"/>
          <w:sz w:val="24"/>
          <w:szCs w:val="24"/>
        </w:rPr>
      </w:pPr>
      <w:r>
        <w:rPr>
          <w:rFonts w:hint="eastAsia" w:ascii="宋体" w:hAnsi="宋体" w:cs="宋体"/>
          <w:color w:val="000000"/>
          <w:sz w:val="24"/>
          <w:szCs w:val="24"/>
        </w:rPr>
        <w:t>（一）供应商基本情况表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154"/>
        <w:gridCol w:w="153"/>
        <w:gridCol w:w="1318"/>
        <w:gridCol w:w="210"/>
        <w:gridCol w:w="2577"/>
      </w:tblGrid>
      <w:tr w14:paraId="3C94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vAlign w:val="center"/>
          </w:tcPr>
          <w:p w14:paraId="5077D357">
            <w:pPr>
              <w:rPr>
                <w:rFonts w:ascii="宋体" w:hAnsi="宋体" w:cs="宋体"/>
                <w:color w:val="000000"/>
                <w:sz w:val="24"/>
                <w:szCs w:val="24"/>
              </w:rPr>
            </w:pPr>
            <w:r>
              <w:rPr>
                <w:rFonts w:hint="eastAsia" w:ascii="宋体" w:hAnsi="宋体" w:cs="宋体"/>
                <w:color w:val="000000"/>
                <w:sz w:val="24"/>
                <w:szCs w:val="24"/>
              </w:rPr>
              <w:t>企业名称</w:t>
            </w:r>
          </w:p>
        </w:tc>
        <w:tc>
          <w:tcPr>
            <w:tcW w:w="3307" w:type="dxa"/>
            <w:gridSpan w:val="2"/>
            <w:vAlign w:val="center"/>
          </w:tcPr>
          <w:p w14:paraId="127820E0">
            <w:pPr>
              <w:rPr>
                <w:rFonts w:ascii="宋体" w:hAnsi="宋体" w:cs="宋体"/>
                <w:color w:val="000000"/>
                <w:sz w:val="24"/>
                <w:szCs w:val="24"/>
              </w:rPr>
            </w:pPr>
          </w:p>
        </w:tc>
        <w:tc>
          <w:tcPr>
            <w:tcW w:w="1528" w:type="dxa"/>
            <w:gridSpan w:val="2"/>
            <w:vAlign w:val="center"/>
          </w:tcPr>
          <w:p w14:paraId="56280610">
            <w:pPr>
              <w:rPr>
                <w:rFonts w:ascii="宋体" w:hAnsi="宋体" w:cs="宋体"/>
                <w:color w:val="000000"/>
                <w:sz w:val="24"/>
                <w:szCs w:val="24"/>
              </w:rPr>
            </w:pPr>
            <w:r>
              <w:rPr>
                <w:rFonts w:hint="eastAsia" w:ascii="宋体" w:hAnsi="宋体" w:cs="宋体"/>
                <w:color w:val="000000"/>
                <w:sz w:val="24"/>
                <w:szCs w:val="24"/>
              </w:rPr>
              <w:t>成立日期</w:t>
            </w:r>
          </w:p>
        </w:tc>
        <w:tc>
          <w:tcPr>
            <w:tcW w:w="2577" w:type="dxa"/>
            <w:vAlign w:val="center"/>
          </w:tcPr>
          <w:p w14:paraId="177A9EE5">
            <w:pPr>
              <w:rPr>
                <w:rFonts w:ascii="宋体" w:hAnsi="宋体" w:cs="宋体"/>
                <w:color w:val="000000"/>
                <w:sz w:val="24"/>
                <w:szCs w:val="24"/>
              </w:rPr>
            </w:pPr>
          </w:p>
        </w:tc>
      </w:tr>
      <w:tr w14:paraId="5DD5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vAlign w:val="center"/>
          </w:tcPr>
          <w:p w14:paraId="22C08A05">
            <w:pPr>
              <w:rPr>
                <w:rFonts w:ascii="宋体" w:hAnsi="宋体" w:cs="宋体"/>
                <w:color w:val="000000"/>
                <w:sz w:val="24"/>
                <w:szCs w:val="24"/>
              </w:rPr>
            </w:pPr>
            <w:r>
              <w:rPr>
                <w:rFonts w:hint="eastAsia" w:ascii="宋体" w:hAnsi="宋体" w:cs="宋体"/>
                <w:color w:val="000000"/>
                <w:sz w:val="24"/>
                <w:szCs w:val="24"/>
              </w:rPr>
              <w:t>营业执照注册号</w:t>
            </w:r>
          </w:p>
        </w:tc>
        <w:tc>
          <w:tcPr>
            <w:tcW w:w="7412" w:type="dxa"/>
            <w:gridSpan w:val="5"/>
            <w:vAlign w:val="center"/>
          </w:tcPr>
          <w:p w14:paraId="20C013EC">
            <w:pPr>
              <w:rPr>
                <w:rFonts w:ascii="宋体" w:hAnsi="宋体" w:cs="宋体"/>
                <w:color w:val="000000"/>
                <w:sz w:val="24"/>
                <w:szCs w:val="24"/>
              </w:rPr>
            </w:pPr>
          </w:p>
        </w:tc>
      </w:tr>
      <w:tr w14:paraId="4E7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vAlign w:val="center"/>
          </w:tcPr>
          <w:p w14:paraId="195FE242">
            <w:pPr>
              <w:rPr>
                <w:rFonts w:ascii="宋体" w:hAnsi="宋体" w:cs="宋体"/>
                <w:color w:val="000000"/>
                <w:sz w:val="24"/>
                <w:szCs w:val="24"/>
              </w:rPr>
            </w:pPr>
            <w:r>
              <w:rPr>
                <w:rFonts w:hint="eastAsia" w:ascii="宋体" w:hAnsi="宋体" w:cs="宋体"/>
                <w:color w:val="000000"/>
                <w:sz w:val="24"/>
                <w:szCs w:val="24"/>
              </w:rPr>
              <w:t>地  址</w:t>
            </w:r>
          </w:p>
        </w:tc>
        <w:tc>
          <w:tcPr>
            <w:tcW w:w="7412" w:type="dxa"/>
            <w:gridSpan w:val="5"/>
            <w:vAlign w:val="center"/>
          </w:tcPr>
          <w:p w14:paraId="113BE9B0">
            <w:pPr>
              <w:rPr>
                <w:rFonts w:ascii="宋体" w:hAnsi="宋体" w:cs="宋体"/>
                <w:color w:val="000000"/>
                <w:sz w:val="24"/>
                <w:szCs w:val="24"/>
              </w:rPr>
            </w:pPr>
          </w:p>
        </w:tc>
      </w:tr>
      <w:tr w14:paraId="0D1A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vAlign w:val="center"/>
          </w:tcPr>
          <w:p w14:paraId="190D9EA5">
            <w:pPr>
              <w:rPr>
                <w:rFonts w:ascii="宋体" w:hAnsi="宋体" w:cs="宋体"/>
                <w:color w:val="000000"/>
                <w:sz w:val="24"/>
                <w:szCs w:val="24"/>
              </w:rPr>
            </w:pPr>
            <w:r>
              <w:rPr>
                <w:rFonts w:hint="eastAsia" w:ascii="宋体" w:hAnsi="宋体" w:cs="宋体"/>
                <w:color w:val="000000"/>
                <w:sz w:val="24"/>
                <w:szCs w:val="24"/>
              </w:rPr>
              <w:t>注册资本</w:t>
            </w:r>
          </w:p>
        </w:tc>
        <w:tc>
          <w:tcPr>
            <w:tcW w:w="3307" w:type="dxa"/>
            <w:gridSpan w:val="2"/>
            <w:vAlign w:val="center"/>
          </w:tcPr>
          <w:p w14:paraId="17B98DCE">
            <w:pPr>
              <w:rPr>
                <w:rFonts w:ascii="宋体" w:hAnsi="宋体" w:cs="宋体"/>
                <w:color w:val="000000"/>
                <w:sz w:val="24"/>
                <w:szCs w:val="24"/>
              </w:rPr>
            </w:pPr>
          </w:p>
        </w:tc>
        <w:tc>
          <w:tcPr>
            <w:tcW w:w="1528" w:type="dxa"/>
            <w:gridSpan w:val="2"/>
            <w:vAlign w:val="center"/>
          </w:tcPr>
          <w:p w14:paraId="414AFD4F">
            <w:pPr>
              <w:rPr>
                <w:rFonts w:ascii="宋体" w:hAnsi="宋体" w:cs="宋体"/>
                <w:color w:val="000000"/>
                <w:sz w:val="24"/>
                <w:szCs w:val="24"/>
              </w:rPr>
            </w:pPr>
            <w:r>
              <w:rPr>
                <w:rFonts w:hint="eastAsia" w:ascii="宋体" w:hAnsi="宋体" w:cs="宋体"/>
                <w:color w:val="000000"/>
                <w:sz w:val="24"/>
                <w:szCs w:val="24"/>
              </w:rPr>
              <w:t>企业类型</w:t>
            </w:r>
          </w:p>
        </w:tc>
        <w:tc>
          <w:tcPr>
            <w:tcW w:w="2577" w:type="dxa"/>
            <w:vAlign w:val="center"/>
          </w:tcPr>
          <w:p w14:paraId="4F0287BB">
            <w:pPr>
              <w:rPr>
                <w:rFonts w:ascii="宋体" w:hAnsi="宋体" w:cs="宋体"/>
                <w:color w:val="000000"/>
                <w:sz w:val="24"/>
                <w:szCs w:val="24"/>
              </w:rPr>
            </w:pPr>
          </w:p>
        </w:tc>
      </w:tr>
      <w:tr w14:paraId="74D3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vAlign w:val="center"/>
          </w:tcPr>
          <w:p w14:paraId="68184C72">
            <w:pPr>
              <w:rPr>
                <w:rFonts w:ascii="宋体" w:hAnsi="宋体" w:cs="宋体"/>
                <w:color w:val="000000"/>
                <w:sz w:val="24"/>
                <w:szCs w:val="24"/>
              </w:rPr>
            </w:pPr>
            <w:r>
              <w:rPr>
                <w:rFonts w:hint="eastAsia" w:ascii="宋体" w:hAnsi="宋体" w:cs="宋体"/>
                <w:color w:val="000000"/>
                <w:sz w:val="24"/>
                <w:szCs w:val="24"/>
              </w:rPr>
              <w:t>法定代表人</w:t>
            </w:r>
          </w:p>
        </w:tc>
        <w:tc>
          <w:tcPr>
            <w:tcW w:w="3307" w:type="dxa"/>
            <w:gridSpan w:val="2"/>
            <w:vAlign w:val="center"/>
          </w:tcPr>
          <w:p w14:paraId="7A0D295A">
            <w:pPr>
              <w:rPr>
                <w:rFonts w:ascii="宋体" w:hAnsi="宋体" w:cs="宋体"/>
                <w:color w:val="000000"/>
                <w:sz w:val="24"/>
                <w:szCs w:val="24"/>
              </w:rPr>
            </w:pPr>
          </w:p>
        </w:tc>
        <w:tc>
          <w:tcPr>
            <w:tcW w:w="1528" w:type="dxa"/>
            <w:gridSpan w:val="2"/>
            <w:vAlign w:val="center"/>
          </w:tcPr>
          <w:p w14:paraId="4364BA89">
            <w:pPr>
              <w:rPr>
                <w:rFonts w:ascii="宋体" w:hAnsi="宋体" w:cs="宋体"/>
                <w:color w:val="000000"/>
                <w:sz w:val="24"/>
                <w:szCs w:val="24"/>
              </w:rPr>
            </w:pPr>
            <w:r>
              <w:rPr>
                <w:rFonts w:hint="eastAsia" w:ascii="宋体" w:hAnsi="宋体" w:cs="宋体"/>
                <w:color w:val="000000"/>
                <w:sz w:val="24"/>
                <w:szCs w:val="24"/>
              </w:rPr>
              <w:t>营业期限</w:t>
            </w:r>
          </w:p>
        </w:tc>
        <w:tc>
          <w:tcPr>
            <w:tcW w:w="2577" w:type="dxa"/>
            <w:vAlign w:val="center"/>
          </w:tcPr>
          <w:p w14:paraId="16B6658C">
            <w:pPr>
              <w:rPr>
                <w:rFonts w:ascii="宋体" w:hAnsi="宋体" w:cs="宋体"/>
                <w:color w:val="000000"/>
                <w:sz w:val="24"/>
                <w:szCs w:val="24"/>
              </w:rPr>
            </w:pPr>
          </w:p>
        </w:tc>
      </w:tr>
      <w:tr w14:paraId="7297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22" w:type="dxa"/>
            <w:vAlign w:val="center"/>
          </w:tcPr>
          <w:p w14:paraId="44865F67">
            <w:pPr>
              <w:rPr>
                <w:rFonts w:ascii="宋体" w:hAnsi="宋体" w:cs="宋体"/>
                <w:color w:val="000000"/>
                <w:sz w:val="24"/>
                <w:szCs w:val="24"/>
              </w:rPr>
            </w:pPr>
            <w:r>
              <w:rPr>
                <w:rFonts w:hint="eastAsia" w:ascii="宋体" w:hAnsi="宋体" w:cs="宋体"/>
                <w:color w:val="000000"/>
                <w:sz w:val="24"/>
                <w:szCs w:val="24"/>
              </w:rPr>
              <w:t>主营业务</w:t>
            </w:r>
          </w:p>
        </w:tc>
        <w:tc>
          <w:tcPr>
            <w:tcW w:w="7412" w:type="dxa"/>
            <w:gridSpan w:val="5"/>
            <w:vAlign w:val="center"/>
          </w:tcPr>
          <w:p w14:paraId="24D43DCF">
            <w:pPr>
              <w:rPr>
                <w:rFonts w:ascii="宋体" w:hAnsi="宋体" w:cs="宋体"/>
                <w:color w:val="000000"/>
                <w:sz w:val="24"/>
                <w:szCs w:val="24"/>
              </w:rPr>
            </w:pPr>
          </w:p>
        </w:tc>
      </w:tr>
      <w:tr w14:paraId="2239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vAlign w:val="center"/>
          </w:tcPr>
          <w:p w14:paraId="02B0602C">
            <w:pPr>
              <w:rPr>
                <w:rFonts w:ascii="宋体" w:hAnsi="宋体" w:cs="宋体"/>
                <w:color w:val="000000"/>
                <w:sz w:val="24"/>
                <w:szCs w:val="24"/>
              </w:rPr>
            </w:pPr>
            <w:r>
              <w:rPr>
                <w:rFonts w:hint="eastAsia" w:ascii="宋体" w:hAnsi="宋体" w:cs="宋体"/>
                <w:color w:val="000000"/>
                <w:sz w:val="24"/>
                <w:szCs w:val="24"/>
              </w:rPr>
              <w:t>开户银行</w:t>
            </w:r>
          </w:p>
        </w:tc>
        <w:tc>
          <w:tcPr>
            <w:tcW w:w="7412" w:type="dxa"/>
            <w:gridSpan w:val="5"/>
            <w:vAlign w:val="center"/>
          </w:tcPr>
          <w:p w14:paraId="132B7A9D">
            <w:pPr>
              <w:rPr>
                <w:rFonts w:ascii="宋体" w:hAnsi="宋体" w:cs="宋体"/>
                <w:color w:val="000000"/>
                <w:sz w:val="24"/>
                <w:szCs w:val="24"/>
              </w:rPr>
            </w:pPr>
          </w:p>
        </w:tc>
      </w:tr>
      <w:tr w14:paraId="74EA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vAlign w:val="center"/>
          </w:tcPr>
          <w:p w14:paraId="3B4B8BDE">
            <w:pPr>
              <w:rPr>
                <w:rFonts w:ascii="宋体" w:hAnsi="宋体" w:cs="宋体"/>
                <w:color w:val="000000"/>
                <w:sz w:val="24"/>
                <w:szCs w:val="24"/>
              </w:rPr>
            </w:pPr>
            <w:r>
              <w:rPr>
                <w:rFonts w:hint="eastAsia" w:ascii="宋体" w:hAnsi="宋体" w:cs="宋体"/>
                <w:color w:val="000000"/>
                <w:sz w:val="24"/>
                <w:szCs w:val="24"/>
              </w:rPr>
              <w:t>开户行号</w:t>
            </w:r>
          </w:p>
        </w:tc>
        <w:tc>
          <w:tcPr>
            <w:tcW w:w="7412" w:type="dxa"/>
            <w:gridSpan w:val="5"/>
            <w:vAlign w:val="center"/>
          </w:tcPr>
          <w:p w14:paraId="46B2E3EF">
            <w:pPr>
              <w:rPr>
                <w:rFonts w:ascii="宋体" w:hAnsi="宋体" w:cs="宋体"/>
                <w:color w:val="000000"/>
                <w:sz w:val="24"/>
                <w:szCs w:val="24"/>
              </w:rPr>
            </w:pPr>
          </w:p>
        </w:tc>
      </w:tr>
      <w:tr w14:paraId="13C0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22" w:type="dxa"/>
            <w:vAlign w:val="center"/>
          </w:tcPr>
          <w:p w14:paraId="09EFB5C3">
            <w:pPr>
              <w:rPr>
                <w:rFonts w:ascii="宋体" w:hAnsi="宋体" w:cs="宋体"/>
                <w:color w:val="000000"/>
                <w:sz w:val="24"/>
                <w:szCs w:val="24"/>
              </w:rPr>
            </w:pPr>
            <w:r>
              <w:rPr>
                <w:rFonts w:hint="eastAsia" w:ascii="宋体" w:hAnsi="宋体" w:cs="宋体"/>
                <w:color w:val="000000"/>
                <w:sz w:val="24"/>
                <w:szCs w:val="24"/>
              </w:rPr>
              <w:t>银行账号</w:t>
            </w:r>
          </w:p>
        </w:tc>
        <w:tc>
          <w:tcPr>
            <w:tcW w:w="7412" w:type="dxa"/>
            <w:gridSpan w:val="5"/>
            <w:vAlign w:val="center"/>
          </w:tcPr>
          <w:p w14:paraId="3959695E">
            <w:pPr>
              <w:rPr>
                <w:rFonts w:ascii="宋体" w:hAnsi="宋体" w:cs="宋体"/>
                <w:color w:val="000000"/>
                <w:sz w:val="24"/>
                <w:szCs w:val="24"/>
              </w:rPr>
            </w:pPr>
          </w:p>
        </w:tc>
      </w:tr>
      <w:tr w14:paraId="7E29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vAlign w:val="center"/>
          </w:tcPr>
          <w:p w14:paraId="14F95F3F">
            <w:pPr>
              <w:rPr>
                <w:rFonts w:ascii="宋体" w:hAnsi="宋体" w:cs="宋体"/>
                <w:color w:val="000000"/>
                <w:sz w:val="24"/>
                <w:szCs w:val="24"/>
              </w:rPr>
            </w:pPr>
            <w:r>
              <w:rPr>
                <w:rFonts w:hint="eastAsia" w:ascii="宋体" w:hAnsi="宋体" w:cs="宋体"/>
                <w:color w:val="000000"/>
                <w:sz w:val="24"/>
                <w:szCs w:val="24"/>
              </w:rPr>
              <w:t>电  话</w:t>
            </w:r>
          </w:p>
        </w:tc>
        <w:tc>
          <w:tcPr>
            <w:tcW w:w="3154" w:type="dxa"/>
            <w:vAlign w:val="center"/>
          </w:tcPr>
          <w:p w14:paraId="1953882C">
            <w:pPr>
              <w:rPr>
                <w:rFonts w:ascii="宋体" w:hAnsi="宋体" w:cs="宋体"/>
                <w:color w:val="000000"/>
                <w:sz w:val="24"/>
                <w:szCs w:val="24"/>
              </w:rPr>
            </w:pPr>
          </w:p>
        </w:tc>
        <w:tc>
          <w:tcPr>
            <w:tcW w:w="1471" w:type="dxa"/>
            <w:gridSpan w:val="2"/>
            <w:vAlign w:val="center"/>
          </w:tcPr>
          <w:p w14:paraId="3E4226F9">
            <w:pPr>
              <w:rPr>
                <w:rFonts w:ascii="宋体" w:hAnsi="宋体" w:cs="宋体"/>
                <w:color w:val="000000"/>
                <w:sz w:val="24"/>
                <w:szCs w:val="24"/>
              </w:rPr>
            </w:pPr>
            <w:r>
              <w:rPr>
                <w:rFonts w:hint="eastAsia" w:ascii="宋体" w:hAnsi="宋体" w:cs="宋体"/>
                <w:color w:val="000000"/>
                <w:sz w:val="24"/>
                <w:szCs w:val="24"/>
              </w:rPr>
              <w:t>传  真</w:t>
            </w:r>
          </w:p>
        </w:tc>
        <w:tc>
          <w:tcPr>
            <w:tcW w:w="2787" w:type="dxa"/>
            <w:gridSpan w:val="2"/>
            <w:vAlign w:val="center"/>
          </w:tcPr>
          <w:p w14:paraId="08E63BFA">
            <w:pPr>
              <w:rPr>
                <w:rFonts w:ascii="宋体" w:hAnsi="宋体" w:cs="宋体"/>
                <w:color w:val="000000"/>
                <w:sz w:val="24"/>
                <w:szCs w:val="24"/>
              </w:rPr>
            </w:pPr>
          </w:p>
        </w:tc>
      </w:tr>
      <w:tr w14:paraId="60C3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2" w:type="dxa"/>
            <w:tcBorders>
              <w:bottom w:val="single" w:color="auto" w:sz="4" w:space="0"/>
            </w:tcBorders>
            <w:vAlign w:val="center"/>
          </w:tcPr>
          <w:p w14:paraId="3DD184A4">
            <w:pPr>
              <w:rPr>
                <w:rFonts w:ascii="宋体" w:hAnsi="宋体" w:cs="宋体"/>
                <w:color w:val="000000"/>
                <w:sz w:val="24"/>
                <w:szCs w:val="24"/>
              </w:rPr>
            </w:pPr>
            <w:r>
              <w:rPr>
                <w:rFonts w:hint="eastAsia" w:ascii="宋体" w:hAnsi="宋体" w:cs="宋体"/>
                <w:color w:val="000000"/>
                <w:sz w:val="24"/>
                <w:szCs w:val="24"/>
              </w:rPr>
              <w:t>邮  箱</w:t>
            </w:r>
          </w:p>
        </w:tc>
        <w:tc>
          <w:tcPr>
            <w:tcW w:w="3154" w:type="dxa"/>
            <w:tcBorders>
              <w:bottom w:val="single" w:color="auto" w:sz="4" w:space="0"/>
            </w:tcBorders>
            <w:vAlign w:val="center"/>
          </w:tcPr>
          <w:p w14:paraId="4BBE607D">
            <w:pPr>
              <w:rPr>
                <w:rFonts w:ascii="宋体" w:hAnsi="宋体" w:cs="宋体"/>
                <w:color w:val="000000"/>
                <w:sz w:val="24"/>
                <w:szCs w:val="24"/>
              </w:rPr>
            </w:pPr>
          </w:p>
        </w:tc>
        <w:tc>
          <w:tcPr>
            <w:tcW w:w="1471" w:type="dxa"/>
            <w:gridSpan w:val="2"/>
            <w:tcBorders>
              <w:bottom w:val="single" w:color="auto" w:sz="4" w:space="0"/>
            </w:tcBorders>
            <w:vAlign w:val="center"/>
          </w:tcPr>
          <w:p w14:paraId="6A992C58">
            <w:pPr>
              <w:rPr>
                <w:rFonts w:ascii="宋体" w:hAnsi="宋体" w:cs="宋体"/>
                <w:color w:val="000000"/>
                <w:sz w:val="24"/>
                <w:szCs w:val="24"/>
              </w:rPr>
            </w:pPr>
            <w:r>
              <w:rPr>
                <w:rFonts w:hint="eastAsia" w:ascii="宋体" w:hAnsi="宋体" w:cs="宋体"/>
                <w:color w:val="000000"/>
                <w:sz w:val="24"/>
                <w:szCs w:val="24"/>
              </w:rPr>
              <w:t>邮  编</w:t>
            </w:r>
          </w:p>
        </w:tc>
        <w:tc>
          <w:tcPr>
            <w:tcW w:w="2787" w:type="dxa"/>
            <w:gridSpan w:val="2"/>
            <w:tcBorders>
              <w:bottom w:val="single" w:color="auto" w:sz="4" w:space="0"/>
            </w:tcBorders>
            <w:vAlign w:val="center"/>
          </w:tcPr>
          <w:p w14:paraId="35AD53F3">
            <w:pPr>
              <w:rPr>
                <w:rFonts w:ascii="宋体" w:hAnsi="宋体" w:cs="宋体"/>
                <w:color w:val="000000"/>
                <w:sz w:val="24"/>
                <w:szCs w:val="24"/>
              </w:rPr>
            </w:pPr>
          </w:p>
        </w:tc>
      </w:tr>
      <w:tr w14:paraId="41A3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2" w:type="dxa"/>
            <w:tcBorders>
              <w:bottom w:val="single" w:color="auto" w:sz="4" w:space="0"/>
            </w:tcBorders>
            <w:vAlign w:val="center"/>
          </w:tcPr>
          <w:p w14:paraId="73F23C02">
            <w:pPr>
              <w:rPr>
                <w:rFonts w:ascii="宋体" w:hAnsi="宋体" w:cs="宋体"/>
                <w:color w:val="000000"/>
                <w:sz w:val="24"/>
                <w:szCs w:val="24"/>
              </w:rPr>
            </w:pPr>
            <w:r>
              <w:rPr>
                <w:rFonts w:hint="eastAsia" w:ascii="宋体" w:hAnsi="宋体" w:cs="宋体"/>
                <w:color w:val="000000"/>
                <w:sz w:val="24"/>
                <w:szCs w:val="24"/>
              </w:rPr>
              <w:t>联系人</w:t>
            </w:r>
          </w:p>
        </w:tc>
        <w:tc>
          <w:tcPr>
            <w:tcW w:w="3154" w:type="dxa"/>
            <w:tcBorders>
              <w:bottom w:val="single" w:color="auto" w:sz="4" w:space="0"/>
            </w:tcBorders>
            <w:vAlign w:val="center"/>
          </w:tcPr>
          <w:p w14:paraId="6F32CCD8">
            <w:pPr>
              <w:rPr>
                <w:rFonts w:ascii="宋体" w:hAnsi="宋体" w:cs="宋体"/>
                <w:color w:val="000000"/>
                <w:sz w:val="24"/>
                <w:szCs w:val="24"/>
              </w:rPr>
            </w:pPr>
          </w:p>
        </w:tc>
        <w:tc>
          <w:tcPr>
            <w:tcW w:w="1471" w:type="dxa"/>
            <w:gridSpan w:val="2"/>
            <w:tcBorders>
              <w:bottom w:val="single" w:color="auto" w:sz="4" w:space="0"/>
            </w:tcBorders>
            <w:vAlign w:val="center"/>
          </w:tcPr>
          <w:p w14:paraId="6193352B">
            <w:pPr>
              <w:rPr>
                <w:rFonts w:ascii="宋体" w:hAnsi="宋体" w:cs="宋体"/>
                <w:color w:val="000000"/>
                <w:sz w:val="24"/>
                <w:szCs w:val="24"/>
              </w:rPr>
            </w:pPr>
            <w:r>
              <w:rPr>
                <w:rFonts w:hint="eastAsia" w:ascii="宋体" w:hAnsi="宋体" w:cs="宋体"/>
                <w:color w:val="000000"/>
                <w:sz w:val="24"/>
                <w:szCs w:val="24"/>
              </w:rPr>
              <w:t>联系方式</w:t>
            </w:r>
          </w:p>
        </w:tc>
        <w:tc>
          <w:tcPr>
            <w:tcW w:w="2787" w:type="dxa"/>
            <w:gridSpan w:val="2"/>
            <w:tcBorders>
              <w:bottom w:val="single" w:color="auto" w:sz="4" w:space="0"/>
            </w:tcBorders>
            <w:vAlign w:val="center"/>
          </w:tcPr>
          <w:p w14:paraId="5371E5A7">
            <w:pPr>
              <w:rPr>
                <w:rFonts w:ascii="宋体" w:hAnsi="宋体" w:cs="宋体"/>
                <w:color w:val="000000"/>
                <w:sz w:val="24"/>
                <w:szCs w:val="24"/>
              </w:rPr>
            </w:pPr>
          </w:p>
        </w:tc>
      </w:tr>
    </w:tbl>
    <w:p w14:paraId="5AA33990">
      <w:pPr>
        <w:spacing w:line="360" w:lineRule="auto"/>
        <w:jc w:val="center"/>
        <w:rPr>
          <w:rFonts w:ascii="宋体" w:hAnsi="宋体" w:cs="宋体"/>
          <w:sz w:val="24"/>
          <w:szCs w:val="24"/>
          <w:shd w:val="clear" w:color="auto" w:fill="FFFFFF"/>
        </w:rPr>
      </w:pPr>
    </w:p>
    <w:p w14:paraId="63E01EE3">
      <w:pPr>
        <w:pStyle w:val="25"/>
        <w:ind w:firstLine="240"/>
        <w:rPr>
          <w:rFonts w:ascii="宋体" w:hAnsi="宋体" w:cs="宋体"/>
          <w:sz w:val="24"/>
          <w:shd w:val="clear" w:color="auto" w:fill="FFFFFF"/>
        </w:rPr>
      </w:pPr>
    </w:p>
    <w:p w14:paraId="7EB07E46">
      <w:pPr>
        <w:pStyle w:val="26"/>
        <w:ind w:firstLine="540"/>
        <w:rPr>
          <w:rFonts w:ascii="宋体" w:hAnsi="宋体" w:eastAsia="宋体" w:cs="宋体"/>
          <w:shd w:val="clear" w:color="auto" w:fill="FFFFFF"/>
        </w:rPr>
      </w:pPr>
    </w:p>
    <w:p w14:paraId="2ABEDEC3">
      <w:pPr>
        <w:rPr>
          <w:rFonts w:ascii="宋体" w:hAnsi="宋体" w:cs="宋体"/>
        </w:rPr>
      </w:pPr>
    </w:p>
    <w:p w14:paraId="69F3593B">
      <w:pPr>
        <w:spacing w:line="360" w:lineRule="auto"/>
        <w:jc w:val="center"/>
        <w:rPr>
          <w:rFonts w:ascii="宋体" w:hAnsi="宋体" w:cs="宋体"/>
          <w:sz w:val="24"/>
          <w:shd w:val="clear" w:color="auto" w:fill="FFFFFF"/>
        </w:rPr>
      </w:pPr>
    </w:p>
    <w:p w14:paraId="41DCD314">
      <w:pPr>
        <w:rPr>
          <w:rFonts w:ascii="宋体" w:hAnsi="宋体" w:cs="宋体"/>
          <w:sz w:val="24"/>
          <w:szCs w:val="24"/>
        </w:rPr>
      </w:pPr>
    </w:p>
    <w:p w14:paraId="6739629C">
      <w:pPr>
        <w:pStyle w:val="77"/>
        <w:spacing w:before="202" w:line="360" w:lineRule="auto"/>
        <w:ind w:left="0" w:right="196"/>
        <w:jc w:val="both"/>
        <w:rPr>
          <w:rFonts w:ascii="宋体" w:hAnsi="宋体" w:eastAsia="宋体" w:cs="宋体"/>
          <w:sz w:val="24"/>
          <w:szCs w:val="24"/>
          <w:lang w:eastAsia="zh-CN"/>
        </w:rPr>
      </w:pPr>
    </w:p>
    <w:p w14:paraId="18904CF8">
      <w:pPr>
        <w:pStyle w:val="50"/>
        <w:jc w:val="center"/>
        <w:outlineLvl w:val="9"/>
        <w:rPr>
          <w:rFonts w:ascii="宋体" w:hAnsi="宋体" w:eastAsia="宋体"/>
          <w:b/>
          <w:bCs/>
          <w:szCs w:val="28"/>
        </w:rPr>
      </w:pPr>
      <w:r>
        <w:rPr>
          <w:rFonts w:hint="eastAsia" w:ascii="宋体" w:hAnsi="宋体" w:eastAsia="宋体"/>
          <w:b/>
          <w:bCs/>
          <w:szCs w:val="28"/>
        </w:rPr>
        <w:t>七、</w:t>
      </w:r>
      <w:bookmarkStart w:id="130" w:name="_Toc25160349"/>
      <w:bookmarkStart w:id="131" w:name="_Toc7930"/>
      <w:bookmarkStart w:id="132" w:name="_Toc25160868"/>
      <w:r>
        <w:rPr>
          <w:rFonts w:hint="eastAsia" w:ascii="宋体" w:hAnsi="宋体" w:eastAsia="宋体"/>
          <w:b/>
          <w:bCs/>
          <w:szCs w:val="28"/>
        </w:rPr>
        <w:t>实质性承诺书</w:t>
      </w:r>
    </w:p>
    <w:p w14:paraId="56FCA5E9">
      <w:pPr>
        <w:spacing w:line="360" w:lineRule="auto"/>
        <w:ind w:firstLine="480" w:firstLineChars="200"/>
        <w:rPr>
          <w:rFonts w:ascii="宋体" w:hAnsi="宋体" w:cs="宋体"/>
          <w:sz w:val="24"/>
          <w:szCs w:val="24"/>
        </w:rPr>
      </w:pPr>
    </w:p>
    <w:p w14:paraId="54DF41AA">
      <w:pPr>
        <w:spacing w:line="360" w:lineRule="auto"/>
        <w:jc w:val="center"/>
        <w:rPr>
          <w:rFonts w:ascii="宋体" w:hAnsi="宋体" w:cs="宋体"/>
          <w:sz w:val="24"/>
          <w:szCs w:val="24"/>
        </w:rPr>
      </w:pPr>
    </w:p>
    <w:p w14:paraId="5C85DD4C">
      <w:pPr>
        <w:pStyle w:val="25"/>
        <w:ind w:firstLine="240"/>
        <w:rPr>
          <w:rFonts w:ascii="宋体" w:hAnsi="宋体" w:cs="宋体"/>
          <w:sz w:val="24"/>
        </w:rPr>
      </w:pPr>
    </w:p>
    <w:p w14:paraId="7F58E30A">
      <w:pPr>
        <w:pStyle w:val="26"/>
        <w:ind w:firstLine="540"/>
        <w:rPr>
          <w:rFonts w:ascii="宋体" w:hAnsi="宋体" w:eastAsia="宋体" w:cs="宋体"/>
        </w:rPr>
      </w:pPr>
    </w:p>
    <w:p w14:paraId="47D400B0">
      <w:pPr>
        <w:rPr>
          <w:rFonts w:ascii="宋体" w:hAnsi="宋体" w:cs="宋体"/>
          <w:sz w:val="24"/>
          <w:szCs w:val="24"/>
        </w:rPr>
      </w:pPr>
    </w:p>
    <w:p w14:paraId="0226D951">
      <w:pPr>
        <w:pStyle w:val="25"/>
        <w:ind w:firstLine="240"/>
        <w:rPr>
          <w:rFonts w:ascii="宋体" w:hAnsi="宋体" w:cs="宋体"/>
          <w:sz w:val="24"/>
        </w:rPr>
      </w:pPr>
    </w:p>
    <w:p w14:paraId="15C5E22F">
      <w:pPr>
        <w:pStyle w:val="26"/>
        <w:ind w:firstLine="540"/>
        <w:rPr>
          <w:rFonts w:ascii="宋体" w:hAnsi="宋体" w:eastAsia="宋体" w:cs="宋体"/>
        </w:rPr>
      </w:pPr>
    </w:p>
    <w:p w14:paraId="3875E950">
      <w:pPr>
        <w:rPr>
          <w:rFonts w:ascii="宋体" w:hAnsi="宋体" w:cs="宋体"/>
        </w:rPr>
      </w:pPr>
    </w:p>
    <w:p w14:paraId="3C3CE346">
      <w:pPr>
        <w:spacing w:line="360" w:lineRule="auto"/>
        <w:jc w:val="center"/>
        <w:rPr>
          <w:rFonts w:ascii="宋体" w:hAnsi="宋体" w:cs="宋体"/>
          <w:sz w:val="24"/>
          <w:szCs w:val="24"/>
        </w:rPr>
      </w:pPr>
    </w:p>
    <w:p w14:paraId="2F3A46B6">
      <w:pPr>
        <w:spacing w:line="360" w:lineRule="auto"/>
        <w:jc w:val="center"/>
        <w:rPr>
          <w:rFonts w:ascii="宋体" w:hAnsi="宋体" w:cs="宋体"/>
          <w:sz w:val="24"/>
          <w:szCs w:val="24"/>
        </w:rPr>
      </w:pPr>
    </w:p>
    <w:p w14:paraId="19B647BB">
      <w:pPr>
        <w:spacing w:line="360" w:lineRule="auto"/>
        <w:jc w:val="center"/>
        <w:rPr>
          <w:rFonts w:ascii="宋体" w:hAnsi="宋体" w:cs="宋体"/>
          <w:sz w:val="24"/>
          <w:szCs w:val="24"/>
        </w:rPr>
      </w:pPr>
    </w:p>
    <w:p w14:paraId="5CDFB5A4">
      <w:pPr>
        <w:spacing w:line="360" w:lineRule="auto"/>
        <w:jc w:val="center"/>
        <w:rPr>
          <w:rFonts w:ascii="宋体" w:hAnsi="宋体" w:cs="宋体"/>
          <w:sz w:val="24"/>
          <w:szCs w:val="24"/>
        </w:rPr>
      </w:pPr>
    </w:p>
    <w:p w14:paraId="70E800C7">
      <w:pPr>
        <w:spacing w:line="360" w:lineRule="auto"/>
        <w:jc w:val="center"/>
        <w:rPr>
          <w:rFonts w:ascii="宋体" w:hAnsi="宋体" w:cs="宋体"/>
          <w:sz w:val="24"/>
          <w:szCs w:val="24"/>
        </w:rPr>
      </w:pPr>
    </w:p>
    <w:p w14:paraId="6E30E623">
      <w:pPr>
        <w:spacing w:line="360" w:lineRule="auto"/>
        <w:jc w:val="center"/>
        <w:rPr>
          <w:rFonts w:ascii="宋体" w:hAnsi="宋体" w:cs="宋体"/>
          <w:sz w:val="24"/>
          <w:szCs w:val="24"/>
        </w:rPr>
      </w:pPr>
    </w:p>
    <w:p w14:paraId="5F2CE27A">
      <w:pPr>
        <w:spacing w:line="360" w:lineRule="auto"/>
        <w:jc w:val="center"/>
        <w:rPr>
          <w:rFonts w:ascii="宋体" w:hAnsi="宋体" w:cs="宋体"/>
          <w:sz w:val="24"/>
          <w:szCs w:val="24"/>
        </w:rPr>
      </w:pPr>
    </w:p>
    <w:p w14:paraId="4752430B">
      <w:pPr>
        <w:spacing w:line="360" w:lineRule="auto"/>
        <w:jc w:val="center"/>
        <w:rPr>
          <w:rFonts w:ascii="宋体" w:hAnsi="宋体" w:cs="宋体"/>
          <w:sz w:val="24"/>
          <w:szCs w:val="24"/>
        </w:rPr>
      </w:pPr>
    </w:p>
    <w:p w14:paraId="6C906792">
      <w:pPr>
        <w:spacing w:line="360" w:lineRule="auto"/>
        <w:jc w:val="center"/>
        <w:rPr>
          <w:rFonts w:ascii="宋体" w:hAnsi="宋体" w:cs="宋体"/>
          <w:sz w:val="24"/>
          <w:szCs w:val="24"/>
        </w:rPr>
      </w:pPr>
    </w:p>
    <w:p w14:paraId="176D2C55">
      <w:pPr>
        <w:spacing w:line="360" w:lineRule="auto"/>
        <w:jc w:val="center"/>
        <w:rPr>
          <w:rFonts w:ascii="宋体" w:hAnsi="宋体" w:cs="宋体"/>
          <w:sz w:val="24"/>
          <w:szCs w:val="24"/>
        </w:rPr>
      </w:pPr>
    </w:p>
    <w:p w14:paraId="7215FDB4">
      <w:pPr>
        <w:tabs>
          <w:tab w:val="left" w:pos="1573"/>
          <w:tab w:val="right" w:pos="9160"/>
        </w:tabs>
        <w:spacing w:line="440" w:lineRule="exact"/>
        <w:ind w:firstLine="1440" w:firstLineChars="600"/>
        <w:jc w:val="left"/>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（电子签章）</w:t>
      </w:r>
    </w:p>
    <w:p w14:paraId="17135C0E">
      <w:pPr>
        <w:spacing w:line="440" w:lineRule="exact"/>
        <w:jc w:val="center"/>
        <w:rPr>
          <w:rFonts w:ascii="宋体" w:hAnsi="宋体" w:cs="宋体"/>
          <w:sz w:val="24"/>
          <w:szCs w:val="24"/>
        </w:rPr>
      </w:pPr>
      <w:r>
        <w:rPr>
          <w:rFonts w:hint="eastAsia" w:ascii="宋体" w:hAnsi="宋体" w:cs="宋体"/>
          <w:sz w:val="24"/>
          <w:szCs w:val="24"/>
        </w:rPr>
        <w:t xml:space="preserve">            法定代表人或其委托代理人：</w:t>
      </w:r>
      <w:r>
        <w:rPr>
          <w:rFonts w:hint="eastAsia" w:ascii="宋体" w:hAnsi="宋体" w:cs="宋体"/>
          <w:sz w:val="24"/>
          <w:szCs w:val="24"/>
          <w:u w:val="single"/>
        </w:rPr>
        <w:t xml:space="preserve">               </w:t>
      </w:r>
      <w:r>
        <w:rPr>
          <w:rFonts w:hint="eastAsia" w:ascii="宋体" w:hAnsi="宋体" w:cs="宋体"/>
          <w:sz w:val="24"/>
          <w:szCs w:val="24"/>
        </w:rPr>
        <w:t>（电子签字或电子签章）</w:t>
      </w:r>
    </w:p>
    <w:p w14:paraId="1C4EB4BC">
      <w:pPr>
        <w:spacing w:line="440" w:lineRule="exact"/>
        <w:jc w:val="right"/>
        <w:rPr>
          <w:rFonts w:ascii="宋体" w:hAnsi="宋体" w:cs="宋体"/>
          <w:sz w:val="24"/>
          <w:szCs w:val="24"/>
        </w:rPr>
      </w:pPr>
    </w:p>
    <w:p w14:paraId="303AA8F9">
      <w:pPr>
        <w:spacing w:line="440" w:lineRule="exact"/>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3D3D40B">
      <w:pPr>
        <w:spacing w:line="360" w:lineRule="auto"/>
        <w:jc w:val="center"/>
        <w:rPr>
          <w:rFonts w:ascii="宋体" w:hAnsi="宋体" w:cs="宋体"/>
          <w:sz w:val="24"/>
          <w:szCs w:val="24"/>
        </w:rPr>
      </w:pPr>
    </w:p>
    <w:p w14:paraId="3D1CABFA">
      <w:pPr>
        <w:pStyle w:val="50"/>
        <w:outlineLvl w:val="9"/>
        <w:rPr>
          <w:rFonts w:ascii="宋体" w:hAnsi="宋体" w:eastAsia="宋体"/>
          <w:b/>
          <w:bCs/>
          <w:szCs w:val="28"/>
        </w:rPr>
      </w:pPr>
    </w:p>
    <w:p w14:paraId="435AA739">
      <w:pPr>
        <w:pStyle w:val="50"/>
        <w:outlineLvl w:val="9"/>
        <w:rPr>
          <w:rFonts w:ascii="宋体" w:hAnsi="宋体" w:eastAsia="宋体"/>
          <w:b/>
          <w:bCs/>
          <w:szCs w:val="28"/>
        </w:rPr>
      </w:pPr>
    </w:p>
    <w:bookmarkEnd w:id="130"/>
    <w:bookmarkEnd w:id="131"/>
    <w:bookmarkEnd w:id="132"/>
    <w:p w14:paraId="4017C83E">
      <w:pPr>
        <w:widowControl/>
        <w:spacing w:line="432" w:lineRule="auto"/>
        <w:jc w:val="center"/>
        <w:rPr>
          <w:rFonts w:ascii="宋体" w:hAnsi="宋体" w:cs="宋体"/>
          <w:b/>
          <w:bCs/>
          <w:sz w:val="28"/>
          <w:szCs w:val="28"/>
        </w:rPr>
      </w:pPr>
    </w:p>
    <w:p w14:paraId="49EC9784">
      <w:pPr>
        <w:widowControl/>
        <w:spacing w:line="432" w:lineRule="auto"/>
        <w:jc w:val="center"/>
        <w:rPr>
          <w:rFonts w:ascii="宋体" w:hAnsi="宋体" w:cs="宋体"/>
          <w:b/>
          <w:bCs/>
          <w:sz w:val="28"/>
          <w:szCs w:val="28"/>
        </w:rPr>
      </w:pPr>
    </w:p>
    <w:p w14:paraId="51B630AC">
      <w:pPr>
        <w:pStyle w:val="50"/>
        <w:jc w:val="center"/>
        <w:outlineLvl w:val="9"/>
        <w:rPr>
          <w:rFonts w:ascii="宋体" w:hAnsi="宋体" w:eastAsia="宋体"/>
          <w:b/>
          <w:bCs/>
          <w:szCs w:val="28"/>
        </w:rPr>
      </w:pPr>
      <w:bookmarkStart w:id="133" w:name="_Toc37400092"/>
      <w:bookmarkStart w:id="134" w:name="_Toc38263613"/>
      <w:r>
        <w:rPr>
          <w:rFonts w:hint="eastAsia" w:ascii="宋体" w:hAnsi="宋体" w:eastAsia="宋体"/>
          <w:b/>
          <w:bCs/>
          <w:szCs w:val="28"/>
        </w:rPr>
        <w:t>八、反商业贿赂承诺书</w:t>
      </w:r>
      <w:bookmarkEnd w:id="133"/>
      <w:bookmarkEnd w:id="134"/>
    </w:p>
    <w:p w14:paraId="6C595DFD">
      <w:pPr>
        <w:spacing w:line="480" w:lineRule="auto"/>
        <w:rPr>
          <w:rFonts w:ascii="宋体" w:hAnsi="宋体" w:cs="宋体"/>
          <w:sz w:val="24"/>
        </w:rPr>
      </w:pPr>
      <w:r>
        <w:rPr>
          <w:rFonts w:hint="eastAsia" w:ascii="宋体" w:hAnsi="宋体" w:cs="宋体"/>
          <w:sz w:val="24"/>
        </w:rPr>
        <w:t>我公司承诺：</w:t>
      </w:r>
    </w:p>
    <w:p w14:paraId="7E4FD5BB">
      <w:pPr>
        <w:widowControl/>
        <w:spacing w:line="480" w:lineRule="auto"/>
        <w:ind w:firstLine="480" w:firstLineChars="200"/>
        <w:rPr>
          <w:rFonts w:ascii="宋体" w:hAnsi="宋体" w:cs="宋体"/>
          <w:sz w:val="24"/>
        </w:rPr>
      </w:pPr>
      <w:r>
        <w:rPr>
          <w:rFonts w:hint="eastAsia" w:ascii="宋体" w:hAnsi="宋体" w:cs="宋体"/>
          <w:sz w:val="24"/>
        </w:rPr>
        <w:t>在</w:t>
      </w:r>
      <w:r>
        <w:rPr>
          <w:rFonts w:hint="eastAsia" w:ascii="宋体" w:hAnsi="宋体" w:cs="宋体"/>
          <w:sz w:val="24"/>
          <w:u w:val="single"/>
        </w:rPr>
        <w:t xml:space="preserve">     （项目名称）        </w:t>
      </w:r>
      <w:r>
        <w:rPr>
          <w:rFonts w:hint="eastAsia" w:ascii="宋体" w:hAnsi="宋体" w:cs="宋体"/>
          <w:sz w:val="24"/>
        </w:rPr>
        <w:t>投标活动中，我公司保证做到：</w:t>
      </w:r>
    </w:p>
    <w:p w14:paraId="4F839DF3">
      <w:pPr>
        <w:spacing w:line="480" w:lineRule="auto"/>
        <w:ind w:firstLine="480" w:firstLineChars="200"/>
        <w:rPr>
          <w:rFonts w:ascii="宋体" w:hAnsi="宋体" w:cs="宋体"/>
          <w:sz w:val="24"/>
        </w:rPr>
      </w:pPr>
      <w:r>
        <w:rPr>
          <w:rFonts w:hint="eastAsia" w:ascii="宋体" w:hAnsi="宋体" w:cs="宋体"/>
          <w:sz w:val="24"/>
        </w:rPr>
        <w:t>一、公平竞争参加本次活动。</w:t>
      </w:r>
    </w:p>
    <w:p w14:paraId="12E08167">
      <w:pPr>
        <w:spacing w:line="480" w:lineRule="auto"/>
        <w:ind w:firstLine="480" w:firstLineChars="200"/>
        <w:rPr>
          <w:rFonts w:ascii="宋体" w:hAnsi="宋体" w:cs="宋体"/>
          <w:sz w:val="24"/>
        </w:rPr>
      </w:pPr>
      <w:r>
        <w:rPr>
          <w:rFonts w:hint="eastAsia" w:ascii="宋体" w:hAnsi="宋体" w:cs="宋体"/>
          <w:sz w:val="24"/>
        </w:rPr>
        <w:t>二、杜绝任何形式的商业贿赂行为。不向国家工作人员、采购代理机构工作人员、评审专家及其亲属提供礼品礼金、有价证券、购物券、回扣、佣金、咨询费、劳务费、赞助费、宣传费、宴请；不为其报销各种报销凭证，不支付其旅游、娱乐等费用。</w:t>
      </w:r>
    </w:p>
    <w:p w14:paraId="40D7ED82">
      <w:pPr>
        <w:spacing w:line="480" w:lineRule="auto"/>
        <w:ind w:firstLine="480" w:firstLineChars="200"/>
        <w:rPr>
          <w:rFonts w:ascii="宋体" w:hAnsi="宋体" w:cs="宋体"/>
          <w:sz w:val="24"/>
        </w:rPr>
      </w:pPr>
      <w:r>
        <w:rPr>
          <w:rFonts w:hint="eastAsia" w:ascii="宋体" w:hAnsi="宋体" w:cs="宋体"/>
          <w:sz w:val="24"/>
        </w:rPr>
        <w:t>三、若出现上述行为，我单位及参与投标的工作人员愿意接受按照国家法律法规等有关规定给予的处罚。</w:t>
      </w:r>
    </w:p>
    <w:p w14:paraId="028172C2">
      <w:pPr>
        <w:spacing w:line="480" w:lineRule="auto"/>
        <w:ind w:firstLine="480" w:firstLineChars="200"/>
        <w:rPr>
          <w:rFonts w:ascii="宋体" w:hAnsi="宋体" w:cs="宋体"/>
          <w:sz w:val="24"/>
        </w:rPr>
      </w:pPr>
      <w:r>
        <w:rPr>
          <w:rFonts w:hint="eastAsia" w:ascii="宋体" w:hAnsi="宋体" w:cs="宋体"/>
          <w:sz w:val="24"/>
        </w:rPr>
        <w:t xml:space="preserve"> </w:t>
      </w:r>
    </w:p>
    <w:p w14:paraId="00F497F5">
      <w:pPr>
        <w:spacing w:line="480" w:lineRule="auto"/>
        <w:ind w:firstLine="480" w:firstLineChars="200"/>
        <w:rPr>
          <w:rFonts w:ascii="宋体" w:hAnsi="宋体" w:cs="宋体"/>
          <w:sz w:val="24"/>
          <w:u w:val="single"/>
        </w:rPr>
      </w:pPr>
      <w:r>
        <w:rPr>
          <w:rFonts w:hint="eastAsia" w:ascii="宋体" w:hAnsi="宋体" w:cs="宋体"/>
          <w:sz w:val="24"/>
        </w:rPr>
        <w:t xml:space="preserve">供应商： </w:t>
      </w:r>
      <w:r>
        <w:rPr>
          <w:rFonts w:hint="eastAsia" w:ascii="宋体" w:hAnsi="宋体" w:cs="宋体"/>
          <w:sz w:val="24"/>
          <w:u w:val="single"/>
        </w:rPr>
        <w:t xml:space="preserve">   （全称）              </w:t>
      </w:r>
      <w:r>
        <w:rPr>
          <w:rFonts w:hint="eastAsia" w:ascii="宋体" w:hAnsi="宋体" w:cs="宋体"/>
          <w:sz w:val="24"/>
        </w:rPr>
        <w:t>(电子签章)</w:t>
      </w:r>
    </w:p>
    <w:p w14:paraId="42DC7B3C">
      <w:pPr>
        <w:spacing w:line="480" w:lineRule="auto"/>
        <w:ind w:firstLine="480" w:firstLineChars="200"/>
        <w:rPr>
          <w:rFonts w:ascii="宋体" w:hAnsi="宋体" w:cs="宋体"/>
          <w:sz w:val="24"/>
        </w:rPr>
      </w:pPr>
      <w:r>
        <w:rPr>
          <w:rFonts w:hint="eastAsia" w:ascii="宋体" w:hAnsi="宋体" w:cs="宋体"/>
          <w:sz w:val="24"/>
        </w:rPr>
        <w:t>法定代表人或其授权委托人：</w:t>
      </w:r>
      <w:r>
        <w:rPr>
          <w:rFonts w:hint="eastAsia" w:ascii="宋体" w:hAnsi="宋体" w:cs="宋体"/>
          <w:sz w:val="24"/>
          <w:u w:val="single"/>
        </w:rPr>
        <w:t xml:space="preserve">                      </w:t>
      </w:r>
      <w:r>
        <w:rPr>
          <w:rFonts w:hint="eastAsia" w:ascii="宋体" w:hAnsi="宋体" w:cs="宋体"/>
          <w:sz w:val="24"/>
        </w:rPr>
        <w:t xml:space="preserve">(电子签章) </w:t>
      </w:r>
    </w:p>
    <w:p w14:paraId="7BDCB025">
      <w:pPr>
        <w:spacing w:line="480" w:lineRule="auto"/>
        <w:ind w:firstLine="480" w:firstLineChars="200"/>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6576A8A9">
      <w:pPr>
        <w:widowControl/>
        <w:spacing w:line="432" w:lineRule="auto"/>
        <w:jc w:val="left"/>
        <w:rPr>
          <w:rFonts w:ascii="宋体" w:hAnsi="宋体" w:cs="宋体"/>
          <w:b/>
          <w:bCs/>
          <w:kern w:val="0"/>
          <w:sz w:val="24"/>
        </w:rPr>
      </w:pPr>
    </w:p>
    <w:p w14:paraId="61042977">
      <w:pPr>
        <w:widowControl/>
        <w:spacing w:line="432" w:lineRule="auto"/>
        <w:jc w:val="left"/>
        <w:rPr>
          <w:rFonts w:ascii="宋体" w:hAnsi="宋体" w:cs="宋体"/>
          <w:b/>
          <w:bCs/>
          <w:kern w:val="0"/>
          <w:sz w:val="24"/>
        </w:rPr>
      </w:pPr>
    </w:p>
    <w:p w14:paraId="0CF0A502">
      <w:pPr>
        <w:pStyle w:val="25"/>
        <w:ind w:firstLine="241"/>
        <w:rPr>
          <w:rFonts w:ascii="宋体" w:hAnsi="宋体" w:cs="宋体"/>
          <w:b/>
          <w:bCs/>
          <w:kern w:val="0"/>
          <w:sz w:val="24"/>
        </w:rPr>
      </w:pPr>
    </w:p>
    <w:p w14:paraId="4EA9AE11">
      <w:pPr>
        <w:pStyle w:val="26"/>
        <w:ind w:firstLine="542"/>
        <w:rPr>
          <w:rFonts w:ascii="宋体" w:hAnsi="宋体" w:eastAsia="宋体" w:cs="宋体"/>
          <w:b/>
          <w:bCs/>
          <w:kern w:val="0"/>
        </w:rPr>
      </w:pPr>
    </w:p>
    <w:p w14:paraId="1F024CD4">
      <w:pPr>
        <w:rPr>
          <w:rFonts w:ascii="宋体" w:hAnsi="宋体" w:cs="宋体"/>
        </w:rPr>
      </w:pPr>
    </w:p>
    <w:p w14:paraId="4A7426C5">
      <w:pPr>
        <w:pStyle w:val="26"/>
        <w:ind w:firstLine="542"/>
        <w:rPr>
          <w:rFonts w:ascii="宋体" w:hAnsi="宋体" w:eastAsia="宋体" w:cs="宋体"/>
          <w:b/>
          <w:bCs/>
          <w:kern w:val="0"/>
        </w:rPr>
      </w:pPr>
    </w:p>
    <w:p w14:paraId="6172B445">
      <w:pPr>
        <w:rPr>
          <w:rFonts w:ascii="宋体" w:hAnsi="宋体" w:cs="宋体"/>
          <w:b/>
          <w:bCs/>
          <w:kern w:val="0"/>
          <w:sz w:val="24"/>
        </w:rPr>
      </w:pPr>
    </w:p>
    <w:p w14:paraId="07A60770">
      <w:pPr>
        <w:pStyle w:val="25"/>
        <w:ind w:firstLine="241"/>
        <w:rPr>
          <w:rFonts w:ascii="宋体" w:hAnsi="宋体" w:cs="宋体"/>
          <w:b/>
          <w:bCs/>
          <w:kern w:val="0"/>
          <w:sz w:val="24"/>
        </w:rPr>
      </w:pPr>
    </w:p>
    <w:p w14:paraId="193DDEB1">
      <w:pPr>
        <w:pStyle w:val="26"/>
        <w:ind w:firstLine="542"/>
        <w:rPr>
          <w:rFonts w:ascii="宋体" w:hAnsi="宋体" w:eastAsia="宋体" w:cs="宋体"/>
          <w:b/>
          <w:bCs/>
          <w:kern w:val="0"/>
        </w:rPr>
      </w:pPr>
    </w:p>
    <w:p w14:paraId="3A3F0A9E">
      <w:pPr>
        <w:rPr>
          <w:rFonts w:ascii="宋体" w:hAnsi="宋体" w:cs="宋体"/>
          <w:b/>
          <w:bCs/>
          <w:kern w:val="0"/>
          <w:sz w:val="24"/>
        </w:rPr>
      </w:pPr>
    </w:p>
    <w:p w14:paraId="20DB39BC">
      <w:pPr>
        <w:pStyle w:val="50"/>
        <w:jc w:val="center"/>
        <w:outlineLvl w:val="9"/>
        <w:rPr>
          <w:rFonts w:ascii="宋体" w:hAnsi="宋体" w:eastAsia="宋体"/>
          <w:b/>
          <w:bCs/>
          <w:szCs w:val="28"/>
        </w:rPr>
      </w:pPr>
      <w:r>
        <w:rPr>
          <w:rFonts w:hint="eastAsia" w:ascii="宋体" w:hAnsi="宋体" w:eastAsia="宋体"/>
          <w:b/>
          <w:bCs/>
          <w:szCs w:val="28"/>
        </w:rPr>
        <w:t>九、其它资料</w:t>
      </w:r>
    </w:p>
    <w:p w14:paraId="49E4699F">
      <w:pPr>
        <w:pStyle w:val="25"/>
        <w:ind w:firstLine="210"/>
        <w:rPr>
          <w:rFonts w:ascii="宋体" w:hAnsi="宋体" w:cs="宋体"/>
        </w:rPr>
      </w:pPr>
    </w:p>
    <w:p w14:paraId="140CB42B">
      <w:pPr>
        <w:widowControl/>
        <w:spacing w:line="432" w:lineRule="auto"/>
        <w:jc w:val="center"/>
        <w:rPr>
          <w:rFonts w:ascii="宋体" w:hAnsi="宋体" w:cs="宋体"/>
          <w:kern w:val="0"/>
          <w:sz w:val="24"/>
        </w:rPr>
      </w:pPr>
      <w:r>
        <w:rPr>
          <w:rFonts w:hint="eastAsia" w:ascii="宋体" w:hAnsi="宋体" w:cs="宋体"/>
          <w:kern w:val="0"/>
          <w:sz w:val="24"/>
        </w:rPr>
        <w:t>供应商认为需要提供的其他资料。</w:t>
      </w:r>
    </w:p>
    <w:p w14:paraId="555E7F55">
      <w:pPr>
        <w:widowControl/>
        <w:spacing w:line="432" w:lineRule="auto"/>
        <w:jc w:val="left"/>
        <w:rPr>
          <w:rFonts w:ascii="宋体" w:hAnsi="宋体" w:cs="宋体"/>
          <w:b/>
          <w:bCs/>
          <w:kern w:val="0"/>
          <w:sz w:val="24"/>
        </w:rPr>
      </w:pPr>
    </w:p>
    <w:p w14:paraId="78C4BF32">
      <w:pPr>
        <w:widowControl/>
        <w:spacing w:line="432" w:lineRule="auto"/>
        <w:jc w:val="left"/>
        <w:rPr>
          <w:rFonts w:ascii="宋体" w:hAnsi="宋体" w:cs="宋体"/>
          <w:b/>
          <w:bCs/>
          <w:kern w:val="0"/>
          <w:sz w:val="24"/>
        </w:rPr>
      </w:pPr>
    </w:p>
    <w:p w14:paraId="467BB2C4">
      <w:pPr>
        <w:widowControl/>
        <w:spacing w:line="432" w:lineRule="auto"/>
        <w:jc w:val="left"/>
        <w:rPr>
          <w:rFonts w:ascii="宋体" w:hAnsi="宋体" w:cs="宋体"/>
          <w:b/>
          <w:bCs/>
          <w:kern w:val="0"/>
          <w:sz w:val="24"/>
        </w:rPr>
      </w:pPr>
    </w:p>
    <w:p w14:paraId="5B84AC5E">
      <w:pPr>
        <w:pStyle w:val="25"/>
        <w:ind w:firstLine="241"/>
        <w:rPr>
          <w:rFonts w:ascii="宋体" w:hAnsi="宋体" w:cs="宋体"/>
          <w:b/>
          <w:bCs/>
          <w:kern w:val="0"/>
          <w:sz w:val="24"/>
        </w:rPr>
      </w:pPr>
    </w:p>
    <w:p w14:paraId="1E29E37C">
      <w:pPr>
        <w:pStyle w:val="26"/>
        <w:ind w:firstLine="542"/>
        <w:rPr>
          <w:rFonts w:ascii="宋体" w:hAnsi="宋体" w:eastAsia="宋体" w:cs="宋体"/>
          <w:b/>
          <w:bCs/>
          <w:kern w:val="0"/>
        </w:rPr>
      </w:pPr>
    </w:p>
    <w:p w14:paraId="6D07C0FE">
      <w:pPr>
        <w:rPr>
          <w:rFonts w:ascii="宋体" w:hAnsi="宋体" w:cs="宋体"/>
          <w:b/>
          <w:bCs/>
          <w:kern w:val="0"/>
          <w:sz w:val="24"/>
        </w:rPr>
      </w:pPr>
    </w:p>
    <w:p w14:paraId="6056735D">
      <w:pPr>
        <w:pStyle w:val="25"/>
        <w:ind w:firstLine="241"/>
        <w:rPr>
          <w:rFonts w:ascii="宋体" w:hAnsi="宋体" w:cs="宋体"/>
          <w:b/>
          <w:bCs/>
          <w:kern w:val="0"/>
          <w:sz w:val="24"/>
        </w:rPr>
      </w:pPr>
    </w:p>
    <w:p w14:paraId="31A2DEF8">
      <w:pPr>
        <w:pStyle w:val="26"/>
        <w:ind w:firstLine="542"/>
        <w:rPr>
          <w:rFonts w:ascii="宋体" w:hAnsi="宋体" w:eastAsia="宋体" w:cs="宋体"/>
          <w:b/>
          <w:bCs/>
          <w:kern w:val="0"/>
        </w:rPr>
      </w:pPr>
    </w:p>
    <w:p w14:paraId="68DDBD61">
      <w:pPr>
        <w:rPr>
          <w:rFonts w:ascii="宋体" w:hAnsi="宋体" w:cs="宋体"/>
          <w:b/>
          <w:bCs/>
          <w:kern w:val="0"/>
          <w:sz w:val="24"/>
        </w:rPr>
      </w:pPr>
    </w:p>
    <w:p w14:paraId="2E44B294">
      <w:pPr>
        <w:pStyle w:val="25"/>
        <w:ind w:firstLine="241"/>
        <w:rPr>
          <w:rFonts w:ascii="宋体" w:hAnsi="宋体" w:cs="宋体"/>
          <w:b/>
          <w:bCs/>
          <w:kern w:val="0"/>
          <w:sz w:val="24"/>
        </w:rPr>
      </w:pPr>
    </w:p>
    <w:p w14:paraId="22D8A1D2">
      <w:pPr>
        <w:pStyle w:val="26"/>
        <w:ind w:firstLine="542"/>
        <w:rPr>
          <w:rFonts w:ascii="宋体" w:hAnsi="宋体" w:eastAsia="宋体" w:cs="宋体"/>
          <w:b/>
          <w:bCs/>
          <w:kern w:val="0"/>
        </w:rPr>
      </w:pPr>
    </w:p>
    <w:p w14:paraId="3A03B060">
      <w:pPr>
        <w:rPr>
          <w:rFonts w:ascii="宋体" w:hAnsi="宋体" w:cs="宋体"/>
          <w:b/>
          <w:bCs/>
          <w:kern w:val="0"/>
          <w:sz w:val="24"/>
        </w:rPr>
      </w:pPr>
    </w:p>
    <w:p w14:paraId="13D2F2A5">
      <w:pPr>
        <w:pStyle w:val="25"/>
        <w:ind w:firstLine="241"/>
        <w:rPr>
          <w:rFonts w:ascii="宋体" w:hAnsi="宋体" w:cs="宋体"/>
          <w:b/>
          <w:bCs/>
          <w:kern w:val="0"/>
          <w:sz w:val="24"/>
        </w:rPr>
      </w:pPr>
    </w:p>
    <w:p w14:paraId="4E30F3B0">
      <w:pPr>
        <w:pStyle w:val="26"/>
        <w:ind w:firstLine="542"/>
        <w:rPr>
          <w:rFonts w:ascii="宋体" w:hAnsi="宋体" w:eastAsia="宋体" w:cs="宋体"/>
          <w:b/>
          <w:bCs/>
          <w:kern w:val="0"/>
        </w:rPr>
      </w:pPr>
    </w:p>
    <w:p w14:paraId="21CFAA31">
      <w:pPr>
        <w:rPr>
          <w:rFonts w:ascii="宋体" w:hAnsi="宋体" w:cs="宋体"/>
          <w:b/>
          <w:bCs/>
          <w:kern w:val="0"/>
          <w:sz w:val="24"/>
        </w:rPr>
      </w:pPr>
    </w:p>
    <w:p w14:paraId="278FE8C8">
      <w:pPr>
        <w:pStyle w:val="25"/>
        <w:ind w:firstLine="241"/>
        <w:rPr>
          <w:rFonts w:ascii="宋体" w:hAnsi="宋体" w:cs="宋体"/>
          <w:b/>
          <w:bCs/>
          <w:kern w:val="0"/>
          <w:sz w:val="24"/>
        </w:rPr>
      </w:pPr>
    </w:p>
    <w:p w14:paraId="612F4261">
      <w:pPr>
        <w:pStyle w:val="26"/>
        <w:ind w:firstLine="542"/>
        <w:rPr>
          <w:rFonts w:ascii="宋体" w:hAnsi="宋体" w:eastAsia="宋体" w:cs="宋体"/>
          <w:b/>
          <w:bCs/>
          <w:kern w:val="0"/>
        </w:rPr>
      </w:pPr>
    </w:p>
    <w:p w14:paraId="196BE9DC">
      <w:pPr>
        <w:rPr>
          <w:rFonts w:ascii="宋体" w:hAnsi="宋体" w:cs="宋体"/>
          <w:b/>
          <w:bCs/>
          <w:kern w:val="0"/>
          <w:sz w:val="24"/>
        </w:rPr>
      </w:pPr>
    </w:p>
    <w:p w14:paraId="0ED29249">
      <w:pPr>
        <w:pStyle w:val="25"/>
        <w:ind w:firstLine="241"/>
        <w:rPr>
          <w:rFonts w:ascii="宋体" w:hAnsi="宋体" w:cs="宋体"/>
          <w:b/>
          <w:bCs/>
          <w:kern w:val="0"/>
          <w:sz w:val="24"/>
        </w:rPr>
      </w:pPr>
    </w:p>
    <w:p w14:paraId="7421D393">
      <w:pPr>
        <w:pStyle w:val="26"/>
        <w:ind w:firstLine="542"/>
        <w:rPr>
          <w:rFonts w:ascii="宋体" w:hAnsi="宋体" w:eastAsia="宋体" w:cs="宋体"/>
          <w:b/>
          <w:bCs/>
          <w:kern w:val="0"/>
        </w:rPr>
      </w:pPr>
    </w:p>
    <w:p w14:paraId="0F881430">
      <w:pPr>
        <w:rPr>
          <w:rFonts w:ascii="宋体" w:hAnsi="宋体" w:cs="宋体"/>
          <w:b/>
          <w:bCs/>
          <w:kern w:val="0"/>
          <w:sz w:val="24"/>
        </w:rPr>
      </w:pPr>
    </w:p>
    <w:p w14:paraId="17AE2954">
      <w:pPr>
        <w:pStyle w:val="25"/>
        <w:ind w:firstLine="241"/>
        <w:rPr>
          <w:rFonts w:ascii="宋体" w:hAnsi="宋体" w:cs="宋体"/>
          <w:b/>
          <w:bCs/>
          <w:kern w:val="0"/>
          <w:sz w:val="24"/>
        </w:rPr>
      </w:pPr>
    </w:p>
    <w:p w14:paraId="7E9E77B9">
      <w:pPr>
        <w:pStyle w:val="26"/>
        <w:ind w:firstLine="540"/>
        <w:rPr>
          <w:rFonts w:ascii="宋体" w:hAnsi="宋体" w:eastAsia="宋体" w:cs="宋体"/>
        </w:rPr>
      </w:pPr>
    </w:p>
    <w:p w14:paraId="5FD1D8F9">
      <w:pPr>
        <w:widowControl/>
        <w:spacing w:line="432" w:lineRule="auto"/>
        <w:jc w:val="left"/>
        <w:rPr>
          <w:rFonts w:ascii="宋体" w:hAnsi="宋体" w:cs="宋体"/>
          <w:b/>
          <w:bCs/>
          <w:kern w:val="0"/>
          <w:sz w:val="24"/>
        </w:rPr>
      </w:pPr>
    </w:p>
    <w:p w14:paraId="0114D101">
      <w:pPr>
        <w:keepNext/>
        <w:keepLines/>
        <w:spacing w:line="360" w:lineRule="auto"/>
        <w:outlineLvl w:val="1"/>
        <w:rPr>
          <w:rFonts w:ascii="宋体" w:hAnsi="宋体" w:cs="宋体"/>
          <w:b/>
          <w:bCs/>
          <w:color w:val="000000"/>
          <w:spacing w:val="10"/>
          <w:sz w:val="28"/>
          <w:szCs w:val="28"/>
        </w:rPr>
      </w:pPr>
      <w:bookmarkStart w:id="135" w:name="_Toc12079"/>
      <w:bookmarkStart w:id="136" w:name="_Toc11557"/>
      <w:r>
        <w:rPr>
          <w:rFonts w:hint="eastAsia" w:ascii="宋体" w:hAnsi="宋体" w:cs="宋体"/>
          <w:b/>
          <w:bCs/>
          <w:color w:val="000000"/>
          <w:spacing w:val="10"/>
          <w:sz w:val="28"/>
          <w:szCs w:val="28"/>
        </w:rPr>
        <w:t>附件1:</w:t>
      </w:r>
      <w:bookmarkEnd w:id="135"/>
      <w:bookmarkEnd w:id="136"/>
    </w:p>
    <w:p w14:paraId="651CB32F">
      <w:pPr>
        <w:spacing w:line="360" w:lineRule="auto"/>
        <w:jc w:val="center"/>
        <w:rPr>
          <w:rFonts w:ascii="宋体" w:hAnsi="宋体" w:cs="宋体"/>
          <w:color w:val="000000"/>
          <w:sz w:val="24"/>
          <w:lang w:val="zh-CN"/>
        </w:rPr>
      </w:pPr>
      <w:r>
        <w:rPr>
          <w:rFonts w:hint="eastAsia" w:ascii="宋体" w:hAnsi="宋体" w:cs="宋体"/>
          <w:color w:val="000000"/>
          <w:sz w:val="24"/>
          <w:lang w:val="zh-CN"/>
        </w:rPr>
        <w:t>中小企业声明函（工程、服务）</w:t>
      </w:r>
    </w:p>
    <w:p w14:paraId="7ECE5CCE">
      <w:pPr>
        <w:adjustRightInd w:val="0"/>
        <w:spacing w:line="360" w:lineRule="auto"/>
        <w:ind w:firstLine="420" w:firstLineChars="175"/>
        <w:rPr>
          <w:rFonts w:ascii="宋体" w:hAnsi="宋体" w:cs="宋体"/>
          <w:color w:val="000000"/>
          <w:sz w:val="24"/>
          <w:lang w:val="zh-CN"/>
        </w:rPr>
      </w:pPr>
      <w:r>
        <w:rPr>
          <w:rFonts w:hint="eastAsia" w:ascii="宋体" w:hAnsi="宋体" w:cs="宋体"/>
          <w:color w:val="000000"/>
          <w:sz w:val="24"/>
          <w:lang w:val="zh-CN"/>
        </w:rPr>
        <w:t>本公司（联合体）郑重声明，根据《政府采购促进中小企业发展管理办法》（财库[20</w:t>
      </w:r>
      <w:r>
        <w:rPr>
          <w:rFonts w:hint="eastAsia" w:ascii="宋体" w:hAnsi="宋体" w:cs="宋体"/>
          <w:color w:val="000000"/>
          <w:sz w:val="24"/>
        </w:rPr>
        <w:t>20</w:t>
      </w:r>
      <w:r>
        <w:rPr>
          <w:rFonts w:hint="eastAsia" w:ascii="宋体" w:hAnsi="宋体" w:cs="宋体"/>
          <w:color w:val="000000"/>
          <w:sz w:val="24"/>
          <w:lang w:val="zh-CN"/>
        </w:rPr>
        <w:t>]</w:t>
      </w:r>
      <w:r>
        <w:rPr>
          <w:rFonts w:hint="eastAsia" w:ascii="宋体" w:hAnsi="宋体" w:cs="宋体"/>
          <w:color w:val="000000"/>
          <w:sz w:val="24"/>
        </w:rPr>
        <w:t>46</w:t>
      </w:r>
      <w:r>
        <w:rPr>
          <w:rFonts w:hint="eastAsia" w:ascii="宋体" w:hAnsi="宋体" w:cs="宋体"/>
          <w:color w:val="000000"/>
          <w:sz w:val="24"/>
          <w:lang w:val="zh-CN"/>
        </w:rPr>
        <w:t>号）的规定，本公司（联合体）参加</w:t>
      </w:r>
      <w:r>
        <w:rPr>
          <w:rFonts w:hint="eastAsia" w:ascii="宋体" w:hAnsi="宋体" w:cs="宋体"/>
          <w:color w:val="000000"/>
          <w:sz w:val="24"/>
          <w:u w:val="single"/>
          <w:lang w:val="zh-CN"/>
        </w:rPr>
        <w:t>（单位名称）</w:t>
      </w:r>
      <w:r>
        <w:rPr>
          <w:rFonts w:hint="eastAsia" w:ascii="宋体" w:hAnsi="宋体" w:cs="宋体"/>
          <w:color w:val="000000"/>
          <w:sz w:val="24"/>
          <w:lang w:val="zh-CN"/>
        </w:rPr>
        <w:t>的</w:t>
      </w:r>
      <w:r>
        <w:rPr>
          <w:rFonts w:hint="eastAsia" w:ascii="宋体" w:hAnsi="宋体" w:cs="宋体"/>
          <w:color w:val="000000"/>
          <w:sz w:val="24"/>
          <w:u w:val="single"/>
          <w:lang w:val="zh-CN"/>
        </w:rPr>
        <w:t>（项目名称）</w:t>
      </w:r>
      <w:r>
        <w:rPr>
          <w:rFonts w:hint="eastAsia" w:ascii="宋体" w:hAnsi="宋体" w:cs="宋体"/>
          <w:color w:val="000000"/>
          <w:sz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2AF223AA">
      <w:pPr>
        <w:numPr>
          <w:ilvl w:val="0"/>
          <w:numId w:val="6"/>
        </w:numPr>
        <w:spacing w:line="360" w:lineRule="auto"/>
        <w:ind w:firstLine="460" w:firstLineChars="192"/>
        <w:rPr>
          <w:rFonts w:ascii="宋体" w:hAnsi="宋体" w:cs="宋体"/>
          <w:color w:val="000000"/>
          <w:sz w:val="24"/>
        </w:rPr>
      </w:pPr>
      <w:r>
        <w:rPr>
          <w:rFonts w:hint="eastAsia" w:ascii="宋体" w:hAnsi="宋体" w:cs="宋体"/>
          <w:color w:val="000000"/>
          <w:sz w:val="24"/>
          <w:u w:val="single"/>
          <w:lang w:val="zh-CN"/>
        </w:rPr>
        <w:t>（标的名称）</w:t>
      </w:r>
      <w:r>
        <w:rPr>
          <w:rFonts w:hint="eastAsia" w:ascii="宋体" w:hAnsi="宋体" w:cs="宋体"/>
          <w:color w:val="000000"/>
          <w:sz w:val="24"/>
          <w:lang w:val="zh-CN"/>
        </w:rPr>
        <w:t>，属于</w:t>
      </w:r>
      <w:r>
        <w:rPr>
          <w:rFonts w:hint="eastAsia" w:ascii="宋体" w:hAnsi="宋体" w:cs="宋体"/>
          <w:color w:val="000000"/>
          <w:sz w:val="24"/>
          <w:u w:val="single"/>
          <w:lang w:val="zh-CN"/>
        </w:rPr>
        <w:t>（采购文件中明确的所属行业）</w:t>
      </w:r>
      <w:r>
        <w:rPr>
          <w:rFonts w:hint="eastAsia" w:ascii="宋体" w:hAnsi="宋体" w:cs="宋体"/>
          <w:color w:val="000000"/>
          <w:sz w:val="24"/>
          <w:lang w:val="zh-CN"/>
        </w:rPr>
        <w:t>行业；承建（承接）企业为</w:t>
      </w:r>
      <w:r>
        <w:rPr>
          <w:rFonts w:hint="eastAsia" w:ascii="宋体" w:hAnsi="宋体" w:cs="宋体"/>
          <w:color w:val="000000"/>
          <w:sz w:val="24"/>
          <w:u w:val="single"/>
          <w:lang w:val="zh-CN"/>
        </w:rPr>
        <w:t>（企业名称）</w:t>
      </w:r>
      <w:r>
        <w:rPr>
          <w:rFonts w:hint="eastAsia" w:ascii="宋体" w:hAnsi="宋体" w:cs="宋体"/>
          <w:color w:val="000000"/>
          <w:sz w:val="24"/>
          <w:lang w:val="zh-CN"/>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14CD983A">
      <w:pPr>
        <w:numPr>
          <w:ilvl w:val="0"/>
          <w:numId w:val="6"/>
        </w:numPr>
        <w:spacing w:line="360" w:lineRule="auto"/>
        <w:ind w:firstLine="460" w:firstLineChars="192"/>
        <w:rPr>
          <w:rFonts w:ascii="宋体" w:hAnsi="宋体" w:cs="宋体"/>
          <w:color w:val="000000"/>
          <w:sz w:val="24"/>
        </w:rPr>
      </w:pP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行业；</w:t>
      </w:r>
      <w:r>
        <w:rPr>
          <w:rFonts w:hint="eastAsia" w:ascii="宋体" w:hAnsi="宋体" w:cs="宋体"/>
          <w:color w:val="000000"/>
          <w:sz w:val="24"/>
          <w:lang w:val="zh-CN"/>
        </w:rPr>
        <w:t>承建（承接）企业</w:t>
      </w:r>
      <w:r>
        <w:rPr>
          <w:rFonts w:hint="eastAsia" w:ascii="宋体" w:hAnsi="宋体" w:cs="宋体"/>
          <w:color w:val="000000"/>
          <w:sz w:val="24"/>
        </w:rPr>
        <w:t>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2511EDCA">
      <w:pPr>
        <w:adjustRightInd w:val="0"/>
        <w:spacing w:line="360" w:lineRule="auto"/>
        <w:ind w:firstLine="420" w:firstLineChars="175"/>
        <w:rPr>
          <w:rFonts w:ascii="宋体" w:hAnsi="宋体" w:cs="宋体"/>
          <w:color w:val="000000"/>
          <w:sz w:val="24"/>
        </w:rPr>
      </w:pPr>
      <w:r>
        <w:rPr>
          <w:rFonts w:hint="eastAsia" w:ascii="宋体" w:hAnsi="宋体" w:cs="宋体"/>
          <w:color w:val="000000"/>
          <w:sz w:val="24"/>
        </w:rPr>
        <w:t>.......</w:t>
      </w:r>
    </w:p>
    <w:p w14:paraId="77415C16">
      <w:pPr>
        <w:adjustRightInd w:val="0"/>
        <w:spacing w:line="360" w:lineRule="auto"/>
        <w:ind w:firstLine="420" w:firstLineChars="175"/>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14:paraId="153BE953">
      <w:pPr>
        <w:adjustRightInd w:val="0"/>
        <w:spacing w:line="360" w:lineRule="auto"/>
        <w:ind w:firstLine="420" w:firstLineChars="175"/>
        <w:rPr>
          <w:rFonts w:ascii="宋体" w:hAnsi="宋体" w:cs="宋体"/>
          <w:color w:val="000000"/>
          <w:sz w:val="24"/>
        </w:rPr>
      </w:pPr>
      <w:r>
        <w:rPr>
          <w:rFonts w:hint="eastAsia" w:ascii="宋体" w:hAnsi="宋体" w:cs="宋体"/>
          <w:color w:val="000000"/>
          <w:sz w:val="24"/>
        </w:rPr>
        <w:t>本企业对上述声明内容的真实性负责。如有虚假，将依法承担相应责任。</w:t>
      </w:r>
    </w:p>
    <w:p w14:paraId="45E45EA4">
      <w:pPr>
        <w:adjustRightInd w:val="0"/>
        <w:spacing w:line="360" w:lineRule="auto"/>
        <w:ind w:firstLine="420" w:firstLineChars="175"/>
        <w:rPr>
          <w:rFonts w:ascii="宋体" w:hAnsi="宋体" w:cs="宋体"/>
          <w:color w:val="000000"/>
          <w:sz w:val="24"/>
          <w:lang w:val="zh-CN"/>
        </w:rPr>
      </w:pPr>
      <w:r>
        <w:rPr>
          <w:rFonts w:hint="eastAsia" w:ascii="宋体" w:hAnsi="宋体" w:cs="宋体"/>
          <w:color w:val="000000"/>
          <w:sz w:val="24"/>
          <w:lang w:val="zh-CN"/>
        </w:rPr>
        <w:t>注：从业人员、营业收入、资产总额填报上一年度数据，无上一年度数据的新成立企业可不填报。</w:t>
      </w:r>
    </w:p>
    <w:p w14:paraId="5A2CB3BB">
      <w:pPr>
        <w:spacing w:line="360" w:lineRule="auto"/>
        <w:ind w:firstLine="720" w:firstLineChars="300"/>
        <w:rPr>
          <w:rFonts w:ascii="宋体" w:hAnsi="宋体" w:cs="宋体"/>
          <w:color w:val="000000"/>
          <w:sz w:val="24"/>
          <w:lang w:val="zh-CN"/>
        </w:rPr>
      </w:pPr>
      <w:r>
        <w:rPr>
          <w:rFonts w:hint="eastAsia" w:ascii="宋体" w:hAnsi="宋体" w:cs="宋体"/>
          <w:color w:val="000000"/>
          <w:sz w:val="24"/>
          <w:lang w:val="zh-CN"/>
        </w:rPr>
        <w:t xml:space="preserve">                      </w:t>
      </w:r>
      <w:r>
        <w:rPr>
          <w:rFonts w:hint="eastAsia" w:ascii="宋体" w:hAnsi="宋体" w:cs="宋体"/>
          <w:color w:val="000000"/>
          <w:sz w:val="24"/>
        </w:rPr>
        <w:t xml:space="preserve"> </w:t>
      </w:r>
      <w:r>
        <w:rPr>
          <w:rFonts w:hint="eastAsia" w:ascii="宋体" w:hAnsi="宋体" w:cs="宋体"/>
          <w:color w:val="000000"/>
          <w:sz w:val="24"/>
          <w:lang w:val="zh-CN"/>
        </w:rPr>
        <w:t>企业名称（盖章）：</w:t>
      </w:r>
      <w:r>
        <w:rPr>
          <w:rFonts w:hint="eastAsia" w:ascii="宋体" w:hAnsi="宋体" w:cs="宋体"/>
          <w:color w:val="000000"/>
          <w:sz w:val="24"/>
          <w:u w:val="single"/>
          <w:lang w:val="zh-CN"/>
        </w:rPr>
        <w:t xml:space="preserve">            </w:t>
      </w:r>
      <w:r>
        <w:rPr>
          <w:rFonts w:hint="eastAsia" w:ascii="宋体" w:hAnsi="宋体" w:cs="宋体"/>
          <w:color w:val="000000"/>
          <w:sz w:val="24"/>
          <w:lang w:val="zh-CN"/>
        </w:rPr>
        <w:t xml:space="preserve">           </w:t>
      </w:r>
    </w:p>
    <w:p w14:paraId="60120759">
      <w:pPr>
        <w:spacing w:line="360" w:lineRule="auto"/>
        <w:ind w:firstLine="2880" w:firstLineChars="1200"/>
        <w:rPr>
          <w:rFonts w:ascii="宋体" w:hAnsi="宋体" w:cs="宋体"/>
          <w:color w:val="000000"/>
          <w:sz w:val="24"/>
        </w:rPr>
      </w:pPr>
      <w:r>
        <w:rPr>
          <w:rFonts w:hint="eastAsia" w:ascii="宋体" w:hAnsi="宋体" w:cs="宋体"/>
          <w:color w:val="000000"/>
          <w:sz w:val="24"/>
          <w:lang w:val="zh-CN"/>
        </w:rPr>
        <w:t xml:space="preserve">     </w:t>
      </w: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CBF1479">
      <w:pPr>
        <w:spacing w:line="360" w:lineRule="auto"/>
        <w:ind w:firstLine="2880" w:firstLineChars="1200"/>
        <w:rPr>
          <w:rFonts w:ascii="宋体" w:hAnsi="宋体" w:cs="宋体"/>
          <w:color w:val="000000"/>
          <w:sz w:val="24"/>
        </w:rPr>
      </w:pPr>
    </w:p>
    <w:p w14:paraId="4791F6C0">
      <w:pPr>
        <w:spacing w:line="360" w:lineRule="auto"/>
        <w:ind w:firstLine="2880" w:firstLineChars="1200"/>
        <w:rPr>
          <w:rFonts w:ascii="宋体" w:hAnsi="宋体" w:cs="宋体"/>
          <w:color w:val="000000"/>
          <w:sz w:val="24"/>
        </w:rPr>
      </w:pPr>
    </w:p>
    <w:p w14:paraId="2CA38C2B">
      <w:pPr>
        <w:spacing w:line="360" w:lineRule="auto"/>
        <w:ind w:firstLine="2880" w:firstLineChars="1200"/>
        <w:rPr>
          <w:rFonts w:ascii="宋体" w:hAnsi="宋体" w:cs="宋体"/>
          <w:color w:val="000000"/>
          <w:sz w:val="24"/>
        </w:rPr>
      </w:pPr>
    </w:p>
    <w:p w14:paraId="51915D1B">
      <w:pPr>
        <w:spacing w:line="360" w:lineRule="auto"/>
        <w:ind w:firstLine="2880" w:firstLineChars="1200"/>
        <w:rPr>
          <w:rFonts w:ascii="宋体" w:hAnsi="宋体" w:cs="宋体"/>
          <w:color w:val="000000"/>
          <w:sz w:val="24"/>
        </w:rPr>
      </w:pPr>
    </w:p>
    <w:p w14:paraId="334D152C">
      <w:pPr>
        <w:spacing w:line="360" w:lineRule="auto"/>
        <w:rPr>
          <w:rFonts w:ascii="宋体" w:hAnsi="宋体" w:cs="宋体"/>
          <w:color w:val="000000"/>
          <w:sz w:val="24"/>
        </w:rPr>
      </w:pPr>
    </w:p>
    <w:p w14:paraId="747CB007">
      <w:pPr>
        <w:keepNext/>
        <w:keepLines/>
        <w:spacing w:before="120" w:after="120"/>
        <w:outlineLvl w:val="2"/>
        <w:rPr>
          <w:rFonts w:ascii="宋体" w:hAnsi="宋体" w:cs="宋体"/>
          <w:b/>
          <w:bCs/>
          <w:color w:val="000000"/>
          <w:kern w:val="0"/>
          <w:sz w:val="28"/>
          <w:szCs w:val="28"/>
        </w:rPr>
      </w:pPr>
      <w:bookmarkStart w:id="137" w:name="_Toc6347"/>
      <w:r>
        <w:rPr>
          <w:rFonts w:hint="eastAsia" w:ascii="宋体" w:hAnsi="宋体" w:cs="宋体"/>
          <w:b/>
          <w:bCs/>
          <w:color w:val="000000"/>
          <w:kern w:val="0"/>
          <w:sz w:val="28"/>
          <w:szCs w:val="28"/>
          <w:lang w:val="zh-CN"/>
        </w:rPr>
        <w:t>附件</w:t>
      </w:r>
      <w:r>
        <w:rPr>
          <w:rFonts w:hint="eastAsia" w:ascii="宋体" w:hAnsi="宋体" w:cs="宋体"/>
          <w:b/>
          <w:bCs/>
          <w:color w:val="000000"/>
          <w:kern w:val="0"/>
          <w:sz w:val="28"/>
          <w:szCs w:val="28"/>
        </w:rPr>
        <w:t>2：</w:t>
      </w:r>
      <w:bookmarkEnd w:id="137"/>
    </w:p>
    <w:p w14:paraId="22EB65A9">
      <w:pPr>
        <w:keepNext/>
        <w:keepLines/>
        <w:spacing w:before="120" w:after="120"/>
        <w:jc w:val="center"/>
        <w:outlineLvl w:val="2"/>
        <w:rPr>
          <w:rFonts w:ascii="宋体" w:hAnsi="宋体" w:cs="宋体"/>
          <w:b/>
          <w:bCs/>
          <w:color w:val="000000"/>
          <w:kern w:val="0"/>
          <w:sz w:val="28"/>
          <w:szCs w:val="28"/>
        </w:rPr>
      </w:pPr>
      <w:bookmarkStart w:id="138" w:name="_Toc1996"/>
      <w:r>
        <w:rPr>
          <w:rFonts w:hint="eastAsia" w:ascii="宋体" w:hAnsi="宋体" w:cs="宋体"/>
          <w:b/>
          <w:bCs/>
          <w:color w:val="000000"/>
          <w:kern w:val="0"/>
          <w:sz w:val="28"/>
          <w:szCs w:val="28"/>
        </w:rPr>
        <w:t>监狱企业证明（如有）</w:t>
      </w:r>
      <w:bookmarkEnd w:id="138"/>
    </w:p>
    <w:p w14:paraId="6F105CD8">
      <w:pPr>
        <w:spacing w:line="360" w:lineRule="auto"/>
        <w:ind w:firstLine="480" w:firstLineChars="200"/>
        <w:rPr>
          <w:rFonts w:ascii="宋体" w:hAnsi="宋体" w:cs="宋体"/>
          <w:color w:val="000000"/>
          <w:sz w:val="24"/>
          <w:szCs w:val="22"/>
        </w:rPr>
      </w:pPr>
      <w:r>
        <w:rPr>
          <w:rFonts w:hint="eastAsia" w:ascii="宋体" w:hAnsi="宋体" w:cs="宋体"/>
          <w:color w:val="000000"/>
          <w:sz w:val="24"/>
        </w:rPr>
        <w:t>省级以上监狱管理局、戒毒管理局（含新疆生产建设兵团）出具的属于监狱企业的证明文件扫描件加盖单位电子印章。</w:t>
      </w:r>
    </w:p>
    <w:p w14:paraId="75C93BE5">
      <w:pPr>
        <w:jc w:val="center"/>
        <w:rPr>
          <w:rFonts w:ascii="宋体" w:hAnsi="宋体" w:cs="宋体"/>
          <w:b/>
          <w:bCs/>
          <w:color w:val="000000"/>
          <w:sz w:val="28"/>
          <w:szCs w:val="28"/>
          <w:lang w:val="zh-CN"/>
        </w:rPr>
      </w:pPr>
      <w:bookmarkStart w:id="139" w:name="_Toc4051"/>
      <w:bookmarkStart w:id="140" w:name="_Toc9997"/>
    </w:p>
    <w:p w14:paraId="5719F62F">
      <w:pPr>
        <w:spacing w:line="360" w:lineRule="auto"/>
        <w:outlineLvl w:val="2"/>
        <w:rPr>
          <w:rFonts w:ascii="宋体" w:hAnsi="宋体" w:cs="宋体"/>
          <w:b/>
          <w:color w:val="000000"/>
          <w:sz w:val="22"/>
          <w:szCs w:val="21"/>
        </w:rPr>
      </w:pPr>
      <w:bookmarkStart w:id="141" w:name="_Toc18618"/>
      <w:r>
        <w:rPr>
          <w:rFonts w:hint="eastAsia" w:ascii="宋体" w:hAnsi="宋体" w:cs="宋体"/>
          <w:b/>
          <w:color w:val="000000"/>
          <w:sz w:val="22"/>
          <w:szCs w:val="21"/>
        </w:rPr>
        <w:t>注：（若无，此附件可删除）</w:t>
      </w:r>
      <w:bookmarkEnd w:id="141"/>
    </w:p>
    <w:p w14:paraId="32B7477A">
      <w:pPr>
        <w:rPr>
          <w:rFonts w:ascii="宋体" w:hAnsi="宋体" w:cs="宋体"/>
          <w:b/>
          <w:bCs/>
          <w:color w:val="000000"/>
          <w:sz w:val="28"/>
          <w:szCs w:val="28"/>
          <w:lang w:val="zh-CN"/>
        </w:rPr>
      </w:pPr>
    </w:p>
    <w:p w14:paraId="792C7B83">
      <w:pPr>
        <w:rPr>
          <w:rFonts w:ascii="宋体" w:hAnsi="宋体" w:cs="宋体"/>
          <w:b/>
          <w:bCs/>
          <w:color w:val="000000"/>
          <w:sz w:val="28"/>
          <w:szCs w:val="28"/>
          <w:lang w:val="zh-CN"/>
        </w:rPr>
      </w:pPr>
    </w:p>
    <w:p w14:paraId="1327ACD9">
      <w:pPr>
        <w:rPr>
          <w:rFonts w:ascii="宋体" w:hAnsi="宋体" w:cs="宋体"/>
          <w:b/>
          <w:bCs/>
          <w:color w:val="000000"/>
          <w:sz w:val="28"/>
          <w:szCs w:val="28"/>
          <w:lang w:val="zh-CN"/>
        </w:rPr>
      </w:pPr>
    </w:p>
    <w:p w14:paraId="162384FF">
      <w:pPr>
        <w:rPr>
          <w:rFonts w:ascii="宋体" w:hAnsi="宋体" w:cs="宋体"/>
          <w:b/>
          <w:bCs/>
          <w:color w:val="000000"/>
          <w:sz w:val="28"/>
          <w:szCs w:val="28"/>
          <w:lang w:val="zh-CN"/>
        </w:rPr>
      </w:pPr>
    </w:p>
    <w:p w14:paraId="2FC16CD9">
      <w:pPr>
        <w:rPr>
          <w:rFonts w:ascii="宋体" w:hAnsi="宋体" w:cs="宋体"/>
          <w:b/>
          <w:bCs/>
          <w:color w:val="000000"/>
          <w:sz w:val="28"/>
          <w:szCs w:val="28"/>
          <w:lang w:val="zh-CN"/>
        </w:rPr>
      </w:pPr>
    </w:p>
    <w:p w14:paraId="787BE91D">
      <w:pPr>
        <w:rPr>
          <w:rFonts w:ascii="宋体" w:hAnsi="宋体" w:cs="宋体"/>
          <w:b/>
          <w:bCs/>
          <w:color w:val="000000"/>
          <w:sz w:val="28"/>
          <w:szCs w:val="28"/>
          <w:lang w:val="zh-CN"/>
        </w:rPr>
      </w:pPr>
    </w:p>
    <w:p w14:paraId="42676581">
      <w:pPr>
        <w:rPr>
          <w:rFonts w:ascii="宋体" w:hAnsi="宋体" w:cs="宋体"/>
          <w:b/>
          <w:bCs/>
          <w:color w:val="000000"/>
          <w:sz w:val="28"/>
          <w:szCs w:val="28"/>
          <w:lang w:val="zh-CN"/>
        </w:rPr>
      </w:pPr>
    </w:p>
    <w:p w14:paraId="06E4DDA7">
      <w:pPr>
        <w:jc w:val="center"/>
        <w:rPr>
          <w:rFonts w:ascii="宋体" w:hAnsi="宋体" w:cs="宋体"/>
          <w:b/>
          <w:bCs/>
          <w:color w:val="000000"/>
          <w:sz w:val="28"/>
          <w:szCs w:val="28"/>
          <w:lang w:val="zh-CN"/>
        </w:rPr>
      </w:pPr>
    </w:p>
    <w:p w14:paraId="4D611D26">
      <w:pPr>
        <w:rPr>
          <w:rFonts w:ascii="宋体" w:hAnsi="宋体" w:cs="宋体"/>
          <w:b/>
          <w:bCs/>
          <w:color w:val="000000"/>
          <w:sz w:val="28"/>
          <w:szCs w:val="28"/>
        </w:rPr>
      </w:pPr>
      <w:r>
        <w:rPr>
          <w:rFonts w:hint="eastAsia" w:ascii="宋体" w:hAnsi="宋体" w:cs="宋体"/>
          <w:b/>
          <w:bCs/>
          <w:color w:val="000000"/>
          <w:sz w:val="28"/>
          <w:szCs w:val="28"/>
          <w:lang w:val="zh-CN"/>
        </w:rPr>
        <w:t>附件</w:t>
      </w:r>
      <w:r>
        <w:rPr>
          <w:rFonts w:hint="eastAsia" w:ascii="宋体" w:hAnsi="宋体" w:cs="宋体"/>
          <w:b/>
          <w:bCs/>
          <w:color w:val="000000"/>
          <w:sz w:val="28"/>
          <w:szCs w:val="28"/>
        </w:rPr>
        <w:t>3：</w:t>
      </w:r>
    </w:p>
    <w:p w14:paraId="735457B8">
      <w:pPr>
        <w:jc w:val="center"/>
        <w:rPr>
          <w:rFonts w:ascii="宋体" w:hAnsi="宋体" w:cs="宋体"/>
          <w:b/>
          <w:bCs/>
          <w:color w:val="000000"/>
          <w:sz w:val="28"/>
          <w:szCs w:val="28"/>
        </w:rPr>
      </w:pPr>
      <w:r>
        <w:rPr>
          <w:rFonts w:hint="eastAsia" w:ascii="宋体" w:hAnsi="宋体" w:cs="宋体"/>
          <w:b/>
          <w:bCs/>
          <w:color w:val="000000"/>
          <w:sz w:val="28"/>
          <w:szCs w:val="28"/>
        </w:rPr>
        <w:t>残疾人福利性单位声明函</w:t>
      </w:r>
      <w:bookmarkEnd w:id="139"/>
      <w:bookmarkEnd w:id="140"/>
      <w:r>
        <w:rPr>
          <w:rFonts w:hint="eastAsia" w:ascii="宋体" w:hAnsi="宋体" w:cs="宋体"/>
          <w:b/>
          <w:bCs/>
          <w:color w:val="000000"/>
          <w:sz w:val="28"/>
          <w:szCs w:val="28"/>
        </w:rPr>
        <w:t>（如有）</w:t>
      </w:r>
    </w:p>
    <w:p w14:paraId="5CC2204B">
      <w:pPr>
        <w:spacing w:line="360" w:lineRule="auto"/>
        <w:rPr>
          <w:rFonts w:ascii="宋体" w:hAnsi="宋体" w:cs="宋体"/>
          <w:color w:val="000000"/>
          <w:sz w:val="22"/>
          <w:szCs w:val="21"/>
        </w:rPr>
      </w:pPr>
    </w:p>
    <w:p w14:paraId="32DCB93E">
      <w:pPr>
        <w:spacing w:line="360" w:lineRule="auto"/>
        <w:ind w:firstLine="480" w:firstLineChars="200"/>
        <w:rPr>
          <w:rFonts w:ascii="宋体" w:hAnsi="宋体" w:cs="宋体"/>
          <w:color w:val="000000"/>
          <w:sz w:val="24"/>
          <w:szCs w:val="22"/>
        </w:rPr>
      </w:pPr>
      <w:r>
        <w:rPr>
          <w:rFonts w:hint="eastAsia" w:ascii="宋体" w:hAnsi="宋体" w:cs="宋体"/>
          <w:color w:val="00000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4B043C">
      <w:pPr>
        <w:spacing w:line="360" w:lineRule="auto"/>
        <w:rPr>
          <w:rFonts w:ascii="宋体" w:hAnsi="宋体" w:cs="宋体"/>
          <w:color w:val="000000"/>
          <w:sz w:val="24"/>
        </w:rPr>
      </w:pPr>
    </w:p>
    <w:p w14:paraId="5EAB8503">
      <w:pPr>
        <w:spacing w:line="360" w:lineRule="auto"/>
        <w:ind w:firstLine="480" w:firstLineChars="200"/>
        <w:rPr>
          <w:rFonts w:ascii="宋体" w:hAnsi="宋体" w:cs="宋体"/>
          <w:color w:val="000000"/>
          <w:sz w:val="24"/>
        </w:rPr>
      </w:pPr>
      <w:r>
        <w:rPr>
          <w:rFonts w:hint="eastAsia" w:ascii="宋体" w:hAnsi="宋体" w:cs="宋体"/>
          <w:color w:val="000000"/>
          <w:sz w:val="24"/>
        </w:rPr>
        <w:t>本单位对上述声明的真实性负责。如有虚假，将依法承担相应责任。</w:t>
      </w:r>
    </w:p>
    <w:p w14:paraId="7A729BB3">
      <w:pPr>
        <w:spacing w:line="360" w:lineRule="auto"/>
        <w:rPr>
          <w:rFonts w:ascii="宋体" w:hAnsi="宋体" w:cs="宋体"/>
          <w:color w:val="000000"/>
          <w:sz w:val="24"/>
        </w:rPr>
      </w:pPr>
    </w:p>
    <w:p w14:paraId="40F7AD49">
      <w:pPr>
        <w:spacing w:line="360" w:lineRule="auto"/>
        <w:ind w:firstLine="480" w:firstLineChars="200"/>
        <w:rPr>
          <w:rFonts w:ascii="宋体" w:hAnsi="宋体" w:cs="宋体"/>
          <w:color w:val="000000"/>
          <w:sz w:val="24"/>
        </w:rPr>
      </w:pPr>
      <w:r>
        <w:rPr>
          <w:rFonts w:hint="eastAsia" w:ascii="宋体" w:hAnsi="宋体" w:cs="宋体"/>
          <w:color w:val="000000"/>
          <w:sz w:val="24"/>
        </w:rPr>
        <w:t>单位名称</w:t>
      </w:r>
      <w:r>
        <w:rPr>
          <w:rFonts w:hint="eastAsia" w:ascii="宋体" w:hAnsi="宋体" w:cs="宋体"/>
          <w:color w:val="000000"/>
          <w:sz w:val="24"/>
          <w:u w:val="single"/>
        </w:rPr>
        <w:t xml:space="preserve">                       </w:t>
      </w:r>
      <w:r>
        <w:rPr>
          <w:rFonts w:hint="eastAsia" w:ascii="宋体" w:hAnsi="宋体" w:cs="宋体"/>
          <w:color w:val="000000"/>
          <w:sz w:val="24"/>
        </w:rPr>
        <w:t>（电子签章）：</w:t>
      </w:r>
    </w:p>
    <w:p w14:paraId="39B951DD">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524BE976">
      <w:pPr>
        <w:adjustRightInd w:val="0"/>
        <w:spacing w:line="276" w:lineRule="auto"/>
        <w:ind w:right="26" w:firstLine="420"/>
        <w:rPr>
          <w:rFonts w:ascii="宋体" w:hAnsi="宋体" w:cs="宋体"/>
          <w:color w:val="000000"/>
          <w:sz w:val="28"/>
          <w:szCs w:val="28"/>
          <w:lang w:val="zh-CN"/>
        </w:rPr>
      </w:pPr>
    </w:p>
    <w:p w14:paraId="2FAF1628">
      <w:pPr>
        <w:spacing w:line="360" w:lineRule="auto"/>
        <w:outlineLvl w:val="2"/>
        <w:rPr>
          <w:rFonts w:ascii="宋体" w:hAnsi="宋体" w:cs="宋体"/>
          <w:b/>
          <w:color w:val="000000"/>
          <w:sz w:val="22"/>
          <w:szCs w:val="21"/>
        </w:rPr>
      </w:pPr>
      <w:bookmarkStart w:id="142" w:name="_Toc26579"/>
      <w:r>
        <w:rPr>
          <w:rFonts w:hint="eastAsia" w:ascii="宋体" w:hAnsi="宋体" w:cs="宋体"/>
          <w:b/>
          <w:color w:val="000000"/>
          <w:sz w:val="22"/>
          <w:szCs w:val="21"/>
        </w:rPr>
        <w:t>注：（若无，此附件可删除）</w:t>
      </w:r>
      <w:bookmarkEnd w:id="142"/>
    </w:p>
    <w:p w14:paraId="0BB2B315">
      <w:pPr>
        <w:keepNext/>
        <w:keepLines/>
        <w:spacing w:line="360" w:lineRule="auto"/>
        <w:outlineLvl w:val="1"/>
        <w:rPr>
          <w:rFonts w:ascii="宋体" w:hAnsi="宋体" w:cs="宋体"/>
          <w:b/>
          <w:bCs/>
          <w:color w:val="000000"/>
          <w:spacing w:val="10"/>
          <w:sz w:val="28"/>
          <w:szCs w:val="28"/>
        </w:rPr>
      </w:pPr>
      <w:bookmarkStart w:id="143" w:name="_Toc464"/>
      <w:r>
        <w:rPr>
          <w:rFonts w:hint="eastAsia" w:ascii="宋体" w:hAnsi="宋体" w:cs="宋体"/>
          <w:b/>
          <w:bCs/>
          <w:color w:val="000000"/>
          <w:spacing w:val="10"/>
          <w:sz w:val="28"/>
          <w:szCs w:val="28"/>
        </w:rPr>
        <w:t>附件4：</w:t>
      </w:r>
      <w:bookmarkEnd w:id="143"/>
    </w:p>
    <w:p w14:paraId="20C3F4BB">
      <w:pPr>
        <w:keepNext/>
        <w:keepLines/>
        <w:spacing w:line="360" w:lineRule="auto"/>
        <w:jc w:val="center"/>
        <w:outlineLvl w:val="1"/>
        <w:rPr>
          <w:rFonts w:ascii="宋体" w:hAnsi="宋体" w:cs="宋体"/>
          <w:b/>
          <w:bCs/>
          <w:color w:val="000000"/>
          <w:spacing w:val="10"/>
          <w:sz w:val="28"/>
          <w:szCs w:val="28"/>
        </w:rPr>
      </w:pPr>
      <w:bookmarkStart w:id="144" w:name="_Toc13211"/>
      <w:bookmarkStart w:id="145" w:name="_Toc14128"/>
      <w:r>
        <w:rPr>
          <w:rFonts w:hint="eastAsia" w:ascii="宋体" w:hAnsi="宋体" w:cs="宋体"/>
          <w:b/>
          <w:bCs/>
          <w:color w:val="000000"/>
          <w:spacing w:val="10"/>
          <w:sz w:val="28"/>
          <w:szCs w:val="28"/>
        </w:rPr>
        <w:t>投标人基本信息采集表</w:t>
      </w:r>
      <w:bookmarkEnd w:id="144"/>
      <w:bookmarkEnd w:id="145"/>
    </w:p>
    <w:p w14:paraId="50A4DF15">
      <w:pPr>
        <w:widowControl/>
        <w:spacing w:line="360" w:lineRule="auto"/>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14:paraId="73E970F6">
      <w:pPr>
        <w:widowControl/>
        <w:spacing w:line="360" w:lineRule="auto"/>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供应商统一社会信用代码：</w:t>
      </w:r>
      <w:r>
        <w:rPr>
          <w:rFonts w:hint="eastAsia" w:ascii="宋体" w:hAnsi="宋体" w:cs="宋体"/>
          <w:color w:val="000000"/>
          <w:kern w:val="0"/>
          <w:sz w:val="24"/>
          <w:szCs w:val="24"/>
          <w:u w:val="single"/>
          <w:lang w:bidi="ar"/>
        </w:rPr>
        <w:t xml:space="preserve">                 </w:t>
      </w:r>
    </w:p>
    <w:p w14:paraId="6B5C444E">
      <w:pPr>
        <w:widowControl/>
        <w:spacing w:line="360" w:lineRule="auto"/>
        <w:jc w:val="left"/>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企业地址：</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14:paraId="4DE54E3E">
      <w:pPr>
        <w:pStyle w:val="44"/>
        <w:spacing w:line="360" w:lineRule="auto"/>
        <w:rPr>
          <w:rFonts w:ascii="宋体" w:hAnsi="宋体" w:cs="宋体"/>
          <w:color w:val="000000"/>
          <w:kern w:val="0"/>
          <w:u w:val="single"/>
          <w:lang w:bidi="ar"/>
        </w:rPr>
      </w:pPr>
      <w:r>
        <w:rPr>
          <w:rFonts w:hint="eastAsia" w:ascii="宋体" w:hAnsi="宋体" w:cs="宋体"/>
          <w:color w:val="000000"/>
          <w:kern w:val="0"/>
          <w:lang w:bidi="ar"/>
        </w:rPr>
        <w:t>投标报价：</w:t>
      </w:r>
      <w:r>
        <w:rPr>
          <w:rFonts w:hint="eastAsia" w:ascii="宋体" w:hAnsi="宋体" w:cs="宋体"/>
          <w:color w:val="000000"/>
          <w:kern w:val="0"/>
          <w:u w:val="single"/>
          <w:lang w:bidi="ar"/>
        </w:rPr>
        <w:t xml:space="preserve">                    </w:t>
      </w:r>
    </w:p>
    <w:p w14:paraId="4D9408D3">
      <w:pPr>
        <w:pStyle w:val="44"/>
        <w:spacing w:line="360" w:lineRule="auto"/>
        <w:rPr>
          <w:rFonts w:ascii="宋体" w:hAnsi="宋体" w:cs="宋体"/>
          <w:color w:val="000000"/>
          <w:kern w:val="0"/>
          <w:lang w:bidi="ar"/>
        </w:rPr>
      </w:pPr>
      <w:r>
        <w:rPr>
          <w:rFonts w:hint="eastAsia" w:ascii="宋体" w:hAnsi="宋体" w:cs="宋体"/>
          <w:color w:val="000000"/>
          <w:kern w:val="0"/>
          <w:lang w:bidi="ar"/>
        </w:rPr>
        <w:t>服务期限：</w:t>
      </w:r>
      <w:r>
        <w:rPr>
          <w:rFonts w:hint="eastAsia" w:ascii="宋体" w:hAnsi="宋体" w:cs="宋体"/>
          <w:color w:val="000000"/>
          <w:kern w:val="0"/>
          <w:u w:val="single"/>
          <w:lang w:bidi="ar"/>
        </w:rPr>
        <w:t xml:space="preserve">                       </w:t>
      </w:r>
      <w:r>
        <w:rPr>
          <w:rFonts w:hint="eastAsia" w:ascii="宋体" w:hAnsi="宋体" w:cs="宋体"/>
          <w:color w:val="000000"/>
          <w:kern w:val="0"/>
          <w:lang w:bidi="ar"/>
        </w:rPr>
        <w:t xml:space="preserve"> </w:t>
      </w:r>
    </w:p>
    <w:p w14:paraId="5AB4E4F8">
      <w:pPr>
        <w:spacing w:line="360" w:lineRule="auto"/>
        <w:jc w:val="left"/>
        <w:rPr>
          <w:rFonts w:ascii="宋体" w:hAnsi="宋体" w:cs="宋体"/>
          <w:bCs/>
          <w:color w:val="000000"/>
          <w:sz w:val="24"/>
          <w:szCs w:val="24"/>
        </w:rPr>
      </w:pPr>
      <w:r>
        <w:rPr>
          <w:rFonts w:hint="eastAsia" w:ascii="宋体" w:hAnsi="宋体" w:cs="宋体"/>
          <w:bCs/>
          <w:color w:val="000000"/>
          <w:sz w:val="24"/>
          <w:szCs w:val="24"/>
        </w:rPr>
        <w:t>业绩1：</w:t>
      </w:r>
    </w:p>
    <w:p w14:paraId="78D7D34D">
      <w:pPr>
        <w:spacing w:line="360" w:lineRule="auto"/>
        <w:jc w:val="left"/>
        <w:rPr>
          <w:rFonts w:ascii="宋体" w:hAnsi="宋体" w:cs="宋体"/>
          <w:bCs/>
          <w:color w:val="000000"/>
          <w:sz w:val="24"/>
          <w:szCs w:val="24"/>
        </w:rPr>
      </w:pPr>
      <w:r>
        <w:rPr>
          <w:rFonts w:hint="eastAsia" w:ascii="宋体" w:hAnsi="宋体" w:cs="宋体"/>
          <w:bCs/>
          <w:color w:val="000000"/>
          <w:sz w:val="24"/>
          <w:szCs w:val="24"/>
        </w:rPr>
        <w:t>项目名称：</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w:t>
      </w:r>
    </w:p>
    <w:p w14:paraId="5A77A3F7">
      <w:pPr>
        <w:spacing w:line="360" w:lineRule="auto"/>
        <w:jc w:val="left"/>
        <w:rPr>
          <w:rFonts w:ascii="宋体" w:hAnsi="宋体" w:cs="宋体"/>
          <w:bCs/>
          <w:color w:val="000000"/>
          <w:sz w:val="24"/>
          <w:szCs w:val="24"/>
        </w:rPr>
      </w:pPr>
      <w:r>
        <w:rPr>
          <w:rFonts w:hint="eastAsia" w:ascii="宋体" w:hAnsi="宋体" w:cs="宋体"/>
          <w:bCs/>
          <w:color w:val="000000"/>
          <w:sz w:val="24"/>
          <w:szCs w:val="24"/>
        </w:rPr>
        <w:t>项目负责人名单：</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 ；</w:t>
      </w:r>
    </w:p>
    <w:p w14:paraId="133DF8F1">
      <w:pPr>
        <w:spacing w:line="360" w:lineRule="auto"/>
        <w:jc w:val="left"/>
        <w:rPr>
          <w:rFonts w:ascii="宋体" w:hAnsi="宋体" w:cs="宋体"/>
          <w:bCs/>
          <w:color w:val="000000"/>
          <w:sz w:val="24"/>
          <w:szCs w:val="24"/>
        </w:rPr>
      </w:pPr>
      <w:r>
        <w:rPr>
          <w:rFonts w:hint="eastAsia" w:ascii="宋体" w:hAnsi="宋体" w:cs="宋体"/>
          <w:bCs/>
          <w:color w:val="000000"/>
          <w:sz w:val="24"/>
          <w:szCs w:val="24"/>
        </w:rPr>
        <w:t>中标公示查询媒体：</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 ；</w:t>
      </w:r>
    </w:p>
    <w:p w14:paraId="40A4220A">
      <w:pPr>
        <w:spacing w:line="360" w:lineRule="auto"/>
        <w:jc w:val="left"/>
        <w:rPr>
          <w:rFonts w:ascii="宋体" w:hAnsi="宋体" w:cs="宋体"/>
          <w:bCs/>
          <w:color w:val="000000"/>
          <w:sz w:val="24"/>
          <w:szCs w:val="24"/>
        </w:rPr>
      </w:pPr>
      <w:r>
        <w:rPr>
          <w:rFonts w:hint="eastAsia" w:ascii="宋体" w:hAnsi="宋体" w:cs="宋体"/>
          <w:bCs/>
          <w:color w:val="000000"/>
          <w:sz w:val="24"/>
          <w:szCs w:val="24"/>
        </w:rPr>
        <w:t>合同金额（元）：</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 ；</w:t>
      </w:r>
    </w:p>
    <w:p w14:paraId="07E20EDB">
      <w:pPr>
        <w:spacing w:line="360" w:lineRule="auto"/>
        <w:jc w:val="left"/>
        <w:rPr>
          <w:rFonts w:ascii="宋体" w:hAnsi="宋体" w:cs="宋体"/>
          <w:bCs/>
          <w:color w:val="000000"/>
          <w:sz w:val="24"/>
          <w:szCs w:val="24"/>
        </w:rPr>
      </w:pPr>
      <w:r>
        <w:rPr>
          <w:rFonts w:hint="eastAsia" w:ascii="宋体" w:hAnsi="宋体" w:cs="宋体"/>
          <w:bCs/>
          <w:color w:val="000000"/>
          <w:sz w:val="24"/>
          <w:szCs w:val="24"/>
        </w:rPr>
        <w:t xml:space="preserve">合同签订日期： </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 ；</w:t>
      </w:r>
    </w:p>
    <w:p w14:paraId="3DE0BE04">
      <w:pPr>
        <w:spacing w:line="360" w:lineRule="auto"/>
        <w:jc w:val="left"/>
        <w:rPr>
          <w:rFonts w:ascii="宋体" w:hAnsi="宋体" w:cs="宋体"/>
          <w:bCs/>
          <w:color w:val="000000"/>
          <w:sz w:val="24"/>
          <w:szCs w:val="24"/>
        </w:rPr>
      </w:pPr>
      <w:r>
        <w:rPr>
          <w:rFonts w:hint="eastAsia" w:ascii="宋体" w:hAnsi="宋体" w:cs="宋体"/>
          <w:bCs/>
          <w:color w:val="000000"/>
          <w:sz w:val="24"/>
          <w:szCs w:val="24"/>
        </w:rPr>
        <w:t>验收日期：</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 ；</w:t>
      </w:r>
    </w:p>
    <w:p w14:paraId="43D3D235">
      <w:pPr>
        <w:spacing w:line="360" w:lineRule="auto"/>
        <w:jc w:val="left"/>
        <w:rPr>
          <w:rFonts w:ascii="宋体" w:hAnsi="宋体" w:cs="宋体"/>
          <w:bCs/>
          <w:color w:val="000000"/>
          <w:sz w:val="24"/>
          <w:szCs w:val="24"/>
        </w:rPr>
      </w:pPr>
      <w:r>
        <w:rPr>
          <w:rFonts w:hint="eastAsia" w:ascii="宋体" w:hAnsi="宋体" w:cs="宋体"/>
          <w:bCs/>
          <w:color w:val="000000"/>
          <w:sz w:val="24"/>
          <w:szCs w:val="24"/>
        </w:rPr>
        <w:t>业绩2：……</w:t>
      </w:r>
    </w:p>
    <w:p w14:paraId="4597B582">
      <w:pPr>
        <w:spacing w:line="312" w:lineRule="auto"/>
        <w:rPr>
          <w:rFonts w:ascii="宋体" w:hAnsi="宋体" w:cs="宋体"/>
          <w:color w:val="000000"/>
          <w:sz w:val="24"/>
          <w:szCs w:val="24"/>
        </w:rPr>
      </w:pPr>
      <w:r>
        <w:rPr>
          <w:rFonts w:hint="eastAsia" w:ascii="宋体" w:hAnsi="宋体" w:cs="宋体"/>
          <w:color w:val="000000"/>
          <w:sz w:val="24"/>
          <w:szCs w:val="24"/>
        </w:rPr>
        <w:t xml:space="preserve">本次投标联系人：        联系电话：        </w:t>
      </w:r>
      <w:r>
        <w:rPr>
          <w:rFonts w:hint="eastAsia" w:ascii="宋体" w:hAnsi="宋体" w:cs="宋体"/>
          <w:b/>
          <w:bCs/>
          <w:color w:val="000000"/>
          <w:sz w:val="24"/>
          <w:szCs w:val="24"/>
        </w:rPr>
        <w:t>邮箱（必填项）</w:t>
      </w:r>
      <w:r>
        <w:rPr>
          <w:rFonts w:hint="eastAsia" w:ascii="宋体" w:hAnsi="宋体" w:cs="宋体"/>
          <w:color w:val="000000"/>
          <w:sz w:val="24"/>
          <w:szCs w:val="24"/>
        </w:rPr>
        <w:t>：</w:t>
      </w:r>
    </w:p>
    <w:p w14:paraId="6BB26766">
      <w:pPr>
        <w:pStyle w:val="44"/>
        <w:rPr>
          <w:rFonts w:ascii="宋体" w:hAnsi="宋体" w:cs="宋体"/>
          <w:color w:val="000000"/>
          <w:kern w:val="0"/>
          <w:lang w:bidi="ar"/>
        </w:rPr>
      </w:pPr>
    </w:p>
    <w:p w14:paraId="7064D336">
      <w:pPr>
        <w:spacing w:line="360" w:lineRule="auto"/>
        <w:rPr>
          <w:rFonts w:ascii="宋体" w:hAnsi="宋体" w:cs="宋体"/>
          <w:sz w:val="24"/>
          <w:szCs w:val="24"/>
        </w:rPr>
      </w:pPr>
    </w:p>
    <w:p w14:paraId="65F53B7E">
      <w:pPr>
        <w:spacing w:line="312" w:lineRule="auto"/>
        <w:ind w:firstLine="482" w:firstLineChars="200"/>
        <w:rPr>
          <w:rFonts w:ascii="宋体" w:hAnsi="宋体" w:cs="宋体"/>
          <w:b/>
          <w:color w:val="000000"/>
          <w:sz w:val="24"/>
          <w:szCs w:val="24"/>
        </w:rPr>
      </w:pPr>
      <w:r>
        <w:rPr>
          <w:rFonts w:hint="eastAsia" w:ascii="宋体" w:hAnsi="宋体" w:cs="宋体"/>
          <w:b/>
          <w:color w:val="000000"/>
          <w:sz w:val="24"/>
          <w:szCs w:val="24"/>
        </w:rPr>
        <w:t>说明：投标人基本信息不作为评审依据，仅供评标汇总、结果公示时参考使用。请投标单位汇总后列出即可，无需重复提交相关人员及业绩的复印件。</w:t>
      </w:r>
    </w:p>
    <w:p w14:paraId="7BAD91A1">
      <w:pPr>
        <w:widowControl/>
        <w:spacing w:line="432" w:lineRule="auto"/>
        <w:jc w:val="left"/>
        <w:rPr>
          <w:rFonts w:ascii="宋体" w:hAnsi="宋体" w:cs="宋体"/>
          <w:b/>
          <w:bCs/>
          <w:kern w:val="0"/>
          <w:sz w:val="24"/>
        </w:rPr>
      </w:pPr>
    </w:p>
    <w:p w14:paraId="315D1A27">
      <w:pPr>
        <w:widowControl/>
        <w:spacing w:line="432" w:lineRule="auto"/>
        <w:jc w:val="left"/>
        <w:rPr>
          <w:rFonts w:ascii="宋体" w:hAnsi="宋体" w:cs="宋体"/>
          <w:b/>
          <w:bCs/>
          <w:kern w:val="0"/>
          <w:sz w:val="24"/>
        </w:rPr>
      </w:pPr>
    </w:p>
    <w:p w14:paraId="196BAA43">
      <w:pPr>
        <w:widowControl/>
        <w:spacing w:line="432" w:lineRule="auto"/>
        <w:jc w:val="left"/>
        <w:rPr>
          <w:rFonts w:ascii="宋体" w:hAnsi="宋体" w:cs="宋体"/>
          <w:b/>
          <w:bCs/>
          <w:kern w:val="0"/>
          <w:sz w:val="24"/>
        </w:rPr>
      </w:pPr>
    </w:p>
    <w:p w14:paraId="74301D2B">
      <w:pPr>
        <w:widowControl/>
        <w:spacing w:line="432" w:lineRule="auto"/>
        <w:jc w:val="left"/>
        <w:rPr>
          <w:rFonts w:ascii="宋体" w:hAnsi="宋体" w:cs="宋体"/>
          <w:b/>
          <w:bCs/>
          <w:kern w:val="0"/>
          <w:sz w:val="24"/>
        </w:rPr>
      </w:pPr>
    </w:p>
    <w:p w14:paraId="67989B58">
      <w:pPr>
        <w:widowControl/>
        <w:spacing w:line="432" w:lineRule="auto"/>
        <w:jc w:val="left"/>
        <w:rPr>
          <w:rFonts w:ascii="宋体" w:hAnsi="宋体" w:cs="宋体"/>
          <w:b/>
          <w:bCs/>
          <w:kern w:val="0"/>
          <w:sz w:val="24"/>
        </w:rPr>
      </w:pPr>
    </w:p>
    <w:p w14:paraId="51107808">
      <w:pPr>
        <w:widowControl/>
        <w:spacing w:line="432" w:lineRule="auto"/>
        <w:jc w:val="left"/>
        <w:rPr>
          <w:rFonts w:ascii="宋体" w:hAnsi="宋体" w:cs="宋体"/>
          <w:b/>
          <w:bCs/>
          <w:kern w:val="0"/>
          <w:sz w:val="24"/>
        </w:rPr>
      </w:pPr>
    </w:p>
    <w:p w14:paraId="44F5158C">
      <w:pPr>
        <w:widowControl/>
        <w:spacing w:line="432" w:lineRule="auto"/>
        <w:jc w:val="left"/>
        <w:rPr>
          <w:rFonts w:ascii="宋体" w:hAnsi="宋体" w:cs="宋体"/>
          <w:b/>
          <w:bCs/>
          <w:kern w:val="0"/>
          <w:sz w:val="24"/>
        </w:rPr>
      </w:pPr>
    </w:p>
    <w:p w14:paraId="66A1539D">
      <w:pPr>
        <w:keepNext/>
        <w:keepLines/>
        <w:spacing w:line="360" w:lineRule="auto"/>
        <w:outlineLvl w:val="1"/>
        <w:rPr>
          <w:rFonts w:ascii="宋体" w:hAnsi="宋体" w:cs="宋体"/>
          <w:b/>
          <w:bCs/>
          <w:color w:val="000000"/>
          <w:spacing w:val="10"/>
          <w:sz w:val="28"/>
          <w:szCs w:val="28"/>
        </w:rPr>
      </w:pPr>
      <w:bookmarkStart w:id="146" w:name="_Toc4477"/>
      <w:r>
        <w:rPr>
          <w:rFonts w:hint="eastAsia" w:ascii="宋体" w:hAnsi="宋体" w:cs="宋体"/>
          <w:b/>
          <w:bCs/>
          <w:color w:val="000000"/>
          <w:spacing w:val="10"/>
          <w:sz w:val="28"/>
          <w:szCs w:val="28"/>
        </w:rPr>
        <w:t>附件5：</w:t>
      </w:r>
      <w:bookmarkEnd w:id="146"/>
    </w:p>
    <w:p w14:paraId="1CA64A88">
      <w:pPr>
        <w:spacing w:line="360" w:lineRule="auto"/>
        <w:jc w:val="center"/>
        <w:rPr>
          <w:rFonts w:ascii="宋体" w:hAnsi="宋体" w:cs="宋体"/>
          <w:color w:val="000000"/>
          <w:sz w:val="24"/>
        </w:rPr>
      </w:pPr>
      <w:r>
        <w:rPr>
          <w:rFonts w:hint="eastAsia" w:ascii="宋体" w:hAnsi="宋体" w:cs="宋体"/>
          <w:color w:val="000000"/>
          <w:sz w:val="24"/>
        </w:rPr>
        <w:t>关于印发中小企业划型标准规定的通知(工信部联企业〔2011〕300号)</w:t>
      </w:r>
    </w:p>
    <w:p w14:paraId="343D35EF">
      <w:pPr>
        <w:spacing w:line="360" w:lineRule="auto"/>
        <w:jc w:val="center"/>
        <w:rPr>
          <w:rFonts w:ascii="宋体" w:hAnsi="宋体" w:cs="宋体"/>
          <w:color w:val="000000"/>
          <w:sz w:val="24"/>
        </w:rPr>
      </w:pPr>
      <w:r>
        <w:rPr>
          <w:rFonts w:hint="eastAsia" w:ascii="宋体" w:hAnsi="宋体" w:cs="宋体"/>
          <w:color w:val="000000"/>
          <w:sz w:val="24"/>
        </w:rPr>
        <w:t>关于印发中小企业划型标准规定的通知</w:t>
      </w:r>
    </w:p>
    <w:p w14:paraId="24D84DBF">
      <w:pPr>
        <w:spacing w:line="360" w:lineRule="auto"/>
        <w:jc w:val="center"/>
        <w:rPr>
          <w:rFonts w:ascii="宋体" w:hAnsi="宋体" w:cs="宋体"/>
          <w:color w:val="000000"/>
          <w:sz w:val="24"/>
        </w:rPr>
      </w:pPr>
      <w:r>
        <w:rPr>
          <w:rFonts w:hint="eastAsia" w:ascii="宋体" w:hAnsi="宋体" w:cs="宋体"/>
          <w:color w:val="000000"/>
          <w:sz w:val="24"/>
        </w:rPr>
        <w:t>工信部联企业〔2011〕300号</w:t>
      </w:r>
    </w:p>
    <w:p w14:paraId="5B25D645">
      <w:pPr>
        <w:spacing w:line="360" w:lineRule="auto"/>
        <w:rPr>
          <w:rFonts w:ascii="宋体" w:hAnsi="宋体" w:cs="宋体"/>
          <w:color w:val="000000"/>
          <w:sz w:val="24"/>
        </w:rPr>
      </w:pPr>
    </w:p>
    <w:p w14:paraId="0EB7DF6D">
      <w:pPr>
        <w:spacing w:line="360" w:lineRule="auto"/>
        <w:rPr>
          <w:rFonts w:ascii="宋体" w:hAnsi="宋体" w:cs="宋体"/>
          <w:color w:val="000000"/>
          <w:sz w:val="24"/>
        </w:rPr>
      </w:pPr>
      <w:r>
        <w:rPr>
          <w:rFonts w:hint="eastAsia" w:ascii="宋体" w:hAnsi="宋体" w:cs="宋体"/>
          <w:color w:val="000000"/>
          <w:sz w:val="24"/>
        </w:rPr>
        <w:t>各省、自治区、直辖市人民政府，国务院各部委、各直属机构及有关单位：</w:t>
      </w:r>
    </w:p>
    <w:p w14:paraId="15D0046B">
      <w:pPr>
        <w:spacing w:line="360" w:lineRule="auto"/>
        <w:rPr>
          <w:rFonts w:ascii="宋体" w:hAnsi="宋体" w:cs="宋体"/>
          <w:color w:val="000000"/>
          <w:sz w:val="24"/>
        </w:rPr>
      </w:pPr>
      <w:r>
        <w:rPr>
          <w:rFonts w:hint="eastAsia" w:ascii="宋体" w:hAnsi="宋体" w:cs="宋体"/>
          <w:color w:val="000000"/>
          <w:sz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80BDDE4">
      <w:pPr>
        <w:spacing w:line="360" w:lineRule="auto"/>
        <w:rPr>
          <w:rFonts w:ascii="宋体" w:hAnsi="宋体" w:cs="宋体"/>
          <w:color w:val="000000"/>
          <w:sz w:val="24"/>
        </w:rPr>
      </w:pPr>
      <w:r>
        <w:rPr>
          <w:rFonts w:hint="eastAsia" w:ascii="宋体" w:hAnsi="宋体" w:cs="宋体"/>
          <w:color w:val="000000"/>
          <w:sz w:val="24"/>
        </w:rPr>
        <w:t>　　　　　　　　　　　　　　　　　　　　　工业和信息化部　国家统计局</w:t>
      </w:r>
    </w:p>
    <w:p w14:paraId="2AB3EEA4">
      <w:pPr>
        <w:spacing w:line="360" w:lineRule="auto"/>
        <w:rPr>
          <w:rFonts w:ascii="宋体" w:hAnsi="宋体" w:cs="宋体"/>
          <w:color w:val="000000"/>
          <w:sz w:val="24"/>
        </w:rPr>
      </w:pPr>
      <w:r>
        <w:rPr>
          <w:rFonts w:hint="eastAsia" w:ascii="宋体" w:hAnsi="宋体" w:cs="宋体"/>
          <w:color w:val="000000"/>
          <w:sz w:val="24"/>
        </w:rPr>
        <w:t>　　　　　　　　　　　　　　　　　　　　国家发展和改革委员会　财政部</w:t>
      </w:r>
    </w:p>
    <w:p w14:paraId="04CBE28B">
      <w:pPr>
        <w:spacing w:line="360" w:lineRule="auto"/>
        <w:rPr>
          <w:rFonts w:ascii="宋体" w:hAnsi="宋体" w:cs="宋体"/>
          <w:color w:val="000000"/>
          <w:sz w:val="24"/>
        </w:rPr>
      </w:pPr>
      <w:r>
        <w:rPr>
          <w:rFonts w:hint="eastAsia" w:ascii="宋体" w:hAnsi="宋体" w:cs="宋体"/>
          <w:color w:val="000000"/>
          <w:sz w:val="24"/>
        </w:rPr>
        <w:t>　　　　　　　　　　　　　　　　　　　　　　　　二○一一年六月十八日</w:t>
      </w:r>
    </w:p>
    <w:p w14:paraId="5D5970A8">
      <w:pPr>
        <w:spacing w:line="360" w:lineRule="auto"/>
        <w:jc w:val="center"/>
        <w:rPr>
          <w:rFonts w:ascii="宋体" w:hAnsi="宋体" w:cs="宋体"/>
          <w:color w:val="000000"/>
          <w:sz w:val="24"/>
        </w:rPr>
      </w:pPr>
      <w:r>
        <w:rPr>
          <w:rFonts w:hint="eastAsia" w:ascii="宋体" w:hAnsi="宋体" w:cs="宋体"/>
          <w:color w:val="000000"/>
          <w:sz w:val="24"/>
        </w:rPr>
        <w:t>中小企业划型标准规定</w:t>
      </w:r>
    </w:p>
    <w:p w14:paraId="522DBECB">
      <w:pPr>
        <w:spacing w:line="360" w:lineRule="auto"/>
        <w:rPr>
          <w:rFonts w:ascii="宋体" w:hAnsi="宋体" w:cs="宋体"/>
          <w:color w:val="000000"/>
          <w:sz w:val="24"/>
        </w:rPr>
      </w:pPr>
    </w:p>
    <w:p w14:paraId="782EEAB3">
      <w:pPr>
        <w:spacing w:line="360" w:lineRule="auto"/>
        <w:rPr>
          <w:rFonts w:ascii="宋体" w:hAnsi="宋体" w:cs="宋体"/>
          <w:color w:val="000000"/>
          <w:sz w:val="24"/>
        </w:rPr>
      </w:pPr>
      <w:r>
        <w:rPr>
          <w:rFonts w:hint="eastAsia" w:ascii="宋体" w:hAnsi="宋体" w:cs="宋体"/>
          <w:color w:val="000000"/>
          <w:sz w:val="24"/>
        </w:rPr>
        <w:t>　　一、根据《中华人民共和国中小企业促进法》和《国务院关于进一步促进中小企业发展的若干意见》（国发〔2009〕36号），制定本规定。</w:t>
      </w:r>
    </w:p>
    <w:p w14:paraId="7300710D">
      <w:pPr>
        <w:spacing w:line="360" w:lineRule="auto"/>
        <w:rPr>
          <w:rFonts w:ascii="宋体" w:hAnsi="宋体" w:cs="宋体"/>
          <w:color w:val="000000"/>
          <w:sz w:val="24"/>
        </w:rPr>
      </w:pPr>
      <w:r>
        <w:rPr>
          <w:rFonts w:hint="eastAsia" w:ascii="宋体" w:hAnsi="宋体" w:cs="宋体"/>
          <w:color w:val="000000"/>
          <w:sz w:val="24"/>
        </w:rPr>
        <w:t>　　二、中小企业划分为中型、小型、微型三种类型，具体标准根据企业从业人员、营业收入、资产总额等指标，结合行业特点制定。</w:t>
      </w:r>
    </w:p>
    <w:p w14:paraId="326CF792">
      <w:pPr>
        <w:spacing w:line="360" w:lineRule="auto"/>
        <w:rPr>
          <w:rFonts w:ascii="宋体" w:hAnsi="宋体" w:cs="宋体"/>
          <w:color w:val="000000"/>
          <w:sz w:val="24"/>
        </w:rPr>
      </w:pPr>
      <w:r>
        <w:rPr>
          <w:rFonts w:hint="eastAsia" w:ascii="宋体" w:hAnsi="宋体" w:cs="宋体"/>
          <w:color w:val="000000"/>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B66DF2">
      <w:pPr>
        <w:spacing w:line="360" w:lineRule="auto"/>
        <w:rPr>
          <w:rFonts w:ascii="宋体" w:hAnsi="宋体" w:cs="宋体"/>
          <w:color w:val="000000"/>
          <w:sz w:val="24"/>
        </w:rPr>
      </w:pPr>
      <w:r>
        <w:rPr>
          <w:rFonts w:hint="eastAsia" w:ascii="宋体" w:hAnsi="宋体" w:cs="宋体"/>
          <w:color w:val="000000"/>
          <w:sz w:val="24"/>
        </w:rPr>
        <w:t>　　四、各行业划型标准为：</w:t>
      </w:r>
    </w:p>
    <w:p w14:paraId="2E214065">
      <w:pPr>
        <w:spacing w:line="360" w:lineRule="auto"/>
        <w:rPr>
          <w:rFonts w:ascii="宋体" w:hAnsi="宋体" w:cs="宋体"/>
          <w:color w:val="000000"/>
          <w:sz w:val="24"/>
        </w:rPr>
      </w:pPr>
      <w:r>
        <w:rPr>
          <w:rFonts w:hint="eastAsia" w:ascii="宋体" w:hAnsi="宋体" w:cs="宋体"/>
          <w:color w:val="000000"/>
          <w:sz w:val="24"/>
        </w:rPr>
        <w:t>　　（一）农、林、牧、渔业。营业收入20000万元以下的为中小微型企业。其中，营业收入500万元及以上的为中型企业，营业收入50万元及以上的为小型企业，营业收入50万元以下的为微型企业。</w:t>
      </w:r>
    </w:p>
    <w:p w14:paraId="18778247">
      <w:pPr>
        <w:spacing w:line="360" w:lineRule="auto"/>
        <w:rPr>
          <w:rFonts w:ascii="宋体" w:hAnsi="宋体" w:cs="宋体"/>
          <w:color w:val="000000"/>
          <w:sz w:val="24"/>
        </w:rPr>
      </w:pPr>
      <w:r>
        <w:rPr>
          <w:rFonts w:hint="eastAsia" w:ascii="宋体" w:hAnsi="宋体" w:cs="宋体"/>
          <w:color w:val="000000"/>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D2D9BEC">
      <w:pPr>
        <w:spacing w:line="360" w:lineRule="auto"/>
        <w:rPr>
          <w:rFonts w:ascii="宋体" w:hAnsi="宋体" w:cs="宋体"/>
          <w:color w:val="000000"/>
          <w:sz w:val="24"/>
        </w:rPr>
      </w:pPr>
      <w:r>
        <w:rPr>
          <w:rFonts w:hint="eastAsia" w:ascii="宋体" w:hAnsi="宋体" w:cs="宋体"/>
          <w:color w:val="000000"/>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4E6718">
      <w:pPr>
        <w:spacing w:line="360" w:lineRule="auto"/>
        <w:rPr>
          <w:rFonts w:ascii="宋体" w:hAnsi="宋体" w:cs="宋体"/>
          <w:color w:val="000000"/>
          <w:sz w:val="24"/>
        </w:rPr>
      </w:pPr>
      <w:r>
        <w:rPr>
          <w:rFonts w:hint="eastAsia" w:ascii="宋体" w:hAnsi="宋体" w:cs="宋体"/>
          <w:color w:val="000000"/>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89CFF33">
      <w:pPr>
        <w:spacing w:line="360" w:lineRule="auto"/>
        <w:rPr>
          <w:rFonts w:ascii="宋体" w:hAnsi="宋体" w:cs="宋体"/>
          <w:color w:val="000000"/>
          <w:sz w:val="24"/>
        </w:rPr>
      </w:pPr>
      <w:r>
        <w:rPr>
          <w:rFonts w:hint="eastAsia" w:ascii="宋体" w:hAnsi="宋体" w:cs="宋体"/>
          <w:color w:val="000000"/>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402C6E">
      <w:pPr>
        <w:spacing w:line="360" w:lineRule="auto"/>
        <w:rPr>
          <w:rFonts w:ascii="宋体" w:hAnsi="宋体" w:cs="宋体"/>
          <w:color w:val="000000"/>
          <w:sz w:val="24"/>
        </w:rPr>
      </w:pPr>
      <w:r>
        <w:rPr>
          <w:rFonts w:hint="eastAsia" w:ascii="宋体" w:hAnsi="宋体" w:cs="宋体"/>
          <w:color w:val="000000"/>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99222D">
      <w:pPr>
        <w:spacing w:line="360" w:lineRule="auto"/>
        <w:rPr>
          <w:rFonts w:ascii="宋体" w:hAnsi="宋体" w:cs="宋体"/>
          <w:color w:val="000000"/>
          <w:sz w:val="24"/>
        </w:rPr>
      </w:pPr>
      <w:r>
        <w:rPr>
          <w:rFonts w:hint="eastAsia" w:ascii="宋体" w:hAnsi="宋体" w:cs="宋体"/>
          <w:color w:val="000000"/>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A233B34">
      <w:pPr>
        <w:spacing w:line="360" w:lineRule="auto"/>
        <w:rPr>
          <w:rFonts w:ascii="宋体" w:hAnsi="宋体" w:cs="宋体"/>
          <w:color w:val="000000"/>
          <w:sz w:val="24"/>
        </w:rPr>
      </w:pPr>
      <w:r>
        <w:rPr>
          <w:rFonts w:hint="eastAsia" w:ascii="宋体" w:hAnsi="宋体" w:cs="宋体"/>
          <w:color w:val="000000"/>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0794C61">
      <w:pPr>
        <w:spacing w:line="360" w:lineRule="auto"/>
        <w:rPr>
          <w:rFonts w:ascii="宋体" w:hAnsi="宋体" w:cs="宋体"/>
          <w:color w:val="000000"/>
          <w:sz w:val="24"/>
        </w:rPr>
      </w:pPr>
      <w:r>
        <w:rPr>
          <w:rFonts w:hint="eastAsia" w:ascii="宋体" w:hAnsi="宋体" w:cs="宋体"/>
          <w:color w:val="000000"/>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8021C9">
      <w:pPr>
        <w:spacing w:line="360" w:lineRule="auto"/>
        <w:rPr>
          <w:rFonts w:ascii="宋体" w:hAnsi="宋体" w:cs="宋体"/>
          <w:color w:val="000000"/>
          <w:sz w:val="24"/>
        </w:rPr>
      </w:pPr>
      <w:r>
        <w:rPr>
          <w:rFonts w:hint="eastAsia" w:ascii="宋体" w:hAnsi="宋体" w:cs="宋体"/>
          <w:color w:val="000000"/>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6FF605">
      <w:pPr>
        <w:spacing w:line="360" w:lineRule="auto"/>
        <w:rPr>
          <w:rFonts w:ascii="宋体" w:hAnsi="宋体" w:cs="宋体"/>
          <w:color w:val="000000"/>
          <w:sz w:val="24"/>
        </w:rPr>
      </w:pPr>
      <w:r>
        <w:rPr>
          <w:rFonts w:hint="eastAsia" w:ascii="宋体" w:hAnsi="宋体" w:cs="宋体"/>
          <w:color w:val="000000"/>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B190D35">
      <w:pPr>
        <w:spacing w:line="360" w:lineRule="auto"/>
        <w:rPr>
          <w:rFonts w:ascii="宋体" w:hAnsi="宋体" w:cs="宋体"/>
          <w:color w:val="000000"/>
          <w:sz w:val="24"/>
        </w:rPr>
      </w:pPr>
      <w:r>
        <w:rPr>
          <w:rFonts w:hint="eastAsia" w:ascii="宋体" w:hAnsi="宋体" w:cs="宋体"/>
          <w:color w:val="000000"/>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CF49CBC">
      <w:pPr>
        <w:spacing w:line="360" w:lineRule="auto"/>
        <w:rPr>
          <w:rFonts w:ascii="宋体" w:hAnsi="宋体" w:cs="宋体"/>
          <w:color w:val="000000"/>
          <w:sz w:val="24"/>
        </w:rPr>
      </w:pPr>
      <w:r>
        <w:rPr>
          <w:rFonts w:hint="eastAsia" w:ascii="宋体" w:hAnsi="宋体" w:cs="宋体"/>
          <w:color w:val="000000"/>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7FE7978">
      <w:pPr>
        <w:spacing w:line="360" w:lineRule="auto"/>
        <w:rPr>
          <w:rFonts w:ascii="宋体" w:hAnsi="宋体" w:cs="宋体"/>
          <w:color w:val="000000"/>
          <w:sz w:val="24"/>
        </w:rPr>
      </w:pPr>
      <w:r>
        <w:rPr>
          <w:rFonts w:hint="eastAsia" w:ascii="宋体" w:hAnsi="宋体" w:cs="宋体"/>
          <w:color w:val="000000"/>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6333D8A">
      <w:pPr>
        <w:spacing w:line="360" w:lineRule="auto"/>
        <w:rPr>
          <w:rFonts w:ascii="宋体" w:hAnsi="宋体" w:cs="宋体"/>
          <w:color w:val="000000"/>
          <w:sz w:val="24"/>
        </w:rPr>
      </w:pPr>
      <w:r>
        <w:rPr>
          <w:rFonts w:hint="eastAsia" w:ascii="宋体" w:hAnsi="宋体" w:cs="宋体"/>
          <w:color w:val="000000"/>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E28154">
      <w:pPr>
        <w:spacing w:line="360" w:lineRule="auto"/>
        <w:rPr>
          <w:rFonts w:ascii="宋体" w:hAnsi="宋体" w:cs="宋体"/>
          <w:color w:val="000000"/>
          <w:sz w:val="24"/>
        </w:rPr>
      </w:pPr>
      <w:r>
        <w:rPr>
          <w:rFonts w:hint="eastAsia" w:ascii="宋体" w:hAnsi="宋体" w:cs="宋体"/>
          <w:color w:val="000000"/>
          <w:sz w:val="24"/>
        </w:rPr>
        <w:t>　　（十六）其他未列明行业。从业人员300人以下的为中小微型企业。其中，从业人员100人及以上的为中型企业；从业人员10人及以上的为小型企业；从业人员10人以下的为微型企业。</w:t>
      </w:r>
    </w:p>
    <w:p w14:paraId="5A280EB7">
      <w:pPr>
        <w:spacing w:line="360" w:lineRule="auto"/>
        <w:rPr>
          <w:rFonts w:ascii="宋体" w:hAnsi="宋体" w:cs="宋体"/>
          <w:color w:val="000000"/>
          <w:sz w:val="24"/>
        </w:rPr>
      </w:pPr>
      <w:r>
        <w:rPr>
          <w:rFonts w:hint="eastAsia" w:ascii="宋体" w:hAnsi="宋体" w:cs="宋体"/>
          <w:color w:val="000000"/>
          <w:sz w:val="24"/>
        </w:rPr>
        <w:t>　　五、企业类型的划分以统计部门的统计数据为依据。</w:t>
      </w:r>
    </w:p>
    <w:p w14:paraId="48492678">
      <w:pPr>
        <w:spacing w:line="360" w:lineRule="auto"/>
        <w:rPr>
          <w:rFonts w:ascii="宋体" w:hAnsi="宋体" w:cs="宋体"/>
          <w:color w:val="000000"/>
          <w:sz w:val="24"/>
        </w:rPr>
      </w:pPr>
      <w:r>
        <w:rPr>
          <w:rFonts w:hint="eastAsia" w:ascii="宋体" w:hAnsi="宋体" w:cs="宋体"/>
          <w:color w:val="000000"/>
          <w:sz w:val="24"/>
        </w:rPr>
        <w:t>　　六、本规定适用于在中华人民共和国境内依法设立的各类所有制和各种组织形式的企业。个体工商户和本规定以外的行业，参照本规定进行划型。</w:t>
      </w:r>
    </w:p>
    <w:p w14:paraId="0B5D750D">
      <w:pPr>
        <w:spacing w:line="360" w:lineRule="auto"/>
        <w:rPr>
          <w:rFonts w:ascii="宋体" w:hAnsi="宋体" w:cs="宋体"/>
          <w:color w:val="000000"/>
          <w:sz w:val="24"/>
        </w:rPr>
      </w:pPr>
      <w:r>
        <w:rPr>
          <w:rFonts w:hint="eastAsia" w:ascii="宋体" w:hAnsi="宋体" w:cs="宋体"/>
          <w:color w:val="000000"/>
          <w:sz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7B010305">
      <w:pPr>
        <w:spacing w:line="360" w:lineRule="auto"/>
        <w:rPr>
          <w:rFonts w:ascii="宋体" w:hAnsi="宋体" w:cs="宋体"/>
          <w:color w:val="000000"/>
          <w:sz w:val="24"/>
        </w:rPr>
      </w:pPr>
      <w:r>
        <w:rPr>
          <w:rFonts w:hint="eastAsia" w:ascii="宋体" w:hAnsi="宋体" w:cs="宋体"/>
          <w:color w:val="000000"/>
          <w:sz w:val="24"/>
        </w:rPr>
        <w:t>　　八、本规定由工业和信息化部、国家统计局会同有关部门根据《国民经济行业分类》修订情况和企业发展变化情况适时修订。</w:t>
      </w:r>
    </w:p>
    <w:p w14:paraId="46430832">
      <w:pPr>
        <w:spacing w:line="360" w:lineRule="auto"/>
        <w:rPr>
          <w:rFonts w:ascii="宋体" w:hAnsi="宋体" w:cs="宋体"/>
          <w:color w:val="000000"/>
          <w:sz w:val="24"/>
        </w:rPr>
      </w:pPr>
      <w:r>
        <w:rPr>
          <w:rFonts w:hint="eastAsia" w:ascii="宋体" w:hAnsi="宋体" w:cs="宋体"/>
          <w:color w:val="000000"/>
          <w:sz w:val="24"/>
        </w:rPr>
        <w:t>　　九、本规定由工业和信息化部、国家统计局会同有关部门负责解释。</w:t>
      </w:r>
    </w:p>
    <w:p w14:paraId="35D4D10C">
      <w:pPr>
        <w:spacing w:line="360" w:lineRule="auto"/>
        <w:rPr>
          <w:rFonts w:ascii="宋体" w:hAnsi="宋体" w:cs="宋体"/>
          <w:color w:val="000000"/>
          <w:sz w:val="24"/>
        </w:rPr>
      </w:pPr>
      <w:r>
        <w:rPr>
          <w:rFonts w:hint="eastAsia" w:ascii="宋体" w:hAnsi="宋体" w:cs="宋体"/>
          <w:color w:val="000000"/>
          <w:sz w:val="24"/>
        </w:rPr>
        <w:t>　　十、本规定自发布之日起执行，原国家经贸委、原国家计委、财政部和国家统计局2003年颁布的《中小企业标准暂行规定》同时废止。</w:t>
      </w:r>
    </w:p>
    <w:p w14:paraId="3AFE89B2">
      <w:pPr>
        <w:rPr>
          <w:rFonts w:ascii="宋体" w:hAnsi="宋体" w:cs="宋体"/>
          <w:color w:val="000000"/>
        </w:rPr>
      </w:pPr>
    </w:p>
    <w:p w14:paraId="4E72AE11">
      <w:pPr>
        <w:widowControl/>
        <w:spacing w:line="432" w:lineRule="auto"/>
        <w:jc w:val="left"/>
        <w:rPr>
          <w:rFonts w:ascii="宋体" w:hAnsi="宋体" w:cs="宋体"/>
          <w:b/>
          <w:bCs/>
          <w:kern w:val="0"/>
          <w:sz w:val="24"/>
        </w:rPr>
      </w:pPr>
    </w:p>
    <w:p w14:paraId="56D16E23">
      <w:pPr>
        <w:pStyle w:val="25"/>
        <w:ind w:firstLine="241"/>
        <w:rPr>
          <w:rFonts w:ascii="宋体" w:hAnsi="宋体" w:cs="宋体"/>
          <w:b/>
          <w:bCs/>
          <w:kern w:val="0"/>
          <w:sz w:val="24"/>
        </w:rPr>
      </w:pPr>
    </w:p>
    <w:p w14:paraId="382CE3F2">
      <w:pPr>
        <w:pStyle w:val="26"/>
        <w:ind w:firstLine="542"/>
        <w:rPr>
          <w:rFonts w:ascii="宋体" w:hAnsi="宋体" w:eastAsia="宋体" w:cs="宋体"/>
          <w:b/>
          <w:bCs/>
          <w:kern w:val="0"/>
        </w:rPr>
      </w:pPr>
    </w:p>
    <w:p w14:paraId="0875C479">
      <w:pPr>
        <w:rPr>
          <w:rFonts w:ascii="宋体" w:hAnsi="宋体" w:cs="宋体"/>
          <w:b/>
          <w:bCs/>
          <w:kern w:val="0"/>
          <w:sz w:val="24"/>
        </w:rPr>
      </w:pPr>
    </w:p>
    <w:p w14:paraId="11F865AB">
      <w:pPr>
        <w:pStyle w:val="25"/>
        <w:ind w:firstLine="241"/>
        <w:rPr>
          <w:rFonts w:ascii="宋体" w:hAnsi="宋体" w:cs="宋体"/>
          <w:b/>
          <w:bCs/>
          <w:kern w:val="0"/>
          <w:sz w:val="24"/>
        </w:rPr>
      </w:pPr>
    </w:p>
    <w:p w14:paraId="674CF985">
      <w:pPr>
        <w:pStyle w:val="26"/>
        <w:ind w:firstLine="542"/>
        <w:rPr>
          <w:rFonts w:ascii="宋体" w:hAnsi="宋体" w:eastAsia="宋体" w:cs="宋体"/>
          <w:b/>
          <w:bCs/>
          <w:kern w:val="0"/>
        </w:rPr>
      </w:pPr>
    </w:p>
    <w:p w14:paraId="677D094D">
      <w:pPr>
        <w:rPr>
          <w:rFonts w:ascii="宋体" w:hAnsi="宋体" w:cs="宋体"/>
          <w:b/>
          <w:bCs/>
          <w:kern w:val="0"/>
          <w:sz w:val="24"/>
        </w:rPr>
      </w:pPr>
    </w:p>
    <w:p w14:paraId="5C777E68">
      <w:pPr>
        <w:pStyle w:val="25"/>
        <w:ind w:firstLine="241"/>
        <w:rPr>
          <w:rFonts w:ascii="宋体" w:hAnsi="宋体" w:cs="宋体"/>
          <w:b/>
          <w:bCs/>
          <w:kern w:val="0"/>
          <w:sz w:val="24"/>
        </w:rPr>
      </w:pPr>
    </w:p>
    <w:p w14:paraId="5374B6AB">
      <w:pPr>
        <w:pStyle w:val="26"/>
        <w:ind w:firstLine="542"/>
        <w:rPr>
          <w:rFonts w:ascii="宋体" w:hAnsi="宋体" w:eastAsia="宋体" w:cs="宋体"/>
          <w:b/>
          <w:bCs/>
          <w:kern w:val="0"/>
        </w:rPr>
      </w:pPr>
    </w:p>
    <w:p w14:paraId="0861D742">
      <w:pPr>
        <w:rPr>
          <w:rFonts w:ascii="宋体" w:hAnsi="宋体" w:cs="宋体"/>
          <w:b/>
          <w:bCs/>
          <w:kern w:val="0"/>
          <w:sz w:val="24"/>
        </w:rPr>
      </w:pPr>
    </w:p>
    <w:p w14:paraId="669AEEE7">
      <w:pPr>
        <w:pStyle w:val="25"/>
        <w:ind w:firstLine="241"/>
        <w:rPr>
          <w:rFonts w:ascii="宋体" w:hAnsi="宋体" w:cs="宋体"/>
          <w:b/>
          <w:bCs/>
          <w:kern w:val="0"/>
          <w:sz w:val="24"/>
        </w:rPr>
      </w:pPr>
    </w:p>
    <w:sectPr>
      <w:footerReference r:id="rId5" w:type="first"/>
      <w:footerReference r:id="rId4" w:type="default"/>
      <w:pgSz w:w="12240" w:h="15840"/>
      <w:pgMar w:top="1468" w:right="1599" w:bottom="1440" w:left="1599" w:header="720" w:footer="720"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Noto Sans CJK JP Regular">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1492F">
    <w:pPr>
      <w:pStyle w:val="18"/>
      <w:jc w:val="center"/>
    </w:pPr>
  </w:p>
  <w:p w14:paraId="1665C8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729B">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56920" cy="2978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692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82B7B">
                          <w:pPr>
                            <w:pStyle w:val="18"/>
                            <w:jc w:val="center"/>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3.45pt;width:59.6pt;mso-position-horizontal:center;mso-position-horizontal-relative:margin;z-index:251659264;mso-width-relative:page;mso-height-relative:page;" filled="f" stroked="f" coordsize="21600,21600" o:gfxdata="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PDOg0wAAAAQBAAAPAAAAAAAAAAEAIAAAACIAAABkcnMvZG93bnJldi54bWxQSwEC&#10;FAAUAAAACACHTuJA9Nj+MDICAABVBAAADgAAAAAAAAABACAAAAAiAQAAZHJzL2Uyb0RvYy54bWxQ&#10;SwUGAAAAAAYABgBZAQAAxgUAAAAA&#10;">
              <v:fill on="f" focussize="0,0"/>
              <v:stroke on="f" weight="0.5pt"/>
              <v:imagedata o:title=""/>
              <o:lock v:ext="edit" aspectratio="f"/>
              <v:textbox inset="0mm,0mm,0mm,0mm">
                <w:txbxContent>
                  <w:p w14:paraId="0DB82B7B">
                    <w:pPr>
                      <w:pStyle w:val="18"/>
                      <w:jc w:val="center"/>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p w14:paraId="7FD8BF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F539">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62D81">
                          <w:pPr>
                            <w:pStyle w:val="18"/>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262D81">
                    <w:pPr>
                      <w:pStyle w:val="18"/>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64C09"/>
    <w:multiLevelType w:val="singleLevel"/>
    <w:tmpl w:val="86A64C09"/>
    <w:lvl w:ilvl="0" w:tentative="0">
      <w:start w:val="5"/>
      <w:numFmt w:val="chineseCounting"/>
      <w:suff w:val="nothing"/>
      <w:lvlText w:val="%1、"/>
      <w:lvlJc w:val="left"/>
      <w:rPr>
        <w:rFonts w:hint="eastAsia"/>
      </w:rPr>
    </w:lvl>
  </w:abstractNum>
  <w:abstractNum w:abstractNumId="1">
    <w:nsid w:val="C1ACA302"/>
    <w:multiLevelType w:val="singleLevel"/>
    <w:tmpl w:val="C1ACA302"/>
    <w:lvl w:ilvl="0" w:tentative="0">
      <w:start w:val="1"/>
      <w:numFmt w:val="chineseCounting"/>
      <w:suff w:val="space"/>
      <w:lvlText w:val="第%1条"/>
      <w:lvlJc w:val="left"/>
      <w:rPr>
        <w:rFonts w:hint="eastAsia"/>
      </w:rPr>
    </w:lvl>
  </w:abstractNum>
  <w:abstractNum w:abstractNumId="2">
    <w:nsid w:val="DB1C88D8"/>
    <w:multiLevelType w:val="singleLevel"/>
    <w:tmpl w:val="DB1C88D8"/>
    <w:lvl w:ilvl="0" w:tentative="0">
      <w:start w:val="1"/>
      <w:numFmt w:val="decimal"/>
      <w:lvlText w:val="%1."/>
      <w:lvlJc w:val="left"/>
      <w:pPr>
        <w:tabs>
          <w:tab w:val="left" w:pos="312"/>
        </w:tabs>
      </w:pPr>
    </w:lvl>
  </w:abstractNum>
  <w:abstractNum w:abstractNumId="3">
    <w:nsid w:val="49CD9CC7"/>
    <w:multiLevelType w:val="singleLevel"/>
    <w:tmpl w:val="49CD9CC7"/>
    <w:lvl w:ilvl="0" w:tentative="0">
      <w:start w:val="4"/>
      <w:numFmt w:val="decimal"/>
      <w:lvlText w:val="%1."/>
      <w:lvlJc w:val="left"/>
      <w:pPr>
        <w:tabs>
          <w:tab w:val="left" w:pos="312"/>
        </w:tabs>
      </w:pPr>
    </w:lvl>
  </w:abstractNum>
  <w:abstractNum w:abstractNumId="4">
    <w:nsid w:val="52B324B1"/>
    <w:multiLevelType w:val="singleLevel"/>
    <w:tmpl w:val="52B324B1"/>
    <w:lvl w:ilvl="0" w:tentative="0">
      <w:start w:val="1"/>
      <w:numFmt w:val="decimal"/>
      <w:suff w:val="nothing"/>
      <w:lvlText w:val="（%1）"/>
      <w:lvlJc w:val="left"/>
    </w:lvl>
  </w:abstractNum>
  <w:abstractNum w:abstractNumId="5">
    <w:nsid w:val="757CAF5B"/>
    <w:multiLevelType w:val="singleLevel"/>
    <w:tmpl w:val="757CAF5B"/>
    <w:lvl w:ilvl="0" w:tentative="0">
      <w:start w:val="3"/>
      <w:numFmt w:val="decimal"/>
      <w:suff w:val="nothing"/>
      <w:lvlText w:val="%1、"/>
      <w:lvlJc w:val="left"/>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MTIwNDE2M2M1OTg4ZmUyZGIxYzI2MDkyOWViY2IifQ=="/>
  </w:docVars>
  <w:rsids>
    <w:rsidRoot w:val="00BA7940"/>
    <w:rsid w:val="0000208F"/>
    <w:rsid w:val="00010BC8"/>
    <w:rsid w:val="00020870"/>
    <w:rsid w:val="000323F2"/>
    <w:rsid w:val="00032FDF"/>
    <w:rsid w:val="00036AA1"/>
    <w:rsid w:val="0004320C"/>
    <w:rsid w:val="00062B5C"/>
    <w:rsid w:val="00067547"/>
    <w:rsid w:val="00073DEC"/>
    <w:rsid w:val="00082962"/>
    <w:rsid w:val="000A4661"/>
    <w:rsid w:val="000D64AE"/>
    <w:rsid w:val="000D6D3A"/>
    <w:rsid w:val="000E1417"/>
    <w:rsid w:val="000E511D"/>
    <w:rsid w:val="000F0D20"/>
    <w:rsid w:val="000F7DE1"/>
    <w:rsid w:val="00125A46"/>
    <w:rsid w:val="00132E66"/>
    <w:rsid w:val="00140C4B"/>
    <w:rsid w:val="00147755"/>
    <w:rsid w:val="0015645A"/>
    <w:rsid w:val="0016072E"/>
    <w:rsid w:val="00165346"/>
    <w:rsid w:val="00171C48"/>
    <w:rsid w:val="00177887"/>
    <w:rsid w:val="00180385"/>
    <w:rsid w:val="00181F47"/>
    <w:rsid w:val="001B2AEF"/>
    <w:rsid w:val="001C2768"/>
    <w:rsid w:val="001D3B8C"/>
    <w:rsid w:val="001E0089"/>
    <w:rsid w:val="001F7527"/>
    <w:rsid w:val="002046CA"/>
    <w:rsid w:val="00204ADC"/>
    <w:rsid w:val="00207F35"/>
    <w:rsid w:val="002243AD"/>
    <w:rsid w:val="0023089F"/>
    <w:rsid w:val="002329D5"/>
    <w:rsid w:val="00237188"/>
    <w:rsid w:val="002379DB"/>
    <w:rsid w:val="00245404"/>
    <w:rsid w:val="002500D1"/>
    <w:rsid w:val="0025329B"/>
    <w:rsid w:val="0027074C"/>
    <w:rsid w:val="00271E20"/>
    <w:rsid w:val="00273812"/>
    <w:rsid w:val="002A2469"/>
    <w:rsid w:val="002A3C34"/>
    <w:rsid w:val="002B12CB"/>
    <w:rsid w:val="002B34E0"/>
    <w:rsid w:val="002C049A"/>
    <w:rsid w:val="002C30A7"/>
    <w:rsid w:val="002C3E3C"/>
    <w:rsid w:val="002D1111"/>
    <w:rsid w:val="002D58D5"/>
    <w:rsid w:val="002F10BE"/>
    <w:rsid w:val="002F62BE"/>
    <w:rsid w:val="002F63ED"/>
    <w:rsid w:val="003012C1"/>
    <w:rsid w:val="00303CBC"/>
    <w:rsid w:val="0030437D"/>
    <w:rsid w:val="00304817"/>
    <w:rsid w:val="00304DA3"/>
    <w:rsid w:val="00304F43"/>
    <w:rsid w:val="00305683"/>
    <w:rsid w:val="0031029A"/>
    <w:rsid w:val="00311410"/>
    <w:rsid w:val="003120E6"/>
    <w:rsid w:val="003219B1"/>
    <w:rsid w:val="003264B0"/>
    <w:rsid w:val="00331EED"/>
    <w:rsid w:val="003365BA"/>
    <w:rsid w:val="0034226F"/>
    <w:rsid w:val="00350580"/>
    <w:rsid w:val="00353E1F"/>
    <w:rsid w:val="00353FF2"/>
    <w:rsid w:val="00355893"/>
    <w:rsid w:val="00373373"/>
    <w:rsid w:val="00375112"/>
    <w:rsid w:val="00393065"/>
    <w:rsid w:val="00395695"/>
    <w:rsid w:val="003A77C5"/>
    <w:rsid w:val="003B14C2"/>
    <w:rsid w:val="003E3C16"/>
    <w:rsid w:val="003F48B5"/>
    <w:rsid w:val="0040012F"/>
    <w:rsid w:val="00400924"/>
    <w:rsid w:val="00400F77"/>
    <w:rsid w:val="00405BED"/>
    <w:rsid w:val="00415372"/>
    <w:rsid w:val="004264A8"/>
    <w:rsid w:val="00450C27"/>
    <w:rsid w:val="004554FE"/>
    <w:rsid w:val="00460942"/>
    <w:rsid w:val="0046688E"/>
    <w:rsid w:val="00470640"/>
    <w:rsid w:val="004C5C96"/>
    <w:rsid w:val="004D3B3F"/>
    <w:rsid w:val="004D7A9F"/>
    <w:rsid w:val="005306D8"/>
    <w:rsid w:val="00540D6A"/>
    <w:rsid w:val="00540DA7"/>
    <w:rsid w:val="0056380E"/>
    <w:rsid w:val="005738D6"/>
    <w:rsid w:val="00577587"/>
    <w:rsid w:val="0058479C"/>
    <w:rsid w:val="00586DB3"/>
    <w:rsid w:val="0058778F"/>
    <w:rsid w:val="00593930"/>
    <w:rsid w:val="005974C8"/>
    <w:rsid w:val="005A5167"/>
    <w:rsid w:val="005C3752"/>
    <w:rsid w:val="005C3F59"/>
    <w:rsid w:val="005F12BC"/>
    <w:rsid w:val="00602388"/>
    <w:rsid w:val="00643EFA"/>
    <w:rsid w:val="00644C2B"/>
    <w:rsid w:val="00650E91"/>
    <w:rsid w:val="00662D26"/>
    <w:rsid w:val="0068419E"/>
    <w:rsid w:val="00687003"/>
    <w:rsid w:val="00697D28"/>
    <w:rsid w:val="006A0EA5"/>
    <w:rsid w:val="006A3D2F"/>
    <w:rsid w:val="006C4981"/>
    <w:rsid w:val="006E1504"/>
    <w:rsid w:val="006E558D"/>
    <w:rsid w:val="006F2EB1"/>
    <w:rsid w:val="00704C4F"/>
    <w:rsid w:val="007123A3"/>
    <w:rsid w:val="00716B68"/>
    <w:rsid w:val="00725B3A"/>
    <w:rsid w:val="00734472"/>
    <w:rsid w:val="00736485"/>
    <w:rsid w:val="00743447"/>
    <w:rsid w:val="00760E1B"/>
    <w:rsid w:val="007861E2"/>
    <w:rsid w:val="007A04A7"/>
    <w:rsid w:val="007A32F9"/>
    <w:rsid w:val="007B1E01"/>
    <w:rsid w:val="007C172C"/>
    <w:rsid w:val="007C3208"/>
    <w:rsid w:val="007C4244"/>
    <w:rsid w:val="007C4767"/>
    <w:rsid w:val="007D0C6F"/>
    <w:rsid w:val="007D4F84"/>
    <w:rsid w:val="007D6F7A"/>
    <w:rsid w:val="007E05A6"/>
    <w:rsid w:val="007F1DE0"/>
    <w:rsid w:val="007F464F"/>
    <w:rsid w:val="007F793F"/>
    <w:rsid w:val="00801D14"/>
    <w:rsid w:val="00826587"/>
    <w:rsid w:val="00831FD4"/>
    <w:rsid w:val="00840B22"/>
    <w:rsid w:val="00863D16"/>
    <w:rsid w:val="00865D81"/>
    <w:rsid w:val="00881134"/>
    <w:rsid w:val="00881758"/>
    <w:rsid w:val="00885236"/>
    <w:rsid w:val="00885B22"/>
    <w:rsid w:val="00887EA7"/>
    <w:rsid w:val="00890CC2"/>
    <w:rsid w:val="00891CEE"/>
    <w:rsid w:val="0089633F"/>
    <w:rsid w:val="008A2240"/>
    <w:rsid w:val="008A2762"/>
    <w:rsid w:val="008A3212"/>
    <w:rsid w:val="008A68E3"/>
    <w:rsid w:val="008B34F8"/>
    <w:rsid w:val="008C0D2F"/>
    <w:rsid w:val="008C5813"/>
    <w:rsid w:val="008D05AE"/>
    <w:rsid w:val="008D50A9"/>
    <w:rsid w:val="008E0945"/>
    <w:rsid w:val="008E2844"/>
    <w:rsid w:val="008F0CE8"/>
    <w:rsid w:val="008F5172"/>
    <w:rsid w:val="008F6DCD"/>
    <w:rsid w:val="00903AFD"/>
    <w:rsid w:val="0090533F"/>
    <w:rsid w:val="00906482"/>
    <w:rsid w:val="0091326E"/>
    <w:rsid w:val="009172F1"/>
    <w:rsid w:val="00932466"/>
    <w:rsid w:val="009352A7"/>
    <w:rsid w:val="00955A84"/>
    <w:rsid w:val="00987389"/>
    <w:rsid w:val="0099072F"/>
    <w:rsid w:val="009916C3"/>
    <w:rsid w:val="00992238"/>
    <w:rsid w:val="009973DC"/>
    <w:rsid w:val="009A60A2"/>
    <w:rsid w:val="009B4246"/>
    <w:rsid w:val="009C0C04"/>
    <w:rsid w:val="009E057A"/>
    <w:rsid w:val="009E1804"/>
    <w:rsid w:val="009F2C4F"/>
    <w:rsid w:val="009F3352"/>
    <w:rsid w:val="00A05150"/>
    <w:rsid w:val="00A07094"/>
    <w:rsid w:val="00A14020"/>
    <w:rsid w:val="00A174C3"/>
    <w:rsid w:val="00A21F23"/>
    <w:rsid w:val="00A31DB1"/>
    <w:rsid w:val="00A6029D"/>
    <w:rsid w:val="00A83519"/>
    <w:rsid w:val="00A85E74"/>
    <w:rsid w:val="00A91642"/>
    <w:rsid w:val="00A97941"/>
    <w:rsid w:val="00AB00FE"/>
    <w:rsid w:val="00AB1FB2"/>
    <w:rsid w:val="00AC1966"/>
    <w:rsid w:val="00AC2C11"/>
    <w:rsid w:val="00B00044"/>
    <w:rsid w:val="00B03971"/>
    <w:rsid w:val="00B045CE"/>
    <w:rsid w:val="00B17B25"/>
    <w:rsid w:val="00B43D64"/>
    <w:rsid w:val="00B44728"/>
    <w:rsid w:val="00B447F1"/>
    <w:rsid w:val="00B71CB1"/>
    <w:rsid w:val="00B8055E"/>
    <w:rsid w:val="00B82A2A"/>
    <w:rsid w:val="00B94624"/>
    <w:rsid w:val="00B96CEB"/>
    <w:rsid w:val="00BA7940"/>
    <w:rsid w:val="00BB1B38"/>
    <w:rsid w:val="00BB239A"/>
    <w:rsid w:val="00BD031B"/>
    <w:rsid w:val="00BD212F"/>
    <w:rsid w:val="00BE1F9B"/>
    <w:rsid w:val="00BE2A2C"/>
    <w:rsid w:val="00BE360D"/>
    <w:rsid w:val="00BE4444"/>
    <w:rsid w:val="00BF0FCB"/>
    <w:rsid w:val="00BF2727"/>
    <w:rsid w:val="00BF71A1"/>
    <w:rsid w:val="00C01EBD"/>
    <w:rsid w:val="00C05655"/>
    <w:rsid w:val="00C12027"/>
    <w:rsid w:val="00C25D69"/>
    <w:rsid w:val="00C3066A"/>
    <w:rsid w:val="00C40569"/>
    <w:rsid w:val="00C423D6"/>
    <w:rsid w:val="00C70813"/>
    <w:rsid w:val="00C7168E"/>
    <w:rsid w:val="00C9699E"/>
    <w:rsid w:val="00C97532"/>
    <w:rsid w:val="00CA3D1A"/>
    <w:rsid w:val="00CA6B42"/>
    <w:rsid w:val="00CB37C2"/>
    <w:rsid w:val="00CB6E7F"/>
    <w:rsid w:val="00CD707C"/>
    <w:rsid w:val="00CD7813"/>
    <w:rsid w:val="00CE2882"/>
    <w:rsid w:val="00CF3541"/>
    <w:rsid w:val="00CF529E"/>
    <w:rsid w:val="00D15AC2"/>
    <w:rsid w:val="00D23806"/>
    <w:rsid w:val="00D26D49"/>
    <w:rsid w:val="00D30840"/>
    <w:rsid w:val="00D45650"/>
    <w:rsid w:val="00D579D4"/>
    <w:rsid w:val="00D63978"/>
    <w:rsid w:val="00D6632B"/>
    <w:rsid w:val="00D749C7"/>
    <w:rsid w:val="00D81D2D"/>
    <w:rsid w:val="00D81E3A"/>
    <w:rsid w:val="00D8282C"/>
    <w:rsid w:val="00D84125"/>
    <w:rsid w:val="00DA7FA1"/>
    <w:rsid w:val="00E06994"/>
    <w:rsid w:val="00E14B01"/>
    <w:rsid w:val="00E2291D"/>
    <w:rsid w:val="00E2470E"/>
    <w:rsid w:val="00E32CDF"/>
    <w:rsid w:val="00E33E0E"/>
    <w:rsid w:val="00E50975"/>
    <w:rsid w:val="00E53B8C"/>
    <w:rsid w:val="00E54B24"/>
    <w:rsid w:val="00E6084F"/>
    <w:rsid w:val="00E63B63"/>
    <w:rsid w:val="00E72F04"/>
    <w:rsid w:val="00E835D8"/>
    <w:rsid w:val="00E9519A"/>
    <w:rsid w:val="00E97371"/>
    <w:rsid w:val="00EA39E4"/>
    <w:rsid w:val="00EB2D46"/>
    <w:rsid w:val="00EB4719"/>
    <w:rsid w:val="00EC18DA"/>
    <w:rsid w:val="00EC1E1B"/>
    <w:rsid w:val="00EC5B82"/>
    <w:rsid w:val="00EE0E34"/>
    <w:rsid w:val="00EE0E69"/>
    <w:rsid w:val="00EE7DCE"/>
    <w:rsid w:val="00EF205E"/>
    <w:rsid w:val="00EF3880"/>
    <w:rsid w:val="00EF665B"/>
    <w:rsid w:val="00F02D90"/>
    <w:rsid w:val="00F05BD5"/>
    <w:rsid w:val="00F06156"/>
    <w:rsid w:val="00F11ACB"/>
    <w:rsid w:val="00F12E42"/>
    <w:rsid w:val="00F21C2B"/>
    <w:rsid w:val="00F3447F"/>
    <w:rsid w:val="00F66F3A"/>
    <w:rsid w:val="00F87DDB"/>
    <w:rsid w:val="00FA14F7"/>
    <w:rsid w:val="00FA2C45"/>
    <w:rsid w:val="00FB54F8"/>
    <w:rsid w:val="00FC22BF"/>
    <w:rsid w:val="00FC5161"/>
    <w:rsid w:val="00FC5C85"/>
    <w:rsid w:val="00FC681A"/>
    <w:rsid w:val="00FD35C6"/>
    <w:rsid w:val="00FE0860"/>
    <w:rsid w:val="00FE1A7F"/>
    <w:rsid w:val="00FE3614"/>
    <w:rsid w:val="00FF04E6"/>
    <w:rsid w:val="00FF461A"/>
    <w:rsid w:val="0100133A"/>
    <w:rsid w:val="0106489B"/>
    <w:rsid w:val="014815E8"/>
    <w:rsid w:val="018D0F17"/>
    <w:rsid w:val="01DF4E2A"/>
    <w:rsid w:val="01E652EE"/>
    <w:rsid w:val="01EB45BC"/>
    <w:rsid w:val="01F32B76"/>
    <w:rsid w:val="01FC452A"/>
    <w:rsid w:val="02373BE3"/>
    <w:rsid w:val="02507E23"/>
    <w:rsid w:val="02A22212"/>
    <w:rsid w:val="02D06469"/>
    <w:rsid w:val="02E82687"/>
    <w:rsid w:val="02F24925"/>
    <w:rsid w:val="02FA113E"/>
    <w:rsid w:val="03162A63"/>
    <w:rsid w:val="03AA38CA"/>
    <w:rsid w:val="03C223D2"/>
    <w:rsid w:val="03EA3217"/>
    <w:rsid w:val="040C70B8"/>
    <w:rsid w:val="04270C82"/>
    <w:rsid w:val="046C3066"/>
    <w:rsid w:val="049727D9"/>
    <w:rsid w:val="049A08CB"/>
    <w:rsid w:val="05031C1C"/>
    <w:rsid w:val="05561E22"/>
    <w:rsid w:val="05BA07B9"/>
    <w:rsid w:val="05C75EED"/>
    <w:rsid w:val="05E52BDF"/>
    <w:rsid w:val="05F564C5"/>
    <w:rsid w:val="06021ED4"/>
    <w:rsid w:val="062005AC"/>
    <w:rsid w:val="06600936"/>
    <w:rsid w:val="06604E4C"/>
    <w:rsid w:val="06695AAF"/>
    <w:rsid w:val="072138A8"/>
    <w:rsid w:val="072377C9"/>
    <w:rsid w:val="0730481F"/>
    <w:rsid w:val="075A7AEE"/>
    <w:rsid w:val="07DA49B6"/>
    <w:rsid w:val="07F66A46"/>
    <w:rsid w:val="08000695"/>
    <w:rsid w:val="081A31D6"/>
    <w:rsid w:val="08483D22"/>
    <w:rsid w:val="089A2898"/>
    <w:rsid w:val="08AB6D19"/>
    <w:rsid w:val="08F470C0"/>
    <w:rsid w:val="096C78E9"/>
    <w:rsid w:val="097B6E83"/>
    <w:rsid w:val="09951334"/>
    <w:rsid w:val="09CA7929"/>
    <w:rsid w:val="09CF50FF"/>
    <w:rsid w:val="09E14A16"/>
    <w:rsid w:val="0A2D01B1"/>
    <w:rsid w:val="0A641E54"/>
    <w:rsid w:val="0A6435BA"/>
    <w:rsid w:val="0A9B4D22"/>
    <w:rsid w:val="0ABD286D"/>
    <w:rsid w:val="0BDA170D"/>
    <w:rsid w:val="0C26043E"/>
    <w:rsid w:val="0C4D2126"/>
    <w:rsid w:val="0C9C4CCC"/>
    <w:rsid w:val="0CB35EFE"/>
    <w:rsid w:val="0CB70393"/>
    <w:rsid w:val="0CD60F14"/>
    <w:rsid w:val="0CE72045"/>
    <w:rsid w:val="0D3D37F2"/>
    <w:rsid w:val="0D4C63D9"/>
    <w:rsid w:val="0DA75400"/>
    <w:rsid w:val="0DBD1075"/>
    <w:rsid w:val="0E0621AA"/>
    <w:rsid w:val="0E184557"/>
    <w:rsid w:val="0E3F7A05"/>
    <w:rsid w:val="0E6D5CB3"/>
    <w:rsid w:val="0E7910D3"/>
    <w:rsid w:val="0E7C176F"/>
    <w:rsid w:val="0EA224A6"/>
    <w:rsid w:val="0EC22428"/>
    <w:rsid w:val="0ED939EE"/>
    <w:rsid w:val="0FAB0EE6"/>
    <w:rsid w:val="10106A15"/>
    <w:rsid w:val="10140660"/>
    <w:rsid w:val="105A4862"/>
    <w:rsid w:val="107D4474"/>
    <w:rsid w:val="10A424A2"/>
    <w:rsid w:val="10BA4216"/>
    <w:rsid w:val="10BD596E"/>
    <w:rsid w:val="10C57892"/>
    <w:rsid w:val="10CE0BB3"/>
    <w:rsid w:val="10DE37EE"/>
    <w:rsid w:val="10E51F73"/>
    <w:rsid w:val="10EA3C90"/>
    <w:rsid w:val="10FF186B"/>
    <w:rsid w:val="114147C8"/>
    <w:rsid w:val="11441A61"/>
    <w:rsid w:val="116D6348"/>
    <w:rsid w:val="11F6728F"/>
    <w:rsid w:val="11FE62B2"/>
    <w:rsid w:val="121C1C14"/>
    <w:rsid w:val="124251D5"/>
    <w:rsid w:val="124C6A30"/>
    <w:rsid w:val="124E1FE4"/>
    <w:rsid w:val="12D473A8"/>
    <w:rsid w:val="12D65149"/>
    <w:rsid w:val="12EF60E3"/>
    <w:rsid w:val="134A0A16"/>
    <w:rsid w:val="1358363C"/>
    <w:rsid w:val="135A2869"/>
    <w:rsid w:val="135A2CE6"/>
    <w:rsid w:val="148C2CB4"/>
    <w:rsid w:val="14C8253B"/>
    <w:rsid w:val="14F637E8"/>
    <w:rsid w:val="15066CC8"/>
    <w:rsid w:val="150A062C"/>
    <w:rsid w:val="151D7B6F"/>
    <w:rsid w:val="15220AD0"/>
    <w:rsid w:val="154F0566"/>
    <w:rsid w:val="156F0C08"/>
    <w:rsid w:val="15C15170"/>
    <w:rsid w:val="15E74C42"/>
    <w:rsid w:val="16080C88"/>
    <w:rsid w:val="164B6617"/>
    <w:rsid w:val="16534D65"/>
    <w:rsid w:val="16A42B33"/>
    <w:rsid w:val="16D24029"/>
    <w:rsid w:val="174265A3"/>
    <w:rsid w:val="174F2978"/>
    <w:rsid w:val="17D34097"/>
    <w:rsid w:val="17D47448"/>
    <w:rsid w:val="180F7BFA"/>
    <w:rsid w:val="18172AA3"/>
    <w:rsid w:val="182C4B8E"/>
    <w:rsid w:val="183C3E22"/>
    <w:rsid w:val="189366F4"/>
    <w:rsid w:val="189E3280"/>
    <w:rsid w:val="18B67D0B"/>
    <w:rsid w:val="18CC437C"/>
    <w:rsid w:val="18D562D1"/>
    <w:rsid w:val="192B0CC5"/>
    <w:rsid w:val="198B3BD8"/>
    <w:rsid w:val="19B412DF"/>
    <w:rsid w:val="1A1B422D"/>
    <w:rsid w:val="1A4C32C6"/>
    <w:rsid w:val="1A555BBE"/>
    <w:rsid w:val="1A9935A6"/>
    <w:rsid w:val="1AF67A0C"/>
    <w:rsid w:val="1B293607"/>
    <w:rsid w:val="1B2A7AAB"/>
    <w:rsid w:val="1B3C1A0A"/>
    <w:rsid w:val="1B4F6E56"/>
    <w:rsid w:val="1B644321"/>
    <w:rsid w:val="1BC32914"/>
    <w:rsid w:val="1BC364CF"/>
    <w:rsid w:val="1C076501"/>
    <w:rsid w:val="1CFD4CCE"/>
    <w:rsid w:val="1DBD2EAF"/>
    <w:rsid w:val="1DE010FB"/>
    <w:rsid w:val="1DE657E0"/>
    <w:rsid w:val="1DF2617A"/>
    <w:rsid w:val="1DF81F25"/>
    <w:rsid w:val="1E3E5BD7"/>
    <w:rsid w:val="1E5E6040"/>
    <w:rsid w:val="1E6E14B9"/>
    <w:rsid w:val="1EA57449"/>
    <w:rsid w:val="1EC53466"/>
    <w:rsid w:val="1EE4598D"/>
    <w:rsid w:val="1EE604E7"/>
    <w:rsid w:val="1EF205C8"/>
    <w:rsid w:val="1F0925A6"/>
    <w:rsid w:val="1F347EB1"/>
    <w:rsid w:val="1F4B1077"/>
    <w:rsid w:val="1F81445A"/>
    <w:rsid w:val="1FC763FC"/>
    <w:rsid w:val="1FDE4410"/>
    <w:rsid w:val="20025D67"/>
    <w:rsid w:val="207B7C38"/>
    <w:rsid w:val="208B6382"/>
    <w:rsid w:val="212925B3"/>
    <w:rsid w:val="212B5A08"/>
    <w:rsid w:val="2197576F"/>
    <w:rsid w:val="22112E75"/>
    <w:rsid w:val="22322ACD"/>
    <w:rsid w:val="224329C4"/>
    <w:rsid w:val="224637FF"/>
    <w:rsid w:val="224A3310"/>
    <w:rsid w:val="224B1116"/>
    <w:rsid w:val="22687818"/>
    <w:rsid w:val="22CD23BA"/>
    <w:rsid w:val="22D274BE"/>
    <w:rsid w:val="23165564"/>
    <w:rsid w:val="23A2646D"/>
    <w:rsid w:val="23C63490"/>
    <w:rsid w:val="23DA0A51"/>
    <w:rsid w:val="23FA3D93"/>
    <w:rsid w:val="24061FC9"/>
    <w:rsid w:val="242B219E"/>
    <w:rsid w:val="24575BC1"/>
    <w:rsid w:val="24A40D0E"/>
    <w:rsid w:val="2509014B"/>
    <w:rsid w:val="257B2BAE"/>
    <w:rsid w:val="25DE1BBE"/>
    <w:rsid w:val="25DF60CA"/>
    <w:rsid w:val="26286BC4"/>
    <w:rsid w:val="263F5BCC"/>
    <w:rsid w:val="265F14A3"/>
    <w:rsid w:val="267E4F45"/>
    <w:rsid w:val="271D04C4"/>
    <w:rsid w:val="275C5117"/>
    <w:rsid w:val="275E0771"/>
    <w:rsid w:val="27C67145"/>
    <w:rsid w:val="282D0DB0"/>
    <w:rsid w:val="28644CCD"/>
    <w:rsid w:val="28727FFC"/>
    <w:rsid w:val="28832940"/>
    <w:rsid w:val="28834C9E"/>
    <w:rsid w:val="289B61E6"/>
    <w:rsid w:val="28F84802"/>
    <w:rsid w:val="28FF1B85"/>
    <w:rsid w:val="295B4D02"/>
    <w:rsid w:val="29A23F63"/>
    <w:rsid w:val="29F36F42"/>
    <w:rsid w:val="2A111E36"/>
    <w:rsid w:val="2A4A387B"/>
    <w:rsid w:val="2ADC0696"/>
    <w:rsid w:val="2AFA567B"/>
    <w:rsid w:val="2B515A3E"/>
    <w:rsid w:val="2B84457A"/>
    <w:rsid w:val="2BA04C3D"/>
    <w:rsid w:val="2BB67B28"/>
    <w:rsid w:val="2BE414A3"/>
    <w:rsid w:val="2C107D16"/>
    <w:rsid w:val="2C484235"/>
    <w:rsid w:val="2C586430"/>
    <w:rsid w:val="2C6068CF"/>
    <w:rsid w:val="2C6E17C2"/>
    <w:rsid w:val="2CEA0CC9"/>
    <w:rsid w:val="2CF021D7"/>
    <w:rsid w:val="2D9806CA"/>
    <w:rsid w:val="2D996D12"/>
    <w:rsid w:val="2DE8125C"/>
    <w:rsid w:val="2E334A47"/>
    <w:rsid w:val="2E5069E4"/>
    <w:rsid w:val="2E7058C6"/>
    <w:rsid w:val="2ED10CD9"/>
    <w:rsid w:val="2EE076B2"/>
    <w:rsid w:val="2EE6563F"/>
    <w:rsid w:val="2F146650"/>
    <w:rsid w:val="2F3B1E2F"/>
    <w:rsid w:val="2F5A3CF5"/>
    <w:rsid w:val="2F5E4666"/>
    <w:rsid w:val="2F6446E6"/>
    <w:rsid w:val="2F801E4E"/>
    <w:rsid w:val="2FB168BC"/>
    <w:rsid w:val="2FE75B13"/>
    <w:rsid w:val="2FFB259F"/>
    <w:rsid w:val="3099637E"/>
    <w:rsid w:val="31BC451F"/>
    <w:rsid w:val="31F6552B"/>
    <w:rsid w:val="327B4EF5"/>
    <w:rsid w:val="32B90276"/>
    <w:rsid w:val="32E21544"/>
    <w:rsid w:val="32EB1476"/>
    <w:rsid w:val="334212B2"/>
    <w:rsid w:val="33CB74FA"/>
    <w:rsid w:val="33DD55E0"/>
    <w:rsid w:val="33FE1643"/>
    <w:rsid w:val="34362BC5"/>
    <w:rsid w:val="34643CE9"/>
    <w:rsid w:val="34A26787"/>
    <w:rsid w:val="34E05FA8"/>
    <w:rsid w:val="34E65CC1"/>
    <w:rsid w:val="35303AB8"/>
    <w:rsid w:val="35326F39"/>
    <w:rsid w:val="3589036B"/>
    <w:rsid w:val="35931348"/>
    <w:rsid w:val="35950B25"/>
    <w:rsid w:val="36026A47"/>
    <w:rsid w:val="360E6A3C"/>
    <w:rsid w:val="364041CF"/>
    <w:rsid w:val="36486BE0"/>
    <w:rsid w:val="365E2C35"/>
    <w:rsid w:val="366B11D8"/>
    <w:rsid w:val="36753AEE"/>
    <w:rsid w:val="36EE14D6"/>
    <w:rsid w:val="3727713D"/>
    <w:rsid w:val="372932F0"/>
    <w:rsid w:val="372E5DD5"/>
    <w:rsid w:val="373B2EA5"/>
    <w:rsid w:val="37C34FF4"/>
    <w:rsid w:val="37ED30BD"/>
    <w:rsid w:val="38605796"/>
    <w:rsid w:val="38834D55"/>
    <w:rsid w:val="388A78ED"/>
    <w:rsid w:val="38A02D03"/>
    <w:rsid w:val="38A0791B"/>
    <w:rsid w:val="38B07AD9"/>
    <w:rsid w:val="38D86941"/>
    <w:rsid w:val="38F44DFD"/>
    <w:rsid w:val="390A2872"/>
    <w:rsid w:val="392771AB"/>
    <w:rsid w:val="39557037"/>
    <w:rsid w:val="39675048"/>
    <w:rsid w:val="39693679"/>
    <w:rsid w:val="39A95BE7"/>
    <w:rsid w:val="3A1C285D"/>
    <w:rsid w:val="3A5B4F27"/>
    <w:rsid w:val="3AB50FE3"/>
    <w:rsid w:val="3B102E3D"/>
    <w:rsid w:val="3B225C51"/>
    <w:rsid w:val="3B502CA0"/>
    <w:rsid w:val="3B694282"/>
    <w:rsid w:val="3B8F46C7"/>
    <w:rsid w:val="3B906290"/>
    <w:rsid w:val="3B9F54F4"/>
    <w:rsid w:val="3BC1546A"/>
    <w:rsid w:val="3BE55BD8"/>
    <w:rsid w:val="3BEA251D"/>
    <w:rsid w:val="3C232A7C"/>
    <w:rsid w:val="3C2B34B5"/>
    <w:rsid w:val="3C3025F0"/>
    <w:rsid w:val="3C784110"/>
    <w:rsid w:val="3C823E8D"/>
    <w:rsid w:val="3CA74F44"/>
    <w:rsid w:val="3CFD5A3B"/>
    <w:rsid w:val="3D3845C9"/>
    <w:rsid w:val="3D65451B"/>
    <w:rsid w:val="3DC56D68"/>
    <w:rsid w:val="3DCF3679"/>
    <w:rsid w:val="3DDD0555"/>
    <w:rsid w:val="3DE33F8A"/>
    <w:rsid w:val="3E0A1F36"/>
    <w:rsid w:val="3E1E2760"/>
    <w:rsid w:val="3EE6168C"/>
    <w:rsid w:val="3FA950F5"/>
    <w:rsid w:val="402B1688"/>
    <w:rsid w:val="403532D4"/>
    <w:rsid w:val="40410443"/>
    <w:rsid w:val="40445A97"/>
    <w:rsid w:val="40535C17"/>
    <w:rsid w:val="40980764"/>
    <w:rsid w:val="40A10FCC"/>
    <w:rsid w:val="40B82BB4"/>
    <w:rsid w:val="40BD2D1D"/>
    <w:rsid w:val="40E13EB9"/>
    <w:rsid w:val="40E57CE3"/>
    <w:rsid w:val="40F24318"/>
    <w:rsid w:val="41443395"/>
    <w:rsid w:val="414C4A36"/>
    <w:rsid w:val="41975A10"/>
    <w:rsid w:val="41BB295C"/>
    <w:rsid w:val="42136C52"/>
    <w:rsid w:val="42573A61"/>
    <w:rsid w:val="42B775C7"/>
    <w:rsid w:val="42D20C43"/>
    <w:rsid w:val="42D732B4"/>
    <w:rsid w:val="42F674BF"/>
    <w:rsid w:val="431467C7"/>
    <w:rsid w:val="43EA3084"/>
    <w:rsid w:val="441957DB"/>
    <w:rsid w:val="441D16AC"/>
    <w:rsid w:val="447F1B58"/>
    <w:rsid w:val="44911E3F"/>
    <w:rsid w:val="44D36D97"/>
    <w:rsid w:val="44FE772F"/>
    <w:rsid w:val="45216F7A"/>
    <w:rsid w:val="452A22D2"/>
    <w:rsid w:val="457446CA"/>
    <w:rsid w:val="45B55914"/>
    <w:rsid w:val="45E00319"/>
    <w:rsid w:val="45E309A0"/>
    <w:rsid w:val="460152CD"/>
    <w:rsid w:val="4620687C"/>
    <w:rsid w:val="463D7DE3"/>
    <w:rsid w:val="46551BA1"/>
    <w:rsid w:val="468F72EE"/>
    <w:rsid w:val="46BB7B04"/>
    <w:rsid w:val="46EF5F1C"/>
    <w:rsid w:val="471B1790"/>
    <w:rsid w:val="476E1125"/>
    <w:rsid w:val="478F5094"/>
    <w:rsid w:val="479578E3"/>
    <w:rsid w:val="47A0687C"/>
    <w:rsid w:val="47B03FED"/>
    <w:rsid w:val="47BC5470"/>
    <w:rsid w:val="48353749"/>
    <w:rsid w:val="48B425DA"/>
    <w:rsid w:val="48C8023E"/>
    <w:rsid w:val="494B2817"/>
    <w:rsid w:val="495B5720"/>
    <w:rsid w:val="49957F36"/>
    <w:rsid w:val="49A34E24"/>
    <w:rsid w:val="49F37E00"/>
    <w:rsid w:val="4A38723F"/>
    <w:rsid w:val="4A55488F"/>
    <w:rsid w:val="4A871F75"/>
    <w:rsid w:val="4A8C1829"/>
    <w:rsid w:val="4A9046F6"/>
    <w:rsid w:val="4A906728"/>
    <w:rsid w:val="4A963F66"/>
    <w:rsid w:val="4AA448D5"/>
    <w:rsid w:val="4AA676AC"/>
    <w:rsid w:val="4ACB1B9D"/>
    <w:rsid w:val="4ACB7674"/>
    <w:rsid w:val="4AD30D16"/>
    <w:rsid w:val="4B02784D"/>
    <w:rsid w:val="4B313B12"/>
    <w:rsid w:val="4B95749A"/>
    <w:rsid w:val="4BCF76FF"/>
    <w:rsid w:val="4BDF4223"/>
    <w:rsid w:val="4C0D46FC"/>
    <w:rsid w:val="4C4A7F2C"/>
    <w:rsid w:val="4C5145E8"/>
    <w:rsid w:val="4C8762F0"/>
    <w:rsid w:val="4CC9628B"/>
    <w:rsid w:val="4CCF0875"/>
    <w:rsid w:val="4D096766"/>
    <w:rsid w:val="4D151ABA"/>
    <w:rsid w:val="4D191A80"/>
    <w:rsid w:val="4D7F4451"/>
    <w:rsid w:val="4E0A29EF"/>
    <w:rsid w:val="4E160258"/>
    <w:rsid w:val="4E414CB5"/>
    <w:rsid w:val="4E5128D2"/>
    <w:rsid w:val="4E7B3440"/>
    <w:rsid w:val="4EA5001B"/>
    <w:rsid w:val="4EDC6C58"/>
    <w:rsid w:val="4F24195A"/>
    <w:rsid w:val="4F443F90"/>
    <w:rsid w:val="4F8024CB"/>
    <w:rsid w:val="4FEC63D6"/>
    <w:rsid w:val="502051D1"/>
    <w:rsid w:val="503834D6"/>
    <w:rsid w:val="50665D0A"/>
    <w:rsid w:val="50A3118B"/>
    <w:rsid w:val="50AA65EA"/>
    <w:rsid w:val="51177FF0"/>
    <w:rsid w:val="514364CA"/>
    <w:rsid w:val="517E39AB"/>
    <w:rsid w:val="51E331F7"/>
    <w:rsid w:val="524122EB"/>
    <w:rsid w:val="52657F0A"/>
    <w:rsid w:val="528132B7"/>
    <w:rsid w:val="5281374D"/>
    <w:rsid w:val="52EE6FAE"/>
    <w:rsid w:val="532347EA"/>
    <w:rsid w:val="53235455"/>
    <w:rsid w:val="53370970"/>
    <w:rsid w:val="539E40EB"/>
    <w:rsid w:val="53BC5B41"/>
    <w:rsid w:val="53E977FC"/>
    <w:rsid w:val="53F1478E"/>
    <w:rsid w:val="53F21F8A"/>
    <w:rsid w:val="542515FA"/>
    <w:rsid w:val="546C6CDD"/>
    <w:rsid w:val="54DD317F"/>
    <w:rsid w:val="54EB4EAE"/>
    <w:rsid w:val="54FB5FE3"/>
    <w:rsid w:val="55636E34"/>
    <w:rsid w:val="556A618B"/>
    <w:rsid w:val="5572523E"/>
    <w:rsid w:val="557457E0"/>
    <w:rsid w:val="5586504D"/>
    <w:rsid w:val="55B40692"/>
    <w:rsid w:val="55C71477"/>
    <w:rsid w:val="56005A41"/>
    <w:rsid w:val="56694C24"/>
    <w:rsid w:val="568B4B9B"/>
    <w:rsid w:val="56E274FE"/>
    <w:rsid w:val="56F444EE"/>
    <w:rsid w:val="56FA2EA3"/>
    <w:rsid w:val="575C7787"/>
    <w:rsid w:val="57AC4DC9"/>
    <w:rsid w:val="57DC32D5"/>
    <w:rsid w:val="57FC328C"/>
    <w:rsid w:val="581F1A3E"/>
    <w:rsid w:val="585F01C4"/>
    <w:rsid w:val="586629EE"/>
    <w:rsid w:val="5870229A"/>
    <w:rsid w:val="58801F99"/>
    <w:rsid w:val="588F7194"/>
    <w:rsid w:val="58DF5C9D"/>
    <w:rsid w:val="594B1686"/>
    <w:rsid w:val="596A6CE9"/>
    <w:rsid w:val="59863E28"/>
    <w:rsid w:val="59B058B2"/>
    <w:rsid w:val="59D96863"/>
    <w:rsid w:val="5A1B6236"/>
    <w:rsid w:val="5A2E5203"/>
    <w:rsid w:val="5A3C6CB7"/>
    <w:rsid w:val="5A685C2F"/>
    <w:rsid w:val="5A9D41DD"/>
    <w:rsid w:val="5B337507"/>
    <w:rsid w:val="5B4041A6"/>
    <w:rsid w:val="5B490AD6"/>
    <w:rsid w:val="5B4C18F6"/>
    <w:rsid w:val="5B7205AF"/>
    <w:rsid w:val="5B8914E1"/>
    <w:rsid w:val="5C7778A1"/>
    <w:rsid w:val="5C94061C"/>
    <w:rsid w:val="5CC11316"/>
    <w:rsid w:val="5CC677AB"/>
    <w:rsid w:val="5CED0791"/>
    <w:rsid w:val="5D471AE7"/>
    <w:rsid w:val="5D72779D"/>
    <w:rsid w:val="5D9C1572"/>
    <w:rsid w:val="5D9F0653"/>
    <w:rsid w:val="5DA67FB6"/>
    <w:rsid w:val="5DBD54C2"/>
    <w:rsid w:val="5DE80B25"/>
    <w:rsid w:val="5DFA0BFA"/>
    <w:rsid w:val="5DFD637E"/>
    <w:rsid w:val="5E121ED5"/>
    <w:rsid w:val="5E3C135E"/>
    <w:rsid w:val="5E607025"/>
    <w:rsid w:val="5E944CE6"/>
    <w:rsid w:val="5EAB790A"/>
    <w:rsid w:val="5F4A0BBD"/>
    <w:rsid w:val="5F8A270D"/>
    <w:rsid w:val="60644D29"/>
    <w:rsid w:val="6065020A"/>
    <w:rsid w:val="606E20D1"/>
    <w:rsid w:val="60856787"/>
    <w:rsid w:val="60BC500A"/>
    <w:rsid w:val="61676358"/>
    <w:rsid w:val="61843E03"/>
    <w:rsid w:val="619F3513"/>
    <w:rsid w:val="61AC1611"/>
    <w:rsid w:val="61F8419F"/>
    <w:rsid w:val="62290157"/>
    <w:rsid w:val="626369CC"/>
    <w:rsid w:val="629C11CA"/>
    <w:rsid w:val="62A35AC7"/>
    <w:rsid w:val="62B815BD"/>
    <w:rsid w:val="63051831"/>
    <w:rsid w:val="63292B02"/>
    <w:rsid w:val="63457A33"/>
    <w:rsid w:val="63BE65AF"/>
    <w:rsid w:val="63FB4F11"/>
    <w:rsid w:val="640214AB"/>
    <w:rsid w:val="6410136B"/>
    <w:rsid w:val="644B22B1"/>
    <w:rsid w:val="64B754B4"/>
    <w:rsid w:val="64EC2CA8"/>
    <w:rsid w:val="64F475FC"/>
    <w:rsid w:val="650A1380"/>
    <w:rsid w:val="655B0611"/>
    <w:rsid w:val="65DC3C04"/>
    <w:rsid w:val="66034438"/>
    <w:rsid w:val="66442670"/>
    <w:rsid w:val="666943A0"/>
    <w:rsid w:val="669359BB"/>
    <w:rsid w:val="66FD49DD"/>
    <w:rsid w:val="67054B7E"/>
    <w:rsid w:val="67770920"/>
    <w:rsid w:val="67950339"/>
    <w:rsid w:val="68172C2F"/>
    <w:rsid w:val="68D20CA8"/>
    <w:rsid w:val="68D6059E"/>
    <w:rsid w:val="68D84317"/>
    <w:rsid w:val="69027EBD"/>
    <w:rsid w:val="69431651"/>
    <w:rsid w:val="69DA41BE"/>
    <w:rsid w:val="69DB27D0"/>
    <w:rsid w:val="6A130CD7"/>
    <w:rsid w:val="6A4E1979"/>
    <w:rsid w:val="6A6432E1"/>
    <w:rsid w:val="6A703F38"/>
    <w:rsid w:val="6A75351F"/>
    <w:rsid w:val="6A7B77C2"/>
    <w:rsid w:val="6A8F63BD"/>
    <w:rsid w:val="6AC61C88"/>
    <w:rsid w:val="6B203839"/>
    <w:rsid w:val="6B5B5C18"/>
    <w:rsid w:val="6B665669"/>
    <w:rsid w:val="6B875C9C"/>
    <w:rsid w:val="6BC34E0A"/>
    <w:rsid w:val="6C0C59DE"/>
    <w:rsid w:val="6C1F3963"/>
    <w:rsid w:val="6C66332B"/>
    <w:rsid w:val="6CC63D2D"/>
    <w:rsid w:val="6CD3474E"/>
    <w:rsid w:val="6CD9429C"/>
    <w:rsid w:val="6CE60925"/>
    <w:rsid w:val="6D056144"/>
    <w:rsid w:val="6D1639CE"/>
    <w:rsid w:val="6D2F1DE5"/>
    <w:rsid w:val="6D8A305E"/>
    <w:rsid w:val="6DEA1D4F"/>
    <w:rsid w:val="6E082895"/>
    <w:rsid w:val="6E152B4F"/>
    <w:rsid w:val="6E1E15FA"/>
    <w:rsid w:val="6E4F623D"/>
    <w:rsid w:val="6E733488"/>
    <w:rsid w:val="6E7361E8"/>
    <w:rsid w:val="6EAB174B"/>
    <w:rsid w:val="6EAB1C7A"/>
    <w:rsid w:val="6EE82732"/>
    <w:rsid w:val="6EFE26E7"/>
    <w:rsid w:val="6F370FC4"/>
    <w:rsid w:val="6FB1184F"/>
    <w:rsid w:val="6FCD1928"/>
    <w:rsid w:val="6FFE610F"/>
    <w:rsid w:val="704B2614"/>
    <w:rsid w:val="70C25205"/>
    <w:rsid w:val="713E0D14"/>
    <w:rsid w:val="71AA1D23"/>
    <w:rsid w:val="72DF71EA"/>
    <w:rsid w:val="730D4FA6"/>
    <w:rsid w:val="73584B5D"/>
    <w:rsid w:val="73AD361F"/>
    <w:rsid w:val="73F53ABA"/>
    <w:rsid w:val="7421474C"/>
    <w:rsid w:val="745D1A82"/>
    <w:rsid w:val="748220F8"/>
    <w:rsid w:val="7490285F"/>
    <w:rsid w:val="74A7099A"/>
    <w:rsid w:val="74B35EF7"/>
    <w:rsid w:val="74F00A13"/>
    <w:rsid w:val="75267250"/>
    <w:rsid w:val="753A0D49"/>
    <w:rsid w:val="75AC46A1"/>
    <w:rsid w:val="75DA3D8A"/>
    <w:rsid w:val="75E52B0D"/>
    <w:rsid w:val="75F47BD6"/>
    <w:rsid w:val="75F54C89"/>
    <w:rsid w:val="761241C1"/>
    <w:rsid w:val="761B7D5B"/>
    <w:rsid w:val="765B003F"/>
    <w:rsid w:val="766567B4"/>
    <w:rsid w:val="766B7857"/>
    <w:rsid w:val="766C1E9B"/>
    <w:rsid w:val="76BD0903"/>
    <w:rsid w:val="76C715A8"/>
    <w:rsid w:val="76E62694"/>
    <w:rsid w:val="76E846AE"/>
    <w:rsid w:val="772332F4"/>
    <w:rsid w:val="7765252F"/>
    <w:rsid w:val="777F3480"/>
    <w:rsid w:val="77C67389"/>
    <w:rsid w:val="77CE7659"/>
    <w:rsid w:val="77F96869"/>
    <w:rsid w:val="786059F6"/>
    <w:rsid w:val="78AA797A"/>
    <w:rsid w:val="78B039E4"/>
    <w:rsid w:val="78D0715B"/>
    <w:rsid w:val="791907EA"/>
    <w:rsid w:val="792737ED"/>
    <w:rsid w:val="79774EF0"/>
    <w:rsid w:val="797846B3"/>
    <w:rsid w:val="799C4845"/>
    <w:rsid w:val="7A0A5C53"/>
    <w:rsid w:val="7A1123D9"/>
    <w:rsid w:val="7A5C06CB"/>
    <w:rsid w:val="7A7632E8"/>
    <w:rsid w:val="7AB017DB"/>
    <w:rsid w:val="7ACC1387"/>
    <w:rsid w:val="7AF7027F"/>
    <w:rsid w:val="7B786BEC"/>
    <w:rsid w:val="7BAF23C3"/>
    <w:rsid w:val="7BE558E9"/>
    <w:rsid w:val="7C02295A"/>
    <w:rsid w:val="7C1A4147"/>
    <w:rsid w:val="7C6453C2"/>
    <w:rsid w:val="7C8C02AE"/>
    <w:rsid w:val="7D0D15B6"/>
    <w:rsid w:val="7D190F27"/>
    <w:rsid w:val="7D7830DC"/>
    <w:rsid w:val="7DAC69B0"/>
    <w:rsid w:val="7E24305B"/>
    <w:rsid w:val="7ECA594B"/>
    <w:rsid w:val="7EE70F8E"/>
    <w:rsid w:val="7F4613B0"/>
    <w:rsid w:val="7F4F5EB6"/>
    <w:rsid w:val="7F5A5FE6"/>
    <w:rsid w:val="7FE86DD2"/>
    <w:rsid w:val="7FF13853"/>
    <w:rsid w:val="7FF62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spacing w:line="520" w:lineRule="exact"/>
      <w:jc w:val="center"/>
      <w:outlineLvl w:val="0"/>
    </w:pPr>
    <w:rPr>
      <w:rFonts w:eastAsia="仿宋_GB2312"/>
      <w:sz w:val="30"/>
    </w:rPr>
  </w:style>
  <w:style w:type="paragraph" w:styleId="4">
    <w:name w:val="heading 2"/>
    <w:basedOn w:val="1"/>
    <w:next w:val="1"/>
    <w:link w:val="40"/>
    <w:autoRedefine/>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spacing w:line="520" w:lineRule="exact"/>
      <w:ind w:right="-51"/>
      <w:outlineLvl w:val="2"/>
    </w:pPr>
    <w:rPr>
      <w:b/>
      <w:sz w:val="24"/>
    </w:rPr>
  </w:style>
  <w:style w:type="paragraph" w:styleId="6">
    <w:name w:val="heading 4"/>
    <w:basedOn w:val="1"/>
    <w:next w:val="1"/>
    <w:autoRedefine/>
    <w:qFormat/>
    <w:uiPriority w:val="0"/>
    <w:pPr>
      <w:keepNext/>
      <w:keepLines/>
      <w:spacing w:before="280" w:after="290" w:line="372" w:lineRule="auto"/>
      <w:outlineLvl w:val="3"/>
    </w:pPr>
    <w:rPr>
      <w:rFonts w:ascii="Cambria" w:hAnsi="Cambria"/>
      <w:b/>
      <w:bCs/>
      <w:sz w:val="28"/>
      <w:szCs w:val="28"/>
    </w:rPr>
  </w:style>
  <w:style w:type="paragraph" w:styleId="7">
    <w:name w:val="heading 5"/>
    <w:basedOn w:val="1"/>
    <w:next w:val="1"/>
    <w:semiHidden/>
    <w:unhideWhenUsed/>
    <w:qFormat/>
    <w:uiPriority w:val="0"/>
    <w:pPr>
      <w:spacing w:line="12" w:lineRule="atLeast"/>
      <w:jc w:val="left"/>
      <w:outlineLvl w:val="4"/>
    </w:pPr>
    <w:rPr>
      <w:rFonts w:hint="eastAsia" w:ascii="宋体" w:hAnsi="宋体"/>
      <w:b/>
      <w:bCs/>
      <w:kern w:val="0"/>
      <w:sz w:val="16"/>
      <w:szCs w:val="16"/>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autoRedefine/>
    <w:qFormat/>
    <w:uiPriority w:val="0"/>
    <w:pPr>
      <w:ind w:firstLine="420"/>
    </w:pPr>
  </w:style>
  <w:style w:type="paragraph" w:styleId="9">
    <w:name w:val="annotation text"/>
    <w:basedOn w:val="1"/>
    <w:next w:val="1"/>
    <w:link w:val="61"/>
    <w:autoRedefine/>
    <w:qFormat/>
    <w:uiPriority w:val="0"/>
    <w:pPr>
      <w:jc w:val="left"/>
    </w:pPr>
  </w:style>
  <w:style w:type="paragraph" w:styleId="10">
    <w:name w:val="Body Text"/>
    <w:basedOn w:val="1"/>
    <w:next w:val="11"/>
    <w:autoRedefine/>
    <w:qFormat/>
    <w:uiPriority w:val="0"/>
  </w:style>
  <w:style w:type="paragraph" w:styleId="11">
    <w:name w:val="Body Text 2"/>
    <w:basedOn w:val="1"/>
    <w:qFormat/>
    <w:uiPriority w:val="99"/>
    <w:pPr>
      <w:spacing w:after="120" w:line="480" w:lineRule="auto"/>
    </w:pPr>
  </w:style>
  <w:style w:type="paragraph" w:styleId="12">
    <w:name w:val="Body Text Indent"/>
    <w:basedOn w:val="1"/>
    <w:autoRedefine/>
    <w:qFormat/>
    <w:uiPriority w:val="0"/>
    <w:pPr>
      <w:spacing w:before="100" w:beforeAutospacing="1"/>
      <w:ind w:left="420" w:leftChars="200"/>
    </w:pPr>
  </w:style>
  <w:style w:type="paragraph" w:styleId="13">
    <w:name w:val="toc 3"/>
    <w:basedOn w:val="1"/>
    <w:next w:val="1"/>
    <w:autoRedefine/>
    <w:qFormat/>
    <w:uiPriority w:val="39"/>
    <w:pPr>
      <w:ind w:left="840" w:leftChars="400"/>
    </w:pPr>
  </w:style>
  <w:style w:type="paragraph" w:styleId="14">
    <w:name w:val="Plain Text"/>
    <w:basedOn w:val="1"/>
    <w:autoRedefine/>
    <w:qFormat/>
    <w:uiPriority w:val="0"/>
    <w:rPr>
      <w:rFonts w:hint="eastAsia" w:ascii="宋体" w:hAnsi="Courier New"/>
    </w:rPr>
  </w:style>
  <w:style w:type="paragraph" w:styleId="15">
    <w:name w:val="Date"/>
    <w:basedOn w:val="1"/>
    <w:next w:val="1"/>
    <w:qFormat/>
    <w:uiPriority w:val="0"/>
    <w:pPr>
      <w:ind w:left="100" w:leftChars="2500"/>
    </w:pPr>
  </w:style>
  <w:style w:type="paragraph" w:styleId="16">
    <w:name w:val="Body Text Indent 2"/>
    <w:basedOn w:val="1"/>
    <w:next w:val="1"/>
    <w:autoRedefine/>
    <w:qFormat/>
    <w:uiPriority w:val="0"/>
    <w:pPr>
      <w:spacing w:line="40" w:lineRule="atLeast"/>
      <w:ind w:firstLine="538" w:firstLineChars="192"/>
    </w:pPr>
    <w:rPr>
      <w:rFonts w:ascii="宋体" w:hAnsi="宋体"/>
      <w:kern w:val="0"/>
      <w:sz w:val="28"/>
    </w:rPr>
  </w:style>
  <w:style w:type="paragraph" w:styleId="17">
    <w:name w:val="Balloon Text"/>
    <w:basedOn w:val="1"/>
    <w:link w:val="41"/>
    <w:autoRedefine/>
    <w:qFormat/>
    <w:uiPriority w:val="0"/>
    <w:rPr>
      <w:sz w:val="18"/>
      <w:szCs w:val="18"/>
    </w:rPr>
  </w:style>
  <w:style w:type="paragraph" w:styleId="18">
    <w:name w:val="footer"/>
    <w:basedOn w:val="1"/>
    <w:link w:val="42"/>
    <w:autoRedefine/>
    <w:qFormat/>
    <w:uiPriority w:val="99"/>
    <w:pPr>
      <w:tabs>
        <w:tab w:val="center" w:pos="4153"/>
        <w:tab w:val="right" w:pos="8306"/>
      </w:tabs>
      <w:snapToGrid w:val="0"/>
      <w:jc w:val="left"/>
    </w:pPr>
    <w:rPr>
      <w:sz w:val="18"/>
    </w:rPr>
  </w:style>
  <w:style w:type="paragraph" w:styleId="19">
    <w:name w:val="header"/>
    <w:basedOn w:val="1"/>
    <w:autoRedefine/>
    <w:qFormat/>
    <w:uiPriority w:val="0"/>
    <w:pPr>
      <w:tabs>
        <w:tab w:val="center" w:pos="4153"/>
        <w:tab w:val="right" w:pos="8306"/>
      </w:tabs>
      <w:snapToGrid w:val="0"/>
    </w:pPr>
    <w:rPr>
      <w:sz w:val="18"/>
    </w:rPr>
  </w:style>
  <w:style w:type="paragraph" w:styleId="20">
    <w:name w:val="toc 1"/>
    <w:basedOn w:val="1"/>
    <w:next w:val="1"/>
    <w:autoRedefine/>
    <w:qFormat/>
    <w:uiPriority w:val="39"/>
  </w:style>
  <w:style w:type="paragraph" w:styleId="21">
    <w:name w:val="toc 2"/>
    <w:basedOn w:val="1"/>
    <w:next w:val="1"/>
    <w:autoRedefine/>
    <w:qFormat/>
    <w:uiPriority w:val="39"/>
    <w:pPr>
      <w:ind w:left="420" w:leftChars="200"/>
    </w:pPr>
  </w:style>
  <w:style w:type="paragraph" w:styleId="22">
    <w:name w:val="Normal (Web)"/>
    <w:basedOn w:val="1"/>
    <w:autoRedefine/>
    <w:qFormat/>
    <w:uiPriority w:val="0"/>
    <w:pPr>
      <w:widowControl/>
      <w:spacing w:beforeAutospacing="1" w:afterAutospacing="1"/>
      <w:jc w:val="left"/>
    </w:pPr>
    <w:rPr>
      <w:rFonts w:ascii="Arial Unicode MS" w:hAnsi="Arial Unicode MS" w:eastAsia="Arial Unicode MS"/>
      <w:kern w:val="0"/>
      <w:sz w:val="24"/>
    </w:rPr>
  </w:style>
  <w:style w:type="paragraph" w:styleId="23">
    <w:name w:val="Title"/>
    <w:basedOn w:val="1"/>
    <w:next w:val="1"/>
    <w:link w:val="43"/>
    <w:autoRedefine/>
    <w:qFormat/>
    <w:uiPriority w:val="0"/>
    <w:pPr>
      <w:spacing w:before="240" w:after="60"/>
      <w:jc w:val="center"/>
      <w:outlineLvl w:val="0"/>
    </w:pPr>
    <w:rPr>
      <w:rFonts w:ascii="Cambria" w:hAnsi="Cambria"/>
      <w:b/>
      <w:bCs/>
      <w:sz w:val="32"/>
      <w:szCs w:val="32"/>
    </w:rPr>
  </w:style>
  <w:style w:type="paragraph" w:styleId="24">
    <w:name w:val="annotation subject"/>
    <w:basedOn w:val="9"/>
    <w:next w:val="9"/>
    <w:link w:val="62"/>
    <w:autoRedefine/>
    <w:qFormat/>
    <w:uiPriority w:val="0"/>
    <w:rPr>
      <w:b/>
      <w:bCs/>
    </w:rPr>
  </w:style>
  <w:style w:type="paragraph" w:styleId="25">
    <w:name w:val="Body Text First Indent"/>
    <w:basedOn w:val="10"/>
    <w:next w:val="26"/>
    <w:unhideWhenUsed/>
    <w:qFormat/>
    <w:uiPriority w:val="99"/>
    <w:pPr>
      <w:spacing w:after="120"/>
      <w:ind w:firstLine="420" w:firstLineChars="100"/>
    </w:pPr>
    <w:rPr>
      <w:szCs w:val="24"/>
    </w:rPr>
  </w:style>
  <w:style w:type="paragraph" w:styleId="26">
    <w:name w:val="Body Text First Indent 2"/>
    <w:basedOn w:val="12"/>
    <w:next w:val="15"/>
    <w:autoRedefine/>
    <w:qFormat/>
    <w:uiPriority w:val="0"/>
    <w:pPr>
      <w:spacing w:line="360" w:lineRule="auto"/>
      <w:ind w:firstLine="420" w:firstLineChars="200"/>
    </w:pPr>
    <w:rPr>
      <w:rFonts w:eastAsia="仿宋_GB2312"/>
      <w:spacing w:val="15"/>
      <w:kern w:val="10"/>
      <w:sz w:val="24"/>
      <w:szCs w:val="24"/>
    </w:r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rFonts w:cs="Times New Roman"/>
      <w:b/>
      <w:bCs/>
      <w:szCs w:val="20"/>
    </w:rPr>
  </w:style>
  <w:style w:type="character" w:styleId="31">
    <w:name w:val="page number"/>
    <w:basedOn w:val="29"/>
    <w:autoRedefine/>
    <w:qFormat/>
    <w:uiPriority w:val="0"/>
  </w:style>
  <w:style w:type="character" w:styleId="32">
    <w:name w:val="FollowedHyperlink"/>
    <w:basedOn w:val="29"/>
    <w:autoRedefine/>
    <w:qFormat/>
    <w:uiPriority w:val="0"/>
    <w:rPr>
      <w:color w:val="000000"/>
      <w:u w:val="none"/>
    </w:rPr>
  </w:style>
  <w:style w:type="character" w:styleId="33">
    <w:name w:val="Emphasis"/>
    <w:basedOn w:val="29"/>
    <w:autoRedefine/>
    <w:qFormat/>
    <w:uiPriority w:val="0"/>
  </w:style>
  <w:style w:type="character" w:styleId="34">
    <w:name w:val="HTML Definition"/>
    <w:basedOn w:val="29"/>
    <w:qFormat/>
    <w:uiPriority w:val="0"/>
    <w:rPr>
      <w:i/>
      <w:iCs/>
    </w:rPr>
  </w:style>
  <w:style w:type="character" w:styleId="35">
    <w:name w:val="Hyperlink"/>
    <w:autoRedefine/>
    <w:qFormat/>
    <w:uiPriority w:val="0"/>
    <w:rPr>
      <w:color w:val="333333"/>
      <w:sz w:val="18"/>
      <w:szCs w:val="18"/>
      <w:u w:val="none"/>
    </w:rPr>
  </w:style>
  <w:style w:type="character" w:styleId="36">
    <w:name w:val="HTML Code"/>
    <w:basedOn w:val="29"/>
    <w:qFormat/>
    <w:uiPriority w:val="0"/>
    <w:rPr>
      <w:rFonts w:hint="default" w:ascii="Consolas" w:hAnsi="Consolas" w:eastAsia="Consolas" w:cs="Consolas"/>
      <w:color w:val="C7254E"/>
      <w:sz w:val="21"/>
      <w:szCs w:val="21"/>
      <w:shd w:val="clear" w:color="auto" w:fill="F9F2F4"/>
    </w:rPr>
  </w:style>
  <w:style w:type="character" w:styleId="37">
    <w:name w:val="annotation reference"/>
    <w:basedOn w:val="29"/>
    <w:autoRedefine/>
    <w:qFormat/>
    <w:uiPriority w:val="0"/>
    <w:rPr>
      <w:sz w:val="21"/>
      <w:szCs w:val="21"/>
    </w:rPr>
  </w:style>
  <w:style w:type="character" w:styleId="38">
    <w:name w:val="HTML Keyboard"/>
    <w:basedOn w:val="29"/>
    <w:qFormat/>
    <w:uiPriority w:val="0"/>
    <w:rPr>
      <w:rFonts w:hint="default" w:ascii="Consolas" w:hAnsi="Consolas" w:eastAsia="Consolas" w:cs="Consolas"/>
      <w:color w:val="FFFFFF"/>
      <w:sz w:val="21"/>
      <w:szCs w:val="21"/>
      <w:shd w:val="clear" w:color="auto" w:fill="333333"/>
    </w:rPr>
  </w:style>
  <w:style w:type="character" w:styleId="39">
    <w:name w:val="HTML Sample"/>
    <w:basedOn w:val="29"/>
    <w:qFormat/>
    <w:uiPriority w:val="0"/>
    <w:rPr>
      <w:rFonts w:ascii="Consolas" w:hAnsi="Consolas" w:eastAsia="Consolas" w:cs="Consolas"/>
      <w:sz w:val="21"/>
      <w:szCs w:val="21"/>
    </w:rPr>
  </w:style>
  <w:style w:type="character" w:customStyle="1" w:styleId="40">
    <w:name w:val="标题 2 字符"/>
    <w:link w:val="4"/>
    <w:autoRedefine/>
    <w:qFormat/>
    <w:uiPriority w:val="0"/>
    <w:rPr>
      <w:rFonts w:ascii="Arial" w:hAnsi="Arial" w:eastAsia="黑体"/>
      <w:b/>
      <w:bCs/>
      <w:kern w:val="2"/>
      <w:sz w:val="32"/>
      <w:szCs w:val="32"/>
      <w:lang w:val="en-US" w:eastAsia="zh-CN" w:bidi="ar-SA"/>
    </w:rPr>
  </w:style>
  <w:style w:type="character" w:customStyle="1" w:styleId="41">
    <w:name w:val="批注框文本 字符"/>
    <w:link w:val="17"/>
    <w:autoRedefine/>
    <w:qFormat/>
    <w:uiPriority w:val="0"/>
    <w:rPr>
      <w:kern w:val="2"/>
      <w:sz w:val="18"/>
      <w:szCs w:val="18"/>
    </w:rPr>
  </w:style>
  <w:style w:type="character" w:customStyle="1" w:styleId="42">
    <w:name w:val="页脚 字符"/>
    <w:link w:val="18"/>
    <w:autoRedefine/>
    <w:qFormat/>
    <w:uiPriority w:val="99"/>
    <w:rPr>
      <w:kern w:val="2"/>
      <w:sz w:val="18"/>
    </w:rPr>
  </w:style>
  <w:style w:type="character" w:customStyle="1" w:styleId="43">
    <w:name w:val="标题 字符"/>
    <w:link w:val="23"/>
    <w:autoRedefine/>
    <w:qFormat/>
    <w:uiPriority w:val="0"/>
    <w:rPr>
      <w:rFonts w:ascii="Cambria" w:hAnsi="Cambria" w:cs="Times New Roman"/>
      <w:b/>
      <w:bCs/>
      <w:kern w:val="2"/>
      <w:sz w:val="32"/>
      <w:szCs w:val="32"/>
    </w:rPr>
  </w:style>
  <w:style w:type="paragraph" w:customStyle="1" w:styleId="44">
    <w:name w:val="无间隔1"/>
    <w:basedOn w:val="45"/>
    <w:autoRedefine/>
    <w:qFormat/>
    <w:uiPriority w:val="99"/>
    <w:pPr>
      <w:spacing w:line="400" w:lineRule="exact"/>
    </w:pPr>
    <w:rPr>
      <w:sz w:val="24"/>
    </w:rPr>
  </w:style>
  <w:style w:type="paragraph" w:customStyle="1" w:styleId="45">
    <w:name w:val="正文_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样式 标题 1 + 黑体 三号 非加粗 居中 段前: 6 磅 段后: 6 磅 行距: 固定值 20 磅"/>
    <w:basedOn w:val="3"/>
    <w:autoRedefine/>
    <w:qFormat/>
    <w:uiPriority w:val="0"/>
    <w:pPr>
      <w:spacing w:line="400" w:lineRule="exact"/>
    </w:pPr>
    <w:rPr>
      <w:rFonts w:ascii="黑体" w:hAnsi="黑体" w:eastAsia="黑体" w:cs="宋体"/>
      <w:b/>
      <w:bCs/>
      <w:sz w:val="32"/>
    </w:rPr>
  </w:style>
  <w:style w:type="paragraph" w:customStyle="1" w:styleId="47">
    <w:name w:val="样式 标题 3 + (中文) 黑体 小四 非加粗 段前: 7.8 磅 段后: 0 磅 行距: 固定值 20 磅"/>
    <w:basedOn w:val="5"/>
    <w:link w:val="48"/>
    <w:autoRedefine/>
    <w:qFormat/>
    <w:uiPriority w:val="0"/>
    <w:pPr>
      <w:spacing w:line="400" w:lineRule="exact"/>
    </w:pPr>
    <w:rPr>
      <w:rFonts w:eastAsia="黑体" w:cs="宋体"/>
      <w:b w:val="0"/>
      <w:bCs/>
    </w:rPr>
  </w:style>
  <w:style w:type="character" w:customStyle="1" w:styleId="48">
    <w:name w:val="样式 标题 3 + (中文) 黑体 小四 非加粗 段前: 7.8 磅 段后: 0 磅 行距: 固定值 20 磅 Char"/>
    <w:link w:val="47"/>
    <w:autoRedefine/>
    <w:qFormat/>
    <w:uiPriority w:val="0"/>
    <w:rPr>
      <w:rFonts w:eastAsia="黑体" w:cs="宋体"/>
      <w:bCs/>
      <w:kern w:val="2"/>
      <w:sz w:val="24"/>
    </w:rPr>
  </w:style>
  <w:style w:type="paragraph" w:customStyle="1" w:styleId="49">
    <w:name w:val="正文缩进1"/>
    <w:basedOn w:val="1"/>
    <w:autoRedefine/>
    <w:qFormat/>
    <w:uiPriority w:val="0"/>
    <w:pPr>
      <w:spacing w:line="400" w:lineRule="exact"/>
      <w:ind w:firstLine="510"/>
    </w:pPr>
    <w:rPr>
      <w:sz w:val="28"/>
    </w:rPr>
  </w:style>
  <w:style w:type="paragraph" w:customStyle="1" w:styleId="50">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51">
    <w:name w:val="*正文"/>
    <w:basedOn w:val="1"/>
    <w:autoRedefine/>
    <w:qFormat/>
    <w:uiPriority w:val="0"/>
    <w:pPr>
      <w:keepNext/>
      <w:keepLines/>
      <w:spacing w:line="360" w:lineRule="auto"/>
      <w:ind w:firstLine="200" w:firstLineChars="200"/>
    </w:pPr>
    <w:rPr>
      <w:rFonts w:ascii="宋体" w:hAnsi="宋体"/>
      <w:szCs w:val="24"/>
    </w:rPr>
  </w:style>
  <w:style w:type="paragraph" w:customStyle="1" w:styleId="52">
    <w:name w:val="节标题"/>
    <w:basedOn w:val="1"/>
    <w:next w:val="1"/>
    <w:autoRedefine/>
    <w:qFormat/>
    <w:uiPriority w:val="0"/>
    <w:pPr>
      <w:widowControl/>
      <w:spacing w:line="578" w:lineRule="atLeast"/>
      <w:jc w:val="center"/>
      <w:textAlignment w:val="baseline"/>
    </w:pPr>
    <w:rPr>
      <w:color w:val="000000"/>
      <w:kern w:val="0"/>
      <w:sz w:val="28"/>
      <w:u w:color="000000"/>
    </w:rPr>
  </w:style>
  <w:style w:type="paragraph" w:customStyle="1" w:styleId="53">
    <w:name w:val="Char Char1 Char Char Char Char Char Char Char Char"/>
    <w:basedOn w:val="1"/>
    <w:autoRedefine/>
    <w:qFormat/>
    <w:uiPriority w:val="0"/>
    <w:pPr>
      <w:widowControl/>
      <w:spacing w:line="240" w:lineRule="exact"/>
      <w:jc w:val="left"/>
    </w:pPr>
  </w:style>
  <w:style w:type="paragraph" w:customStyle="1" w:styleId="54">
    <w:name w:val="Char Char1 Char Char Char Char Char Char Char Char1"/>
    <w:basedOn w:val="1"/>
    <w:autoRedefine/>
    <w:qFormat/>
    <w:uiPriority w:val="0"/>
    <w:pPr>
      <w:widowControl/>
      <w:spacing w:after="160" w:line="240" w:lineRule="exact"/>
      <w:jc w:val="left"/>
    </w:pPr>
  </w:style>
  <w:style w:type="paragraph" w:customStyle="1" w:styleId="55">
    <w:name w:val="cjk"/>
    <w:basedOn w:val="1"/>
    <w:autoRedefine/>
    <w:qFormat/>
    <w:uiPriority w:val="0"/>
    <w:pPr>
      <w:widowControl/>
      <w:spacing w:line="480" w:lineRule="auto"/>
      <w:jc w:val="left"/>
    </w:pPr>
    <w:rPr>
      <w:rFonts w:ascii="宋体" w:hAnsi="宋体" w:cs="宋体"/>
      <w:kern w:val="0"/>
      <w:sz w:val="24"/>
      <w:szCs w:val="24"/>
    </w:rPr>
  </w:style>
  <w:style w:type="character" w:customStyle="1" w:styleId="56">
    <w:name w:val="MSG_EN_FONT_STYLE_NAME_TEMPLATE_ROLE_NUMBER MSG_EN_FONT_STYLE_NAME_BY_ROLE_TEXT 23"/>
    <w:autoRedefine/>
    <w:qFormat/>
    <w:uiPriority w:val="0"/>
    <w:rPr>
      <w:rFonts w:ascii="宋体" w:hAnsi="宋体" w:eastAsia="宋体" w:cs="宋体"/>
      <w:color w:val="000000"/>
      <w:spacing w:val="0"/>
      <w:w w:val="100"/>
      <w:position w:val="0"/>
      <w:sz w:val="20"/>
      <w:szCs w:val="20"/>
      <w:u w:val="none"/>
      <w:lang w:val="zh-CN" w:eastAsia="zh-CN" w:bidi="zh-CN"/>
    </w:rPr>
  </w:style>
  <w:style w:type="paragraph" w:customStyle="1" w:styleId="57">
    <w:name w:val="MSG_EN_FONT_STYLE_NAME_TEMPLATE_ROLE_NUMBER MSG_EN_FONT_STYLE_NAME_BY_ROLE_TEXT 21"/>
    <w:basedOn w:val="1"/>
    <w:link w:val="63"/>
    <w:autoRedefine/>
    <w:qFormat/>
    <w:uiPriority w:val="0"/>
    <w:pPr>
      <w:shd w:val="clear" w:color="auto" w:fill="FFFFFF"/>
      <w:spacing w:before="240" w:line="355" w:lineRule="exact"/>
    </w:pPr>
    <w:rPr>
      <w:rFonts w:ascii="宋体" w:hAnsi="宋体"/>
      <w:sz w:val="20"/>
    </w:rPr>
  </w:style>
  <w:style w:type="character" w:customStyle="1" w:styleId="58">
    <w:name w:val="MSG_EN_FONT_STYLE_NAME_TEMPLATE_ROLE_NUMBER MSG_EN_FONT_STYLE_NAME_BY_ROLE_TEXT 2 + MSG_EN_FONT_STYLE_MODIFER_SPACING 3"/>
    <w:autoRedefine/>
    <w:qFormat/>
    <w:uiPriority w:val="0"/>
    <w:rPr>
      <w:rFonts w:ascii="宋体" w:hAnsi="宋体" w:eastAsia="宋体" w:cs="宋体"/>
      <w:color w:val="000000"/>
      <w:spacing w:val="70"/>
      <w:w w:val="100"/>
      <w:position w:val="0"/>
      <w:sz w:val="20"/>
      <w:szCs w:val="20"/>
      <w:u w:val="none"/>
      <w:lang w:val="zh-CN" w:eastAsia="zh-CN" w:bidi="zh-CN"/>
    </w:rPr>
  </w:style>
  <w:style w:type="paragraph" w:customStyle="1" w:styleId="59">
    <w:name w:val="MSG_EN_FONT_STYLE_NAME_TEMPLATE_ROLE_NUMBER MSG_EN_FONT_STYLE_NAME_BY_ROLE_TEXT 7"/>
    <w:basedOn w:val="1"/>
    <w:autoRedefine/>
    <w:qFormat/>
    <w:uiPriority w:val="99"/>
    <w:pPr>
      <w:shd w:val="clear" w:color="auto" w:fill="FFFFFF"/>
      <w:spacing w:line="240" w:lineRule="exact"/>
      <w:jc w:val="center"/>
    </w:pPr>
    <w:rPr>
      <w:rFonts w:ascii="宋体" w:hAnsi="宋体"/>
      <w:b/>
      <w:bCs/>
      <w:sz w:val="20"/>
    </w:rPr>
  </w:style>
  <w:style w:type="character" w:customStyle="1" w:styleId="60">
    <w:name w:val="MSG_EN_FONT_STYLE_NAME_TEMPLATE_ROLE_NUMBER MSG_EN_FONT_STYLE_NAME_BY_ROLE_TEXT 2 + MSG_EN_FONT_STYLE_MODIFER_BOLD"/>
    <w:autoRedefine/>
    <w:qFormat/>
    <w:uiPriority w:val="0"/>
    <w:rPr>
      <w:rFonts w:ascii="宋体" w:hAnsi="宋体" w:eastAsia="宋体" w:cs="宋体"/>
      <w:b/>
      <w:bCs/>
      <w:color w:val="000000"/>
      <w:spacing w:val="0"/>
      <w:w w:val="100"/>
      <w:position w:val="0"/>
      <w:sz w:val="20"/>
      <w:szCs w:val="20"/>
      <w:u w:val="none"/>
      <w:lang w:val="zh-CN" w:eastAsia="zh-CN" w:bidi="zh-CN"/>
    </w:rPr>
  </w:style>
  <w:style w:type="character" w:customStyle="1" w:styleId="61">
    <w:name w:val="批注文字 字符"/>
    <w:basedOn w:val="29"/>
    <w:link w:val="9"/>
    <w:autoRedefine/>
    <w:qFormat/>
    <w:uiPriority w:val="0"/>
    <w:rPr>
      <w:kern w:val="2"/>
      <w:sz w:val="21"/>
    </w:rPr>
  </w:style>
  <w:style w:type="character" w:customStyle="1" w:styleId="62">
    <w:name w:val="批注主题 字符"/>
    <w:basedOn w:val="61"/>
    <w:link w:val="24"/>
    <w:autoRedefine/>
    <w:qFormat/>
    <w:uiPriority w:val="0"/>
    <w:rPr>
      <w:b/>
      <w:bCs/>
      <w:kern w:val="2"/>
      <w:sz w:val="21"/>
    </w:rPr>
  </w:style>
  <w:style w:type="character" w:customStyle="1" w:styleId="63">
    <w:name w:val="MSG_EN_FONT_STYLE_NAME_TEMPLATE_ROLE_NUMBER MSG_EN_FONT_STYLE_NAME_BY_ROLE_TEXT 2_"/>
    <w:link w:val="57"/>
    <w:autoRedefine/>
    <w:qFormat/>
    <w:uiPriority w:val="0"/>
    <w:rPr>
      <w:rFonts w:ascii="宋体" w:hAnsi="宋体"/>
      <w:kern w:val="2"/>
      <w:shd w:val="clear" w:color="auto" w:fill="FFFFFF"/>
    </w:rPr>
  </w:style>
  <w:style w:type="character" w:customStyle="1" w:styleId="64">
    <w:name w:val="right"/>
    <w:basedOn w:val="29"/>
    <w:autoRedefine/>
    <w:qFormat/>
    <w:uiPriority w:val="0"/>
    <w:rPr>
      <w:color w:val="999999"/>
    </w:rPr>
  </w:style>
  <w:style w:type="character" w:customStyle="1" w:styleId="65">
    <w:name w:val="hover14"/>
    <w:basedOn w:val="29"/>
    <w:autoRedefine/>
    <w:qFormat/>
    <w:uiPriority w:val="0"/>
  </w:style>
  <w:style w:type="character" w:customStyle="1" w:styleId="66">
    <w:name w:val="hover15"/>
    <w:basedOn w:val="29"/>
    <w:autoRedefine/>
    <w:qFormat/>
    <w:uiPriority w:val="0"/>
    <w:rPr>
      <w:color w:val="FFFFFF"/>
    </w:rPr>
  </w:style>
  <w:style w:type="character" w:customStyle="1" w:styleId="67">
    <w:name w:val="gb-jt"/>
    <w:basedOn w:val="29"/>
    <w:autoRedefine/>
    <w:qFormat/>
    <w:uiPriority w:val="0"/>
  </w:style>
  <w:style w:type="character" w:customStyle="1" w:styleId="68">
    <w:name w:val="blue"/>
    <w:basedOn w:val="29"/>
    <w:autoRedefine/>
    <w:qFormat/>
    <w:uiPriority w:val="0"/>
    <w:rPr>
      <w:color w:val="0371C6"/>
      <w:sz w:val="21"/>
      <w:szCs w:val="21"/>
    </w:rPr>
  </w:style>
  <w:style w:type="character" w:customStyle="1" w:styleId="69">
    <w:name w:val="hover18"/>
    <w:basedOn w:val="29"/>
    <w:autoRedefine/>
    <w:qFormat/>
    <w:uiPriority w:val="0"/>
  </w:style>
  <w:style w:type="character" w:customStyle="1" w:styleId="70">
    <w:name w:val="a_p_3"/>
    <w:basedOn w:val="29"/>
    <w:autoRedefine/>
    <w:qFormat/>
    <w:uiPriority w:val="0"/>
    <w:rPr>
      <w:sz w:val="21"/>
      <w:szCs w:val="21"/>
    </w:rPr>
  </w:style>
  <w:style w:type="character" w:customStyle="1" w:styleId="71">
    <w:name w:val="a_p_1"/>
    <w:basedOn w:val="29"/>
    <w:autoRedefine/>
    <w:qFormat/>
    <w:uiPriority w:val="0"/>
    <w:rPr>
      <w:sz w:val="21"/>
      <w:szCs w:val="21"/>
    </w:rPr>
  </w:style>
  <w:style w:type="character" w:customStyle="1" w:styleId="72">
    <w:name w:val="exap"/>
    <w:basedOn w:val="29"/>
    <w:autoRedefine/>
    <w:qFormat/>
    <w:uiPriority w:val="0"/>
    <w:rPr>
      <w:sz w:val="21"/>
      <w:szCs w:val="21"/>
    </w:rPr>
  </w:style>
  <w:style w:type="character" w:customStyle="1" w:styleId="73">
    <w:name w:val="a_p_2"/>
    <w:basedOn w:val="29"/>
    <w:autoRedefine/>
    <w:qFormat/>
    <w:uiPriority w:val="0"/>
    <w:rPr>
      <w:sz w:val="21"/>
      <w:szCs w:val="21"/>
    </w:rPr>
  </w:style>
  <w:style w:type="character" w:customStyle="1" w:styleId="74">
    <w:name w:val="ul_li_a_1"/>
    <w:basedOn w:val="29"/>
    <w:autoRedefine/>
    <w:qFormat/>
    <w:uiPriority w:val="0"/>
    <w:rPr>
      <w:b/>
      <w:bCs/>
      <w:color w:val="FFFFFF"/>
    </w:rPr>
  </w:style>
  <w:style w:type="character" w:customStyle="1" w:styleId="75">
    <w:name w:val="a_p_21"/>
    <w:basedOn w:val="29"/>
    <w:autoRedefine/>
    <w:qFormat/>
    <w:uiPriority w:val="0"/>
    <w:rPr>
      <w:sz w:val="21"/>
      <w:szCs w:val="21"/>
    </w:rPr>
  </w:style>
  <w:style w:type="paragraph" w:customStyle="1" w:styleId="76">
    <w:name w:val="Table Paragraph"/>
    <w:basedOn w:val="1"/>
    <w:autoRedefine/>
    <w:qFormat/>
    <w:uiPriority w:val="0"/>
    <w:rPr>
      <w:rFonts w:ascii="Noto Sans CJK JP Regular" w:hAnsi="Noto Sans CJK JP Regular"/>
    </w:rPr>
  </w:style>
  <w:style w:type="paragraph" w:customStyle="1" w:styleId="77">
    <w:name w:val="标题 61"/>
    <w:basedOn w:val="1"/>
    <w:autoRedefine/>
    <w:qFormat/>
    <w:uiPriority w:val="1"/>
    <w:pPr>
      <w:autoSpaceDE w:val="0"/>
      <w:autoSpaceDN w:val="0"/>
      <w:ind w:left="195"/>
      <w:jc w:val="left"/>
      <w:outlineLvl w:val="6"/>
    </w:pPr>
    <w:rPr>
      <w:rFonts w:ascii="黑体" w:hAnsi="黑体" w:eastAsia="黑体" w:cs="黑体"/>
      <w:kern w:val="0"/>
      <w:sz w:val="28"/>
      <w:szCs w:val="28"/>
      <w:lang w:eastAsia="en-US"/>
    </w:rPr>
  </w:style>
  <w:style w:type="character" w:customStyle="1" w:styleId="78">
    <w:name w:val="first-child1"/>
    <w:basedOn w:val="29"/>
    <w:qFormat/>
    <w:uiPriority w:val="0"/>
  </w:style>
  <w:style w:type="character" w:customStyle="1" w:styleId="79">
    <w:name w:val="icon_lzrz"/>
    <w:basedOn w:val="29"/>
    <w:qFormat/>
    <w:uiPriority w:val="0"/>
  </w:style>
  <w:style w:type="character" w:customStyle="1" w:styleId="80">
    <w:name w:val="l_0"/>
    <w:basedOn w:val="29"/>
    <w:qFormat/>
    <w:uiPriority w:val="0"/>
  </w:style>
  <w:style w:type="character" w:customStyle="1" w:styleId="81">
    <w:name w:val="color-yellow"/>
    <w:basedOn w:val="29"/>
    <w:qFormat/>
    <w:uiPriority w:val="0"/>
    <w:rPr>
      <w:color w:val="FAAD14"/>
      <w:sz w:val="14"/>
      <w:szCs w:val="14"/>
      <w:bdr w:val="single" w:color="FAAD14" w:sz="4" w:space="0"/>
    </w:rPr>
  </w:style>
  <w:style w:type="character" w:customStyle="1" w:styleId="82">
    <w:name w:val="l_7"/>
    <w:basedOn w:val="29"/>
    <w:qFormat/>
    <w:uiPriority w:val="0"/>
  </w:style>
  <w:style w:type="character" w:customStyle="1" w:styleId="83">
    <w:name w:val="l_71"/>
    <w:basedOn w:val="29"/>
    <w:qFormat/>
    <w:uiPriority w:val="0"/>
  </w:style>
  <w:style w:type="character" w:customStyle="1" w:styleId="84">
    <w:name w:val="l_1"/>
    <w:basedOn w:val="29"/>
    <w:qFormat/>
    <w:uiPriority w:val="0"/>
  </w:style>
  <w:style w:type="character" w:customStyle="1" w:styleId="85">
    <w:name w:val="l_11"/>
    <w:basedOn w:val="29"/>
    <w:qFormat/>
    <w:uiPriority w:val="0"/>
  </w:style>
  <w:style w:type="character" w:customStyle="1" w:styleId="86">
    <w:name w:val="l_8"/>
    <w:basedOn w:val="29"/>
    <w:qFormat/>
    <w:uiPriority w:val="0"/>
  </w:style>
  <w:style w:type="character" w:customStyle="1" w:styleId="87">
    <w:name w:val="l_111"/>
    <w:basedOn w:val="29"/>
    <w:qFormat/>
    <w:uiPriority w:val="0"/>
  </w:style>
  <w:style w:type="character" w:customStyle="1" w:styleId="88">
    <w:name w:val="icon_cxktbr"/>
    <w:basedOn w:val="29"/>
    <w:qFormat/>
    <w:uiPriority w:val="0"/>
  </w:style>
  <w:style w:type="character" w:customStyle="1" w:styleId="89">
    <w:name w:val="icon_dljg"/>
    <w:basedOn w:val="29"/>
    <w:qFormat/>
    <w:uiPriority w:val="0"/>
  </w:style>
  <w:style w:type="character" w:customStyle="1" w:styleId="90">
    <w:name w:val="icon_xglc"/>
    <w:basedOn w:val="29"/>
    <w:qFormat/>
    <w:uiPriority w:val="0"/>
  </w:style>
  <w:style w:type="character" w:customStyle="1" w:styleId="91">
    <w:name w:val="layui-laypage-curr"/>
    <w:basedOn w:val="29"/>
    <w:qFormat/>
    <w:uiPriority w:val="0"/>
  </w:style>
  <w:style w:type="character" w:customStyle="1" w:styleId="92">
    <w:name w:val="icon_cxkcyry"/>
    <w:basedOn w:val="29"/>
    <w:qFormat/>
    <w:uiPriority w:val="0"/>
  </w:style>
  <w:style w:type="character" w:customStyle="1" w:styleId="93">
    <w:name w:val="icon_xzry"/>
    <w:basedOn w:val="29"/>
    <w:qFormat/>
    <w:uiPriority w:val="0"/>
  </w:style>
  <w:style w:type="character" w:customStyle="1" w:styleId="94">
    <w:name w:val="l_9"/>
    <w:basedOn w:val="29"/>
    <w:qFormat/>
    <w:uiPriority w:val="0"/>
  </w:style>
  <w:style w:type="character" w:customStyle="1" w:styleId="95">
    <w:name w:val="l_14"/>
    <w:basedOn w:val="29"/>
    <w:qFormat/>
    <w:uiPriority w:val="0"/>
  </w:style>
  <w:style w:type="character" w:customStyle="1" w:styleId="96">
    <w:name w:val="l_13"/>
    <w:basedOn w:val="29"/>
    <w:qFormat/>
    <w:uiPriority w:val="0"/>
  </w:style>
  <w:style w:type="character" w:customStyle="1" w:styleId="97">
    <w:name w:val="l_131"/>
    <w:basedOn w:val="29"/>
    <w:qFormat/>
    <w:uiPriority w:val="0"/>
  </w:style>
  <w:style w:type="character" w:customStyle="1" w:styleId="98">
    <w:name w:val="l_5"/>
    <w:basedOn w:val="29"/>
    <w:qFormat/>
    <w:uiPriority w:val="0"/>
  </w:style>
  <w:style w:type="character" w:customStyle="1" w:styleId="99">
    <w:name w:val="l_51"/>
    <w:basedOn w:val="29"/>
    <w:qFormat/>
    <w:uiPriority w:val="0"/>
  </w:style>
  <w:style w:type="character" w:customStyle="1" w:styleId="100">
    <w:name w:val="l_2"/>
    <w:basedOn w:val="29"/>
    <w:qFormat/>
    <w:uiPriority w:val="0"/>
  </w:style>
  <w:style w:type="character" w:customStyle="1" w:styleId="101">
    <w:name w:val="l_21"/>
    <w:basedOn w:val="29"/>
    <w:qFormat/>
    <w:uiPriority w:val="0"/>
  </w:style>
  <w:style w:type="character" w:customStyle="1" w:styleId="102">
    <w:name w:val="l_4"/>
    <w:basedOn w:val="29"/>
    <w:qFormat/>
    <w:uiPriority w:val="0"/>
  </w:style>
  <w:style w:type="character" w:customStyle="1" w:styleId="103">
    <w:name w:val="l_41"/>
    <w:basedOn w:val="29"/>
    <w:qFormat/>
    <w:uiPriority w:val="0"/>
  </w:style>
  <w:style w:type="character" w:customStyle="1" w:styleId="104">
    <w:name w:val="l_3"/>
    <w:basedOn w:val="29"/>
    <w:qFormat/>
    <w:uiPriority w:val="0"/>
  </w:style>
  <w:style w:type="character" w:customStyle="1" w:styleId="105">
    <w:name w:val="l_31"/>
    <w:basedOn w:val="29"/>
    <w:qFormat/>
    <w:uiPriority w:val="0"/>
  </w:style>
  <w:style w:type="character" w:customStyle="1" w:styleId="106">
    <w:name w:val="l_6"/>
    <w:basedOn w:val="29"/>
    <w:qFormat/>
    <w:uiPriority w:val="0"/>
  </w:style>
  <w:style w:type="character" w:customStyle="1" w:styleId="107">
    <w:name w:val="l_61"/>
    <w:basedOn w:val="29"/>
    <w:qFormat/>
    <w:uiPriority w:val="0"/>
  </w:style>
  <w:style w:type="character" w:customStyle="1" w:styleId="108">
    <w:name w:val="l_10"/>
    <w:basedOn w:val="29"/>
    <w:qFormat/>
    <w:uiPriority w:val="0"/>
  </w:style>
  <w:style w:type="character" w:customStyle="1" w:styleId="109">
    <w:name w:val="l_101"/>
    <w:basedOn w:val="29"/>
    <w:qFormat/>
    <w:uiPriority w:val="0"/>
  </w:style>
  <w:style w:type="character" w:customStyle="1" w:styleId="110">
    <w:name w:val="l_12"/>
    <w:basedOn w:val="29"/>
    <w:qFormat/>
    <w:uiPriority w:val="0"/>
  </w:style>
  <w:style w:type="character" w:customStyle="1" w:styleId="111">
    <w:name w:val="l_121"/>
    <w:basedOn w:val="29"/>
    <w:qFormat/>
    <w:uiPriority w:val="0"/>
  </w:style>
  <w:style w:type="character" w:customStyle="1" w:styleId="112">
    <w:name w:val="l_15"/>
    <w:basedOn w:val="29"/>
    <w:qFormat/>
    <w:uiPriority w:val="0"/>
  </w:style>
  <w:style w:type="character" w:customStyle="1" w:styleId="113">
    <w:name w:val="l_151"/>
    <w:basedOn w:val="29"/>
    <w:qFormat/>
    <w:uiPriority w:val="0"/>
  </w:style>
  <w:style w:type="character" w:customStyle="1" w:styleId="114">
    <w:name w:val="color_cdyy"/>
    <w:basedOn w:val="29"/>
    <w:qFormat/>
    <w:uiPriority w:val="0"/>
    <w:rPr>
      <w:color w:val="FFFFFF"/>
      <w:bdr w:val="single" w:color="FFFFFF" w:sz="4" w:space="0"/>
    </w:rPr>
  </w:style>
  <w:style w:type="character" w:customStyle="1" w:styleId="115">
    <w:name w:val="color-blue"/>
    <w:basedOn w:val="29"/>
    <w:qFormat/>
    <w:uiPriority w:val="0"/>
    <w:rPr>
      <w:color w:val="1890FF"/>
      <w:sz w:val="14"/>
      <w:szCs w:val="14"/>
      <w:bdr w:val="single" w:color="1890FF" w:sz="4" w:space="0"/>
    </w:rPr>
  </w:style>
  <w:style w:type="character" w:customStyle="1" w:styleId="116">
    <w:name w:val="icon_gzkj"/>
    <w:basedOn w:val="29"/>
    <w:qFormat/>
    <w:uiPriority w:val="0"/>
  </w:style>
  <w:style w:type="character" w:customStyle="1" w:styleId="117">
    <w:name w:val="m-text"/>
    <w:basedOn w:val="29"/>
    <w:qFormat/>
    <w:uiPriority w:val="0"/>
  </w:style>
  <w:style w:type="character" w:customStyle="1" w:styleId="118">
    <w:name w:val="color-yellow1"/>
    <w:basedOn w:val="29"/>
    <w:qFormat/>
    <w:uiPriority w:val="0"/>
    <w:rPr>
      <w:color w:val="FAAD14"/>
      <w:sz w:val="14"/>
      <w:szCs w:val="14"/>
      <w:bdr w:val="single" w:color="FAAD14" w:sz="4" w:space="0"/>
    </w:rPr>
  </w:style>
  <w:style w:type="character" w:customStyle="1" w:styleId="119">
    <w:name w:val="l_91"/>
    <w:basedOn w:val="29"/>
    <w:qFormat/>
    <w:uiPriority w:val="0"/>
  </w:style>
  <w:style w:type="paragraph" w:customStyle="1" w:styleId="120">
    <w:name w:val="xl26"/>
    <w:basedOn w:val="1"/>
    <w:qFormat/>
    <w:uiPriority w:val="0"/>
    <w:pPr>
      <w:widowControl/>
      <w:wordWrap w:val="0"/>
      <w:topLinePunct/>
      <w:spacing w:before="100" w:beforeAutospacing="1" w:after="100" w:afterAutospacing="1"/>
      <w:jc w:val="left"/>
    </w:pPr>
    <w:rPr>
      <w:rFonts w:hint="eastAsia" w:ascii="仿宋_GB2312" w:hAnsi="宋体" w:eastAsia="仿宋_GB2312" w:cs="宋体"/>
      <w:kern w:val="0"/>
      <w:sz w:val="32"/>
      <w:szCs w:val="32"/>
    </w:rPr>
  </w:style>
  <w:style w:type="character" w:customStyle="1" w:styleId="121">
    <w:name w:val="icon_gys"/>
    <w:basedOn w:val="29"/>
    <w:qFormat/>
    <w:uiPriority w:val="0"/>
    <w:rPr>
      <w:sz w:val="16"/>
      <w:szCs w:val="16"/>
    </w:rPr>
  </w:style>
  <w:style w:type="character" w:customStyle="1" w:styleId="122">
    <w:name w:val="xiadan"/>
    <w:basedOn w:val="29"/>
    <w:qFormat/>
    <w:uiPriority w:val="0"/>
    <w:rPr>
      <w:shd w:val="clear" w:color="auto" w:fill="E4393C"/>
    </w:rPr>
  </w:style>
  <w:style w:type="character" w:customStyle="1" w:styleId="123">
    <w:name w:val="fr"/>
    <w:basedOn w:val="29"/>
    <w:qFormat/>
    <w:uiPriority w:val="0"/>
  </w:style>
  <w:style w:type="character" w:customStyle="1" w:styleId="124">
    <w:name w:val="first-child"/>
    <w:basedOn w:val="29"/>
    <w:qFormat/>
    <w:uiPriority w:val="0"/>
    <w:rPr>
      <w:color w:val="1F3149"/>
      <w:sz w:val="19"/>
      <w:szCs w:val="19"/>
    </w:rPr>
  </w:style>
  <w:style w:type="character" w:customStyle="1" w:styleId="125">
    <w:name w:val="first-child2"/>
    <w:basedOn w:val="29"/>
    <w:qFormat/>
    <w:uiPriority w:val="0"/>
  </w:style>
  <w:style w:type="character" w:customStyle="1" w:styleId="126">
    <w:name w:val="first-child3"/>
    <w:basedOn w:val="29"/>
    <w:qFormat/>
    <w:uiPriority w:val="0"/>
  </w:style>
  <w:style w:type="character" w:customStyle="1" w:styleId="127">
    <w:name w:val="nth-child(1)"/>
    <w:basedOn w:val="29"/>
    <w:qFormat/>
    <w:uiPriority w:val="0"/>
  </w:style>
  <w:style w:type="character" w:customStyle="1" w:styleId="128">
    <w:name w:val="icon_ds"/>
    <w:basedOn w:val="29"/>
    <w:qFormat/>
    <w:uiPriority w:val="0"/>
  </w:style>
  <w:style w:type="character" w:customStyle="1" w:styleId="129">
    <w:name w:val="icon_ds1"/>
    <w:basedOn w:val="29"/>
    <w:qFormat/>
    <w:uiPriority w:val="0"/>
    <w:rPr>
      <w:sz w:val="16"/>
      <w:szCs w:val="16"/>
    </w:rPr>
  </w:style>
  <w:style w:type="character" w:customStyle="1" w:styleId="130">
    <w:name w:val="tmpztreemove_arrow"/>
    <w:basedOn w:val="29"/>
    <w:qFormat/>
    <w:uiPriority w:val="0"/>
  </w:style>
  <w:style w:type="character" w:customStyle="1" w:styleId="131">
    <w:name w:val="hover"/>
    <w:basedOn w:val="29"/>
    <w:qFormat/>
    <w:uiPriority w:val="0"/>
    <w:rPr>
      <w:color w:val="1890FF"/>
    </w:rPr>
  </w:style>
  <w:style w:type="character" w:customStyle="1" w:styleId="132">
    <w:name w:val="layui-this"/>
    <w:basedOn w:val="29"/>
    <w:qFormat/>
    <w:uiPriority w:val="0"/>
    <w:rPr>
      <w:bdr w:val="single" w:color="EEEEEE" w:sz="4" w:space="0"/>
      <w:shd w:val="clear" w:color="auto" w:fill="FFFFFF"/>
    </w:rPr>
  </w:style>
  <w:style w:type="character" w:customStyle="1" w:styleId="133">
    <w:name w:val="button"/>
    <w:basedOn w:val="29"/>
    <w:qFormat/>
    <w:uiPriority w:val="0"/>
  </w:style>
  <w:style w:type="character" w:customStyle="1" w:styleId="134">
    <w:name w:val="endflag"/>
    <w:basedOn w:val="29"/>
    <w:qFormat/>
    <w:uiPriority w:val="0"/>
    <w:rPr>
      <w:color w:val="AAAAAA"/>
    </w:rPr>
  </w:style>
  <w:style w:type="paragraph" w:customStyle="1" w:styleId="135">
    <w:name w:val="_Style 132"/>
    <w:basedOn w:val="1"/>
    <w:next w:val="1"/>
    <w:qFormat/>
    <w:uiPriority w:val="0"/>
    <w:pPr>
      <w:pBdr>
        <w:bottom w:val="single" w:color="auto" w:sz="6" w:space="1"/>
      </w:pBdr>
      <w:jc w:val="center"/>
    </w:pPr>
    <w:rPr>
      <w:rFonts w:ascii="Arial"/>
      <w:vanish/>
      <w:sz w:val="16"/>
    </w:rPr>
  </w:style>
  <w:style w:type="paragraph" w:customStyle="1" w:styleId="136">
    <w:name w:val="_Style 133"/>
    <w:basedOn w:val="1"/>
    <w:next w:val="1"/>
    <w:qFormat/>
    <w:uiPriority w:val="0"/>
    <w:pPr>
      <w:pBdr>
        <w:top w:val="single" w:color="auto" w:sz="6" w:space="1"/>
      </w:pBdr>
      <w:jc w:val="center"/>
    </w:pPr>
    <w:rPr>
      <w:rFonts w:ascii="Arial"/>
      <w:vanish/>
      <w:sz w:val="16"/>
    </w:rPr>
  </w:style>
  <w:style w:type="paragraph" w:customStyle="1" w:styleId="137">
    <w:name w:val="UserStyle_0"/>
    <w:basedOn w:val="1"/>
    <w:qFormat/>
    <w:uiPriority w:val="0"/>
    <w:pPr>
      <w:textAlignment w:val="baseline"/>
    </w:pPr>
    <w:rPr>
      <w:rFonts w:ascii="宋体" w:hAnsi="宋体" w:eastAsia="Calibri"/>
      <w:color w:val="000000"/>
      <w:kern w:val="0"/>
      <w:sz w:val="24"/>
      <w:szCs w:val="24"/>
      <w:lang w:eastAsia="en-US"/>
    </w:rPr>
  </w:style>
  <w:style w:type="character" w:customStyle="1" w:styleId="138">
    <w:name w:val="15"/>
    <w:basedOn w:val="29"/>
    <w:qFormat/>
    <w:uiPriority w:val="0"/>
    <w:rPr>
      <w:rFonts w:hint="default" w:ascii="Calibri" w:hAnsi="Calibri" w:cs="Calibri"/>
      <w:color w:val="333333"/>
      <w:sz w:val="18"/>
      <w:szCs w:val="18"/>
    </w:rPr>
  </w:style>
  <w:style w:type="paragraph" w:customStyle="1" w:styleId="139">
    <w:name w:val="p0"/>
    <w:basedOn w:val="1"/>
    <w:qFormat/>
    <w:uiPriority w:val="0"/>
    <w:pPr>
      <w:widowControl/>
    </w:pPr>
    <w:rPr>
      <w:kern w:val="0"/>
      <w:szCs w:val="21"/>
    </w:rPr>
  </w:style>
  <w:style w:type="paragraph" w:styleId="140">
    <w:name w:val="No Spacing"/>
    <w:qFormat/>
    <w:uiPriority w:val="1"/>
    <w:pPr>
      <w:widowControl w:val="0"/>
    </w:pPr>
    <w:rPr>
      <w:rFonts w:ascii="Times New Roman" w:hAnsi="Times New Roman" w:eastAsia="Times New Roman" w:cs="Times New Roman"/>
      <w:color w:val="000000"/>
      <w:sz w:val="24"/>
      <w:szCs w:val="24"/>
      <w:lang w:val="zh-CN" w:eastAsia="zh-CN" w:bidi="zh-CN"/>
    </w:rPr>
  </w:style>
  <w:style w:type="character" w:customStyle="1" w:styleId="141">
    <w:name w:val="first-child4"/>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30B56-4EFB-4BC5-AA60-1AAB986EF6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3952</Words>
  <Characters>4566</Characters>
  <Lines>268</Lines>
  <Paragraphs>75</Paragraphs>
  <TotalTime>1</TotalTime>
  <ScaleCrop>false</ScaleCrop>
  <LinksUpToDate>false</LinksUpToDate>
  <CharactersWithSpaces>4614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2025-12-09T01:29:00Z</dcterms:created>
  <dc:creator>cxcxczy</dc:creator>
  <cp:lastModifiedBy>自由自在</cp:lastModifiedBy>
  <cp:lastPrinted>2025-12-08T01:30:00Z</cp:lastPrinted>
  <dcterms:modified xsi:type="dcterms:W3CDTF">2025-12-09T08:35:38Z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DEB8668A0CF742BA890774FE3B39A420_13</vt:lpwstr>
  </property>
  <property fmtid="{D5CDD505-2E9C-101B-9397-08002B2CF9AE}" pid="4" name="commondata">
    <vt:lpwstr>eyJoZGlkIjoiZTZlMTIwNDE2M2M1OTg4ZmUyZGIxYzI2MDkyOWViY2IifQ==</vt:lpwstr>
  </property>
  <property fmtid="{D5CDD505-2E9C-101B-9397-08002B2CF9AE}" pid="5" name="KSOTemplateDocerSaveRecord">
    <vt:lpwstr>eyJoZGlkIjoiZTQwMjdhNjE2Zjg3ZDM2OWM4NTIxZTJkNjkwMGY4ZTYiLCJ1c2VySWQiOiIzODY0NDg5MDQifQ==</vt:lpwstr>
  </property>
</Properties>
</file>