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color w:val="auto"/>
          <w:sz w:val="52"/>
          <w:szCs w:val="40"/>
          <w:highlight w:val="none"/>
        </w:rPr>
      </w:pPr>
    </w:p>
    <w:p>
      <w:pPr>
        <w:pStyle w:val="21"/>
        <w:ind w:left="0" w:leftChars="0" w:firstLine="0" w:firstLineChars="0"/>
        <w:jc w:val="center"/>
        <w:rPr>
          <w:rFonts w:hint="eastAsia" w:ascii="宋体" w:hAnsi="宋体" w:eastAsia="宋体" w:cs="宋体"/>
          <w:color w:val="auto"/>
          <w:highlight w:val="none"/>
        </w:rPr>
      </w:pPr>
      <w:r>
        <w:rPr>
          <w:rFonts w:hint="eastAsia" w:ascii="宋体" w:hAnsi="宋体" w:cs="宋体"/>
          <w:b/>
          <w:color w:val="auto"/>
          <w:sz w:val="52"/>
          <w:szCs w:val="40"/>
          <w:highlight w:val="none"/>
          <w:lang w:eastAsia="zh-CN"/>
        </w:rPr>
        <w:t>汝州市退役军人事务局2023年基层武装部规范化建设物资采购项目</w:t>
      </w:r>
    </w:p>
    <w:p>
      <w:pPr>
        <w:pStyle w:val="21"/>
        <w:ind w:firstLine="640"/>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pPr>
        <w:pStyle w:val="21"/>
        <w:ind w:left="0" w:leftChars="0" w:firstLine="0" w:firstLineChars="0"/>
        <w:jc w:val="center"/>
        <w:rPr>
          <w:rFonts w:hint="eastAsia" w:ascii="宋体" w:hAnsi="宋体" w:eastAsia="宋体" w:cs="宋体"/>
          <w:b/>
          <w:color w:val="auto"/>
          <w:sz w:val="84"/>
          <w:szCs w:val="84"/>
          <w:highlight w:val="none"/>
        </w:rPr>
      </w:pPr>
      <w:r>
        <w:rPr>
          <w:rFonts w:hint="eastAsia" w:ascii="宋体" w:hAnsi="宋体" w:eastAsia="宋体" w:cs="宋体"/>
          <w:b/>
          <w:bCs/>
          <w:color w:val="auto"/>
          <w:sz w:val="40"/>
          <w:szCs w:val="40"/>
          <w:highlight w:val="none"/>
        </w:rPr>
        <w:drawing>
          <wp:anchor distT="0" distB="0" distL="114300" distR="114300" simplePos="0" relativeHeight="251659264" behindDoc="0" locked="0" layoutInCell="1" allowOverlap="1">
            <wp:simplePos x="0" y="0"/>
            <wp:positionH relativeFrom="column">
              <wp:posOffset>1052195</wp:posOffset>
            </wp:positionH>
            <wp:positionV relativeFrom="paragraph">
              <wp:posOffset>503555</wp:posOffset>
            </wp:positionV>
            <wp:extent cx="3333750" cy="2276475"/>
            <wp:effectExtent l="0" t="0" r="0" b="0"/>
            <wp:wrapNone/>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8"/>
                    <a:srcRect t="4016"/>
                    <a:stretch>
                      <a:fillRect/>
                    </a:stretch>
                  </pic:blipFill>
                  <pic:spPr>
                    <a:xfrm>
                      <a:off x="0" y="0"/>
                      <a:ext cx="3333750" cy="2276475"/>
                    </a:xfrm>
                    <a:prstGeom prst="rect">
                      <a:avLst/>
                    </a:prstGeom>
                    <a:noFill/>
                    <a:ln>
                      <a:noFill/>
                    </a:ln>
                  </pic:spPr>
                </pic:pic>
              </a:graphicData>
            </a:graphic>
          </wp:anchor>
        </w:drawing>
      </w:r>
      <w:r>
        <w:rPr>
          <w:rFonts w:hint="eastAsia" w:ascii="宋体" w:hAnsi="宋体" w:eastAsia="宋体" w:cs="宋体"/>
          <w:b/>
          <w:color w:val="auto"/>
          <w:sz w:val="84"/>
          <w:szCs w:val="84"/>
          <w:highlight w:val="none"/>
        </w:rPr>
        <w:t>招标文件</w:t>
      </w:r>
    </w:p>
    <w:p>
      <w:pPr>
        <w:ind w:firstLine="3288" w:firstLineChars="1096"/>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 xml:space="preserve"> </w:t>
      </w:r>
    </w:p>
    <w:p>
      <w:pPr>
        <w:ind w:firstLine="1800" w:firstLineChars="600"/>
        <w:rPr>
          <w:rFonts w:hint="eastAsia" w:ascii="宋体" w:hAnsi="宋体" w:eastAsia="宋体" w:cs="宋体"/>
          <w:b/>
          <w:color w:val="auto"/>
          <w:sz w:val="30"/>
          <w:szCs w:val="30"/>
          <w:highlight w:val="none"/>
        </w:rPr>
      </w:pPr>
    </w:p>
    <w:p>
      <w:pPr>
        <w:ind w:firstLine="1800" w:firstLineChars="600"/>
        <w:rPr>
          <w:rFonts w:hint="eastAsia" w:ascii="宋体" w:hAnsi="宋体" w:eastAsia="宋体" w:cs="宋体"/>
          <w:b/>
          <w:color w:val="auto"/>
          <w:sz w:val="30"/>
          <w:szCs w:val="30"/>
          <w:highlight w:val="none"/>
        </w:rPr>
      </w:pPr>
    </w:p>
    <w:p>
      <w:pPr>
        <w:ind w:firstLine="1800" w:firstLineChars="600"/>
        <w:rPr>
          <w:rFonts w:hint="eastAsia" w:ascii="宋体" w:hAnsi="宋体" w:eastAsia="宋体" w:cs="宋体"/>
          <w:b/>
          <w:color w:val="auto"/>
          <w:sz w:val="30"/>
          <w:szCs w:val="30"/>
          <w:highlight w:val="none"/>
        </w:rPr>
      </w:pPr>
    </w:p>
    <w:p>
      <w:pPr>
        <w:ind w:firstLine="1800" w:firstLineChars="600"/>
        <w:rPr>
          <w:rFonts w:hint="eastAsia" w:ascii="宋体" w:hAnsi="宋体" w:eastAsia="宋体" w:cs="宋体"/>
          <w:b/>
          <w:color w:val="auto"/>
          <w:sz w:val="30"/>
          <w:szCs w:val="30"/>
          <w:highlight w:val="none"/>
        </w:rPr>
      </w:pPr>
    </w:p>
    <w:p>
      <w:pPr>
        <w:ind w:firstLine="1800" w:firstLineChars="600"/>
        <w:rPr>
          <w:rFonts w:hint="eastAsia" w:ascii="宋体" w:hAnsi="宋体" w:eastAsia="宋体" w:cs="宋体"/>
          <w:b/>
          <w:color w:val="auto"/>
          <w:sz w:val="30"/>
          <w:szCs w:val="30"/>
          <w:highlight w:val="none"/>
        </w:rPr>
      </w:pPr>
    </w:p>
    <w:p>
      <w:pPr>
        <w:ind w:firstLine="1800" w:firstLineChars="600"/>
        <w:rPr>
          <w:rFonts w:hint="default" w:ascii="宋体" w:hAnsi="宋体" w:eastAsia="宋体" w:cs="宋体"/>
          <w:b/>
          <w:color w:val="auto"/>
          <w:sz w:val="30"/>
          <w:szCs w:val="30"/>
          <w:highlight w:val="none"/>
          <w:lang w:val="en-US" w:eastAsia="zh-CN"/>
        </w:rPr>
      </w:pPr>
      <w:r>
        <w:rPr>
          <w:rFonts w:hint="eastAsia" w:ascii="宋体" w:hAnsi="宋体" w:eastAsia="宋体" w:cs="宋体"/>
          <w:b/>
          <w:color w:val="auto"/>
          <w:sz w:val="30"/>
          <w:szCs w:val="30"/>
          <w:highlight w:val="none"/>
        </w:rPr>
        <w:t>采购项目编号：汝财招标采购-202</w:t>
      </w:r>
      <w:r>
        <w:rPr>
          <w:rFonts w:hint="eastAsia" w:ascii="宋体" w:hAnsi="宋体" w:eastAsia="宋体" w:cs="宋体"/>
          <w:b/>
          <w:color w:val="auto"/>
          <w:sz w:val="30"/>
          <w:szCs w:val="30"/>
          <w:highlight w:val="none"/>
          <w:lang w:val="en-US" w:eastAsia="zh-CN"/>
        </w:rPr>
        <w:t>3</w:t>
      </w:r>
      <w:r>
        <w:rPr>
          <w:rFonts w:hint="eastAsia" w:ascii="宋体" w:hAnsi="宋体" w:eastAsia="宋体" w:cs="宋体"/>
          <w:b/>
          <w:color w:val="auto"/>
          <w:sz w:val="30"/>
          <w:szCs w:val="30"/>
          <w:highlight w:val="none"/>
        </w:rPr>
        <w:t>-</w:t>
      </w:r>
      <w:r>
        <w:rPr>
          <w:rFonts w:hint="eastAsia" w:ascii="宋体" w:hAnsi="宋体" w:cs="宋体"/>
          <w:b/>
          <w:color w:val="auto"/>
          <w:sz w:val="30"/>
          <w:szCs w:val="30"/>
          <w:highlight w:val="none"/>
          <w:lang w:val="en-US" w:eastAsia="zh-CN"/>
        </w:rPr>
        <w:t>97</w:t>
      </w:r>
    </w:p>
    <w:p>
      <w:pP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 xml:space="preserve"> </w:t>
      </w:r>
    </w:p>
    <w:p>
      <w:pP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 xml:space="preserve"> </w:t>
      </w:r>
    </w:p>
    <w:p>
      <w:pPr>
        <w:spacing w:line="480" w:lineRule="auto"/>
        <w:ind w:firstLine="1225" w:firstLineChars="383"/>
        <w:rPr>
          <w:rFonts w:hint="eastAsia" w:ascii="宋体" w:hAnsi="宋体" w:eastAsia="宋体" w:cs="宋体"/>
          <w:b/>
          <w:color w:val="auto"/>
          <w:sz w:val="32"/>
          <w:szCs w:val="32"/>
          <w:highlight w:val="none"/>
        </w:rPr>
      </w:pPr>
    </w:p>
    <w:p>
      <w:pPr>
        <w:spacing w:line="480" w:lineRule="auto"/>
        <w:ind w:firstLine="1225" w:firstLineChars="383"/>
        <w:rPr>
          <w:rFonts w:hint="eastAsia" w:ascii="宋体" w:hAnsi="宋体" w:eastAsia="宋体" w:cs="宋体"/>
          <w:b/>
          <w:bCs w:val="0"/>
          <w:color w:val="auto"/>
          <w:sz w:val="32"/>
          <w:szCs w:val="32"/>
          <w:highlight w:val="none"/>
        </w:rPr>
      </w:pPr>
    </w:p>
    <w:p>
      <w:pPr>
        <w:spacing w:line="480" w:lineRule="auto"/>
        <w:ind w:firstLine="1225" w:firstLineChars="383"/>
        <w:rPr>
          <w:rFonts w:hint="eastAsia" w:ascii="宋体" w:hAnsi="宋体" w:eastAsia="宋体" w:cs="宋体"/>
          <w:b/>
          <w:bCs w:val="0"/>
          <w:color w:val="auto"/>
          <w:sz w:val="32"/>
          <w:szCs w:val="32"/>
          <w:highlight w:val="none"/>
          <w:lang w:eastAsia="zh-CN"/>
        </w:rPr>
      </w:pPr>
      <w:r>
        <w:rPr>
          <w:rFonts w:hint="eastAsia" w:ascii="宋体" w:hAnsi="宋体" w:eastAsia="宋体" w:cs="宋体"/>
          <w:b/>
          <w:bCs w:val="0"/>
          <w:color w:val="auto"/>
          <w:sz w:val="32"/>
          <w:szCs w:val="32"/>
          <w:highlight w:val="none"/>
        </w:rPr>
        <w:t>招   标   人：</w:t>
      </w:r>
      <w:r>
        <w:rPr>
          <w:rFonts w:hint="eastAsia" w:ascii="宋体" w:hAnsi="宋体" w:cs="宋体"/>
          <w:b/>
          <w:bCs w:val="0"/>
          <w:color w:val="auto"/>
          <w:sz w:val="32"/>
          <w:szCs w:val="32"/>
          <w:highlight w:val="none"/>
          <w:lang w:eastAsia="zh-CN"/>
        </w:rPr>
        <w:t>汝州市退役军人事务局</w:t>
      </w:r>
    </w:p>
    <w:p>
      <w:pPr>
        <w:spacing w:line="480" w:lineRule="auto"/>
        <w:ind w:firstLine="1225" w:firstLineChars="383"/>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招标代理机构：河南中普德项目管理有限公司</w:t>
      </w:r>
    </w:p>
    <w:p>
      <w:pPr>
        <w:spacing w:line="480" w:lineRule="auto"/>
        <w:ind w:firstLine="1280" w:firstLineChars="400"/>
        <w:rPr>
          <w:rFonts w:hint="eastAsia" w:ascii="宋体" w:hAnsi="宋体" w:eastAsia="宋体" w:cs="宋体"/>
          <w:b/>
          <w:bCs w:val="0"/>
          <w:color w:val="auto"/>
          <w:sz w:val="32"/>
          <w:szCs w:val="32"/>
          <w:highlight w:val="none"/>
          <w:lang w:val="en-US" w:eastAsia="zh-CN"/>
        </w:rPr>
      </w:pPr>
      <w:r>
        <w:rPr>
          <w:rFonts w:hint="eastAsia" w:ascii="宋体" w:hAnsi="宋体" w:eastAsia="宋体" w:cs="宋体"/>
          <w:b/>
          <w:bCs w:val="0"/>
          <w:color w:val="auto"/>
          <w:sz w:val="32"/>
          <w:szCs w:val="32"/>
          <w:highlight w:val="none"/>
        </w:rPr>
        <w:t>日        期：二〇二三年</w:t>
      </w:r>
      <w:r>
        <w:rPr>
          <w:rFonts w:hint="eastAsia" w:ascii="宋体" w:hAnsi="宋体" w:cs="宋体"/>
          <w:b/>
          <w:bCs w:val="0"/>
          <w:color w:val="auto"/>
          <w:sz w:val="32"/>
          <w:szCs w:val="32"/>
          <w:highlight w:val="none"/>
          <w:lang w:val="en-US" w:eastAsia="zh-CN"/>
        </w:rPr>
        <w:t>十二</w:t>
      </w:r>
      <w:r>
        <w:rPr>
          <w:rFonts w:hint="eastAsia" w:ascii="宋体" w:hAnsi="宋体" w:eastAsia="宋体" w:cs="宋体"/>
          <w:b/>
          <w:bCs w:val="0"/>
          <w:color w:val="auto"/>
          <w:sz w:val="32"/>
          <w:szCs w:val="32"/>
          <w:highlight w:val="none"/>
        </w:rPr>
        <w:t>月</w:t>
      </w:r>
    </w:p>
    <w:p>
      <w:pPr>
        <w:pStyle w:val="21"/>
        <w:spacing w:line="600" w:lineRule="auto"/>
        <w:ind w:firstLine="640"/>
        <w:jc w:val="center"/>
        <w:outlineLvl w:val="4"/>
        <w:rPr>
          <w:rFonts w:hint="eastAsia" w:ascii="宋体" w:hAnsi="宋体" w:eastAsia="宋体" w:cs="宋体"/>
          <w:b/>
          <w:color w:val="auto"/>
          <w:sz w:val="28"/>
          <w:szCs w:val="28"/>
          <w:highlight w:val="none"/>
        </w:rPr>
        <w:sectPr>
          <w:pgSz w:w="11907" w:h="16840"/>
          <w:pgMar w:top="1417" w:right="1417" w:bottom="1361" w:left="1417" w:header="737" w:footer="680" w:gutter="0"/>
          <w:pgBorders>
            <w:top w:val="none" w:sz="0" w:space="0"/>
            <w:left w:val="none" w:sz="0" w:space="0"/>
            <w:bottom w:val="none" w:sz="0" w:space="0"/>
            <w:right w:val="none" w:sz="0" w:space="0"/>
          </w:pgBorders>
          <w:cols w:space="720" w:num="1"/>
          <w:docGrid w:type="linesAndChars" w:linePitch="306" w:charSpace="-2"/>
        </w:sectPr>
      </w:pPr>
    </w:p>
    <w:p>
      <w:pPr>
        <w:pStyle w:val="21"/>
        <w:spacing w:line="600" w:lineRule="auto"/>
        <w:ind w:firstLine="640"/>
        <w:jc w:val="center"/>
        <w:outlineLvl w:val="4"/>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目  录</w:t>
      </w:r>
    </w:p>
    <w:p>
      <w:pPr>
        <w:pStyle w:val="33"/>
        <w:tabs>
          <w:tab w:val="right" w:leader="dot" w:pos="9073"/>
          <w:tab w:val="clear" w:pos="9214"/>
        </w:tabs>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TOC \o "1-1" \h \z \u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_Toc21629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40"/>
          <w:highlight w:val="none"/>
        </w:rPr>
        <w:t>第一章  招标公告</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_Toc21629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33"/>
        <w:tabs>
          <w:tab w:val="right" w:leader="dot" w:pos="9073"/>
          <w:tab w:val="clear" w:pos="9214"/>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_Toc18196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40"/>
          <w:highlight w:val="none"/>
        </w:rPr>
        <w:t xml:space="preserve">第二章  </w:t>
      </w:r>
      <w:r>
        <w:rPr>
          <w:rFonts w:hint="eastAsia" w:ascii="宋体" w:hAnsi="宋体" w:eastAsia="宋体" w:cs="宋体"/>
          <w:color w:val="auto"/>
          <w:sz w:val="24"/>
          <w:szCs w:val="40"/>
          <w:highlight w:val="none"/>
          <w:lang w:val="en-US" w:eastAsia="zh-CN"/>
        </w:rPr>
        <w:t>供应商</w:t>
      </w:r>
      <w:r>
        <w:rPr>
          <w:rFonts w:hint="eastAsia" w:ascii="宋体" w:hAnsi="宋体" w:eastAsia="宋体" w:cs="宋体"/>
          <w:color w:val="auto"/>
          <w:sz w:val="24"/>
          <w:szCs w:val="40"/>
          <w:highlight w:val="none"/>
        </w:rPr>
        <w:t>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_Toc18196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33"/>
        <w:tabs>
          <w:tab w:val="right" w:leader="dot" w:pos="9073"/>
          <w:tab w:val="clear" w:pos="9214"/>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_Toc13880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第三章  采购清单</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_Toc13880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33"/>
        <w:tabs>
          <w:tab w:val="right" w:leader="dot" w:pos="9073"/>
          <w:tab w:val="clear" w:pos="9214"/>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_Toc22022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第四章  合同条款及格式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_Toc22022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33"/>
        <w:tabs>
          <w:tab w:val="right" w:leader="dot" w:pos="9073"/>
          <w:tab w:val="clear" w:pos="9214"/>
        </w:tabs>
        <w:rPr>
          <w:rFonts w:hint="eastAsia" w:ascii="宋体" w:hAnsi="宋体" w:eastAsia="宋体" w:cs="宋体"/>
          <w:color w:val="auto"/>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_Toc10529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第五章  投标文件格式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_Toc10529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33"/>
        <w:outlineLvl w:val="4"/>
        <w:rPr>
          <w:rFonts w:hint="eastAsia" w:ascii="宋体" w:hAnsi="宋体" w:eastAsia="宋体" w:cs="宋体"/>
          <w:color w:val="auto"/>
          <w:highlight w:val="none"/>
        </w:rPr>
      </w:pPr>
      <w:r>
        <w:rPr>
          <w:rFonts w:hint="eastAsia" w:ascii="宋体" w:hAnsi="宋体" w:eastAsia="宋体" w:cs="宋体"/>
          <w:color w:val="auto"/>
          <w:highlight w:val="none"/>
        </w:rPr>
        <w:fldChar w:fldCharType="end"/>
      </w:r>
    </w:p>
    <w:p>
      <w:pPr>
        <w:rPr>
          <w:rFonts w:hint="eastAsia" w:ascii="宋体" w:hAnsi="宋体" w:eastAsia="宋体" w:cs="宋体"/>
          <w:color w:val="auto"/>
          <w:highlight w:val="none"/>
        </w:rPr>
      </w:pPr>
    </w:p>
    <w:p>
      <w:pPr>
        <w:pStyle w:val="20"/>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0"/>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0"/>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0"/>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0"/>
        <w:rPr>
          <w:rFonts w:hint="eastAsia" w:ascii="宋体" w:hAnsi="宋体" w:eastAsia="宋体" w:cs="宋体"/>
          <w:color w:val="auto"/>
          <w:highlight w:val="none"/>
        </w:rPr>
      </w:pPr>
    </w:p>
    <w:p>
      <w:pPr>
        <w:pStyle w:val="33"/>
        <w:rPr>
          <w:rFonts w:hint="eastAsia" w:ascii="宋体" w:hAnsi="宋体" w:eastAsia="宋体" w:cs="宋体"/>
          <w:color w:val="auto"/>
          <w:highlight w:val="none"/>
        </w:rPr>
      </w:pPr>
    </w:p>
    <w:p>
      <w:pPr>
        <w:pStyle w:val="33"/>
        <w:rPr>
          <w:rFonts w:hint="eastAsia" w:ascii="宋体" w:hAnsi="宋体" w:eastAsia="宋体" w:cs="宋体"/>
          <w:color w:val="auto"/>
          <w:highlight w:val="none"/>
        </w:rPr>
      </w:pPr>
    </w:p>
    <w:p>
      <w:pPr>
        <w:pStyle w:val="33"/>
        <w:rPr>
          <w:rFonts w:hint="eastAsia" w:ascii="宋体" w:hAnsi="宋体" w:eastAsia="宋体" w:cs="宋体"/>
          <w:color w:val="auto"/>
          <w:highlight w:val="none"/>
        </w:rPr>
      </w:pPr>
    </w:p>
    <w:p>
      <w:pPr>
        <w:pStyle w:val="33"/>
        <w:rPr>
          <w:rFonts w:hint="eastAsia" w:ascii="宋体" w:hAnsi="宋体" w:eastAsia="宋体" w:cs="宋体"/>
          <w:color w:val="auto"/>
          <w:highlight w:val="none"/>
        </w:rPr>
      </w:pPr>
    </w:p>
    <w:p>
      <w:pPr>
        <w:pStyle w:val="3"/>
        <w:jc w:val="center"/>
        <w:rPr>
          <w:rFonts w:hint="eastAsia" w:ascii="宋体" w:hAnsi="宋体" w:eastAsia="宋体" w:cs="宋体"/>
          <w:color w:val="auto"/>
          <w:sz w:val="32"/>
          <w:szCs w:val="32"/>
          <w:highlight w:val="none"/>
        </w:rPr>
      </w:pPr>
      <w:bookmarkStart w:id="0" w:name="_Toc525062065"/>
      <w:bookmarkEnd w:id="0"/>
      <w:bookmarkStart w:id="1" w:name="_Toc21629"/>
      <w:r>
        <w:rPr>
          <w:rFonts w:hint="eastAsia" w:ascii="宋体" w:hAnsi="宋体" w:eastAsia="宋体" w:cs="宋体"/>
          <w:color w:val="auto"/>
          <w:sz w:val="32"/>
          <w:szCs w:val="32"/>
          <w:highlight w:val="none"/>
        </w:rPr>
        <w:t>第一章  招标公告</w:t>
      </w:r>
      <w:bookmarkEnd w:id="1"/>
    </w:p>
    <w:p>
      <w:pPr>
        <w:keepNext w:val="0"/>
        <w:keepLines w:val="0"/>
        <w:pageBreakBefore w:val="0"/>
        <w:widowControl/>
        <w:kinsoku/>
        <w:wordWrap/>
        <w:overflowPunct/>
        <w:topLinePunct w:val="0"/>
        <w:autoSpaceDE/>
        <w:autoSpaceDN/>
        <w:bidi w:val="0"/>
        <w:adjustRightInd/>
        <w:snapToGrid/>
        <w:spacing w:line="480" w:lineRule="auto"/>
        <w:ind w:firstLine="0" w:firstLineChars="0"/>
        <w:jc w:val="center"/>
        <w:textAlignment w:val="auto"/>
        <w:rPr>
          <w:rFonts w:hint="eastAsia" w:ascii="宋体" w:hAnsi="宋体" w:eastAsia="宋体" w:cs="宋体"/>
          <w:b/>
          <w:bCs/>
          <w:color w:val="auto"/>
          <w:kern w:val="0"/>
          <w:sz w:val="32"/>
          <w:szCs w:val="22"/>
          <w:highlight w:val="none"/>
        </w:rPr>
      </w:pPr>
      <w:bookmarkStart w:id="2" w:name="_Toc525062066"/>
      <w:bookmarkEnd w:id="2"/>
      <w:r>
        <w:rPr>
          <w:rFonts w:hint="eastAsia" w:ascii="宋体" w:hAnsi="宋体" w:eastAsia="宋体" w:cs="宋体"/>
          <w:b/>
          <w:bCs/>
          <w:color w:val="auto"/>
          <w:sz w:val="36"/>
          <w:szCs w:val="24"/>
          <w:highlight w:val="none"/>
          <w:lang w:eastAsia="zh-CN"/>
        </w:rPr>
        <w:t>汝州市退役军人事务局2023年基层武装部规范化建设物资采购项目</w:t>
      </w:r>
      <w:r>
        <w:rPr>
          <w:rFonts w:hint="eastAsia" w:ascii="宋体" w:hAnsi="宋体" w:eastAsia="宋体" w:cs="宋体"/>
          <w:b/>
          <w:bCs/>
          <w:color w:val="auto"/>
          <w:sz w:val="36"/>
          <w:szCs w:val="24"/>
          <w:highlight w:val="none"/>
          <w:lang w:val="en-US" w:eastAsia="zh-CN"/>
        </w:rPr>
        <w:t>-</w:t>
      </w:r>
      <w:r>
        <w:rPr>
          <w:rFonts w:hint="eastAsia" w:ascii="宋体" w:hAnsi="宋体" w:eastAsia="宋体" w:cs="宋体"/>
          <w:b/>
          <w:bCs/>
          <w:color w:val="auto"/>
          <w:kern w:val="0"/>
          <w:sz w:val="36"/>
          <w:szCs w:val="24"/>
          <w:highlight w:val="none"/>
        </w:rPr>
        <w:t>招标公告</w:t>
      </w:r>
    </w:p>
    <w:p>
      <w:pPr>
        <w:keepNext w:val="0"/>
        <w:keepLines w:val="0"/>
        <w:pageBreakBefore w:val="0"/>
        <w:kinsoku/>
        <w:overflowPunct/>
        <w:autoSpaceDE/>
        <w:autoSpaceDN/>
        <w:bidi w:val="0"/>
        <w:snapToGrid/>
        <w:spacing w:line="460" w:lineRule="exact"/>
        <w:rPr>
          <w:rFonts w:ascii="宋体" w:hAnsi="宋体" w:eastAsia="宋体" w:cs="宋体"/>
          <w:sz w:val="24"/>
          <w:szCs w:val="24"/>
        </w:rPr>
      </w:pPr>
      <w:r>
        <w:rPr>
          <w:rFonts w:hint="eastAsia" w:ascii="宋体" w:hAnsi="宋体" w:eastAsia="宋体" w:cs="宋体"/>
          <w:b/>
          <w:bCs/>
          <w:sz w:val="24"/>
          <w:szCs w:val="24"/>
        </w:rPr>
        <w:t>项目概况</w:t>
      </w:r>
    </w:p>
    <w:p>
      <w:pPr>
        <w:keepNext w:val="0"/>
        <w:keepLines w:val="0"/>
        <w:pageBreakBefore w:val="0"/>
        <w:kinsoku/>
        <w:overflowPunct/>
        <w:autoSpaceDE/>
        <w:autoSpaceDN/>
        <w:bidi w:val="0"/>
        <w:snapToGrid/>
        <w:spacing w:line="460" w:lineRule="exact"/>
        <w:rPr>
          <w:rFonts w:ascii="宋体" w:hAnsi="宋体" w:eastAsia="宋体" w:cs="宋体"/>
          <w:sz w:val="24"/>
          <w:szCs w:val="24"/>
          <w:u w:val="none"/>
        </w:rPr>
      </w:pPr>
      <w:r>
        <w:rPr>
          <w:rFonts w:hint="eastAsia" w:ascii="宋体" w:hAnsi="宋体" w:eastAsia="宋体" w:cs="宋体"/>
          <w:sz w:val="24"/>
          <w:szCs w:val="24"/>
        </w:rPr>
        <w:t xml:space="preserve">    </w:t>
      </w:r>
      <w:r>
        <w:rPr>
          <w:rFonts w:hint="eastAsia" w:ascii="宋体" w:hAnsi="宋体" w:eastAsia="宋体" w:cs="宋体"/>
          <w:sz w:val="24"/>
          <w:szCs w:val="24"/>
          <w:lang w:eastAsia="zh-CN"/>
        </w:rPr>
        <w:t>汝州市退役军人事务局2023年基层武装部规范化建设物资采购项目</w:t>
      </w:r>
      <w:r>
        <w:rPr>
          <w:rFonts w:hint="eastAsia" w:ascii="宋体" w:hAnsi="宋体" w:eastAsia="宋体" w:cs="宋体"/>
          <w:sz w:val="24"/>
          <w:szCs w:val="24"/>
        </w:rPr>
        <w:t>的潜在供应商应在</w:t>
      </w:r>
      <w:r>
        <w:rPr>
          <w:rFonts w:hint="eastAsia" w:ascii="宋体" w:hAnsi="宋体" w:eastAsia="宋体" w:cs="Times New Roman"/>
          <w:bCs/>
          <w:sz w:val="24"/>
          <w:szCs w:val="24"/>
          <w:lang w:bidi="en-US"/>
        </w:rPr>
        <w:t>全国公共资源交易平台（河南省·汝州市）（http：//www.rzggzy.com）</w:t>
      </w:r>
      <w:r>
        <w:rPr>
          <w:rFonts w:hint="eastAsia" w:ascii="宋体" w:hAnsi="宋体" w:eastAsia="宋体" w:cs="宋体"/>
          <w:color w:val="000000"/>
          <w:sz w:val="24"/>
          <w:szCs w:val="24"/>
          <w:u w:val="none"/>
        </w:rPr>
        <w:t>获取招标文件，并于202</w:t>
      </w:r>
      <w:r>
        <w:rPr>
          <w:rFonts w:hint="eastAsia" w:ascii="宋体" w:hAnsi="宋体" w:eastAsia="宋体" w:cs="宋体"/>
          <w:color w:val="000000"/>
          <w:sz w:val="24"/>
          <w:szCs w:val="24"/>
          <w:u w:val="none"/>
          <w:lang w:val="en-US" w:eastAsia="zh-CN"/>
        </w:rPr>
        <w:t>4</w:t>
      </w:r>
      <w:r>
        <w:rPr>
          <w:rFonts w:hint="eastAsia" w:ascii="宋体" w:hAnsi="宋体" w:eastAsia="宋体" w:cs="宋体"/>
          <w:color w:val="000000"/>
          <w:sz w:val="24"/>
          <w:szCs w:val="24"/>
          <w:u w:val="none"/>
        </w:rPr>
        <w:t>年</w:t>
      </w:r>
      <w:r>
        <w:rPr>
          <w:rFonts w:hint="eastAsia" w:ascii="宋体" w:hAnsi="宋体" w:eastAsia="宋体" w:cs="宋体"/>
          <w:color w:val="000000"/>
          <w:sz w:val="24"/>
          <w:szCs w:val="24"/>
          <w:u w:val="none"/>
          <w:lang w:val="en-US" w:eastAsia="zh-CN"/>
        </w:rPr>
        <w:t xml:space="preserve">01 </w:t>
      </w:r>
      <w:r>
        <w:rPr>
          <w:rFonts w:hint="eastAsia" w:ascii="宋体" w:hAnsi="宋体" w:eastAsia="宋体" w:cs="宋体"/>
          <w:sz w:val="24"/>
          <w:szCs w:val="24"/>
          <w:u w:val="none"/>
        </w:rPr>
        <w:t>月</w:t>
      </w:r>
      <w:r>
        <w:rPr>
          <w:rFonts w:hint="eastAsia" w:ascii="宋体" w:hAnsi="宋体" w:eastAsia="宋体" w:cs="宋体"/>
          <w:sz w:val="24"/>
          <w:szCs w:val="24"/>
          <w:u w:val="none"/>
          <w:lang w:val="en-US" w:eastAsia="zh-CN"/>
        </w:rPr>
        <w:t xml:space="preserve"> 16</w:t>
      </w:r>
      <w:r>
        <w:rPr>
          <w:rFonts w:hint="eastAsia" w:ascii="宋体" w:hAnsi="宋体" w:eastAsia="宋体" w:cs="宋体"/>
          <w:sz w:val="24"/>
          <w:szCs w:val="24"/>
          <w:u w:val="none"/>
        </w:rPr>
        <w:t xml:space="preserve"> 日08时30分（北京时间）前递交投标文件</w:t>
      </w:r>
    </w:p>
    <w:p>
      <w:pPr>
        <w:keepNext w:val="0"/>
        <w:keepLines w:val="0"/>
        <w:pageBreakBefore w:val="0"/>
        <w:kinsoku/>
        <w:overflowPunct/>
        <w:autoSpaceDE/>
        <w:autoSpaceDN/>
        <w:bidi w:val="0"/>
        <w:snapToGrid/>
        <w:spacing w:line="460" w:lineRule="exact"/>
        <w:rPr>
          <w:rFonts w:ascii="宋体" w:hAnsi="宋体" w:eastAsia="宋体" w:cs="宋体"/>
          <w:b/>
          <w:bCs/>
          <w:color w:val="000000"/>
          <w:sz w:val="24"/>
          <w:szCs w:val="24"/>
        </w:rPr>
      </w:pPr>
      <w:r>
        <w:rPr>
          <w:rFonts w:hint="eastAsia" w:ascii="宋体" w:hAnsi="宋体" w:eastAsia="宋体" w:cs="宋体"/>
          <w:b/>
          <w:bCs/>
          <w:color w:val="000000"/>
          <w:sz w:val="24"/>
          <w:szCs w:val="24"/>
        </w:rPr>
        <w:t>一、项目基本情况</w:t>
      </w:r>
    </w:p>
    <w:p>
      <w:pPr>
        <w:keepNext w:val="0"/>
        <w:keepLines w:val="0"/>
        <w:pageBreakBefore w:val="0"/>
        <w:kinsoku/>
        <w:overflowPunct/>
        <w:autoSpaceDE/>
        <w:autoSpaceDN/>
        <w:bidi w:val="0"/>
        <w:snapToGrid/>
        <w:spacing w:line="460" w:lineRule="exact"/>
        <w:rPr>
          <w:rFonts w:ascii="宋体" w:hAnsi="宋体" w:eastAsia="宋体" w:cs="宋体"/>
          <w:sz w:val="24"/>
          <w:szCs w:val="24"/>
        </w:rPr>
      </w:pPr>
      <w:r>
        <w:rPr>
          <w:rFonts w:hint="eastAsia" w:ascii="宋体" w:hAnsi="宋体" w:eastAsia="宋体" w:cs="宋体"/>
          <w:sz w:val="24"/>
          <w:szCs w:val="24"/>
        </w:rPr>
        <w:t>1、采购项目编号：汝财招标采购-202</w:t>
      </w: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val="en-US" w:eastAsia="zh-CN"/>
        </w:rPr>
        <w:t xml:space="preserve">97 </w:t>
      </w:r>
    </w:p>
    <w:p>
      <w:pPr>
        <w:keepNext w:val="0"/>
        <w:keepLines w:val="0"/>
        <w:pageBreakBefore w:val="0"/>
        <w:widowControl/>
        <w:kinsoku/>
        <w:overflowPunct/>
        <w:autoSpaceDE/>
        <w:autoSpaceDN/>
        <w:bidi w:val="0"/>
        <w:snapToGrid/>
        <w:spacing w:line="460" w:lineRule="exact"/>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2、采购项目名称：</w:t>
      </w:r>
      <w:r>
        <w:rPr>
          <w:rFonts w:hint="eastAsia" w:ascii="宋体" w:hAnsi="宋体" w:eastAsia="宋体" w:cs="宋体"/>
          <w:color w:val="000000"/>
          <w:sz w:val="24"/>
          <w:szCs w:val="24"/>
          <w:lang w:eastAsia="zh-CN"/>
        </w:rPr>
        <w:t>汝州市退役军人事务局2023年基层武装部规范化建设物资采购项目</w:t>
      </w:r>
    </w:p>
    <w:p>
      <w:pPr>
        <w:keepNext w:val="0"/>
        <w:keepLines w:val="0"/>
        <w:pageBreakBefore w:val="0"/>
        <w:widowControl/>
        <w:kinsoku/>
        <w:overflowPunct/>
        <w:autoSpaceDE/>
        <w:autoSpaceDN/>
        <w:bidi w:val="0"/>
        <w:snapToGrid/>
        <w:spacing w:line="460" w:lineRule="exact"/>
        <w:jc w:val="left"/>
        <w:rPr>
          <w:rFonts w:ascii="宋体" w:hAnsi="宋体" w:eastAsia="宋体" w:cs="宋体"/>
          <w:color w:val="000000"/>
          <w:sz w:val="24"/>
          <w:szCs w:val="24"/>
        </w:rPr>
      </w:pPr>
      <w:r>
        <w:rPr>
          <w:rFonts w:hint="eastAsia" w:ascii="宋体" w:hAnsi="宋体" w:eastAsia="宋体" w:cs="宋体"/>
          <w:color w:val="000000"/>
          <w:sz w:val="24"/>
          <w:szCs w:val="24"/>
        </w:rPr>
        <w:t>3、采购方式：公开招标</w:t>
      </w:r>
    </w:p>
    <w:p>
      <w:pPr>
        <w:keepNext w:val="0"/>
        <w:keepLines w:val="0"/>
        <w:pageBreakBefore w:val="0"/>
        <w:widowControl/>
        <w:kinsoku/>
        <w:overflowPunct/>
        <w:autoSpaceDE/>
        <w:autoSpaceDN/>
        <w:bidi w:val="0"/>
        <w:snapToGrid/>
        <w:spacing w:line="460" w:lineRule="exact"/>
        <w:jc w:val="left"/>
        <w:rPr>
          <w:rFonts w:ascii="宋体" w:hAnsi="宋体" w:eastAsia="宋体" w:cs="宋体"/>
          <w:color w:val="000000"/>
          <w:sz w:val="24"/>
          <w:szCs w:val="24"/>
        </w:rPr>
      </w:pPr>
      <w:r>
        <w:rPr>
          <w:rFonts w:hint="eastAsia" w:ascii="宋体" w:hAnsi="宋体" w:eastAsia="宋体" w:cs="宋体"/>
          <w:color w:val="000000"/>
          <w:sz w:val="24"/>
          <w:szCs w:val="24"/>
        </w:rPr>
        <w:t>4、预算金额：</w:t>
      </w:r>
      <w:r>
        <w:rPr>
          <w:rFonts w:hint="eastAsia" w:ascii="宋体" w:hAnsi="宋体" w:eastAsia="宋体" w:cs="宋体"/>
          <w:color w:val="000000"/>
          <w:sz w:val="24"/>
          <w:szCs w:val="24"/>
          <w:lang w:val="en-US" w:eastAsia="zh-CN"/>
        </w:rPr>
        <w:t>700000.00</w:t>
      </w:r>
      <w:r>
        <w:rPr>
          <w:rFonts w:hint="eastAsia" w:ascii="宋体" w:hAnsi="宋体" w:eastAsia="宋体" w:cs="宋体"/>
          <w:color w:val="000000"/>
          <w:sz w:val="24"/>
          <w:szCs w:val="24"/>
        </w:rPr>
        <w:t>元</w:t>
      </w:r>
    </w:p>
    <w:p>
      <w:pPr>
        <w:keepNext w:val="0"/>
        <w:keepLines w:val="0"/>
        <w:pageBreakBefore w:val="0"/>
        <w:widowControl/>
        <w:kinsoku/>
        <w:overflowPunct/>
        <w:autoSpaceDE/>
        <w:autoSpaceDN/>
        <w:bidi w:val="0"/>
        <w:snapToGrid/>
        <w:spacing w:line="460" w:lineRule="exact"/>
        <w:jc w:val="left"/>
        <w:rPr>
          <w:rFonts w:ascii="宋体" w:hAnsi="宋体" w:eastAsia="宋体" w:cs="宋体"/>
          <w:color w:val="000000"/>
          <w:sz w:val="24"/>
          <w:szCs w:val="24"/>
        </w:rPr>
      </w:pPr>
      <w:r>
        <w:rPr>
          <w:rFonts w:hint="eastAsia" w:ascii="宋体" w:hAnsi="宋体" w:eastAsia="宋体" w:cs="宋体"/>
          <w:color w:val="000000"/>
          <w:sz w:val="24"/>
          <w:szCs w:val="24"/>
        </w:rPr>
        <w:t xml:space="preserve">   最高限价：</w:t>
      </w:r>
      <w:r>
        <w:rPr>
          <w:rFonts w:hint="eastAsia" w:ascii="宋体" w:hAnsi="宋体" w:eastAsia="宋体" w:cs="宋体"/>
          <w:color w:val="000000"/>
          <w:sz w:val="24"/>
          <w:szCs w:val="24"/>
          <w:lang w:val="en-US" w:eastAsia="zh-CN"/>
        </w:rPr>
        <w:t>697227.00</w:t>
      </w:r>
      <w:r>
        <w:rPr>
          <w:rFonts w:hint="eastAsia" w:ascii="宋体" w:hAnsi="宋体" w:eastAsia="宋体" w:cs="宋体"/>
          <w:color w:val="000000"/>
          <w:sz w:val="24"/>
          <w:szCs w:val="24"/>
        </w:rPr>
        <w:t>元</w:t>
      </w:r>
    </w:p>
    <w:tbl>
      <w:tblPr>
        <w:tblStyle w:val="46"/>
        <w:tblpPr w:leftFromText="180" w:rightFromText="180" w:vertAnchor="text" w:horzAnchor="page" w:tblpX="1380" w:tblpY="268"/>
        <w:tblOverlap w:val="never"/>
        <w:tblW w:w="9261"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04"/>
        <w:gridCol w:w="501"/>
        <w:gridCol w:w="2790"/>
        <w:gridCol w:w="1486"/>
        <w:gridCol w:w="1333"/>
        <w:gridCol w:w="1227"/>
        <w:gridCol w:w="142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53" w:hRule="atLeast"/>
        </w:trPr>
        <w:tc>
          <w:tcPr>
            <w:tcW w:w="504" w:type="dxa"/>
            <w:tcBorders>
              <w:top w:val="single" w:color="auto" w:sz="8" w:space="0"/>
              <w:left w:val="single" w:color="auto" w:sz="8" w:space="0"/>
              <w:bottom w:val="single" w:color="auto" w:sz="4" w:space="0"/>
              <w:right w:val="single" w:color="auto" w:sz="8" w:space="0"/>
            </w:tcBorders>
            <w:noWrap w:val="0"/>
            <w:tcMar>
              <w:left w:w="108" w:type="dxa"/>
              <w:right w:w="108" w:type="dxa"/>
            </w:tcMar>
            <w:vAlign w:val="center"/>
          </w:tcPr>
          <w:p>
            <w:pPr>
              <w:keepNext w:val="0"/>
              <w:keepLines w:val="0"/>
              <w:pageBreakBefore w:val="0"/>
              <w:widowControl/>
              <w:suppressLineNumbers w:val="0"/>
              <w:kinsoku/>
              <w:overflowPunct/>
              <w:autoSpaceDE/>
              <w:autoSpaceDN/>
              <w:bidi w:val="0"/>
              <w:snapToGrid/>
              <w:spacing w:before="0" w:beforeAutospacing="0" w:after="0" w:afterAutospacing="0" w:line="460" w:lineRule="exact"/>
              <w:ind w:left="0" w:right="0"/>
              <w:jc w:val="center"/>
              <w:rPr>
                <w:rFonts w:hint="default" w:ascii="宋体" w:hAnsi="宋体" w:eastAsia="宋体" w:cs="宋体"/>
                <w:bCs/>
                <w:color w:val="000000"/>
                <w:sz w:val="24"/>
                <w:szCs w:val="24"/>
              </w:rPr>
            </w:pPr>
            <w:r>
              <w:rPr>
                <w:rFonts w:hint="eastAsia" w:ascii="宋体" w:hAnsi="宋体" w:eastAsia="宋体" w:cs="宋体"/>
                <w:bCs/>
                <w:color w:val="000000"/>
                <w:sz w:val="24"/>
                <w:szCs w:val="24"/>
              </w:rPr>
              <w:t>序号</w:t>
            </w:r>
          </w:p>
        </w:tc>
        <w:tc>
          <w:tcPr>
            <w:tcW w:w="501" w:type="dxa"/>
            <w:tcBorders>
              <w:top w:val="single" w:color="auto" w:sz="8" w:space="0"/>
              <w:left w:val="nil"/>
              <w:bottom w:val="single" w:color="auto" w:sz="4" w:space="0"/>
              <w:right w:val="single" w:color="auto" w:sz="8" w:space="0"/>
            </w:tcBorders>
            <w:noWrap w:val="0"/>
            <w:tcMar>
              <w:left w:w="108" w:type="dxa"/>
              <w:right w:w="108" w:type="dxa"/>
            </w:tcMar>
            <w:vAlign w:val="center"/>
          </w:tcPr>
          <w:p>
            <w:pPr>
              <w:keepNext w:val="0"/>
              <w:keepLines w:val="0"/>
              <w:pageBreakBefore w:val="0"/>
              <w:widowControl/>
              <w:suppressLineNumbers w:val="0"/>
              <w:kinsoku/>
              <w:overflowPunct/>
              <w:autoSpaceDE/>
              <w:autoSpaceDN/>
              <w:bidi w:val="0"/>
              <w:snapToGrid/>
              <w:spacing w:before="0" w:beforeAutospacing="0" w:after="0" w:afterAutospacing="0" w:line="460" w:lineRule="exact"/>
              <w:ind w:left="0" w:right="0"/>
              <w:jc w:val="center"/>
              <w:rPr>
                <w:rFonts w:hint="default" w:ascii="宋体" w:hAnsi="宋体" w:eastAsia="宋体" w:cs="宋体"/>
                <w:bCs/>
                <w:color w:val="000000"/>
                <w:sz w:val="24"/>
                <w:szCs w:val="24"/>
              </w:rPr>
            </w:pPr>
            <w:r>
              <w:rPr>
                <w:rFonts w:hint="eastAsia" w:ascii="宋体" w:hAnsi="宋体" w:eastAsia="宋体" w:cs="宋体"/>
                <w:bCs/>
                <w:color w:val="000000"/>
                <w:sz w:val="24"/>
                <w:szCs w:val="24"/>
              </w:rPr>
              <w:t>包号</w:t>
            </w:r>
          </w:p>
        </w:tc>
        <w:tc>
          <w:tcPr>
            <w:tcW w:w="2790" w:type="dxa"/>
            <w:tcBorders>
              <w:top w:val="single" w:color="auto" w:sz="8" w:space="0"/>
              <w:left w:val="nil"/>
              <w:bottom w:val="single" w:color="auto" w:sz="4" w:space="0"/>
              <w:right w:val="single" w:color="auto" w:sz="8" w:space="0"/>
            </w:tcBorders>
            <w:noWrap w:val="0"/>
            <w:tcMar>
              <w:left w:w="108" w:type="dxa"/>
              <w:right w:w="108" w:type="dxa"/>
            </w:tcMar>
            <w:vAlign w:val="center"/>
          </w:tcPr>
          <w:p>
            <w:pPr>
              <w:keepNext w:val="0"/>
              <w:keepLines w:val="0"/>
              <w:pageBreakBefore w:val="0"/>
              <w:widowControl/>
              <w:suppressLineNumbers w:val="0"/>
              <w:kinsoku/>
              <w:overflowPunct/>
              <w:autoSpaceDE/>
              <w:autoSpaceDN/>
              <w:bidi w:val="0"/>
              <w:snapToGrid/>
              <w:spacing w:before="0" w:beforeAutospacing="0" w:after="0" w:afterAutospacing="0" w:line="460" w:lineRule="exact"/>
              <w:ind w:left="0" w:right="0"/>
              <w:jc w:val="center"/>
              <w:rPr>
                <w:rFonts w:hint="default" w:ascii="宋体" w:hAnsi="宋体" w:eastAsia="宋体" w:cs="宋体"/>
                <w:bCs/>
                <w:color w:val="000000"/>
                <w:sz w:val="24"/>
                <w:szCs w:val="24"/>
              </w:rPr>
            </w:pPr>
            <w:r>
              <w:rPr>
                <w:rFonts w:hint="eastAsia" w:ascii="宋体" w:hAnsi="宋体" w:eastAsia="宋体" w:cs="宋体"/>
                <w:bCs/>
                <w:color w:val="000000"/>
                <w:sz w:val="24"/>
                <w:szCs w:val="24"/>
              </w:rPr>
              <w:t>包名称</w:t>
            </w:r>
          </w:p>
        </w:tc>
        <w:tc>
          <w:tcPr>
            <w:tcW w:w="1486" w:type="dxa"/>
            <w:tcBorders>
              <w:top w:val="single" w:color="auto" w:sz="8" w:space="0"/>
              <w:left w:val="nil"/>
              <w:bottom w:val="single" w:color="auto" w:sz="4" w:space="0"/>
              <w:right w:val="single" w:color="auto" w:sz="8" w:space="0"/>
            </w:tcBorders>
            <w:noWrap w:val="0"/>
            <w:tcMar>
              <w:left w:w="108" w:type="dxa"/>
              <w:right w:w="108" w:type="dxa"/>
            </w:tcMar>
            <w:vAlign w:val="center"/>
          </w:tcPr>
          <w:p>
            <w:pPr>
              <w:keepNext w:val="0"/>
              <w:keepLines w:val="0"/>
              <w:pageBreakBefore w:val="0"/>
              <w:widowControl/>
              <w:suppressLineNumbers w:val="0"/>
              <w:kinsoku/>
              <w:overflowPunct/>
              <w:autoSpaceDE/>
              <w:autoSpaceDN/>
              <w:bidi w:val="0"/>
              <w:snapToGrid/>
              <w:spacing w:before="0" w:beforeAutospacing="0" w:after="0" w:afterAutospacing="0" w:line="460" w:lineRule="exact"/>
              <w:ind w:left="0" w:right="0"/>
              <w:jc w:val="center"/>
              <w:rPr>
                <w:rFonts w:hint="default" w:ascii="宋体" w:hAnsi="宋体" w:eastAsia="宋体" w:cs="宋体"/>
                <w:bCs/>
                <w:color w:val="000000"/>
                <w:sz w:val="24"/>
                <w:szCs w:val="24"/>
              </w:rPr>
            </w:pPr>
            <w:r>
              <w:rPr>
                <w:rFonts w:hint="eastAsia" w:ascii="宋体" w:hAnsi="宋体" w:eastAsia="宋体" w:cs="宋体"/>
                <w:bCs/>
                <w:color w:val="000000"/>
                <w:sz w:val="24"/>
                <w:szCs w:val="24"/>
              </w:rPr>
              <w:t>包预算 （元）</w:t>
            </w:r>
          </w:p>
        </w:tc>
        <w:tc>
          <w:tcPr>
            <w:tcW w:w="1333" w:type="dxa"/>
            <w:tcBorders>
              <w:top w:val="single" w:color="auto" w:sz="8" w:space="0"/>
              <w:left w:val="nil"/>
              <w:bottom w:val="single" w:color="auto" w:sz="4" w:space="0"/>
              <w:right w:val="single" w:color="auto" w:sz="8" w:space="0"/>
            </w:tcBorders>
            <w:noWrap w:val="0"/>
            <w:tcMar>
              <w:left w:w="108" w:type="dxa"/>
              <w:right w:w="108" w:type="dxa"/>
            </w:tcMar>
            <w:vAlign w:val="center"/>
          </w:tcPr>
          <w:p>
            <w:pPr>
              <w:keepNext w:val="0"/>
              <w:keepLines w:val="0"/>
              <w:pageBreakBefore w:val="0"/>
              <w:widowControl/>
              <w:suppressLineNumbers w:val="0"/>
              <w:kinsoku/>
              <w:overflowPunct/>
              <w:autoSpaceDE/>
              <w:autoSpaceDN/>
              <w:bidi w:val="0"/>
              <w:snapToGrid/>
              <w:spacing w:before="0" w:beforeAutospacing="0" w:after="0" w:afterAutospacing="0" w:line="460" w:lineRule="exact"/>
              <w:ind w:left="0" w:right="0"/>
              <w:rPr>
                <w:rFonts w:hint="default" w:ascii="宋体" w:hAnsi="宋体" w:eastAsia="宋体" w:cs="宋体"/>
                <w:bCs/>
                <w:color w:val="000000"/>
                <w:sz w:val="24"/>
                <w:szCs w:val="24"/>
              </w:rPr>
            </w:pPr>
            <w:r>
              <w:rPr>
                <w:rFonts w:hint="eastAsia" w:ascii="宋体" w:hAnsi="宋体" w:eastAsia="宋体" w:cs="宋体"/>
                <w:bCs/>
                <w:color w:val="000000"/>
                <w:sz w:val="24"/>
                <w:szCs w:val="24"/>
              </w:rPr>
              <w:t>包最高限价（元）</w:t>
            </w:r>
          </w:p>
        </w:tc>
        <w:tc>
          <w:tcPr>
            <w:tcW w:w="1227" w:type="dxa"/>
            <w:tcBorders>
              <w:top w:val="single" w:color="auto" w:sz="8" w:space="0"/>
              <w:left w:val="nil"/>
              <w:bottom w:val="single" w:color="auto" w:sz="4" w:space="0"/>
              <w:right w:val="single" w:color="auto" w:sz="8" w:space="0"/>
            </w:tcBorders>
            <w:noWrap w:val="0"/>
            <w:tcMar>
              <w:left w:w="108" w:type="dxa"/>
              <w:right w:w="108" w:type="dxa"/>
            </w:tcMar>
            <w:vAlign w:val="center"/>
          </w:tcPr>
          <w:p>
            <w:pPr>
              <w:keepNext w:val="0"/>
              <w:keepLines w:val="0"/>
              <w:pageBreakBefore w:val="0"/>
              <w:widowControl/>
              <w:suppressLineNumbers w:val="0"/>
              <w:kinsoku/>
              <w:overflowPunct/>
              <w:autoSpaceDE/>
              <w:autoSpaceDN/>
              <w:bidi w:val="0"/>
              <w:snapToGrid/>
              <w:spacing w:before="0" w:beforeAutospacing="0" w:after="0" w:afterAutospacing="0" w:line="460" w:lineRule="exact"/>
              <w:ind w:left="0" w:right="0"/>
              <w:rPr>
                <w:rFonts w:hint="default" w:ascii="宋体" w:hAnsi="宋体" w:eastAsia="宋体" w:cs="Times New Roman"/>
                <w:bCs/>
                <w:kern w:val="44"/>
                <w:sz w:val="24"/>
                <w:szCs w:val="24"/>
                <w:lang w:bidi="en-US"/>
              </w:rPr>
            </w:pPr>
            <w:r>
              <w:rPr>
                <w:rFonts w:hint="eastAsia" w:ascii="宋体" w:hAnsi="宋体" w:eastAsia="宋体" w:cs="Times New Roman"/>
                <w:bCs/>
                <w:kern w:val="44"/>
                <w:sz w:val="24"/>
                <w:szCs w:val="24"/>
                <w:lang w:bidi="en-US"/>
              </w:rPr>
              <w:t>是否专门面向中小企业</w:t>
            </w:r>
          </w:p>
        </w:tc>
        <w:tc>
          <w:tcPr>
            <w:tcW w:w="1420" w:type="dxa"/>
            <w:tcBorders>
              <w:top w:val="single" w:color="auto" w:sz="8" w:space="0"/>
              <w:left w:val="nil"/>
              <w:bottom w:val="single" w:color="auto" w:sz="4" w:space="0"/>
              <w:right w:val="single" w:color="auto" w:sz="8" w:space="0"/>
            </w:tcBorders>
            <w:noWrap w:val="0"/>
            <w:tcMar>
              <w:left w:w="108" w:type="dxa"/>
              <w:right w:w="108" w:type="dxa"/>
            </w:tcMar>
            <w:vAlign w:val="center"/>
          </w:tcPr>
          <w:p>
            <w:pPr>
              <w:keepNext w:val="0"/>
              <w:keepLines w:val="0"/>
              <w:pageBreakBefore w:val="0"/>
              <w:widowControl/>
              <w:suppressLineNumbers w:val="0"/>
              <w:kinsoku/>
              <w:overflowPunct/>
              <w:autoSpaceDE/>
              <w:autoSpaceDN/>
              <w:bidi w:val="0"/>
              <w:snapToGrid/>
              <w:spacing w:before="0" w:beforeAutospacing="0" w:after="0" w:afterAutospacing="0" w:line="460" w:lineRule="exact"/>
              <w:ind w:left="0" w:right="0"/>
              <w:rPr>
                <w:rFonts w:hint="eastAsia" w:ascii="宋体" w:hAnsi="宋体" w:eastAsia="宋体" w:cs="Times New Roman"/>
                <w:bCs/>
                <w:kern w:val="44"/>
                <w:sz w:val="24"/>
                <w:szCs w:val="24"/>
                <w:lang w:bidi="en-US"/>
              </w:rPr>
            </w:pPr>
            <w:r>
              <w:rPr>
                <w:rFonts w:hint="eastAsia" w:ascii="宋体" w:hAnsi="宋体" w:eastAsia="宋体" w:cs="Times New Roman"/>
                <w:bCs/>
                <w:kern w:val="44"/>
                <w:sz w:val="24"/>
                <w:szCs w:val="24"/>
                <w:lang w:bidi="en-US"/>
              </w:rPr>
              <w:t>采购预留金额（元）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38" w:hRule="atLeast"/>
        </w:trPr>
        <w:tc>
          <w:tcPr>
            <w:tcW w:w="504" w:type="dxa"/>
            <w:tcBorders>
              <w:top w:val="single" w:color="auto" w:sz="4" w:space="0"/>
              <w:left w:val="single" w:color="auto" w:sz="4" w:space="0"/>
              <w:bottom w:val="single" w:color="auto" w:sz="4" w:space="0"/>
              <w:right w:val="single" w:color="auto" w:sz="8" w:space="0"/>
            </w:tcBorders>
            <w:noWrap w:val="0"/>
            <w:tcMar>
              <w:left w:w="108" w:type="dxa"/>
              <w:right w:w="108" w:type="dxa"/>
            </w:tcMar>
            <w:vAlign w:val="top"/>
          </w:tcPr>
          <w:p>
            <w:pPr>
              <w:keepNext w:val="0"/>
              <w:keepLines w:val="0"/>
              <w:pageBreakBefore w:val="0"/>
              <w:widowControl/>
              <w:suppressLineNumbers w:val="0"/>
              <w:kinsoku/>
              <w:overflowPunct/>
              <w:autoSpaceDE/>
              <w:autoSpaceDN/>
              <w:bidi w:val="0"/>
              <w:snapToGrid/>
              <w:spacing w:before="0" w:beforeAutospacing="0" w:after="0" w:afterAutospacing="0" w:line="460" w:lineRule="exact"/>
              <w:ind w:left="0" w:right="0"/>
              <w:jc w:val="center"/>
              <w:rPr>
                <w:rFonts w:hint="default" w:ascii="宋体" w:hAnsi="宋体" w:eastAsia="宋体" w:cs="宋体"/>
                <w:bCs/>
                <w:color w:val="000000"/>
                <w:sz w:val="24"/>
                <w:szCs w:val="24"/>
              </w:rPr>
            </w:pPr>
            <w:r>
              <w:rPr>
                <w:rFonts w:hint="eastAsia" w:ascii="宋体" w:hAnsi="宋体" w:eastAsia="宋体" w:cs="宋体"/>
                <w:bCs/>
                <w:color w:val="000000"/>
                <w:sz w:val="24"/>
                <w:szCs w:val="24"/>
              </w:rPr>
              <w:t>1</w:t>
            </w:r>
          </w:p>
        </w:tc>
        <w:tc>
          <w:tcPr>
            <w:tcW w:w="501" w:type="dxa"/>
            <w:tcBorders>
              <w:top w:val="single" w:color="auto" w:sz="4" w:space="0"/>
              <w:left w:val="nil"/>
              <w:bottom w:val="single" w:color="auto" w:sz="4" w:space="0"/>
              <w:right w:val="single" w:color="auto" w:sz="8" w:space="0"/>
            </w:tcBorders>
            <w:noWrap w:val="0"/>
            <w:tcMar>
              <w:left w:w="108" w:type="dxa"/>
              <w:right w:w="108" w:type="dxa"/>
            </w:tcMar>
            <w:vAlign w:val="top"/>
          </w:tcPr>
          <w:p>
            <w:pPr>
              <w:keepNext w:val="0"/>
              <w:keepLines w:val="0"/>
              <w:pageBreakBefore w:val="0"/>
              <w:widowControl/>
              <w:suppressLineNumbers w:val="0"/>
              <w:kinsoku/>
              <w:overflowPunct/>
              <w:autoSpaceDE/>
              <w:autoSpaceDN/>
              <w:bidi w:val="0"/>
              <w:snapToGrid/>
              <w:spacing w:before="0" w:beforeAutospacing="0" w:after="0" w:afterAutospacing="0" w:line="460" w:lineRule="exact"/>
              <w:ind w:left="0" w:right="0"/>
              <w:jc w:val="center"/>
              <w:rPr>
                <w:rFonts w:hint="default" w:ascii="宋体" w:hAnsi="宋体" w:eastAsia="宋体" w:cs="宋体"/>
                <w:bCs/>
                <w:color w:val="000000"/>
                <w:sz w:val="24"/>
                <w:szCs w:val="24"/>
              </w:rPr>
            </w:pPr>
            <w:r>
              <w:rPr>
                <w:rFonts w:hint="eastAsia" w:ascii="宋体" w:hAnsi="宋体" w:eastAsia="宋体" w:cs="宋体"/>
                <w:bCs/>
                <w:color w:val="000000"/>
                <w:sz w:val="24"/>
                <w:szCs w:val="24"/>
              </w:rPr>
              <w:t>1</w:t>
            </w:r>
          </w:p>
        </w:tc>
        <w:tc>
          <w:tcPr>
            <w:tcW w:w="2790" w:type="dxa"/>
            <w:tcBorders>
              <w:top w:val="single" w:color="auto" w:sz="4" w:space="0"/>
              <w:left w:val="nil"/>
              <w:bottom w:val="single" w:color="auto" w:sz="4" w:space="0"/>
              <w:right w:val="single" w:color="auto" w:sz="8" w:space="0"/>
            </w:tcBorders>
            <w:noWrap w:val="0"/>
            <w:tcMar>
              <w:left w:w="108" w:type="dxa"/>
              <w:right w:w="108" w:type="dxa"/>
            </w:tcMar>
            <w:vAlign w:val="top"/>
          </w:tcPr>
          <w:p>
            <w:pPr>
              <w:keepNext w:val="0"/>
              <w:keepLines w:val="0"/>
              <w:pageBreakBefore w:val="0"/>
              <w:widowControl w:val="0"/>
              <w:suppressLineNumbers w:val="0"/>
              <w:kinsoku/>
              <w:overflowPunct/>
              <w:autoSpaceDE/>
              <w:autoSpaceDN/>
              <w:bidi w:val="0"/>
              <w:adjustRightInd w:val="0"/>
              <w:snapToGrid/>
              <w:spacing w:before="0" w:beforeAutospacing="0" w:after="60" w:afterAutospacing="0" w:line="460" w:lineRule="exact"/>
              <w:ind w:left="63" w:leftChars="30" w:right="63" w:rightChars="30"/>
              <w:jc w:val="center"/>
              <w:textAlignment w:val="baseline"/>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汝州市退役军人事务局2023年基层武装部规范化建设物资采购项目</w:t>
            </w:r>
          </w:p>
        </w:tc>
        <w:tc>
          <w:tcPr>
            <w:tcW w:w="1486" w:type="dxa"/>
            <w:tcBorders>
              <w:top w:val="single" w:color="auto" w:sz="4" w:space="0"/>
              <w:left w:val="nil"/>
              <w:bottom w:val="single" w:color="auto" w:sz="4" w:space="0"/>
              <w:right w:val="single" w:color="auto" w:sz="8" w:space="0"/>
            </w:tcBorders>
            <w:noWrap w:val="0"/>
            <w:tcMar>
              <w:left w:w="108" w:type="dxa"/>
              <w:right w:w="108" w:type="dxa"/>
            </w:tcMar>
            <w:vAlign w:val="top"/>
          </w:tcPr>
          <w:p>
            <w:pPr>
              <w:keepNext w:val="0"/>
              <w:keepLines w:val="0"/>
              <w:pageBreakBefore w:val="0"/>
              <w:widowControl/>
              <w:suppressLineNumbers w:val="0"/>
              <w:kinsoku/>
              <w:overflowPunct/>
              <w:autoSpaceDE/>
              <w:autoSpaceDN/>
              <w:bidi w:val="0"/>
              <w:snapToGrid/>
              <w:spacing w:before="0" w:beforeAutospacing="0" w:after="0" w:afterAutospacing="0" w:line="460" w:lineRule="exact"/>
              <w:ind w:left="0" w:right="0"/>
              <w:jc w:val="center"/>
              <w:rPr>
                <w:rFonts w:hint="default" w:ascii="宋体" w:hAnsi="宋体" w:eastAsia="宋体" w:cs="宋体"/>
                <w:bCs/>
                <w:color w:val="000000"/>
                <w:sz w:val="24"/>
                <w:szCs w:val="24"/>
                <w:lang w:val="en-US" w:eastAsia="zh-CN"/>
              </w:rPr>
            </w:pPr>
          </w:p>
          <w:p>
            <w:pPr>
              <w:keepNext w:val="0"/>
              <w:keepLines w:val="0"/>
              <w:pageBreakBefore w:val="0"/>
              <w:widowControl/>
              <w:suppressLineNumbers w:val="0"/>
              <w:kinsoku/>
              <w:overflowPunct/>
              <w:autoSpaceDE/>
              <w:autoSpaceDN/>
              <w:bidi w:val="0"/>
              <w:snapToGrid/>
              <w:spacing w:before="0" w:beforeAutospacing="0" w:after="0" w:afterAutospacing="0" w:line="460" w:lineRule="exact"/>
              <w:ind w:left="0" w:right="0"/>
              <w:jc w:val="center"/>
              <w:rPr>
                <w:rFonts w:hint="default" w:ascii="宋体" w:hAnsi="宋体" w:eastAsia="宋体" w:cs="宋体"/>
                <w:bCs/>
                <w:color w:val="000000"/>
                <w:sz w:val="24"/>
                <w:szCs w:val="24"/>
              </w:rPr>
            </w:pPr>
            <w:r>
              <w:rPr>
                <w:rFonts w:hint="eastAsia" w:ascii="宋体" w:hAnsi="宋体" w:eastAsia="宋体" w:cs="宋体"/>
                <w:color w:val="000000"/>
                <w:sz w:val="24"/>
                <w:szCs w:val="24"/>
                <w:lang w:val="en-US" w:eastAsia="zh-CN"/>
              </w:rPr>
              <w:t>700000.00</w:t>
            </w:r>
          </w:p>
        </w:tc>
        <w:tc>
          <w:tcPr>
            <w:tcW w:w="1333" w:type="dxa"/>
            <w:tcBorders>
              <w:top w:val="single" w:color="auto" w:sz="4" w:space="0"/>
              <w:left w:val="nil"/>
              <w:bottom w:val="single" w:color="auto" w:sz="4" w:space="0"/>
              <w:right w:val="single" w:color="auto" w:sz="8" w:space="0"/>
            </w:tcBorders>
            <w:noWrap w:val="0"/>
            <w:tcMar>
              <w:left w:w="108" w:type="dxa"/>
              <w:right w:w="108" w:type="dxa"/>
            </w:tcMar>
            <w:vAlign w:val="top"/>
          </w:tcPr>
          <w:p>
            <w:pPr>
              <w:keepNext w:val="0"/>
              <w:keepLines w:val="0"/>
              <w:pageBreakBefore w:val="0"/>
              <w:widowControl/>
              <w:suppressLineNumbers w:val="0"/>
              <w:kinsoku/>
              <w:overflowPunct/>
              <w:autoSpaceDE/>
              <w:autoSpaceDN/>
              <w:bidi w:val="0"/>
              <w:snapToGrid/>
              <w:spacing w:before="0" w:beforeAutospacing="0" w:after="0" w:afterAutospacing="0" w:line="460" w:lineRule="exact"/>
              <w:ind w:left="0" w:right="0"/>
              <w:jc w:val="center"/>
              <w:rPr>
                <w:rFonts w:hint="default" w:ascii="宋体" w:hAnsi="宋体" w:eastAsia="宋体" w:cs="宋体"/>
                <w:bCs/>
                <w:color w:val="000000"/>
                <w:sz w:val="24"/>
                <w:szCs w:val="24"/>
                <w:lang w:val="en-US" w:eastAsia="zh-CN"/>
              </w:rPr>
            </w:pPr>
          </w:p>
          <w:p>
            <w:pPr>
              <w:keepNext w:val="0"/>
              <w:keepLines w:val="0"/>
              <w:pageBreakBefore w:val="0"/>
              <w:widowControl/>
              <w:suppressLineNumbers w:val="0"/>
              <w:kinsoku/>
              <w:overflowPunct/>
              <w:autoSpaceDE/>
              <w:autoSpaceDN/>
              <w:bidi w:val="0"/>
              <w:snapToGrid/>
              <w:spacing w:before="0" w:beforeAutospacing="0" w:after="0" w:afterAutospacing="0" w:line="460" w:lineRule="exact"/>
              <w:ind w:left="0" w:right="0"/>
              <w:jc w:val="center"/>
              <w:rPr>
                <w:rFonts w:hint="default" w:ascii="宋体" w:hAnsi="宋体" w:eastAsia="宋体" w:cs="宋体"/>
                <w:bCs/>
                <w:color w:val="000000"/>
                <w:sz w:val="24"/>
                <w:szCs w:val="24"/>
              </w:rPr>
            </w:pPr>
            <w:r>
              <w:rPr>
                <w:rFonts w:hint="default" w:ascii="宋体" w:hAnsi="宋体" w:eastAsia="宋体" w:cs="宋体"/>
                <w:bCs/>
                <w:color w:val="000000"/>
                <w:sz w:val="24"/>
                <w:szCs w:val="24"/>
                <w:lang w:val="en-US" w:eastAsia="zh-CN"/>
              </w:rPr>
              <w:t>697227.00</w:t>
            </w:r>
          </w:p>
        </w:tc>
        <w:tc>
          <w:tcPr>
            <w:tcW w:w="1227" w:type="dxa"/>
            <w:tcBorders>
              <w:top w:val="single" w:color="auto" w:sz="4" w:space="0"/>
              <w:left w:val="nil"/>
              <w:bottom w:val="single" w:color="auto" w:sz="4" w:space="0"/>
              <w:right w:val="single" w:color="auto" w:sz="8" w:space="0"/>
            </w:tcBorders>
            <w:noWrap w:val="0"/>
            <w:tcMar>
              <w:left w:w="108" w:type="dxa"/>
              <w:right w:w="108" w:type="dxa"/>
            </w:tcMar>
            <w:vAlign w:val="top"/>
          </w:tcPr>
          <w:p>
            <w:pPr>
              <w:keepNext w:val="0"/>
              <w:keepLines w:val="0"/>
              <w:pageBreakBefore w:val="0"/>
              <w:widowControl/>
              <w:suppressLineNumbers w:val="0"/>
              <w:kinsoku/>
              <w:overflowPunct/>
              <w:autoSpaceDE/>
              <w:autoSpaceDN/>
              <w:bidi w:val="0"/>
              <w:snapToGrid/>
              <w:spacing w:before="0" w:beforeAutospacing="0" w:after="0" w:afterAutospacing="0" w:line="460" w:lineRule="exact"/>
              <w:ind w:left="0" w:right="0"/>
              <w:jc w:val="center"/>
              <w:rPr>
                <w:rFonts w:hint="eastAsia" w:ascii="宋体" w:hAnsi="宋体" w:eastAsia="宋体" w:cs="宋体"/>
                <w:color w:val="000000"/>
                <w:sz w:val="24"/>
                <w:szCs w:val="24"/>
                <w:lang w:val="en-US" w:eastAsia="zh-CN"/>
              </w:rPr>
            </w:pPr>
          </w:p>
          <w:p>
            <w:pPr>
              <w:keepNext w:val="0"/>
              <w:keepLines w:val="0"/>
              <w:pageBreakBefore w:val="0"/>
              <w:widowControl/>
              <w:suppressLineNumbers w:val="0"/>
              <w:kinsoku/>
              <w:overflowPunct/>
              <w:autoSpaceDE/>
              <w:autoSpaceDN/>
              <w:bidi w:val="0"/>
              <w:snapToGrid/>
              <w:spacing w:before="0" w:beforeAutospacing="0" w:after="0" w:afterAutospacing="0" w:line="460" w:lineRule="exact"/>
              <w:ind w:left="0" w:right="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是</w:t>
            </w:r>
          </w:p>
        </w:tc>
        <w:tc>
          <w:tcPr>
            <w:tcW w:w="1420" w:type="dxa"/>
            <w:tcBorders>
              <w:top w:val="single" w:color="auto" w:sz="4" w:space="0"/>
              <w:left w:val="nil"/>
              <w:bottom w:val="single" w:color="auto" w:sz="4" w:space="0"/>
              <w:right w:val="single" w:color="auto" w:sz="4" w:space="0"/>
            </w:tcBorders>
            <w:noWrap w:val="0"/>
            <w:tcMar>
              <w:left w:w="108" w:type="dxa"/>
              <w:right w:w="108" w:type="dxa"/>
            </w:tcMar>
            <w:vAlign w:val="top"/>
          </w:tcPr>
          <w:p>
            <w:pPr>
              <w:keepNext w:val="0"/>
              <w:keepLines w:val="0"/>
              <w:pageBreakBefore w:val="0"/>
              <w:widowControl/>
              <w:suppressLineNumbers w:val="0"/>
              <w:kinsoku/>
              <w:overflowPunct/>
              <w:autoSpaceDE/>
              <w:autoSpaceDN/>
              <w:bidi w:val="0"/>
              <w:snapToGrid/>
              <w:spacing w:before="0" w:beforeAutospacing="0" w:after="0" w:afterAutospacing="0" w:line="460" w:lineRule="exact"/>
              <w:ind w:left="0" w:right="0"/>
              <w:jc w:val="center"/>
              <w:rPr>
                <w:rFonts w:hint="default" w:ascii="宋体" w:hAnsi="宋体" w:eastAsia="宋体" w:cs="宋体"/>
                <w:bCs/>
                <w:color w:val="000000"/>
                <w:sz w:val="24"/>
                <w:szCs w:val="24"/>
                <w:lang w:val="en-US" w:eastAsia="zh-CN"/>
              </w:rPr>
            </w:pPr>
          </w:p>
          <w:p>
            <w:pPr>
              <w:keepNext w:val="0"/>
              <w:keepLines w:val="0"/>
              <w:pageBreakBefore w:val="0"/>
              <w:widowControl/>
              <w:suppressLineNumbers w:val="0"/>
              <w:kinsoku/>
              <w:overflowPunct/>
              <w:autoSpaceDE/>
              <w:autoSpaceDN/>
              <w:bidi w:val="0"/>
              <w:snapToGrid/>
              <w:spacing w:before="0" w:beforeAutospacing="0" w:after="0" w:afterAutospacing="0" w:line="460" w:lineRule="exact"/>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700000.00</w:t>
            </w:r>
          </w:p>
        </w:tc>
      </w:tr>
    </w:tbl>
    <w:p>
      <w:pPr>
        <w:keepNext w:val="0"/>
        <w:keepLines w:val="0"/>
        <w:pageBreakBefore w:val="0"/>
        <w:widowControl/>
        <w:kinsoku/>
        <w:overflowPunct/>
        <w:autoSpaceDE/>
        <w:autoSpaceDN/>
        <w:bidi w:val="0"/>
        <w:snapToGrid/>
        <w:spacing w:line="460" w:lineRule="exact"/>
        <w:jc w:val="left"/>
        <w:rPr>
          <w:rFonts w:ascii="宋体" w:hAnsi="宋体" w:eastAsia="宋体" w:cs="宋体"/>
          <w:bCs/>
          <w:color w:val="000000"/>
          <w:sz w:val="24"/>
          <w:szCs w:val="24"/>
        </w:rPr>
      </w:pPr>
      <w:r>
        <w:rPr>
          <w:rFonts w:hint="eastAsia" w:ascii="宋体" w:hAnsi="宋体" w:eastAsia="宋体" w:cs="宋体"/>
          <w:bCs/>
          <w:color w:val="000000"/>
          <w:sz w:val="24"/>
          <w:szCs w:val="24"/>
        </w:rPr>
        <w:t>5、采购需求</w:t>
      </w:r>
      <w:r>
        <w:rPr>
          <w:rFonts w:hint="eastAsia" w:ascii="宋体" w:hAnsi="宋体" w:eastAsia="宋体" w:cs="宋体"/>
          <w:bCs/>
          <w:color w:val="000000"/>
          <w:sz w:val="24"/>
          <w:szCs w:val="24"/>
          <w:lang w:eastAsia="zh-CN"/>
        </w:rPr>
        <w:t>：</w:t>
      </w:r>
      <w:r>
        <w:rPr>
          <w:rFonts w:hint="eastAsia" w:ascii="宋体" w:hAnsi="宋体" w:eastAsia="宋体" w:cs="宋体"/>
          <w:bCs/>
          <w:color w:val="000000"/>
          <w:sz w:val="24"/>
          <w:szCs w:val="24"/>
        </w:rPr>
        <w:t>（包括但不限于标的的名称、数量、简要技术需求或服务要求等）</w:t>
      </w:r>
    </w:p>
    <w:p>
      <w:pPr>
        <w:keepNext w:val="0"/>
        <w:keepLines w:val="0"/>
        <w:pageBreakBefore w:val="0"/>
        <w:kinsoku/>
        <w:overflowPunct/>
        <w:topLinePunct/>
        <w:autoSpaceDE/>
        <w:autoSpaceDN/>
        <w:bidi w:val="0"/>
        <w:snapToGrid/>
        <w:spacing w:line="460" w:lineRule="exact"/>
        <w:rPr>
          <w:rFonts w:hint="eastAsia" w:ascii="宋体" w:hAnsi="宋体" w:eastAsia="宋体" w:cs="宋体"/>
          <w:bCs/>
          <w:sz w:val="24"/>
          <w:szCs w:val="24"/>
          <w:lang w:val="en-US" w:eastAsia="zh-CN" w:bidi="en-US"/>
        </w:rPr>
      </w:pPr>
      <w:r>
        <w:rPr>
          <w:rFonts w:hint="eastAsia" w:ascii="宋体" w:hAnsi="宋体" w:eastAsia="宋体" w:cs="宋体"/>
          <w:bCs/>
          <w:color w:val="000000"/>
          <w:sz w:val="24"/>
          <w:szCs w:val="24"/>
        </w:rPr>
        <w:t>5.1采购内容：</w:t>
      </w:r>
      <w:r>
        <w:rPr>
          <w:rFonts w:hint="eastAsia" w:ascii="宋体" w:hAnsi="宋体" w:cs="宋体"/>
          <w:bCs/>
          <w:color w:val="000000"/>
          <w:sz w:val="24"/>
          <w:szCs w:val="24"/>
          <w:lang w:val="en-US" w:eastAsia="zh-CN"/>
        </w:rPr>
        <w:t>军需</w:t>
      </w:r>
      <w:r>
        <w:rPr>
          <w:rFonts w:hint="eastAsia" w:ascii="宋体" w:hAnsi="宋体" w:eastAsia="宋体" w:cs="宋体"/>
          <w:bCs/>
          <w:kern w:val="44"/>
          <w:sz w:val="24"/>
          <w:szCs w:val="24"/>
          <w:lang w:val="en-US" w:eastAsia="zh-CN" w:bidi="en-US"/>
        </w:rPr>
        <w:t>物资采购；</w:t>
      </w:r>
    </w:p>
    <w:p>
      <w:pPr>
        <w:keepNext w:val="0"/>
        <w:keepLines w:val="0"/>
        <w:pageBreakBefore w:val="0"/>
        <w:widowControl/>
        <w:kinsoku/>
        <w:overflowPunct/>
        <w:autoSpaceDE/>
        <w:autoSpaceDN/>
        <w:bidi w:val="0"/>
        <w:snapToGrid/>
        <w:spacing w:line="460" w:lineRule="exact"/>
        <w:jc w:val="left"/>
        <w:rPr>
          <w:rFonts w:ascii="宋体" w:hAnsi="宋体" w:eastAsia="宋体" w:cs="宋体"/>
          <w:bCs/>
          <w:color w:val="000000"/>
          <w:sz w:val="24"/>
          <w:szCs w:val="24"/>
        </w:rPr>
      </w:pPr>
      <w:r>
        <w:rPr>
          <w:rFonts w:hint="eastAsia" w:ascii="宋体" w:hAnsi="宋体" w:eastAsia="宋体" w:cs="宋体"/>
          <w:bCs/>
          <w:color w:val="000000"/>
          <w:sz w:val="24"/>
          <w:szCs w:val="24"/>
        </w:rPr>
        <w:t>5.2资金来源：财政资金</w:t>
      </w:r>
    </w:p>
    <w:p>
      <w:pPr>
        <w:keepNext w:val="0"/>
        <w:keepLines w:val="0"/>
        <w:pageBreakBefore w:val="0"/>
        <w:widowControl/>
        <w:kinsoku/>
        <w:overflowPunct/>
        <w:autoSpaceDE/>
        <w:autoSpaceDN/>
        <w:bidi w:val="0"/>
        <w:snapToGrid/>
        <w:spacing w:line="460" w:lineRule="exact"/>
        <w:jc w:val="left"/>
        <w:rPr>
          <w:rFonts w:ascii="宋体" w:hAnsi="宋体" w:eastAsia="宋体" w:cs="宋体"/>
          <w:bCs/>
          <w:color w:val="000000"/>
          <w:sz w:val="24"/>
          <w:szCs w:val="24"/>
        </w:rPr>
      </w:pPr>
      <w:r>
        <w:rPr>
          <w:rFonts w:hint="eastAsia" w:ascii="宋体" w:hAnsi="宋体" w:eastAsia="宋体" w:cs="宋体"/>
          <w:bCs/>
          <w:color w:val="000000"/>
          <w:sz w:val="24"/>
          <w:szCs w:val="24"/>
        </w:rPr>
        <w:t>5.3</w:t>
      </w:r>
      <w:r>
        <w:rPr>
          <w:rFonts w:hint="eastAsia" w:ascii="宋体" w:hAnsi="宋体" w:eastAsia="宋体" w:cs="宋体"/>
          <w:bCs/>
          <w:color w:val="000000"/>
          <w:sz w:val="24"/>
          <w:szCs w:val="24"/>
          <w:lang w:val="en-US" w:eastAsia="zh-CN"/>
        </w:rPr>
        <w:t>供</w:t>
      </w:r>
      <w:r>
        <w:rPr>
          <w:rFonts w:hint="eastAsia" w:ascii="宋体" w:hAnsi="宋体" w:eastAsia="宋体" w:cs="宋体"/>
          <w:bCs/>
          <w:color w:val="000000"/>
          <w:sz w:val="24"/>
          <w:szCs w:val="24"/>
        </w:rPr>
        <w:t>货期：签订合同后</w:t>
      </w:r>
      <w:r>
        <w:rPr>
          <w:rFonts w:hint="eastAsia" w:ascii="宋体" w:hAnsi="宋体" w:eastAsia="宋体" w:cs="宋体"/>
          <w:bCs/>
          <w:color w:val="000000"/>
          <w:sz w:val="24"/>
          <w:szCs w:val="24"/>
          <w:u w:val="single"/>
        </w:rPr>
        <w:t xml:space="preserve">  </w:t>
      </w:r>
      <w:r>
        <w:rPr>
          <w:rFonts w:hint="eastAsia" w:ascii="宋体" w:hAnsi="宋体" w:eastAsia="宋体" w:cs="宋体"/>
          <w:bCs/>
          <w:color w:val="000000"/>
          <w:sz w:val="24"/>
          <w:szCs w:val="24"/>
          <w:u w:val="single"/>
          <w:lang w:val="en-US" w:eastAsia="zh-CN"/>
        </w:rPr>
        <w:t>7</w:t>
      </w:r>
      <w:r>
        <w:rPr>
          <w:rFonts w:hint="eastAsia" w:ascii="宋体" w:hAnsi="宋体" w:eastAsia="宋体" w:cs="宋体"/>
          <w:bCs/>
          <w:color w:val="000000"/>
          <w:sz w:val="24"/>
          <w:szCs w:val="24"/>
          <w:u w:val="single"/>
        </w:rPr>
        <w:t xml:space="preserve"> </w:t>
      </w:r>
      <w:r>
        <w:rPr>
          <w:rFonts w:hint="eastAsia" w:ascii="宋体" w:hAnsi="宋体" w:eastAsia="宋体" w:cs="宋体"/>
          <w:bCs/>
          <w:color w:val="000000"/>
          <w:sz w:val="24"/>
          <w:szCs w:val="24"/>
        </w:rPr>
        <w:t>日历天内供货安装完毕</w:t>
      </w:r>
    </w:p>
    <w:p>
      <w:pPr>
        <w:keepNext w:val="0"/>
        <w:keepLines w:val="0"/>
        <w:pageBreakBefore w:val="0"/>
        <w:widowControl/>
        <w:kinsoku/>
        <w:overflowPunct/>
        <w:autoSpaceDE/>
        <w:autoSpaceDN/>
        <w:bidi w:val="0"/>
        <w:snapToGrid/>
        <w:spacing w:line="460" w:lineRule="exact"/>
        <w:jc w:val="left"/>
        <w:rPr>
          <w:rFonts w:ascii="宋体" w:hAnsi="宋体" w:eastAsia="宋体" w:cs="宋体"/>
          <w:bCs/>
          <w:color w:val="000000"/>
          <w:sz w:val="24"/>
          <w:szCs w:val="24"/>
        </w:rPr>
      </w:pPr>
      <w:r>
        <w:rPr>
          <w:rFonts w:hint="eastAsia" w:ascii="宋体" w:hAnsi="宋体" w:eastAsia="宋体" w:cs="宋体"/>
          <w:bCs/>
          <w:color w:val="000000"/>
          <w:sz w:val="24"/>
          <w:szCs w:val="24"/>
        </w:rPr>
        <w:t>5.4质量要求：</w:t>
      </w:r>
      <w:r>
        <w:rPr>
          <w:rFonts w:hint="eastAsia" w:ascii="宋体" w:hAnsi="宋体" w:eastAsia="宋体" w:cs="宋体"/>
          <w:color w:val="auto"/>
          <w:sz w:val="24"/>
          <w:szCs w:val="24"/>
          <w:highlight w:val="none"/>
        </w:rPr>
        <w:t>符合国家和行业现行标准规定</w:t>
      </w:r>
    </w:p>
    <w:p>
      <w:pPr>
        <w:keepNext w:val="0"/>
        <w:keepLines w:val="0"/>
        <w:pageBreakBefore w:val="0"/>
        <w:widowControl/>
        <w:kinsoku/>
        <w:overflowPunct/>
        <w:autoSpaceDE/>
        <w:autoSpaceDN/>
        <w:bidi w:val="0"/>
        <w:snapToGrid/>
        <w:spacing w:line="460" w:lineRule="exact"/>
        <w:jc w:val="left"/>
        <w:rPr>
          <w:rFonts w:ascii="宋体" w:hAnsi="宋体" w:eastAsia="宋体" w:cs="宋体"/>
          <w:bCs/>
          <w:color w:val="000000"/>
          <w:sz w:val="24"/>
          <w:szCs w:val="24"/>
        </w:rPr>
      </w:pPr>
      <w:r>
        <w:rPr>
          <w:rFonts w:hint="eastAsia" w:ascii="宋体" w:hAnsi="宋体" w:eastAsia="宋体" w:cs="宋体"/>
          <w:bCs/>
          <w:color w:val="000000"/>
          <w:sz w:val="24"/>
          <w:szCs w:val="24"/>
        </w:rPr>
        <w:t>5.5质保期：一年</w:t>
      </w:r>
    </w:p>
    <w:p>
      <w:pPr>
        <w:keepNext w:val="0"/>
        <w:keepLines w:val="0"/>
        <w:pageBreakBefore w:val="0"/>
        <w:widowControl w:val="0"/>
        <w:kinsoku/>
        <w:overflowPunct/>
        <w:autoSpaceDE/>
        <w:autoSpaceDN/>
        <w:bidi w:val="0"/>
        <w:adjustRightInd/>
        <w:snapToGrid/>
        <w:spacing w:after="0" w:line="460" w:lineRule="exact"/>
        <w:ind w:left="0" w:leftChars="0" w:right="0" w:rightChars="0"/>
        <w:jc w:val="both"/>
        <w:textAlignment w:val="auto"/>
        <w:rPr>
          <w:rFonts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5.6招标范围：采购清单包含的所有内容（详见招标文件）</w:t>
      </w:r>
    </w:p>
    <w:p>
      <w:pPr>
        <w:keepNext w:val="0"/>
        <w:keepLines w:val="0"/>
        <w:pageBreakBefore w:val="0"/>
        <w:kinsoku/>
        <w:overflowPunct/>
        <w:autoSpaceDE/>
        <w:autoSpaceDN/>
        <w:bidi w:val="0"/>
        <w:snapToGrid/>
        <w:spacing w:line="460" w:lineRule="exact"/>
        <w:rPr>
          <w:rFonts w:ascii="宋体" w:hAnsi="宋体" w:eastAsia="宋体" w:cs="宋体"/>
          <w:bCs/>
          <w:color w:val="000000"/>
          <w:sz w:val="24"/>
          <w:szCs w:val="24"/>
        </w:rPr>
      </w:pPr>
      <w:r>
        <w:rPr>
          <w:rFonts w:hint="eastAsia" w:ascii="宋体" w:hAnsi="宋体" w:eastAsia="宋体" w:cs="宋体"/>
          <w:color w:val="000000"/>
          <w:sz w:val="24"/>
          <w:szCs w:val="24"/>
          <w:shd w:val="clear" w:color="auto" w:fill="FFFFFF"/>
        </w:rPr>
        <w:t>5.7标段划分：本项目共</w:t>
      </w:r>
      <w:r>
        <w:rPr>
          <w:rFonts w:hint="eastAsia" w:ascii="宋体" w:hAnsi="宋体" w:eastAsia="宋体" w:cs="宋体"/>
          <w:bCs/>
          <w:color w:val="000000"/>
          <w:sz w:val="24"/>
          <w:szCs w:val="24"/>
        </w:rPr>
        <w:t>划分为一个标段</w:t>
      </w:r>
    </w:p>
    <w:p>
      <w:pPr>
        <w:keepNext w:val="0"/>
        <w:keepLines w:val="0"/>
        <w:pageBreakBefore w:val="0"/>
        <w:widowControl/>
        <w:numPr>
          <w:ilvl w:val="0"/>
          <w:numId w:val="5"/>
        </w:numPr>
        <w:kinsoku/>
        <w:overflowPunct/>
        <w:autoSpaceDE/>
        <w:autoSpaceDN/>
        <w:bidi w:val="0"/>
        <w:snapToGrid/>
        <w:spacing w:line="460" w:lineRule="exact"/>
        <w:jc w:val="left"/>
        <w:rPr>
          <w:rFonts w:ascii="宋体" w:hAnsi="宋体" w:eastAsia="宋体" w:cs="宋体"/>
          <w:bCs/>
          <w:color w:val="000000"/>
          <w:sz w:val="24"/>
          <w:szCs w:val="24"/>
        </w:rPr>
      </w:pPr>
      <w:r>
        <w:rPr>
          <w:rFonts w:hint="eastAsia" w:ascii="宋体" w:hAnsi="宋体" w:eastAsia="宋体" w:cs="宋体"/>
          <w:bCs/>
          <w:color w:val="000000"/>
          <w:sz w:val="24"/>
          <w:szCs w:val="24"/>
        </w:rPr>
        <w:t>合同履行期限：</w:t>
      </w:r>
      <w:r>
        <w:rPr>
          <w:rFonts w:hint="eastAsia" w:ascii="宋体" w:hAnsi="宋体" w:eastAsia="宋体" w:cs="宋体"/>
          <w:bCs/>
          <w:color w:val="000000"/>
          <w:sz w:val="24"/>
          <w:szCs w:val="24"/>
          <w:lang w:val="en-US" w:eastAsia="zh-CN"/>
        </w:rPr>
        <w:t>7</w:t>
      </w:r>
      <w:r>
        <w:rPr>
          <w:rFonts w:hint="eastAsia" w:ascii="宋体" w:hAnsi="宋体" w:eastAsia="宋体" w:cs="宋体"/>
          <w:bCs/>
          <w:color w:val="000000"/>
          <w:sz w:val="24"/>
          <w:szCs w:val="24"/>
        </w:rPr>
        <w:t xml:space="preserve">日历天  </w:t>
      </w:r>
    </w:p>
    <w:p>
      <w:pPr>
        <w:keepNext w:val="0"/>
        <w:keepLines w:val="0"/>
        <w:pageBreakBefore w:val="0"/>
        <w:widowControl/>
        <w:numPr>
          <w:ilvl w:val="0"/>
          <w:numId w:val="5"/>
        </w:numPr>
        <w:kinsoku/>
        <w:overflowPunct/>
        <w:autoSpaceDE/>
        <w:autoSpaceDN/>
        <w:bidi w:val="0"/>
        <w:snapToGrid/>
        <w:spacing w:line="460" w:lineRule="exact"/>
        <w:jc w:val="left"/>
        <w:rPr>
          <w:rFonts w:ascii="宋体" w:hAnsi="宋体" w:eastAsia="宋体" w:cs="宋体"/>
          <w:bCs/>
          <w:color w:val="000000"/>
          <w:sz w:val="24"/>
          <w:szCs w:val="24"/>
        </w:rPr>
      </w:pPr>
      <w:r>
        <w:rPr>
          <w:rFonts w:hint="eastAsia" w:ascii="宋体" w:hAnsi="宋体" w:eastAsia="宋体" w:cs="宋体"/>
          <w:bCs/>
          <w:color w:val="000000"/>
          <w:sz w:val="24"/>
          <w:szCs w:val="24"/>
        </w:rPr>
        <w:t xml:space="preserve">本项目是否接受联合体投标：否 </w:t>
      </w:r>
    </w:p>
    <w:p>
      <w:pPr>
        <w:keepNext w:val="0"/>
        <w:keepLines w:val="0"/>
        <w:pageBreakBefore w:val="0"/>
        <w:widowControl/>
        <w:numPr>
          <w:ilvl w:val="0"/>
          <w:numId w:val="5"/>
        </w:numPr>
        <w:kinsoku/>
        <w:overflowPunct/>
        <w:autoSpaceDE/>
        <w:autoSpaceDN/>
        <w:bidi w:val="0"/>
        <w:snapToGrid/>
        <w:spacing w:line="460" w:lineRule="exact"/>
        <w:ind w:left="0" w:leftChars="0" w:firstLine="0" w:firstLineChars="0"/>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rPr>
        <w:t>是否接受进口产品：否</w:t>
      </w:r>
    </w:p>
    <w:p>
      <w:pPr>
        <w:keepNext w:val="0"/>
        <w:keepLines w:val="0"/>
        <w:pageBreakBefore w:val="0"/>
        <w:widowControl/>
        <w:numPr>
          <w:ilvl w:val="0"/>
          <w:numId w:val="5"/>
        </w:numPr>
        <w:kinsoku/>
        <w:overflowPunct/>
        <w:autoSpaceDE/>
        <w:autoSpaceDN/>
        <w:bidi w:val="0"/>
        <w:snapToGrid/>
        <w:spacing w:line="460" w:lineRule="exact"/>
        <w:ind w:left="0" w:leftChars="0" w:firstLine="0" w:firstLineChars="0"/>
        <w:jc w:val="left"/>
        <w:rPr>
          <w:rFonts w:ascii="宋体" w:hAnsi="宋体" w:eastAsia="宋体" w:cs="宋体"/>
          <w:bCs/>
          <w:sz w:val="24"/>
          <w:szCs w:val="24"/>
          <w:u w:val="single"/>
        </w:rPr>
      </w:pPr>
      <w:r>
        <w:rPr>
          <w:rFonts w:hint="eastAsia" w:ascii="宋体" w:hAnsi="宋体" w:eastAsia="宋体" w:cs="宋体"/>
          <w:bCs/>
          <w:sz w:val="24"/>
          <w:szCs w:val="24"/>
          <w:u w:val="none"/>
        </w:rPr>
        <w:t>是否专门面向中小企业：</w:t>
      </w:r>
      <w:r>
        <w:rPr>
          <w:rFonts w:hint="eastAsia" w:ascii="宋体" w:hAnsi="宋体" w:eastAsia="宋体" w:cs="宋体"/>
          <w:bCs/>
          <w:sz w:val="24"/>
          <w:szCs w:val="24"/>
          <w:u w:val="none"/>
          <w:lang w:val="en-US" w:eastAsia="zh-CN"/>
        </w:rPr>
        <w:t>是</w:t>
      </w:r>
      <w:r>
        <w:rPr>
          <w:rFonts w:hint="eastAsia" w:ascii="宋体" w:hAnsi="宋体" w:eastAsia="宋体" w:cs="宋体"/>
          <w:bCs/>
          <w:sz w:val="24"/>
          <w:szCs w:val="24"/>
          <w:u w:val="single"/>
        </w:rPr>
        <w:fldChar w:fldCharType="begin"/>
      </w:r>
      <w:r>
        <w:rPr>
          <w:rFonts w:hint="eastAsia" w:ascii="宋体" w:hAnsi="宋体" w:eastAsia="宋体" w:cs="宋体"/>
          <w:bCs/>
          <w:sz w:val="24"/>
          <w:szCs w:val="24"/>
          <w:u w:val="single"/>
        </w:rPr>
        <w:instrText xml:space="preserve"> AUTOTEXT  input15 \* MERGEFORMAT </w:instrText>
      </w:r>
      <w:r>
        <w:rPr>
          <w:rFonts w:hint="eastAsia" w:ascii="宋体" w:hAnsi="宋体" w:eastAsia="宋体" w:cs="宋体"/>
          <w:bCs/>
          <w:sz w:val="24"/>
          <w:szCs w:val="24"/>
          <w:u w:val="single"/>
        </w:rPr>
        <w:fldChar w:fldCharType="end"/>
      </w:r>
      <w:r>
        <w:rPr>
          <w:rFonts w:hint="eastAsia" w:ascii="宋体" w:hAnsi="宋体" w:eastAsia="宋体" w:cs="宋体"/>
          <w:bCs/>
          <w:sz w:val="24"/>
          <w:szCs w:val="24"/>
          <w:u w:val="single"/>
        </w:rPr>
        <w:fldChar w:fldCharType="begin"/>
      </w:r>
      <w:r>
        <w:rPr>
          <w:rFonts w:hint="eastAsia" w:ascii="宋体" w:hAnsi="宋体" w:eastAsia="宋体" w:cs="宋体"/>
          <w:bCs/>
          <w:sz w:val="24"/>
          <w:szCs w:val="24"/>
          <w:u w:val="single"/>
        </w:rPr>
        <w:instrText xml:space="preserve"> AUTOTEXT  input15 \* MERGEFORMAT </w:instrText>
      </w:r>
      <w:r>
        <w:rPr>
          <w:rFonts w:hint="eastAsia" w:ascii="宋体" w:hAnsi="宋体" w:eastAsia="宋体" w:cs="宋体"/>
          <w:bCs/>
          <w:sz w:val="24"/>
          <w:szCs w:val="24"/>
          <w:u w:val="single"/>
        </w:rPr>
        <w:fldChar w:fldCharType="end"/>
      </w:r>
    </w:p>
    <w:p>
      <w:pPr>
        <w:keepNext w:val="0"/>
        <w:keepLines w:val="0"/>
        <w:pageBreakBefore w:val="0"/>
        <w:kinsoku/>
        <w:overflowPunct/>
        <w:autoSpaceDE/>
        <w:autoSpaceDN/>
        <w:bidi w:val="0"/>
        <w:snapToGrid/>
        <w:spacing w:line="460" w:lineRule="exact"/>
        <w:rPr>
          <w:rFonts w:ascii="宋体" w:hAnsi="宋体" w:eastAsia="宋体" w:cs="宋体"/>
          <w:b/>
          <w:bCs/>
          <w:sz w:val="24"/>
          <w:szCs w:val="24"/>
        </w:rPr>
      </w:pPr>
      <w:r>
        <w:rPr>
          <w:rFonts w:hint="eastAsia" w:ascii="宋体" w:hAnsi="宋体" w:eastAsia="宋体" w:cs="宋体"/>
          <w:b/>
          <w:bCs/>
          <w:sz w:val="24"/>
          <w:szCs w:val="24"/>
        </w:rPr>
        <w:t>二、申请人资格要求：</w:t>
      </w:r>
    </w:p>
    <w:p>
      <w:pPr>
        <w:keepNext w:val="0"/>
        <w:keepLines w:val="0"/>
        <w:pageBreakBefore w:val="0"/>
        <w:kinsoku/>
        <w:wordWrap w:val="0"/>
        <w:overflowPunct/>
        <w:topLinePunct w:val="0"/>
        <w:autoSpaceDE/>
        <w:autoSpaceDN/>
        <w:bidi w:val="0"/>
        <w:snapToGrid/>
        <w:spacing w:line="460" w:lineRule="exact"/>
        <w:ind w:firstLine="480"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1、满足《中华人民共和国政府采购法》第二十二条规定；</w:t>
      </w:r>
    </w:p>
    <w:p>
      <w:pPr>
        <w:keepNext w:val="0"/>
        <w:keepLines w:val="0"/>
        <w:pageBreakBefore w:val="0"/>
        <w:kinsoku/>
        <w:wordWrap w:val="0"/>
        <w:overflowPunct/>
        <w:topLinePunct w:val="0"/>
        <w:autoSpaceDE/>
        <w:autoSpaceDN/>
        <w:bidi w:val="0"/>
        <w:snapToGrid/>
        <w:spacing w:line="460" w:lineRule="exact"/>
        <w:ind w:firstLine="480"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2、落实政府采购政策满足的资格要求：</w:t>
      </w:r>
    </w:p>
    <w:p>
      <w:pPr>
        <w:keepNext w:val="0"/>
        <w:keepLines w:val="0"/>
        <w:pageBreakBefore w:val="0"/>
        <w:kinsoku/>
        <w:wordWrap w:val="0"/>
        <w:overflowPunct/>
        <w:topLinePunct w:val="0"/>
        <w:autoSpaceDE/>
        <w:autoSpaceDN/>
        <w:bidi w:val="0"/>
        <w:snapToGrid/>
        <w:spacing w:line="46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落实的节能环保、中小微型企业扶持（含支持监狱企业发展、促进残疾人就业）等相关政府采购政策；本项目专门面向中小微企业采购。</w:t>
      </w:r>
    </w:p>
    <w:p>
      <w:pPr>
        <w:keepNext w:val="0"/>
        <w:keepLines w:val="0"/>
        <w:pageBreakBefore w:val="0"/>
        <w:kinsoku/>
        <w:wordWrap w:val="0"/>
        <w:overflowPunct/>
        <w:topLinePunct w:val="0"/>
        <w:autoSpaceDE/>
        <w:autoSpaceDN/>
        <w:bidi w:val="0"/>
        <w:snapToGrid/>
        <w:spacing w:line="460" w:lineRule="exact"/>
        <w:ind w:firstLine="480"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3、本项目的特定资格要求</w:t>
      </w:r>
    </w:p>
    <w:p>
      <w:pPr>
        <w:keepNext w:val="0"/>
        <w:keepLines w:val="0"/>
        <w:pageBreakBefore w:val="0"/>
        <w:kinsoku/>
        <w:wordWrap w:val="0"/>
        <w:overflowPunct/>
        <w:topLinePunct w:val="0"/>
        <w:autoSpaceDE/>
        <w:autoSpaceDN/>
        <w:bidi w:val="0"/>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3.1具有独立承担民事责任的能力，具备有效的营业执照、组织机构代码证、税务登记证或三证合一的营业执照；</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3.2具有良好的商业信誉和健全的财务会计制度（供应商无需提供证明材料，只需在投标文件格式中填写汝州市政府采购供应商信用承诺函）；</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3.3供应商具有依法缴纳税收和社会保障资金的良好记录（供应商无需提供证明材料，只需在投标文件格式中填写汝州市政府采购供应商信用承诺函）；</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3.4具有履行合同所必需的设备和专业技术能力（供应商无需提供证明材料，只需在投标文件格式中填写汝州市政府采购供应商信用承诺函）；</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3.5参加政府采购活动近三年内，在经营活动中没有重大的违法记录（供应商无需提供证明材料，只需在投标文件格式中填写汝州市政府采购供应商信用承诺函）；</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3.6未被列入“信用中国”网站（www.creditchina.gov.cn）的“失信执行人”和“税收违法黑名单”及中国政府采购网（www.ccgp.gov.cn）的“政府采购严重违法失信行为名单”（执行财库【2016】125号文）（供应商无需提供证明材料，只需在投标文件格式中填写汝州市政府采购供应商信用承诺函）；</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3.7本次招标不接受联合体投标申请。</w:t>
      </w:r>
    </w:p>
    <w:p>
      <w:pPr>
        <w:keepNext w:val="0"/>
        <w:keepLines w:val="0"/>
        <w:pageBreakBefore w:val="0"/>
        <w:widowControl/>
        <w:kinsoku/>
        <w:overflowPunct/>
        <w:autoSpaceDE/>
        <w:autoSpaceDN/>
        <w:bidi w:val="0"/>
        <w:adjustRightInd w:val="0"/>
        <w:snapToGrid/>
        <w:spacing w:line="460" w:lineRule="exact"/>
        <w:ind w:right="150"/>
        <w:jc w:val="left"/>
        <w:rPr>
          <w:rFonts w:hint="eastAsia" w:ascii="宋体" w:hAnsi="宋体" w:eastAsia="宋体" w:cs="宋体"/>
          <w:sz w:val="24"/>
          <w:szCs w:val="24"/>
        </w:rPr>
      </w:pPr>
      <w:r>
        <w:rPr>
          <w:rFonts w:hint="eastAsia" w:ascii="宋体" w:hAnsi="宋体" w:eastAsia="宋体" w:cs="宋体"/>
          <w:color w:val="auto"/>
          <w:sz w:val="24"/>
          <w:szCs w:val="24"/>
        </w:rPr>
        <w:t>注：采购人有权在签订合同前要求</w:t>
      </w:r>
      <w:r>
        <w:rPr>
          <w:rFonts w:hint="eastAsia" w:ascii="宋体" w:hAnsi="宋体" w:eastAsia="宋体" w:cs="宋体"/>
          <w:color w:val="auto"/>
          <w:sz w:val="24"/>
          <w:szCs w:val="24"/>
          <w:lang w:val="en-US" w:eastAsia="zh-CN"/>
        </w:rPr>
        <w:t>中标</w:t>
      </w:r>
      <w:r>
        <w:rPr>
          <w:rFonts w:hint="eastAsia" w:ascii="宋体" w:hAnsi="宋体" w:eastAsia="宋体" w:cs="宋体"/>
          <w:color w:val="auto"/>
          <w:sz w:val="24"/>
          <w:szCs w:val="24"/>
        </w:rPr>
        <w:t>供应商提供相关证明材料以核实</w:t>
      </w:r>
      <w:r>
        <w:rPr>
          <w:rFonts w:hint="eastAsia" w:ascii="宋体" w:hAnsi="宋体" w:eastAsia="宋体" w:cs="宋体"/>
          <w:color w:val="auto"/>
          <w:sz w:val="24"/>
          <w:szCs w:val="24"/>
          <w:lang w:val="en-US" w:eastAsia="zh-CN"/>
        </w:rPr>
        <w:t>中标</w:t>
      </w:r>
      <w:r>
        <w:rPr>
          <w:rFonts w:hint="eastAsia" w:ascii="宋体" w:hAnsi="宋体" w:eastAsia="宋体" w:cs="宋体"/>
          <w:color w:val="auto"/>
          <w:sz w:val="24"/>
          <w:szCs w:val="24"/>
        </w:rPr>
        <w:t>供应商承诺事项的真实性。</w:t>
      </w:r>
    </w:p>
    <w:p>
      <w:pPr>
        <w:keepNext w:val="0"/>
        <w:keepLines w:val="0"/>
        <w:pageBreakBefore w:val="0"/>
        <w:widowControl/>
        <w:kinsoku/>
        <w:overflowPunct/>
        <w:autoSpaceDE/>
        <w:autoSpaceDN/>
        <w:bidi w:val="0"/>
        <w:adjustRightInd w:val="0"/>
        <w:snapToGrid/>
        <w:spacing w:line="460" w:lineRule="exact"/>
        <w:ind w:right="150"/>
        <w:jc w:val="left"/>
        <w:rPr>
          <w:rFonts w:ascii="宋体" w:hAnsi="宋体" w:eastAsia="宋体" w:cs="宋体"/>
          <w:sz w:val="24"/>
          <w:szCs w:val="24"/>
        </w:rPr>
      </w:pPr>
      <w:r>
        <w:rPr>
          <w:rFonts w:hint="eastAsia" w:ascii="宋体" w:hAnsi="宋体" w:eastAsia="宋体" w:cs="宋体"/>
          <w:b/>
          <w:kern w:val="0"/>
          <w:sz w:val="24"/>
          <w:szCs w:val="24"/>
        </w:rPr>
        <w:t>三、获取招标文件</w:t>
      </w:r>
    </w:p>
    <w:p>
      <w:pPr>
        <w:keepNext w:val="0"/>
        <w:keepLines w:val="0"/>
        <w:pageBreakBefore w:val="0"/>
        <w:kinsoku/>
        <w:overflowPunct/>
        <w:autoSpaceDE/>
        <w:autoSpaceDN/>
        <w:bidi w:val="0"/>
        <w:snapToGrid/>
        <w:spacing w:line="460" w:lineRule="exact"/>
        <w:ind w:firstLine="480" w:firstLineChars="200"/>
        <w:rPr>
          <w:rFonts w:ascii="宋体" w:hAnsi="宋体" w:eastAsia="宋体" w:cs="宋体"/>
          <w:bCs/>
          <w:sz w:val="24"/>
          <w:szCs w:val="24"/>
        </w:rPr>
      </w:pPr>
      <w:r>
        <w:rPr>
          <w:rFonts w:hint="eastAsia" w:ascii="宋体" w:hAnsi="宋体" w:eastAsia="宋体" w:cs="宋体"/>
          <w:bCs/>
          <w:sz w:val="24"/>
          <w:szCs w:val="24"/>
        </w:rPr>
        <w:t>1.时间：202</w:t>
      </w:r>
      <w:r>
        <w:rPr>
          <w:rFonts w:hint="eastAsia" w:ascii="宋体" w:hAnsi="宋体" w:eastAsia="宋体" w:cs="宋体"/>
          <w:bCs/>
          <w:sz w:val="24"/>
          <w:szCs w:val="24"/>
          <w:lang w:val="en-US" w:eastAsia="zh-CN"/>
        </w:rPr>
        <w:t>3</w:t>
      </w:r>
      <w:r>
        <w:rPr>
          <w:rFonts w:hint="eastAsia" w:ascii="宋体" w:hAnsi="宋体" w:eastAsia="宋体" w:cs="宋体"/>
          <w:bCs/>
          <w:sz w:val="24"/>
          <w:szCs w:val="24"/>
        </w:rPr>
        <w:t>年</w:t>
      </w:r>
      <w:r>
        <w:rPr>
          <w:rFonts w:hint="eastAsia" w:ascii="宋体" w:hAnsi="宋体" w:eastAsia="宋体" w:cs="宋体"/>
          <w:bCs/>
          <w:sz w:val="24"/>
          <w:szCs w:val="24"/>
          <w:lang w:val="en-US" w:eastAsia="zh-CN"/>
        </w:rPr>
        <w:t xml:space="preserve"> 12  </w:t>
      </w:r>
      <w:r>
        <w:rPr>
          <w:rFonts w:hint="eastAsia" w:ascii="宋体" w:hAnsi="宋体" w:eastAsia="宋体" w:cs="宋体"/>
          <w:bCs/>
          <w:sz w:val="24"/>
          <w:szCs w:val="24"/>
        </w:rPr>
        <w:t>月</w:t>
      </w:r>
      <w:r>
        <w:rPr>
          <w:rFonts w:hint="eastAsia" w:ascii="宋体" w:hAnsi="宋体" w:eastAsia="宋体" w:cs="宋体"/>
          <w:bCs/>
          <w:sz w:val="24"/>
          <w:szCs w:val="24"/>
          <w:lang w:val="en-US" w:eastAsia="zh-CN"/>
        </w:rPr>
        <w:t xml:space="preserve">  26  </w:t>
      </w:r>
      <w:r>
        <w:rPr>
          <w:rFonts w:hint="eastAsia" w:ascii="宋体" w:hAnsi="宋体" w:eastAsia="宋体" w:cs="宋体"/>
          <w:bCs/>
          <w:sz w:val="24"/>
          <w:szCs w:val="24"/>
        </w:rPr>
        <w:t>日 至 202</w:t>
      </w:r>
      <w:r>
        <w:rPr>
          <w:rFonts w:hint="eastAsia" w:ascii="宋体" w:hAnsi="宋体" w:eastAsia="宋体" w:cs="宋体"/>
          <w:bCs/>
          <w:sz w:val="24"/>
          <w:szCs w:val="24"/>
          <w:lang w:val="en-US" w:eastAsia="zh-CN"/>
        </w:rPr>
        <w:t>4</w:t>
      </w:r>
      <w:r>
        <w:rPr>
          <w:rFonts w:hint="eastAsia" w:ascii="宋体" w:hAnsi="宋体" w:eastAsia="宋体" w:cs="宋体"/>
          <w:bCs/>
          <w:sz w:val="24"/>
          <w:szCs w:val="24"/>
        </w:rPr>
        <w:t>年</w:t>
      </w:r>
      <w:r>
        <w:rPr>
          <w:rFonts w:hint="eastAsia" w:ascii="宋体" w:hAnsi="宋体" w:eastAsia="宋体" w:cs="宋体"/>
          <w:bCs/>
          <w:sz w:val="24"/>
          <w:szCs w:val="24"/>
          <w:lang w:val="en-US" w:eastAsia="zh-CN"/>
        </w:rPr>
        <w:t xml:space="preserve"> 01 </w:t>
      </w:r>
      <w:r>
        <w:rPr>
          <w:rFonts w:hint="eastAsia" w:ascii="宋体" w:hAnsi="宋体" w:eastAsia="宋体" w:cs="宋体"/>
          <w:bCs/>
          <w:sz w:val="24"/>
          <w:szCs w:val="24"/>
        </w:rPr>
        <w:t>月</w:t>
      </w:r>
      <w:r>
        <w:rPr>
          <w:rFonts w:hint="eastAsia" w:ascii="宋体" w:hAnsi="宋体" w:eastAsia="宋体" w:cs="宋体"/>
          <w:bCs/>
          <w:sz w:val="24"/>
          <w:szCs w:val="24"/>
          <w:lang w:val="en-US" w:eastAsia="zh-CN"/>
        </w:rPr>
        <w:t xml:space="preserve"> 15 </w:t>
      </w:r>
      <w:r>
        <w:rPr>
          <w:rFonts w:hint="eastAsia" w:ascii="宋体" w:hAnsi="宋体" w:eastAsia="宋体" w:cs="宋体"/>
          <w:bCs/>
          <w:sz w:val="24"/>
          <w:szCs w:val="24"/>
        </w:rPr>
        <w:t>日，每天上午00:00至12:00，下午12:00至23:59（北京时间，法定节假日除外。）</w:t>
      </w:r>
    </w:p>
    <w:p>
      <w:pPr>
        <w:keepNext w:val="0"/>
        <w:keepLines w:val="0"/>
        <w:pageBreakBefore w:val="0"/>
        <w:kinsoku/>
        <w:overflowPunct/>
        <w:autoSpaceDE/>
        <w:autoSpaceDN/>
        <w:bidi w:val="0"/>
        <w:snapToGrid/>
        <w:spacing w:line="460" w:lineRule="exact"/>
        <w:rPr>
          <w:rFonts w:ascii="宋体" w:hAnsi="宋体" w:eastAsia="宋体" w:cs="宋体"/>
          <w:bCs/>
          <w:sz w:val="24"/>
          <w:szCs w:val="24"/>
        </w:rPr>
      </w:pPr>
      <w:r>
        <w:rPr>
          <w:rFonts w:hint="eastAsia" w:ascii="宋体" w:hAnsi="宋体" w:eastAsia="宋体" w:cs="宋体"/>
          <w:bCs/>
          <w:sz w:val="24"/>
          <w:szCs w:val="24"/>
        </w:rPr>
        <w:t xml:space="preserve">    2.地点：全国公共资源交易平台（河南省·汝州市）（http：//www.rzggzy.com）</w:t>
      </w:r>
    </w:p>
    <w:p>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textAlignment w:val="auto"/>
        <w:rPr>
          <w:rFonts w:ascii="宋体" w:hAnsi="宋体" w:eastAsia="宋体" w:cs="宋体"/>
          <w:bCs/>
          <w:sz w:val="24"/>
          <w:szCs w:val="24"/>
        </w:rPr>
      </w:pPr>
      <w:r>
        <w:rPr>
          <w:rFonts w:hint="eastAsia" w:ascii="宋体" w:hAnsi="宋体" w:eastAsia="宋体" w:cs="宋体"/>
          <w:bCs/>
          <w:sz w:val="24"/>
          <w:szCs w:val="24"/>
        </w:rPr>
        <w:t>3.方式：①供应商须注册成为《全国公共资源交易平台（河南省·汝州市）（http：//www.rzggzy.com）》会员并取得CA 密钥。详见：http://www.rzggzy.com/tzgg/10490.jhtml。供应商在会员诚信库中自行上传企业相关资质证明材料，并自行承担真伪责任。供应商会员诚信库信息作为资格审查和评标依据，在中心网站予以公示接受社会监督。②报名成功后，凭CA密钥登录会员系统，在“组件下载”中下载投标文件制作工具客户端，并使用投标文件制作工具制作电子</w:t>
      </w:r>
      <w:r>
        <w:rPr>
          <w:rFonts w:hint="eastAsia" w:ascii="宋体" w:hAnsi="宋体" w:eastAsia="宋体" w:cs="宋体"/>
          <w:bCs/>
          <w:sz w:val="24"/>
          <w:szCs w:val="24"/>
          <w:lang w:val="en-US" w:eastAsia="zh-CN"/>
        </w:rPr>
        <w:t>版</w:t>
      </w:r>
      <w:r>
        <w:rPr>
          <w:rFonts w:hint="eastAsia" w:ascii="宋体" w:hAnsi="宋体" w:eastAsia="宋体" w:cs="宋体"/>
          <w:bCs/>
          <w:sz w:val="24"/>
          <w:szCs w:val="24"/>
        </w:rPr>
        <w:t>投标文件。具操作链接：</w:t>
      </w:r>
      <w:r>
        <w:rPr>
          <w:rFonts w:ascii="Calibri" w:hAnsi="Calibri" w:eastAsia="宋体" w:cs="Times New Roman"/>
          <w:sz w:val="24"/>
          <w:szCs w:val="24"/>
        </w:rPr>
        <w:fldChar w:fldCharType="begin"/>
      </w:r>
      <w:r>
        <w:rPr>
          <w:rFonts w:ascii="Calibri" w:hAnsi="Calibri" w:eastAsia="宋体" w:cs="Times New Roman"/>
          <w:sz w:val="24"/>
          <w:szCs w:val="24"/>
        </w:rPr>
        <w:instrText xml:space="preserve"> HYPERLINK "http://www.rzggzy.com/zwjxz/10248.jhtml。" </w:instrText>
      </w:r>
      <w:r>
        <w:rPr>
          <w:rFonts w:ascii="Calibri" w:hAnsi="Calibri" w:eastAsia="宋体" w:cs="Times New Roman"/>
          <w:sz w:val="24"/>
          <w:szCs w:val="24"/>
        </w:rPr>
        <w:fldChar w:fldCharType="separate"/>
      </w:r>
      <w:r>
        <w:rPr>
          <w:rFonts w:hint="eastAsia" w:ascii="宋体" w:hAnsi="宋体" w:eastAsia="宋体" w:cs="宋体"/>
          <w:bCs/>
          <w:color w:val="0000FF"/>
          <w:sz w:val="24"/>
          <w:szCs w:val="24"/>
          <w:u w:val="single"/>
        </w:rPr>
        <w:t>http://www.rzggzy.com/zwjxz/10248.jhtml。</w:t>
      </w:r>
      <w:r>
        <w:rPr>
          <w:rFonts w:hint="eastAsia" w:ascii="宋体" w:hAnsi="宋体" w:eastAsia="宋体" w:cs="宋体"/>
          <w:bCs/>
          <w:color w:val="0000FF"/>
          <w:sz w:val="24"/>
          <w:szCs w:val="24"/>
          <w:u w:val="single"/>
        </w:rPr>
        <w:fldChar w:fldCharType="end"/>
      </w:r>
    </w:p>
    <w:p>
      <w:pPr>
        <w:keepNext w:val="0"/>
        <w:keepLines w:val="0"/>
        <w:pageBreakBefore w:val="0"/>
        <w:widowControl w:val="0"/>
        <w:kinsoku/>
        <w:overflowPunct/>
        <w:autoSpaceDE/>
        <w:autoSpaceDN/>
        <w:bidi w:val="0"/>
        <w:adjustRightInd/>
        <w:snapToGrid/>
        <w:spacing w:after="0" w:line="460" w:lineRule="exact"/>
        <w:ind w:left="0" w:leftChars="0" w:right="0" w:rightChars="0" w:firstLine="480" w:firstLineChars="200"/>
        <w:jc w:val="both"/>
        <w:textAlignment w:val="auto"/>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4.售价：0元</w:t>
      </w:r>
    </w:p>
    <w:p>
      <w:pPr>
        <w:keepNext w:val="0"/>
        <w:keepLines w:val="0"/>
        <w:pageBreakBefore w:val="0"/>
        <w:kinsoku/>
        <w:overflowPunct/>
        <w:autoSpaceDE/>
        <w:autoSpaceDN/>
        <w:bidi w:val="0"/>
        <w:snapToGrid/>
        <w:spacing w:line="460" w:lineRule="exact"/>
        <w:rPr>
          <w:rFonts w:ascii="宋体" w:hAnsi="宋体" w:eastAsia="宋体" w:cs="宋体"/>
          <w:b/>
          <w:sz w:val="24"/>
          <w:szCs w:val="24"/>
        </w:rPr>
      </w:pPr>
      <w:bookmarkStart w:id="3" w:name="_Toc24607"/>
      <w:bookmarkStart w:id="4" w:name="_Toc10148"/>
      <w:r>
        <w:rPr>
          <w:rFonts w:hint="eastAsia" w:ascii="宋体" w:hAnsi="宋体" w:eastAsia="宋体" w:cs="宋体"/>
          <w:b/>
          <w:sz w:val="24"/>
          <w:szCs w:val="24"/>
        </w:rPr>
        <w:t>四、投标文件递交截止时间及地点</w:t>
      </w:r>
      <w:bookmarkEnd w:id="3"/>
      <w:bookmarkEnd w:id="4"/>
    </w:p>
    <w:p>
      <w:pPr>
        <w:keepNext w:val="0"/>
        <w:keepLines w:val="0"/>
        <w:pageBreakBefore w:val="0"/>
        <w:kinsoku/>
        <w:overflowPunct/>
        <w:autoSpaceDE/>
        <w:autoSpaceDN/>
        <w:bidi w:val="0"/>
        <w:snapToGrid/>
        <w:spacing w:line="460" w:lineRule="exact"/>
        <w:ind w:firstLine="480" w:firstLineChars="200"/>
        <w:rPr>
          <w:rFonts w:ascii="宋体" w:hAnsi="宋体" w:eastAsia="宋体" w:cs="宋体"/>
          <w:bCs/>
          <w:sz w:val="24"/>
          <w:szCs w:val="24"/>
        </w:rPr>
      </w:pPr>
      <w:r>
        <w:rPr>
          <w:rFonts w:hint="eastAsia" w:ascii="宋体" w:hAnsi="宋体" w:eastAsia="宋体" w:cs="宋体"/>
          <w:bCs/>
          <w:sz w:val="24"/>
          <w:szCs w:val="24"/>
        </w:rPr>
        <w:t>时间：202</w:t>
      </w:r>
      <w:r>
        <w:rPr>
          <w:rFonts w:hint="eastAsia" w:ascii="宋体" w:hAnsi="宋体" w:eastAsia="宋体" w:cs="宋体"/>
          <w:bCs/>
          <w:sz w:val="24"/>
          <w:szCs w:val="24"/>
          <w:lang w:val="en-US" w:eastAsia="zh-CN"/>
        </w:rPr>
        <w:t>4</w:t>
      </w:r>
      <w:r>
        <w:rPr>
          <w:rFonts w:hint="eastAsia" w:ascii="宋体" w:hAnsi="宋体" w:eastAsia="宋体" w:cs="宋体"/>
          <w:bCs/>
          <w:sz w:val="24"/>
          <w:szCs w:val="24"/>
        </w:rPr>
        <w:t>年</w:t>
      </w:r>
      <w:r>
        <w:rPr>
          <w:rFonts w:hint="eastAsia" w:ascii="宋体" w:hAnsi="宋体" w:eastAsia="宋体" w:cs="宋体"/>
          <w:bCs/>
          <w:sz w:val="24"/>
          <w:szCs w:val="24"/>
          <w:lang w:val="en-US" w:eastAsia="zh-CN"/>
        </w:rPr>
        <w:t xml:space="preserve"> 01 </w:t>
      </w:r>
      <w:r>
        <w:rPr>
          <w:rFonts w:hint="eastAsia" w:ascii="宋体" w:hAnsi="宋体" w:eastAsia="宋体" w:cs="宋体"/>
          <w:bCs/>
          <w:sz w:val="24"/>
          <w:szCs w:val="24"/>
        </w:rPr>
        <w:t>月</w:t>
      </w:r>
      <w:r>
        <w:rPr>
          <w:rFonts w:hint="eastAsia" w:ascii="宋体" w:hAnsi="宋体" w:eastAsia="宋体" w:cs="宋体"/>
          <w:bCs/>
          <w:sz w:val="24"/>
          <w:szCs w:val="24"/>
          <w:lang w:val="en-US" w:eastAsia="zh-CN"/>
        </w:rPr>
        <w:t xml:space="preserve">  16  </w:t>
      </w:r>
      <w:r>
        <w:rPr>
          <w:rFonts w:hint="eastAsia" w:ascii="宋体" w:hAnsi="宋体" w:eastAsia="宋体" w:cs="宋体"/>
          <w:bCs/>
          <w:sz w:val="24"/>
          <w:szCs w:val="24"/>
        </w:rPr>
        <w:t>日8时30分（北京时间）</w:t>
      </w:r>
    </w:p>
    <w:p>
      <w:pPr>
        <w:keepNext w:val="0"/>
        <w:keepLines w:val="0"/>
        <w:pageBreakBefore w:val="0"/>
        <w:kinsoku/>
        <w:overflowPunct/>
        <w:autoSpaceDE/>
        <w:autoSpaceDN/>
        <w:bidi w:val="0"/>
        <w:snapToGrid/>
        <w:spacing w:line="460" w:lineRule="exact"/>
        <w:ind w:firstLine="480" w:firstLineChars="200"/>
        <w:rPr>
          <w:rFonts w:ascii="宋体" w:hAnsi="宋体" w:eastAsia="宋体" w:cs="宋体"/>
          <w:bCs/>
          <w:sz w:val="24"/>
          <w:szCs w:val="24"/>
        </w:rPr>
      </w:pPr>
      <w:r>
        <w:rPr>
          <w:rFonts w:hint="eastAsia" w:ascii="宋体" w:hAnsi="宋体" w:eastAsia="宋体" w:cs="宋体"/>
          <w:bCs/>
          <w:sz w:val="24"/>
          <w:szCs w:val="24"/>
        </w:rPr>
        <w:t>地点：</w:t>
      </w:r>
      <w:r>
        <w:rPr>
          <w:rFonts w:hint="eastAsia" w:ascii="宋体" w:hAnsi="宋体" w:eastAsia="宋体" w:cs="Times New Roman"/>
          <w:bCs/>
          <w:sz w:val="24"/>
          <w:szCs w:val="24"/>
        </w:rPr>
        <w:t>全国公共资源交易平台（河南省·汝州市）电子交易系统上传</w:t>
      </w:r>
    </w:p>
    <w:p>
      <w:pPr>
        <w:keepNext w:val="0"/>
        <w:keepLines w:val="0"/>
        <w:pageBreakBefore w:val="0"/>
        <w:kinsoku/>
        <w:overflowPunct/>
        <w:autoSpaceDE/>
        <w:autoSpaceDN/>
        <w:bidi w:val="0"/>
        <w:snapToGrid/>
        <w:spacing w:line="460" w:lineRule="exact"/>
        <w:rPr>
          <w:rFonts w:ascii="宋体" w:hAnsi="宋体" w:eastAsia="宋体" w:cs="宋体"/>
          <w:b/>
          <w:sz w:val="24"/>
          <w:szCs w:val="24"/>
        </w:rPr>
      </w:pPr>
      <w:bookmarkStart w:id="5" w:name="_Toc4171"/>
      <w:bookmarkStart w:id="6" w:name="_Toc20539"/>
      <w:r>
        <w:rPr>
          <w:rFonts w:hint="eastAsia" w:ascii="宋体" w:hAnsi="宋体" w:eastAsia="宋体" w:cs="宋体"/>
          <w:b/>
          <w:sz w:val="24"/>
          <w:szCs w:val="24"/>
        </w:rPr>
        <w:t>五、开标时间及地点</w:t>
      </w:r>
      <w:bookmarkEnd w:id="5"/>
      <w:bookmarkEnd w:id="6"/>
    </w:p>
    <w:p>
      <w:pPr>
        <w:keepNext w:val="0"/>
        <w:keepLines w:val="0"/>
        <w:pageBreakBefore w:val="0"/>
        <w:kinsoku/>
        <w:overflowPunct/>
        <w:autoSpaceDE/>
        <w:autoSpaceDN/>
        <w:bidi w:val="0"/>
        <w:snapToGrid/>
        <w:spacing w:line="460" w:lineRule="exact"/>
        <w:ind w:firstLine="480" w:firstLineChars="200"/>
        <w:rPr>
          <w:rFonts w:ascii="宋体" w:hAnsi="宋体" w:eastAsia="宋体" w:cs="宋体"/>
          <w:bCs/>
          <w:sz w:val="24"/>
          <w:szCs w:val="24"/>
        </w:rPr>
      </w:pPr>
      <w:r>
        <w:rPr>
          <w:rFonts w:hint="eastAsia" w:ascii="宋体" w:hAnsi="宋体" w:eastAsia="宋体" w:cs="宋体"/>
          <w:bCs/>
          <w:sz w:val="24"/>
          <w:szCs w:val="24"/>
        </w:rPr>
        <w:t>时间：202</w:t>
      </w:r>
      <w:r>
        <w:rPr>
          <w:rFonts w:hint="eastAsia" w:ascii="宋体" w:hAnsi="宋体" w:eastAsia="宋体" w:cs="宋体"/>
          <w:bCs/>
          <w:sz w:val="24"/>
          <w:szCs w:val="24"/>
          <w:lang w:val="en-US" w:eastAsia="zh-CN"/>
        </w:rPr>
        <w:t>4</w:t>
      </w:r>
      <w:r>
        <w:rPr>
          <w:rFonts w:hint="eastAsia" w:ascii="宋体" w:hAnsi="宋体" w:eastAsia="宋体" w:cs="宋体"/>
          <w:bCs/>
          <w:sz w:val="24"/>
          <w:szCs w:val="24"/>
        </w:rPr>
        <w:t>年</w:t>
      </w:r>
      <w:r>
        <w:rPr>
          <w:rFonts w:hint="eastAsia" w:ascii="宋体" w:hAnsi="宋体" w:eastAsia="宋体" w:cs="宋体"/>
          <w:bCs/>
          <w:sz w:val="24"/>
          <w:szCs w:val="24"/>
          <w:lang w:val="en-US" w:eastAsia="zh-CN"/>
        </w:rPr>
        <w:t xml:space="preserve"> 01 </w:t>
      </w:r>
      <w:r>
        <w:rPr>
          <w:rFonts w:hint="eastAsia" w:ascii="宋体" w:hAnsi="宋体" w:eastAsia="宋体" w:cs="宋体"/>
          <w:bCs/>
          <w:sz w:val="24"/>
          <w:szCs w:val="24"/>
        </w:rPr>
        <w:t>月</w:t>
      </w:r>
      <w:r>
        <w:rPr>
          <w:rFonts w:hint="eastAsia" w:ascii="宋体" w:hAnsi="宋体" w:eastAsia="宋体" w:cs="宋体"/>
          <w:bCs/>
          <w:sz w:val="24"/>
          <w:szCs w:val="24"/>
          <w:lang w:val="en-US" w:eastAsia="zh-CN"/>
        </w:rPr>
        <w:t xml:space="preserve">  16  </w:t>
      </w:r>
      <w:r>
        <w:rPr>
          <w:rFonts w:hint="eastAsia" w:ascii="宋体" w:hAnsi="宋体" w:eastAsia="宋体" w:cs="宋体"/>
          <w:bCs/>
          <w:sz w:val="24"/>
          <w:szCs w:val="24"/>
        </w:rPr>
        <w:t>日8时30分（北京时间）</w:t>
      </w:r>
    </w:p>
    <w:p>
      <w:pPr>
        <w:keepNext w:val="0"/>
        <w:keepLines w:val="0"/>
        <w:pageBreakBefore w:val="0"/>
        <w:kinsoku/>
        <w:overflowPunct/>
        <w:autoSpaceDE/>
        <w:autoSpaceDN/>
        <w:bidi w:val="0"/>
        <w:snapToGrid/>
        <w:spacing w:line="460" w:lineRule="exact"/>
        <w:ind w:firstLine="480" w:firstLineChars="200"/>
        <w:rPr>
          <w:rFonts w:ascii="宋体" w:hAnsi="宋体" w:eastAsia="宋体" w:cs="宋体"/>
          <w:sz w:val="24"/>
          <w:szCs w:val="24"/>
        </w:rPr>
      </w:pPr>
      <w:r>
        <w:rPr>
          <w:rFonts w:hint="eastAsia" w:ascii="宋体" w:hAnsi="宋体" w:eastAsia="宋体" w:cs="宋体"/>
          <w:bCs/>
          <w:sz w:val="24"/>
          <w:szCs w:val="24"/>
        </w:rPr>
        <w:t xml:space="preserve">地点：汝州市公共资源交易中心 </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301  </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开标室</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AUTOTEXT  input33 \* MERGEFORMAT </w:instrText>
      </w:r>
      <w:r>
        <w:rPr>
          <w:rFonts w:hint="eastAsia" w:ascii="宋体" w:hAnsi="宋体" w:eastAsia="宋体" w:cs="宋体"/>
          <w:sz w:val="24"/>
          <w:szCs w:val="24"/>
        </w:rPr>
        <w:fldChar w:fldCharType="end"/>
      </w:r>
    </w:p>
    <w:p>
      <w:pPr>
        <w:keepNext w:val="0"/>
        <w:keepLines w:val="0"/>
        <w:pageBreakBefore w:val="0"/>
        <w:kinsoku/>
        <w:overflowPunct/>
        <w:autoSpaceDE/>
        <w:autoSpaceDN/>
        <w:bidi w:val="0"/>
        <w:snapToGrid/>
        <w:spacing w:line="460" w:lineRule="exact"/>
        <w:rPr>
          <w:rFonts w:ascii="宋体" w:hAnsi="宋体" w:eastAsia="宋体" w:cs="宋体"/>
          <w:b/>
          <w:bCs/>
          <w:sz w:val="24"/>
          <w:szCs w:val="24"/>
        </w:rPr>
      </w:pPr>
      <w:r>
        <w:rPr>
          <w:rFonts w:hint="eastAsia" w:ascii="宋体" w:hAnsi="宋体" w:eastAsia="宋体" w:cs="宋体"/>
          <w:b/>
          <w:bCs/>
          <w:sz w:val="24"/>
          <w:szCs w:val="24"/>
        </w:rPr>
        <w:t>六、发布招标公告的媒介及招标公告期限：</w:t>
      </w:r>
    </w:p>
    <w:p>
      <w:pPr>
        <w:keepNext w:val="0"/>
        <w:keepLines w:val="0"/>
        <w:pageBreakBefore w:val="0"/>
        <w:kinsoku/>
        <w:overflowPunct/>
        <w:autoSpaceDE/>
        <w:autoSpaceDN/>
        <w:bidi w:val="0"/>
        <w:snapToGrid/>
        <w:spacing w:line="460" w:lineRule="exact"/>
        <w:ind w:firstLine="437"/>
        <w:rPr>
          <w:rFonts w:ascii="宋体" w:hAnsi="宋体" w:eastAsia="宋体" w:cs="宋体"/>
          <w:sz w:val="24"/>
          <w:szCs w:val="24"/>
        </w:rPr>
      </w:pPr>
      <w:r>
        <w:rPr>
          <w:rFonts w:hint="eastAsia" w:ascii="宋体" w:hAnsi="宋体" w:eastAsia="宋体" w:cs="宋体"/>
          <w:sz w:val="24"/>
          <w:szCs w:val="24"/>
        </w:rPr>
        <w:t>本次招标公告同时在</w:t>
      </w:r>
      <w:r>
        <w:rPr>
          <w:rFonts w:hint="eastAsia" w:ascii="宋体" w:hAnsi="宋体" w:eastAsia="宋体" w:cs="宋体"/>
          <w:color w:val="000000"/>
          <w:sz w:val="24"/>
          <w:szCs w:val="24"/>
          <w:shd w:val="clear" w:color="auto" w:fill="FFFFFF"/>
        </w:rPr>
        <w:t>《河南省政府采购网》、《汝州市政府采购网》、《全国公共资源交易平台（河南省·汝州市）（www.rzggzy.com）》</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AUTOTEXT  input38 \* MERGEFORMAT </w:instrText>
      </w:r>
      <w:r>
        <w:rPr>
          <w:rFonts w:hint="eastAsia" w:ascii="宋体" w:hAnsi="宋体" w:eastAsia="宋体" w:cs="宋体"/>
          <w:sz w:val="24"/>
          <w:szCs w:val="24"/>
        </w:rPr>
        <w:fldChar w:fldCharType="end"/>
      </w:r>
      <w:r>
        <w:rPr>
          <w:rFonts w:hint="eastAsia" w:ascii="宋体" w:hAnsi="宋体" w:eastAsia="宋体" w:cs="宋体"/>
          <w:sz w:val="24"/>
          <w:szCs w:val="24"/>
        </w:rPr>
        <w:t>上发布。</w:t>
      </w:r>
    </w:p>
    <w:p>
      <w:pPr>
        <w:keepNext w:val="0"/>
        <w:keepLines w:val="0"/>
        <w:pageBreakBefore w:val="0"/>
        <w:kinsoku/>
        <w:overflowPunct/>
        <w:autoSpaceDE/>
        <w:autoSpaceDN/>
        <w:bidi w:val="0"/>
        <w:snapToGrid/>
        <w:spacing w:line="460" w:lineRule="exact"/>
        <w:ind w:firstLine="480" w:firstLineChars="200"/>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招标公告期限为五个工作日。</w:t>
      </w:r>
    </w:p>
    <w:p>
      <w:pPr>
        <w:keepNext w:val="0"/>
        <w:keepLines w:val="0"/>
        <w:pageBreakBefore w:val="0"/>
        <w:widowControl/>
        <w:shd w:val="clear" w:color="auto" w:fill="FFFFFF"/>
        <w:kinsoku/>
        <w:overflowPunct/>
        <w:autoSpaceDE/>
        <w:autoSpaceDN/>
        <w:bidi w:val="0"/>
        <w:snapToGrid/>
        <w:spacing w:before="0" w:beforeAutospacing="0" w:after="0" w:afterAutospacing="0" w:line="460" w:lineRule="exact"/>
        <w:jc w:val="both"/>
        <w:rPr>
          <w:rFonts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七、其他补充事宜</w:t>
      </w:r>
    </w:p>
    <w:p>
      <w:pPr>
        <w:keepNext w:val="0"/>
        <w:keepLines w:val="0"/>
        <w:pageBreakBefore w:val="0"/>
        <w:kinsoku/>
        <w:overflowPunct/>
        <w:autoSpaceDE/>
        <w:autoSpaceDN/>
        <w:bidi w:val="0"/>
        <w:snapToGrid/>
        <w:spacing w:line="460" w:lineRule="exact"/>
        <w:ind w:firstLine="480" w:firstLineChars="200"/>
        <w:rPr>
          <w:rFonts w:hint="eastAsia" w:ascii="宋体" w:hAnsi="宋体" w:eastAsia="宋体" w:cs="宋体"/>
          <w:color w:val="000000"/>
          <w:kern w:val="0"/>
          <w:sz w:val="24"/>
          <w:szCs w:val="24"/>
          <w:lang w:val="zh-CN" w:bidi="ar"/>
        </w:rPr>
      </w:pPr>
      <w:r>
        <w:rPr>
          <w:rFonts w:hint="eastAsia" w:ascii="宋体" w:hAnsi="宋体" w:eastAsia="宋体" w:cs="宋体"/>
          <w:color w:val="000000"/>
          <w:kern w:val="0"/>
          <w:sz w:val="24"/>
          <w:szCs w:val="24"/>
          <w:lang w:val="zh-CN" w:bidi="ar"/>
        </w:rPr>
        <w:t xml:space="preserve">1、受理投诉监督管理部门：汝州市财政局 </w:t>
      </w:r>
    </w:p>
    <w:p>
      <w:pPr>
        <w:keepNext w:val="0"/>
        <w:keepLines w:val="0"/>
        <w:pageBreakBefore w:val="0"/>
        <w:kinsoku/>
        <w:overflowPunct/>
        <w:autoSpaceDE/>
        <w:autoSpaceDN/>
        <w:bidi w:val="0"/>
        <w:snapToGrid/>
        <w:spacing w:line="460" w:lineRule="exact"/>
        <w:ind w:firstLine="480" w:firstLineChars="200"/>
        <w:rPr>
          <w:rFonts w:hint="eastAsia" w:ascii="宋体" w:hAnsi="宋体" w:eastAsia="宋体" w:cs="宋体"/>
          <w:color w:val="000000"/>
          <w:kern w:val="0"/>
          <w:sz w:val="24"/>
          <w:szCs w:val="24"/>
          <w:lang w:val="zh-CN" w:bidi="ar"/>
        </w:rPr>
      </w:pPr>
      <w:r>
        <w:rPr>
          <w:rFonts w:hint="eastAsia" w:ascii="宋体" w:hAnsi="宋体" w:eastAsia="宋体" w:cs="宋体"/>
          <w:color w:val="000000"/>
          <w:kern w:val="0"/>
          <w:sz w:val="24"/>
          <w:szCs w:val="24"/>
          <w:lang w:val="zh-CN" w:bidi="ar"/>
        </w:rPr>
        <w:t>联系人：王</w:t>
      </w:r>
      <w:r>
        <w:rPr>
          <w:rFonts w:hint="eastAsia" w:ascii="宋体" w:hAnsi="宋体" w:eastAsia="宋体" w:cs="宋体"/>
          <w:color w:val="000000"/>
          <w:kern w:val="0"/>
          <w:sz w:val="24"/>
          <w:szCs w:val="24"/>
          <w:lang w:val="en-US" w:eastAsia="zh-CN" w:bidi="ar"/>
        </w:rPr>
        <w:t>女士</w:t>
      </w:r>
      <w:r>
        <w:rPr>
          <w:rFonts w:hint="eastAsia" w:ascii="宋体" w:hAnsi="宋体" w:eastAsia="宋体" w:cs="宋体"/>
          <w:color w:val="000000"/>
          <w:kern w:val="0"/>
          <w:sz w:val="24"/>
          <w:szCs w:val="24"/>
          <w:lang w:bidi="ar"/>
        </w:rPr>
        <w:t xml:space="preserve">  </w:t>
      </w:r>
      <w:r>
        <w:rPr>
          <w:rFonts w:hint="eastAsia" w:ascii="宋体" w:hAnsi="宋体" w:eastAsia="宋体" w:cs="宋体"/>
          <w:color w:val="000000"/>
          <w:kern w:val="0"/>
          <w:sz w:val="24"/>
          <w:szCs w:val="24"/>
          <w:lang w:val="zh-CN" w:bidi="ar"/>
        </w:rPr>
        <w:t>联系电话：0375-6862799</w:t>
      </w:r>
    </w:p>
    <w:p>
      <w:pPr>
        <w:keepNext w:val="0"/>
        <w:keepLines w:val="0"/>
        <w:pageBreakBefore w:val="0"/>
        <w:kinsoku/>
        <w:overflowPunct/>
        <w:autoSpaceDE/>
        <w:autoSpaceDN/>
        <w:bidi w:val="0"/>
        <w:snapToGrid/>
        <w:spacing w:line="460" w:lineRule="exact"/>
        <w:ind w:firstLine="480" w:firstLineChars="200"/>
        <w:rPr>
          <w:rFonts w:hint="eastAsia" w:ascii="宋体" w:hAnsi="宋体" w:eastAsia="宋体" w:cs="宋体"/>
          <w:color w:val="000000"/>
          <w:kern w:val="0"/>
          <w:sz w:val="24"/>
          <w:szCs w:val="24"/>
          <w:lang w:val="zh-CN" w:bidi="ar"/>
        </w:rPr>
      </w:pPr>
      <w:r>
        <w:rPr>
          <w:rFonts w:hint="eastAsia" w:ascii="宋体" w:hAnsi="宋体" w:eastAsia="宋体" w:cs="宋体"/>
          <w:color w:val="000000"/>
          <w:kern w:val="0"/>
          <w:sz w:val="24"/>
          <w:szCs w:val="24"/>
          <w:lang w:val="zh-CN" w:bidi="ar"/>
        </w:rPr>
        <w:t>邮箱地址：rzcgb406@163.com</w:t>
      </w:r>
    </w:p>
    <w:p>
      <w:pPr>
        <w:keepNext w:val="0"/>
        <w:keepLines w:val="0"/>
        <w:pageBreakBefore w:val="0"/>
        <w:kinsoku/>
        <w:overflowPunct/>
        <w:autoSpaceDE/>
        <w:autoSpaceDN/>
        <w:bidi w:val="0"/>
        <w:snapToGrid/>
        <w:spacing w:line="460" w:lineRule="exact"/>
        <w:ind w:firstLine="480" w:firstLineChars="200"/>
        <w:rPr>
          <w:rFonts w:hint="eastAsia" w:ascii="宋体" w:hAnsi="宋体" w:eastAsia="宋体" w:cs="宋体"/>
          <w:color w:val="000000"/>
          <w:kern w:val="0"/>
          <w:sz w:val="24"/>
          <w:szCs w:val="24"/>
          <w:lang w:val="zh-CN" w:bidi="ar"/>
        </w:rPr>
      </w:pPr>
      <w:r>
        <w:rPr>
          <w:rFonts w:hint="eastAsia" w:ascii="宋体" w:hAnsi="宋体" w:eastAsia="宋体" w:cs="宋体"/>
          <w:color w:val="000000"/>
          <w:kern w:val="0"/>
          <w:sz w:val="24"/>
          <w:szCs w:val="24"/>
          <w:lang w:val="zh-CN" w:bidi="ar"/>
        </w:rPr>
        <w:t>联系地址：汝州市望嵩中路116号</w:t>
      </w:r>
    </w:p>
    <w:p>
      <w:pPr>
        <w:keepNext w:val="0"/>
        <w:keepLines w:val="0"/>
        <w:pageBreakBefore w:val="0"/>
        <w:kinsoku/>
        <w:overflowPunct/>
        <w:autoSpaceDE/>
        <w:autoSpaceDN/>
        <w:bidi w:val="0"/>
        <w:snapToGrid/>
        <w:spacing w:line="460" w:lineRule="exact"/>
        <w:ind w:firstLine="480" w:firstLineChars="200"/>
        <w:rPr>
          <w:rFonts w:hint="eastAsia" w:ascii="宋体" w:hAnsi="宋体" w:eastAsia="宋体" w:cs="宋体"/>
          <w:color w:val="000000"/>
          <w:kern w:val="0"/>
          <w:sz w:val="24"/>
          <w:szCs w:val="24"/>
          <w:lang w:val="zh-CN" w:bidi="ar"/>
        </w:rPr>
      </w:pPr>
      <w:r>
        <w:rPr>
          <w:rFonts w:hint="eastAsia" w:ascii="宋体" w:hAnsi="宋体" w:eastAsia="宋体" w:cs="宋体"/>
          <w:color w:val="000000"/>
          <w:kern w:val="0"/>
          <w:sz w:val="24"/>
          <w:szCs w:val="24"/>
          <w:lang w:val="zh-CN" w:bidi="ar"/>
        </w:rPr>
        <w:t>2、本项目采用“不见面”</w:t>
      </w:r>
      <w:r>
        <w:rPr>
          <w:rFonts w:hint="eastAsia" w:ascii="宋体" w:hAnsi="宋体" w:eastAsia="宋体" w:cs="宋体"/>
          <w:color w:val="000000"/>
          <w:kern w:val="0"/>
          <w:sz w:val="24"/>
          <w:szCs w:val="24"/>
          <w:lang w:val="en-US" w:eastAsia="zh-CN" w:bidi="ar"/>
        </w:rPr>
        <w:t>开</w:t>
      </w:r>
      <w:r>
        <w:rPr>
          <w:rFonts w:hint="eastAsia" w:ascii="宋体" w:hAnsi="宋体" w:eastAsia="宋体" w:cs="宋体"/>
          <w:color w:val="000000"/>
          <w:kern w:val="0"/>
          <w:sz w:val="24"/>
          <w:szCs w:val="24"/>
          <w:lang w:val="zh-CN" w:bidi="ar"/>
        </w:rPr>
        <w:t>标方式，供应商只需要递交电子投标文件，无需到达现场提交原件资料、无需到现场参加</w:t>
      </w:r>
      <w:r>
        <w:rPr>
          <w:rFonts w:hint="eastAsia" w:ascii="宋体" w:hAnsi="宋体" w:eastAsia="宋体" w:cs="宋体"/>
          <w:color w:val="000000"/>
          <w:kern w:val="0"/>
          <w:sz w:val="24"/>
          <w:szCs w:val="24"/>
          <w:lang w:val="en-US" w:eastAsia="zh-CN" w:bidi="ar"/>
        </w:rPr>
        <w:t>开</w:t>
      </w:r>
      <w:r>
        <w:rPr>
          <w:rFonts w:hint="eastAsia" w:ascii="宋体" w:hAnsi="宋体" w:eastAsia="宋体" w:cs="宋体"/>
          <w:color w:val="000000"/>
          <w:kern w:val="0"/>
          <w:sz w:val="24"/>
          <w:szCs w:val="24"/>
          <w:lang w:val="zh-CN" w:bidi="ar"/>
        </w:rPr>
        <w:t>标会议活动。</w:t>
      </w:r>
    </w:p>
    <w:p>
      <w:pPr>
        <w:keepNext w:val="0"/>
        <w:keepLines w:val="0"/>
        <w:pageBreakBefore w:val="0"/>
        <w:kinsoku/>
        <w:overflowPunct/>
        <w:autoSpaceDE/>
        <w:autoSpaceDN/>
        <w:bidi w:val="0"/>
        <w:snapToGrid/>
        <w:spacing w:line="460" w:lineRule="exact"/>
        <w:ind w:firstLine="480" w:firstLineChars="200"/>
        <w:rPr>
          <w:rFonts w:hint="eastAsia" w:ascii="宋体" w:hAnsi="宋体" w:eastAsia="宋体" w:cs="宋体"/>
          <w:color w:val="000000"/>
          <w:kern w:val="0"/>
          <w:sz w:val="24"/>
          <w:szCs w:val="24"/>
          <w:lang w:val="zh-CN" w:bidi="ar"/>
        </w:rPr>
      </w:pPr>
      <w:r>
        <w:rPr>
          <w:rFonts w:hint="eastAsia" w:ascii="宋体" w:hAnsi="宋体" w:eastAsia="宋体" w:cs="宋体"/>
          <w:color w:val="000000"/>
          <w:kern w:val="0"/>
          <w:sz w:val="24"/>
          <w:szCs w:val="24"/>
          <w:lang w:val="zh-CN" w:bidi="ar"/>
        </w:rPr>
        <w:t>3、供应商应当在</w:t>
      </w:r>
      <w:r>
        <w:rPr>
          <w:rFonts w:hint="eastAsia" w:ascii="宋体" w:hAnsi="宋体" w:eastAsia="宋体" w:cs="宋体"/>
          <w:color w:val="000000"/>
          <w:kern w:val="0"/>
          <w:sz w:val="24"/>
          <w:szCs w:val="24"/>
          <w:lang w:val="en-US" w:eastAsia="zh-CN" w:bidi="ar"/>
        </w:rPr>
        <w:t>开</w:t>
      </w:r>
      <w:r>
        <w:rPr>
          <w:rFonts w:hint="eastAsia" w:ascii="宋体" w:hAnsi="宋体" w:eastAsia="宋体" w:cs="宋体"/>
          <w:color w:val="000000"/>
          <w:kern w:val="0"/>
          <w:sz w:val="24"/>
          <w:szCs w:val="24"/>
          <w:lang w:val="zh-CN" w:bidi="ar"/>
        </w:rPr>
        <w:t>标会议活动开始前,登录</w:t>
      </w:r>
      <w:r>
        <w:rPr>
          <w:rFonts w:hint="eastAsia" w:ascii="宋体" w:hAnsi="宋体" w:eastAsia="宋体" w:cs="宋体"/>
          <w:color w:val="000000"/>
          <w:kern w:val="0"/>
          <w:sz w:val="24"/>
          <w:szCs w:val="24"/>
          <w:lang w:val="en-US" w:eastAsia="zh-CN" w:bidi="ar"/>
        </w:rPr>
        <w:t>开</w:t>
      </w:r>
      <w:r>
        <w:rPr>
          <w:rFonts w:hint="eastAsia" w:ascii="宋体" w:hAnsi="宋体" w:eastAsia="宋体" w:cs="宋体"/>
          <w:color w:val="000000"/>
          <w:kern w:val="0"/>
          <w:sz w:val="24"/>
          <w:szCs w:val="24"/>
          <w:lang w:val="zh-CN" w:bidi="ar"/>
        </w:rPr>
        <w:t>标会议大厅,在线准时参加</w:t>
      </w:r>
      <w:r>
        <w:rPr>
          <w:rFonts w:hint="eastAsia" w:ascii="宋体" w:hAnsi="宋体" w:eastAsia="宋体" w:cs="宋体"/>
          <w:color w:val="000000"/>
          <w:kern w:val="0"/>
          <w:sz w:val="24"/>
          <w:szCs w:val="24"/>
          <w:lang w:val="en-US" w:eastAsia="zh-CN" w:bidi="ar"/>
        </w:rPr>
        <w:t>开</w:t>
      </w:r>
      <w:r>
        <w:rPr>
          <w:rFonts w:hint="eastAsia" w:ascii="宋体" w:hAnsi="宋体" w:eastAsia="宋体" w:cs="宋体"/>
          <w:color w:val="000000"/>
          <w:kern w:val="0"/>
          <w:sz w:val="24"/>
          <w:szCs w:val="24"/>
          <w:lang w:val="zh-CN" w:bidi="ar"/>
        </w:rPr>
        <w:t>标会议活动并进行电子</w:t>
      </w:r>
      <w:r>
        <w:rPr>
          <w:rFonts w:hint="eastAsia" w:ascii="宋体" w:hAnsi="宋体" w:eastAsia="宋体" w:cs="宋体"/>
          <w:color w:val="000000"/>
          <w:kern w:val="0"/>
          <w:sz w:val="24"/>
          <w:szCs w:val="24"/>
          <w:lang w:val="en-US" w:eastAsia="zh-CN" w:bidi="ar"/>
        </w:rPr>
        <w:t>版</w:t>
      </w:r>
      <w:r>
        <w:rPr>
          <w:rFonts w:hint="eastAsia" w:ascii="宋体" w:hAnsi="宋体" w:eastAsia="宋体" w:cs="宋体"/>
          <w:color w:val="000000"/>
          <w:kern w:val="0"/>
          <w:sz w:val="24"/>
          <w:szCs w:val="24"/>
          <w:lang w:val="zh-CN" w:bidi="ar"/>
        </w:rPr>
        <w:t>投标文件解密。（具体招标注意事项及操作指南详见http://www.rzggzy.com/zwjxz/10492.jhtml）。</w:t>
      </w:r>
    </w:p>
    <w:p>
      <w:pPr>
        <w:keepNext w:val="0"/>
        <w:keepLines w:val="0"/>
        <w:pageBreakBefore w:val="0"/>
        <w:widowControl/>
        <w:kinsoku/>
        <w:overflowPunct/>
        <w:autoSpaceDE/>
        <w:autoSpaceDN/>
        <w:bidi w:val="0"/>
        <w:snapToGrid/>
        <w:spacing w:line="500" w:lineRule="exact"/>
        <w:jc w:val="left"/>
        <w:rPr>
          <w:rFonts w:ascii="宋体" w:hAnsi="宋体" w:eastAsia="宋体" w:cs="宋体"/>
          <w:b/>
          <w:color w:val="000000"/>
          <w:sz w:val="24"/>
          <w:szCs w:val="24"/>
        </w:rPr>
      </w:pPr>
      <w:r>
        <w:rPr>
          <w:rFonts w:hint="eastAsia" w:ascii="宋体" w:hAnsi="宋体" w:eastAsia="宋体" w:cs="宋体"/>
          <w:b/>
          <w:color w:val="000000"/>
          <w:sz w:val="24"/>
          <w:szCs w:val="24"/>
        </w:rPr>
        <w:t>八、凡对本次招标提出询问，请按照以下方式联系</w:t>
      </w:r>
    </w:p>
    <w:p>
      <w:pPr>
        <w:keepNext w:val="0"/>
        <w:keepLines w:val="0"/>
        <w:pageBreakBefore w:val="0"/>
        <w:widowControl w:val="0"/>
        <w:kinsoku/>
        <w:overflowPunct/>
        <w:autoSpaceDE/>
        <w:autoSpaceDN/>
        <w:bidi w:val="0"/>
        <w:snapToGrid/>
        <w:spacing w:line="500" w:lineRule="exact"/>
        <w:ind w:firstLine="480" w:firstLineChars="200"/>
        <w:jc w:val="both"/>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1.采购人信息</w:t>
      </w:r>
    </w:p>
    <w:p>
      <w:pPr>
        <w:keepNext w:val="0"/>
        <w:keepLines w:val="0"/>
        <w:pageBreakBefore w:val="0"/>
        <w:widowControl w:val="0"/>
        <w:kinsoku/>
        <w:overflowPunct/>
        <w:autoSpaceDE/>
        <w:autoSpaceDN/>
        <w:bidi w:val="0"/>
        <w:snapToGrid/>
        <w:spacing w:line="500" w:lineRule="exact"/>
        <w:ind w:firstLine="480" w:firstLineChars="200"/>
        <w:jc w:val="both"/>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采购人：汝州市退役军人事务局</w:t>
      </w:r>
    </w:p>
    <w:p>
      <w:pPr>
        <w:keepNext w:val="0"/>
        <w:keepLines w:val="0"/>
        <w:pageBreakBefore w:val="0"/>
        <w:widowControl w:val="0"/>
        <w:kinsoku/>
        <w:overflowPunct/>
        <w:autoSpaceDE/>
        <w:autoSpaceDN/>
        <w:bidi w:val="0"/>
        <w:snapToGrid/>
        <w:spacing w:line="500" w:lineRule="exact"/>
        <w:ind w:firstLine="480" w:firstLineChars="200"/>
        <w:jc w:val="both"/>
        <w:rPr>
          <w:rFonts w:hint="default"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地址：汝州市广</w:t>
      </w:r>
      <w:r>
        <w:rPr>
          <w:rFonts w:hint="eastAsia" w:ascii="宋体" w:hAnsi="宋体" w:cs="宋体"/>
          <w:bCs/>
          <w:color w:val="000000"/>
          <w:kern w:val="2"/>
          <w:sz w:val="24"/>
          <w:szCs w:val="24"/>
          <w:lang w:val="en-US" w:eastAsia="zh-CN" w:bidi="ar-SA"/>
        </w:rPr>
        <w:t>成东</w:t>
      </w:r>
      <w:r>
        <w:rPr>
          <w:rFonts w:hint="eastAsia" w:ascii="宋体" w:hAnsi="宋体" w:eastAsia="宋体" w:cs="宋体"/>
          <w:bCs/>
          <w:color w:val="000000"/>
          <w:kern w:val="2"/>
          <w:sz w:val="24"/>
          <w:szCs w:val="24"/>
          <w:lang w:val="en-US" w:eastAsia="zh-CN" w:bidi="ar-SA"/>
        </w:rPr>
        <w:t>路</w:t>
      </w:r>
    </w:p>
    <w:p>
      <w:pPr>
        <w:keepNext w:val="0"/>
        <w:keepLines w:val="0"/>
        <w:pageBreakBefore w:val="0"/>
        <w:widowControl w:val="0"/>
        <w:kinsoku/>
        <w:overflowPunct/>
        <w:autoSpaceDE/>
        <w:autoSpaceDN/>
        <w:bidi w:val="0"/>
        <w:snapToGrid/>
        <w:spacing w:line="500" w:lineRule="exact"/>
        <w:ind w:firstLine="480" w:firstLineChars="200"/>
        <w:jc w:val="both"/>
        <w:rPr>
          <w:rFonts w:hint="default"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联系人：陈先生</w:t>
      </w:r>
    </w:p>
    <w:p>
      <w:pPr>
        <w:keepNext w:val="0"/>
        <w:keepLines w:val="0"/>
        <w:pageBreakBefore w:val="0"/>
        <w:widowControl w:val="0"/>
        <w:kinsoku/>
        <w:overflowPunct/>
        <w:autoSpaceDE/>
        <w:autoSpaceDN/>
        <w:bidi w:val="0"/>
        <w:snapToGrid/>
        <w:spacing w:line="500" w:lineRule="exact"/>
        <w:ind w:firstLine="480" w:firstLineChars="200"/>
        <w:jc w:val="both"/>
        <w:rPr>
          <w:rFonts w:hint="default"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联系方式：19937580081</w:t>
      </w:r>
    </w:p>
    <w:p>
      <w:pPr>
        <w:keepNext w:val="0"/>
        <w:keepLines w:val="0"/>
        <w:pageBreakBefore w:val="0"/>
        <w:widowControl w:val="0"/>
        <w:kinsoku/>
        <w:overflowPunct/>
        <w:autoSpaceDE/>
        <w:autoSpaceDN/>
        <w:bidi w:val="0"/>
        <w:snapToGrid/>
        <w:spacing w:line="500" w:lineRule="exact"/>
        <w:ind w:firstLine="480" w:firstLineChars="200"/>
        <w:jc w:val="both"/>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2.采购代理机构信息</w:t>
      </w:r>
    </w:p>
    <w:p>
      <w:pPr>
        <w:keepNext w:val="0"/>
        <w:keepLines w:val="0"/>
        <w:pageBreakBefore w:val="0"/>
        <w:widowControl w:val="0"/>
        <w:kinsoku/>
        <w:overflowPunct/>
        <w:autoSpaceDE/>
        <w:autoSpaceDN/>
        <w:bidi w:val="0"/>
        <w:snapToGrid/>
        <w:spacing w:line="500" w:lineRule="exact"/>
        <w:ind w:firstLine="480" w:firstLineChars="200"/>
        <w:jc w:val="both"/>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 xml:space="preserve">采购代理机构：河南中普德项目管理有限公司            </w:t>
      </w:r>
    </w:p>
    <w:p>
      <w:pPr>
        <w:keepNext w:val="0"/>
        <w:keepLines w:val="0"/>
        <w:pageBreakBefore w:val="0"/>
        <w:widowControl w:val="0"/>
        <w:kinsoku/>
        <w:overflowPunct/>
        <w:autoSpaceDE/>
        <w:autoSpaceDN/>
        <w:bidi w:val="0"/>
        <w:snapToGrid/>
        <w:spacing w:line="500" w:lineRule="exact"/>
        <w:ind w:firstLine="480" w:firstLineChars="200"/>
        <w:jc w:val="both"/>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地址：河南省郑州市科学大道65号</w:t>
      </w:r>
    </w:p>
    <w:p>
      <w:pPr>
        <w:keepNext w:val="0"/>
        <w:keepLines w:val="0"/>
        <w:pageBreakBefore w:val="0"/>
        <w:widowControl w:val="0"/>
        <w:kinsoku/>
        <w:overflowPunct/>
        <w:autoSpaceDE/>
        <w:autoSpaceDN/>
        <w:bidi w:val="0"/>
        <w:snapToGrid/>
        <w:spacing w:line="500" w:lineRule="exact"/>
        <w:ind w:firstLine="480" w:firstLineChars="200"/>
        <w:jc w:val="both"/>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联系人：李先生</w:t>
      </w:r>
    </w:p>
    <w:p>
      <w:pPr>
        <w:keepNext w:val="0"/>
        <w:keepLines w:val="0"/>
        <w:pageBreakBefore w:val="0"/>
        <w:widowControl w:val="0"/>
        <w:kinsoku/>
        <w:overflowPunct/>
        <w:autoSpaceDE/>
        <w:autoSpaceDN/>
        <w:bidi w:val="0"/>
        <w:snapToGrid/>
        <w:spacing w:line="500" w:lineRule="exact"/>
        <w:ind w:firstLine="480" w:firstLineChars="200"/>
        <w:jc w:val="both"/>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联系方式：18937190851</w:t>
      </w:r>
    </w:p>
    <w:p>
      <w:pPr>
        <w:keepNext w:val="0"/>
        <w:keepLines w:val="0"/>
        <w:pageBreakBefore w:val="0"/>
        <w:widowControl w:val="0"/>
        <w:kinsoku/>
        <w:overflowPunct/>
        <w:autoSpaceDE/>
        <w:autoSpaceDN/>
        <w:bidi w:val="0"/>
        <w:snapToGrid/>
        <w:spacing w:line="500" w:lineRule="exact"/>
        <w:ind w:firstLine="480" w:firstLineChars="200"/>
        <w:jc w:val="both"/>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3.项目联系方式</w:t>
      </w:r>
    </w:p>
    <w:p>
      <w:pPr>
        <w:keepNext w:val="0"/>
        <w:keepLines w:val="0"/>
        <w:pageBreakBefore w:val="0"/>
        <w:widowControl w:val="0"/>
        <w:kinsoku/>
        <w:overflowPunct/>
        <w:autoSpaceDE/>
        <w:autoSpaceDN/>
        <w:bidi w:val="0"/>
        <w:snapToGrid/>
        <w:spacing w:line="500" w:lineRule="exact"/>
        <w:ind w:firstLine="480" w:firstLineChars="200"/>
        <w:jc w:val="both"/>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项目联系人：李先生</w:t>
      </w:r>
    </w:p>
    <w:p>
      <w:pPr>
        <w:keepNext w:val="0"/>
        <w:keepLines w:val="0"/>
        <w:pageBreakBefore w:val="0"/>
        <w:widowControl w:val="0"/>
        <w:shd w:val="clear" w:color="auto" w:fill="FFFFFF"/>
        <w:kinsoku/>
        <w:wordWrap w:val="0"/>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Cs/>
          <w:color w:val="000000"/>
          <w:kern w:val="2"/>
          <w:sz w:val="24"/>
          <w:szCs w:val="24"/>
          <w:lang w:val="en-US" w:eastAsia="zh-CN" w:bidi="ar-SA"/>
        </w:rPr>
        <w:t>联系方式：18937190851</w:t>
      </w:r>
    </w:p>
    <w:p>
      <w:pPr>
        <w:keepNext w:val="0"/>
        <w:keepLines w:val="0"/>
        <w:pageBreakBefore w:val="0"/>
        <w:kinsoku/>
        <w:wordWrap w:val="0"/>
        <w:overflowPunct/>
        <w:topLinePunct w:val="0"/>
        <w:autoSpaceDE/>
        <w:autoSpaceDN/>
        <w:bidi w:val="0"/>
        <w:adjustRightInd/>
        <w:snapToGrid/>
        <w:spacing w:line="480" w:lineRule="auto"/>
        <w:jc w:val="center"/>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                           </w:t>
      </w:r>
    </w:p>
    <w:p>
      <w:pPr>
        <w:shd w:val="clear" w:color="auto" w:fill="FFFFFF"/>
        <w:spacing w:line="520" w:lineRule="exact"/>
        <w:ind w:firstLine="480" w:firstLineChars="200"/>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 </w:t>
      </w:r>
    </w:p>
    <w:p>
      <w:pPr>
        <w:shd w:val="clear" w:color="auto" w:fill="FFFFFF"/>
        <w:spacing w:line="520" w:lineRule="exact"/>
        <w:ind w:firstLine="480" w:firstLineChars="200"/>
        <w:rPr>
          <w:rFonts w:hint="eastAsia" w:ascii="仿宋" w:hAnsi="仿宋" w:eastAsia="仿宋" w:cs="仿宋"/>
          <w:color w:val="000000" w:themeColor="text1"/>
          <w:sz w:val="24"/>
          <w:szCs w:val="24"/>
          <w:lang w:val="en-US" w:eastAsia="zh-CN"/>
          <w14:textFill>
            <w14:solidFill>
              <w14:schemeClr w14:val="tx1"/>
            </w14:solidFill>
          </w14:textFill>
        </w:rPr>
      </w:pPr>
    </w:p>
    <w:p>
      <w:pPr>
        <w:shd w:val="clear" w:color="auto" w:fill="FFFFFF"/>
        <w:spacing w:line="520" w:lineRule="exact"/>
        <w:ind w:firstLine="480" w:firstLineChars="200"/>
        <w:rPr>
          <w:rFonts w:hint="eastAsia" w:ascii="仿宋" w:hAnsi="仿宋" w:eastAsia="仿宋" w:cs="仿宋"/>
          <w:color w:val="000000" w:themeColor="text1"/>
          <w:sz w:val="24"/>
          <w:szCs w:val="24"/>
          <w:lang w:val="en-US" w:eastAsia="zh-CN"/>
          <w14:textFill>
            <w14:solidFill>
              <w14:schemeClr w14:val="tx1"/>
            </w14:solidFill>
          </w14:textFill>
        </w:rPr>
      </w:pPr>
    </w:p>
    <w:p>
      <w:pPr>
        <w:shd w:val="clear" w:color="auto" w:fill="FFFFFF"/>
        <w:spacing w:line="520" w:lineRule="exact"/>
        <w:ind w:firstLine="480" w:firstLineChars="200"/>
        <w:rPr>
          <w:rFonts w:hint="eastAsia" w:ascii="仿宋" w:hAnsi="仿宋" w:eastAsia="仿宋" w:cs="仿宋"/>
          <w:color w:val="000000" w:themeColor="text1"/>
          <w:sz w:val="24"/>
          <w:szCs w:val="24"/>
          <w:lang w:val="en-US" w:eastAsia="zh-CN"/>
          <w14:textFill>
            <w14:solidFill>
              <w14:schemeClr w14:val="tx1"/>
            </w14:solidFill>
          </w14:textFill>
        </w:rPr>
      </w:pPr>
    </w:p>
    <w:p>
      <w:pPr>
        <w:shd w:val="clear" w:color="auto" w:fill="FFFFFF"/>
        <w:spacing w:line="520" w:lineRule="exact"/>
        <w:ind w:firstLine="480" w:firstLineChars="200"/>
        <w:rPr>
          <w:rFonts w:hint="eastAsia" w:ascii="仿宋" w:hAnsi="仿宋" w:eastAsia="仿宋" w:cs="仿宋"/>
          <w:color w:val="000000" w:themeColor="text1"/>
          <w:sz w:val="24"/>
          <w:szCs w:val="24"/>
          <w:lang w:val="en-US" w:eastAsia="zh-CN"/>
          <w14:textFill>
            <w14:solidFill>
              <w14:schemeClr w14:val="tx1"/>
            </w14:solidFill>
          </w14:textFill>
        </w:rPr>
      </w:pPr>
    </w:p>
    <w:p>
      <w:pPr>
        <w:shd w:val="clear" w:color="auto" w:fill="FFFFFF"/>
        <w:spacing w:line="520" w:lineRule="exact"/>
        <w:ind w:firstLine="480" w:firstLineChars="200"/>
        <w:rPr>
          <w:rFonts w:hint="eastAsia" w:ascii="仿宋" w:hAnsi="仿宋" w:eastAsia="仿宋" w:cs="仿宋"/>
          <w:color w:val="000000" w:themeColor="text1"/>
          <w:sz w:val="24"/>
          <w:szCs w:val="24"/>
          <w:lang w:val="en-US" w:eastAsia="zh-CN"/>
          <w14:textFill>
            <w14:solidFill>
              <w14:schemeClr w14:val="tx1"/>
            </w14:solidFill>
          </w14:textFill>
        </w:rPr>
      </w:pPr>
    </w:p>
    <w:p>
      <w:pPr>
        <w:shd w:val="clear" w:color="auto" w:fill="FFFFFF"/>
        <w:spacing w:line="520" w:lineRule="exact"/>
        <w:ind w:firstLine="480" w:firstLineChars="200"/>
        <w:rPr>
          <w:rFonts w:hint="eastAsia" w:ascii="仿宋" w:hAnsi="仿宋" w:eastAsia="仿宋" w:cs="仿宋"/>
          <w:color w:val="000000" w:themeColor="text1"/>
          <w:sz w:val="24"/>
          <w:szCs w:val="24"/>
          <w:lang w:val="en-US" w:eastAsia="zh-CN"/>
          <w14:textFill>
            <w14:solidFill>
              <w14:schemeClr w14:val="tx1"/>
            </w14:solidFill>
          </w14:textFill>
        </w:rPr>
      </w:pPr>
    </w:p>
    <w:p>
      <w:pPr>
        <w:shd w:val="clear" w:color="auto" w:fill="FFFFFF"/>
        <w:spacing w:line="520" w:lineRule="exact"/>
        <w:ind w:firstLine="480" w:firstLineChars="200"/>
        <w:rPr>
          <w:rFonts w:hint="eastAsia" w:ascii="仿宋" w:hAnsi="仿宋" w:eastAsia="仿宋" w:cs="仿宋"/>
          <w:color w:val="000000" w:themeColor="text1"/>
          <w:sz w:val="24"/>
          <w:szCs w:val="24"/>
          <w:lang w:val="en-US" w:eastAsia="zh-CN"/>
          <w14:textFill>
            <w14:solidFill>
              <w14:schemeClr w14:val="tx1"/>
            </w14:solidFill>
          </w14:textFill>
        </w:rPr>
      </w:pPr>
    </w:p>
    <w:p>
      <w:pPr>
        <w:shd w:val="clear" w:color="auto" w:fill="FFFFFF"/>
        <w:spacing w:line="520" w:lineRule="exact"/>
        <w:ind w:firstLine="480" w:firstLineChars="200"/>
        <w:rPr>
          <w:rFonts w:hint="eastAsia" w:ascii="宋体" w:hAnsi="宋体" w:eastAsia="宋体" w:cs="宋体"/>
          <w:color w:val="auto"/>
          <w:sz w:val="24"/>
          <w:szCs w:val="24"/>
          <w:highlight w:val="none"/>
        </w:rPr>
      </w:pPr>
      <w:r>
        <w:rPr>
          <w:rFonts w:hint="eastAsia" w:ascii="仿宋" w:hAnsi="仿宋" w:eastAsia="仿宋" w:cs="仿宋"/>
          <w:color w:val="000000" w:themeColor="text1"/>
          <w:sz w:val="24"/>
          <w:szCs w:val="24"/>
          <w:lang w:val="en-US" w:eastAsia="zh-CN"/>
          <w14:textFill>
            <w14:solidFill>
              <w14:schemeClr w14:val="tx1"/>
            </w14:solidFill>
          </w14:textFill>
        </w:rPr>
        <w:t xml:space="preserve">                         </w:t>
      </w:r>
    </w:p>
    <w:p>
      <w:pPr>
        <w:shd w:val="clear" w:color="auto" w:fill="FFFFFF"/>
        <w:spacing w:line="360" w:lineRule="auto"/>
        <w:ind w:firstLine="420" w:firstLineChars="200"/>
        <w:rPr>
          <w:rFonts w:hint="eastAsia" w:ascii="宋体" w:hAnsi="宋体" w:eastAsia="宋体" w:cs="宋体"/>
          <w:color w:val="auto"/>
          <w:highlight w:val="none"/>
        </w:rPr>
      </w:pPr>
    </w:p>
    <w:p>
      <w:pPr>
        <w:shd w:val="clear" w:color="auto" w:fill="FFFFFF"/>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shd w:val="clear" w:color="auto" w:fill="FFFFFF"/>
        <w:spacing w:line="520" w:lineRule="exact"/>
        <w:ind w:firstLine="480" w:firstLineChars="200"/>
        <w:rPr>
          <w:rFonts w:hint="eastAsia" w:ascii="宋体" w:hAnsi="宋体" w:eastAsia="宋体" w:cs="宋体"/>
          <w:color w:val="auto"/>
          <w:highlight w:val="none"/>
        </w:rPr>
      </w:pPr>
      <w:r>
        <w:rPr>
          <w:rFonts w:hint="eastAsia" w:ascii="宋体" w:hAnsi="宋体" w:eastAsia="宋体" w:cs="宋体"/>
          <w:color w:val="auto"/>
          <w:sz w:val="24"/>
          <w:szCs w:val="24"/>
          <w:highlight w:val="none"/>
        </w:rPr>
        <w:t xml:space="preserve">                        </w:t>
      </w:r>
    </w:p>
    <w:p>
      <w:pPr>
        <w:pStyle w:val="3"/>
        <w:jc w:val="center"/>
        <w:rPr>
          <w:rFonts w:hint="eastAsia" w:ascii="宋体" w:hAnsi="宋体" w:eastAsia="宋体" w:cs="宋体"/>
          <w:color w:val="auto"/>
          <w:sz w:val="32"/>
          <w:szCs w:val="32"/>
          <w:highlight w:val="none"/>
        </w:rPr>
      </w:pPr>
      <w:bookmarkStart w:id="7" w:name="_Toc18196"/>
      <w:r>
        <w:rPr>
          <w:rFonts w:hint="eastAsia" w:ascii="宋体" w:hAnsi="宋体" w:eastAsia="宋体" w:cs="宋体"/>
          <w:color w:val="auto"/>
          <w:sz w:val="32"/>
          <w:szCs w:val="32"/>
          <w:highlight w:val="none"/>
        </w:rPr>
        <w:t xml:space="preserve">第二章  </w:t>
      </w:r>
      <w:r>
        <w:rPr>
          <w:rFonts w:hint="eastAsia" w:ascii="宋体" w:hAnsi="宋体" w:eastAsia="宋体" w:cs="宋体"/>
          <w:color w:val="auto"/>
          <w:sz w:val="32"/>
          <w:szCs w:val="32"/>
          <w:highlight w:val="none"/>
          <w:lang w:val="en-US" w:eastAsia="zh-CN"/>
        </w:rPr>
        <w:t>供应商</w:t>
      </w:r>
      <w:r>
        <w:rPr>
          <w:rFonts w:hint="eastAsia" w:ascii="宋体" w:hAnsi="宋体" w:eastAsia="宋体" w:cs="宋体"/>
          <w:color w:val="auto"/>
          <w:sz w:val="32"/>
          <w:szCs w:val="32"/>
          <w:highlight w:val="none"/>
        </w:rPr>
        <w:t>须知</w:t>
      </w:r>
      <w:bookmarkEnd w:id="7"/>
      <w:bookmarkStart w:id="8" w:name="_Toc21140"/>
      <w:bookmarkEnd w:id="8"/>
      <w:bookmarkStart w:id="9" w:name="_Toc19800"/>
      <w:bookmarkEnd w:id="9"/>
      <w:bookmarkStart w:id="10" w:name="_Toc193772265"/>
      <w:bookmarkEnd w:id="10"/>
      <w:bookmarkStart w:id="11" w:name="_Toc525062067"/>
      <w:bookmarkEnd w:id="11"/>
    </w:p>
    <w:p>
      <w:pPr>
        <w:pStyle w:val="4"/>
        <w:jc w:val="center"/>
        <w:rPr>
          <w:rFonts w:hint="eastAsia" w:ascii="宋体" w:hAnsi="宋体" w:eastAsia="宋体" w:cs="宋体"/>
          <w:color w:val="auto"/>
          <w:sz w:val="28"/>
          <w:highlight w:val="none"/>
        </w:rPr>
      </w:pPr>
      <w:r>
        <w:rPr>
          <w:rFonts w:hint="eastAsia" w:ascii="宋体" w:hAnsi="宋体" w:eastAsia="宋体" w:cs="宋体"/>
          <w:color w:val="auto"/>
          <w:sz w:val="28"/>
          <w:highlight w:val="none"/>
          <w:lang w:eastAsia="zh-CN"/>
        </w:rPr>
        <w:t>供应商</w:t>
      </w:r>
      <w:r>
        <w:rPr>
          <w:rFonts w:hint="eastAsia" w:ascii="宋体" w:hAnsi="宋体" w:eastAsia="宋体" w:cs="宋体"/>
          <w:color w:val="auto"/>
          <w:sz w:val="28"/>
          <w:highlight w:val="none"/>
        </w:rPr>
        <w:t>须知前附表</w:t>
      </w:r>
    </w:p>
    <w:tbl>
      <w:tblPr>
        <w:tblStyle w:val="46"/>
        <w:tblW w:w="9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805"/>
        <w:gridCol w:w="7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2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80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  目</w:t>
            </w:r>
          </w:p>
        </w:tc>
        <w:tc>
          <w:tcPr>
            <w:tcW w:w="73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2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80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采购项目编号</w:t>
            </w:r>
          </w:p>
        </w:tc>
        <w:tc>
          <w:tcPr>
            <w:tcW w:w="73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汝财招标采购-</w:t>
            </w:r>
            <w:r>
              <w:rPr>
                <w:rFonts w:hint="eastAsia" w:ascii="宋体" w:hAnsi="宋体" w:eastAsia="宋体" w:cs="宋体"/>
                <w:color w:val="auto"/>
                <w:sz w:val="24"/>
                <w:szCs w:val="24"/>
                <w:highlight w:val="none"/>
                <w:lang w:eastAsia="zh-CN"/>
              </w:rPr>
              <w:t>2023</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2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80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lang w:eastAsia="zh-CN"/>
              </w:rPr>
              <w:t>项目名称</w:t>
            </w:r>
          </w:p>
        </w:tc>
        <w:tc>
          <w:tcPr>
            <w:tcW w:w="73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000000"/>
                <w:sz w:val="24"/>
                <w:szCs w:val="24"/>
                <w:lang w:eastAsia="zh-CN"/>
              </w:rPr>
              <w:t>汝州市退役军人事务局2023年基层武装部规范化建设物资采购项目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725" w:type="dxa"/>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80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人</w:t>
            </w:r>
          </w:p>
        </w:tc>
        <w:tc>
          <w:tcPr>
            <w:tcW w:w="73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汝州市退役军人事务局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725" w:type="dxa"/>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80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代理机构</w:t>
            </w:r>
          </w:p>
        </w:tc>
        <w:tc>
          <w:tcPr>
            <w:tcW w:w="73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河南中普德项目管理有限公司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72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80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方式</w:t>
            </w:r>
          </w:p>
        </w:tc>
        <w:tc>
          <w:tcPr>
            <w:tcW w:w="73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72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80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资金来源</w:t>
            </w:r>
          </w:p>
        </w:tc>
        <w:tc>
          <w:tcPr>
            <w:tcW w:w="73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财政</w:t>
            </w:r>
            <w:r>
              <w:rPr>
                <w:rFonts w:hint="eastAsia" w:ascii="宋体" w:hAnsi="宋体" w:eastAsia="宋体" w:cs="宋体"/>
                <w:color w:val="auto"/>
                <w:sz w:val="24"/>
                <w:szCs w:val="24"/>
                <w:highlight w:val="none"/>
              </w:rPr>
              <w:t>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72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80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范围</w:t>
            </w:r>
          </w:p>
        </w:tc>
        <w:tc>
          <w:tcPr>
            <w:tcW w:w="73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采购清单</w:t>
            </w:r>
            <w:r>
              <w:rPr>
                <w:rFonts w:hint="eastAsia" w:ascii="宋体" w:hAnsi="宋体" w:cs="宋体"/>
                <w:color w:val="auto"/>
                <w:sz w:val="24"/>
                <w:szCs w:val="24"/>
                <w:highlight w:val="none"/>
                <w:lang w:val="en-US" w:eastAsia="zh-CN"/>
              </w:rPr>
              <w:t>包含的</w:t>
            </w:r>
            <w:r>
              <w:rPr>
                <w:rFonts w:hint="eastAsia" w:ascii="宋体" w:hAnsi="宋体" w:eastAsia="宋体" w:cs="宋体"/>
                <w:color w:val="auto"/>
                <w:sz w:val="24"/>
                <w:szCs w:val="24"/>
                <w:highlight w:val="none"/>
                <w:lang w:val="en-US" w:eastAsia="zh-CN"/>
              </w:rPr>
              <w:t>所有</w:t>
            </w:r>
            <w:r>
              <w:rPr>
                <w:rFonts w:hint="eastAsia" w:ascii="宋体" w:hAnsi="宋体" w:eastAsia="宋体" w:cs="宋体"/>
                <w:color w:val="auto"/>
                <w:sz w:val="24"/>
                <w:szCs w:val="24"/>
                <w:highlight w:val="none"/>
              </w:rPr>
              <w:t>内容（详见招标文件）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72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80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资金落实情况</w:t>
            </w:r>
          </w:p>
        </w:tc>
        <w:tc>
          <w:tcPr>
            <w:tcW w:w="73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2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180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供货期</w:t>
            </w:r>
          </w:p>
        </w:tc>
        <w:tc>
          <w:tcPr>
            <w:tcW w:w="73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cs="宋体"/>
                <w:bCs/>
                <w:color w:val="000000"/>
                <w:sz w:val="24"/>
                <w:szCs w:val="24"/>
              </w:rPr>
              <w:t>签订合同后</w:t>
            </w:r>
            <w:r>
              <w:rPr>
                <w:rFonts w:hint="eastAsia" w:ascii="宋体" w:hAnsi="宋体" w:cs="宋体"/>
                <w:bCs/>
                <w:color w:val="000000"/>
                <w:sz w:val="24"/>
                <w:szCs w:val="24"/>
                <w:u w:val="single"/>
              </w:rPr>
              <w:t xml:space="preserve">  </w:t>
            </w:r>
            <w:r>
              <w:rPr>
                <w:rFonts w:hint="eastAsia" w:ascii="宋体" w:hAnsi="宋体" w:cs="宋体"/>
                <w:bCs/>
                <w:color w:val="000000"/>
                <w:sz w:val="24"/>
                <w:szCs w:val="24"/>
                <w:u w:val="single"/>
                <w:lang w:val="en-US" w:eastAsia="zh-CN"/>
              </w:rPr>
              <w:t>7</w:t>
            </w:r>
            <w:r>
              <w:rPr>
                <w:rFonts w:hint="eastAsia" w:ascii="宋体" w:hAnsi="宋体" w:cs="宋体"/>
                <w:bCs/>
                <w:color w:val="000000"/>
                <w:sz w:val="24"/>
                <w:szCs w:val="24"/>
                <w:u w:val="single"/>
              </w:rPr>
              <w:t xml:space="preserve"> </w:t>
            </w:r>
            <w:r>
              <w:rPr>
                <w:rFonts w:hint="eastAsia" w:ascii="宋体" w:hAnsi="宋体" w:cs="宋体"/>
                <w:bCs/>
                <w:color w:val="000000"/>
                <w:sz w:val="24"/>
                <w:szCs w:val="24"/>
              </w:rPr>
              <w:t>日历天内供货安装完毕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atLeast"/>
          <w:jc w:val="center"/>
        </w:trPr>
        <w:tc>
          <w:tcPr>
            <w:tcW w:w="72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180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质量</w:t>
            </w:r>
            <w:r>
              <w:rPr>
                <w:rFonts w:hint="eastAsia" w:ascii="宋体" w:hAnsi="宋体" w:cs="宋体"/>
                <w:color w:val="auto"/>
                <w:sz w:val="24"/>
                <w:szCs w:val="24"/>
                <w:highlight w:val="none"/>
                <w:lang w:val="en-US" w:eastAsia="zh-CN"/>
              </w:rPr>
              <w:t>要求</w:t>
            </w:r>
          </w:p>
        </w:tc>
        <w:tc>
          <w:tcPr>
            <w:tcW w:w="73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符合国家和行业现行标准规定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72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180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质保期</w:t>
            </w:r>
          </w:p>
        </w:tc>
        <w:tc>
          <w:tcPr>
            <w:tcW w:w="73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一</w:t>
            </w:r>
            <w:r>
              <w:rPr>
                <w:rFonts w:hint="eastAsia" w:ascii="宋体" w:hAnsi="宋体" w:eastAsia="宋体" w:cs="宋体"/>
                <w:color w:val="auto"/>
                <w:sz w:val="24"/>
                <w:szCs w:val="24"/>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72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180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交货地点</w:t>
            </w:r>
          </w:p>
        </w:tc>
        <w:tc>
          <w:tcPr>
            <w:tcW w:w="73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2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180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w:t>
            </w:r>
          </w:p>
        </w:tc>
        <w:tc>
          <w:tcPr>
            <w:tcW w:w="73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投标文件递交截止之日起60日历天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72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180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供应商</w:t>
            </w:r>
          </w:p>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资格要求</w:t>
            </w:r>
          </w:p>
        </w:tc>
        <w:tc>
          <w:tcPr>
            <w:tcW w:w="73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shd w:val="clear" w:color="auto" w:fill="FFFFFF"/>
              <w:kinsoku/>
              <w:wordWrap w:val="0"/>
              <w:overflowPunct/>
              <w:topLinePunct w:val="0"/>
              <w:autoSpaceDE/>
              <w:autoSpaceDN/>
              <w:bidi w:val="0"/>
              <w:adjustRightInd/>
              <w:snapToGrid/>
              <w:spacing w:before="0" w:beforeAutospacing="0" w:after="0" w:afterAutospacing="0" w:line="500" w:lineRule="exact"/>
              <w:ind w:left="0" w:leftChars="0" w:right="0" w:firstLine="420" w:firstLineChars="175"/>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1、满足《中华人民共和国政府采购法》第二十二条规定；</w:t>
            </w:r>
          </w:p>
          <w:p>
            <w:pPr>
              <w:keepNext w:val="0"/>
              <w:keepLines w:val="0"/>
              <w:pageBreakBefore w:val="0"/>
              <w:widowControl/>
              <w:suppressLineNumbers w:val="0"/>
              <w:shd w:val="clear" w:color="auto" w:fill="FFFFFF"/>
              <w:kinsoku/>
              <w:wordWrap w:val="0"/>
              <w:overflowPunct/>
              <w:topLinePunct w:val="0"/>
              <w:autoSpaceDE/>
              <w:autoSpaceDN/>
              <w:bidi w:val="0"/>
              <w:adjustRightInd/>
              <w:snapToGrid/>
              <w:spacing w:before="0" w:beforeAutospacing="0" w:after="0" w:afterAutospacing="0" w:line="500" w:lineRule="exact"/>
              <w:ind w:left="0" w:leftChars="0" w:right="0" w:firstLine="420" w:firstLineChars="175"/>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2、落实政府采购政策满足的资格要求：</w:t>
            </w:r>
          </w:p>
          <w:p>
            <w:pPr>
              <w:keepNext w:val="0"/>
              <w:keepLines w:val="0"/>
              <w:pageBreakBefore w:val="0"/>
              <w:widowControl/>
              <w:suppressLineNumbers w:val="0"/>
              <w:shd w:val="clear" w:color="auto" w:fill="FFFFFF"/>
              <w:kinsoku/>
              <w:wordWrap w:val="0"/>
              <w:overflowPunct/>
              <w:topLinePunct w:val="0"/>
              <w:autoSpaceDE/>
              <w:autoSpaceDN/>
              <w:bidi w:val="0"/>
              <w:adjustRightInd/>
              <w:snapToGrid/>
              <w:spacing w:before="0" w:beforeAutospacing="0" w:after="0" w:afterAutospacing="0" w:line="500" w:lineRule="exact"/>
              <w:ind w:left="0" w:leftChars="0" w:right="0" w:firstLine="420" w:firstLineChars="175"/>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落实的节能环保、中小微型企业扶持（含支持监狱企业发展、促进残疾人就业）等相关政府采购政策；本项目专门面向中小微企业采购。</w:t>
            </w:r>
          </w:p>
          <w:p>
            <w:pPr>
              <w:keepNext w:val="0"/>
              <w:keepLines w:val="0"/>
              <w:pageBreakBefore w:val="0"/>
              <w:widowControl/>
              <w:suppressLineNumbers w:val="0"/>
              <w:shd w:val="clear" w:color="auto" w:fill="FFFFFF"/>
              <w:kinsoku/>
              <w:wordWrap w:val="0"/>
              <w:overflowPunct/>
              <w:topLinePunct w:val="0"/>
              <w:autoSpaceDE/>
              <w:autoSpaceDN/>
              <w:bidi w:val="0"/>
              <w:adjustRightInd/>
              <w:snapToGrid/>
              <w:spacing w:before="0" w:beforeAutospacing="0" w:after="0" w:afterAutospacing="0" w:line="500" w:lineRule="exact"/>
              <w:ind w:left="0" w:leftChars="0" w:right="0" w:firstLine="420" w:firstLineChars="175"/>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3、本项目的特定资格要求</w:t>
            </w:r>
          </w:p>
          <w:p>
            <w:pPr>
              <w:keepNext w:val="0"/>
              <w:keepLines w:val="0"/>
              <w:pageBreakBefore w:val="0"/>
              <w:widowControl/>
              <w:suppressLineNumbers w:val="0"/>
              <w:shd w:val="clear" w:color="auto" w:fill="FFFFFF"/>
              <w:kinsoku/>
              <w:wordWrap w:val="0"/>
              <w:overflowPunct/>
              <w:topLinePunct w:val="0"/>
              <w:autoSpaceDE/>
              <w:autoSpaceDN/>
              <w:bidi w:val="0"/>
              <w:adjustRightInd/>
              <w:snapToGrid/>
              <w:spacing w:before="0" w:beforeAutospacing="0" w:after="0" w:afterAutospacing="0" w:line="500" w:lineRule="exact"/>
              <w:ind w:left="0" w:leftChars="0" w:right="0" w:firstLine="420" w:firstLineChars="175"/>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3.1具有独立承担民事责任的能力，具备有效的营业执照、组织机构代码证、税务登记证或三证合一的营业执照；</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3.2具有良好的商业信誉和健全的财务会计制度（供应商无需提供证明材料，只需在投标文件格式中填写汝州市政府采购供应商信用承诺函）；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3.3供应商具有依法缴纳税收和社会保障资金的良好记录（供应商无需提供证明材料，只需在投标文件格式中填写汝州市政府采购供应商信用承诺函）；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3.4具有履行合同所必需的设备和专业技术能力（供应商无需提供证明材料，只需在投标文件格式中填写汝州市政府采购供应商信用承诺函）；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3.5参加政府采购活动近三年内，在经营活动中没有重大的违法记录（供应商无需提供证明材料，只需在投标文件格式中填写汝州市政府采购供应商信用承诺函）；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3.6未被列入“信用中国”网站（www.creditchina.gov.cn）的“失信执行人”和“税收违法黑名单”及中国政府采购网（www.ccgp.gov.cn）的“政府采购严重违法失信行为名单”（执行财库【2016】125号文）（供应商无需提供证明材料，只需在投标文件格式中填写汝州市政府采购供应商信用承诺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3.7本次招标不接受联合体投标申请。</w:t>
            </w:r>
          </w:p>
          <w:p>
            <w:pPr>
              <w:keepNext w:val="0"/>
              <w:keepLines w:val="0"/>
              <w:pageBreakBefore w:val="0"/>
              <w:widowControl/>
              <w:suppressLineNumbers w:val="0"/>
              <w:shd w:val="clear" w:color="auto" w:fill="FFFFFF"/>
              <w:kinsoku/>
              <w:wordWrap w:val="0"/>
              <w:overflowPunct/>
              <w:topLinePunct w:val="0"/>
              <w:autoSpaceDE/>
              <w:autoSpaceDN/>
              <w:bidi w:val="0"/>
              <w:adjustRightInd/>
              <w:snapToGrid/>
              <w:spacing w:before="0" w:beforeAutospacing="0" w:after="0" w:afterAutospacing="0" w:line="500" w:lineRule="exact"/>
              <w:ind w:left="0" w:leftChars="0" w:right="0" w:firstLine="420" w:firstLineChars="175"/>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注：采购人有权在签订合同前要求</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rPr>
              <w:t>供应商提供相关证明材料以核实</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rPr>
              <w:t>供应商承诺事项的真实性。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72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180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投标截止时间</w:t>
            </w:r>
          </w:p>
        </w:tc>
        <w:tc>
          <w:tcPr>
            <w:tcW w:w="73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b/>
                <w:color w:val="auto"/>
                <w:sz w:val="24"/>
                <w:szCs w:val="24"/>
                <w:highlight w:val="none"/>
                <w:lang w:eastAsia="zh-CN"/>
              </w:rPr>
              <w:t>202</w:t>
            </w:r>
            <w:r>
              <w:rPr>
                <w:rFonts w:hint="eastAsia" w:ascii="宋体" w:hAnsi="宋体" w:cs="宋体"/>
                <w:b/>
                <w:color w:val="auto"/>
                <w:sz w:val="24"/>
                <w:szCs w:val="24"/>
                <w:highlight w:val="none"/>
                <w:lang w:val="en-US" w:eastAsia="zh-CN"/>
              </w:rPr>
              <w:t>4</w:t>
            </w:r>
            <w:r>
              <w:rPr>
                <w:rFonts w:hint="eastAsia" w:ascii="宋体" w:hAnsi="宋体" w:eastAsia="宋体" w:cs="宋体"/>
                <w:b/>
                <w:color w:val="auto"/>
                <w:sz w:val="24"/>
                <w:szCs w:val="24"/>
                <w:highlight w:val="none"/>
              </w:rPr>
              <w:t xml:space="preserve">年 </w:t>
            </w:r>
            <w:r>
              <w:rPr>
                <w:rFonts w:hint="eastAsia" w:ascii="宋体" w:hAnsi="宋体" w:cs="宋体"/>
                <w:b/>
                <w:color w:val="auto"/>
                <w:sz w:val="24"/>
                <w:szCs w:val="24"/>
                <w:highlight w:val="none"/>
                <w:lang w:val="en-US" w:eastAsia="zh-CN"/>
              </w:rPr>
              <w:t xml:space="preserve">01 </w:t>
            </w:r>
            <w:r>
              <w:rPr>
                <w:rFonts w:hint="eastAsia" w:ascii="宋体" w:hAnsi="宋体" w:eastAsia="宋体" w:cs="宋体"/>
                <w:b/>
                <w:color w:val="auto"/>
                <w:sz w:val="24"/>
                <w:szCs w:val="24"/>
                <w:highlight w:val="none"/>
              </w:rPr>
              <w:t>月</w:t>
            </w:r>
            <w:r>
              <w:rPr>
                <w:rFonts w:hint="eastAsia" w:ascii="宋体" w:hAnsi="宋体" w:cs="宋体"/>
                <w:b/>
                <w:color w:val="auto"/>
                <w:sz w:val="24"/>
                <w:szCs w:val="24"/>
                <w:highlight w:val="none"/>
                <w:lang w:val="en-US" w:eastAsia="zh-CN"/>
              </w:rPr>
              <w:t xml:space="preserve"> 16 </w:t>
            </w:r>
            <w:r>
              <w:rPr>
                <w:rFonts w:hint="eastAsia" w:ascii="宋体" w:hAnsi="宋体" w:eastAsia="宋体" w:cs="宋体"/>
                <w:b/>
                <w:color w:val="auto"/>
                <w:sz w:val="24"/>
                <w:szCs w:val="24"/>
                <w:highlight w:val="none"/>
              </w:rPr>
              <w:t>日8时30分</w:t>
            </w:r>
          </w:p>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地点：全国公共资源交易平台（河南省•汝州市）公共资源交易系统（www.rzggzy.com）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72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c>
          <w:tcPr>
            <w:tcW w:w="180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开标时间</w:t>
            </w:r>
          </w:p>
        </w:tc>
        <w:tc>
          <w:tcPr>
            <w:tcW w:w="73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b/>
                <w:color w:val="auto"/>
                <w:sz w:val="24"/>
                <w:szCs w:val="24"/>
                <w:highlight w:val="none"/>
                <w:lang w:eastAsia="zh-CN"/>
              </w:rPr>
              <w:t>202</w:t>
            </w:r>
            <w:r>
              <w:rPr>
                <w:rFonts w:hint="eastAsia" w:ascii="宋体" w:hAnsi="宋体" w:cs="宋体"/>
                <w:b/>
                <w:color w:val="auto"/>
                <w:sz w:val="24"/>
                <w:szCs w:val="24"/>
                <w:highlight w:val="none"/>
                <w:lang w:val="en-US" w:eastAsia="zh-CN"/>
              </w:rPr>
              <w:t>4</w:t>
            </w:r>
            <w:r>
              <w:rPr>
                <w:rFonts w:hint="eastAsia" w:ascii="宋体" w:hAnsi="宋体" w:eastAsia="宋体" w:cs="宋体"/>
                <w:b/>
                <w:color w:val="auto"/>
                <w:sz w:val="24"/>
                <w:szCs w:val="24"/>
                <w:highlight w:val="none"/>
              </w:rPr>
              <w:t xml:space="preserve">年 </w:t>
            </w:r>
            <w:r>
              <w:rPr>
                <w:rFonts w:hint="eastAsia" w:ascii="宋体" w:hAnsi="宋体" w:cs="宋体"/>
                <w:b/>
                <w:color w:val="auto"/>
                <w:sz w:val="24"/>
                <w:szCs w:val="24"/>
                <w:highlight w:val="none"/>
                <w:lang w:val="en-US" w:eastAsia="zh-CN"/>
              </w:rPr>
              <w:t xml:space="preserve">01 </w:t>
            </w:r>
            <w:r>
              <w:rPr>
                <w:rFonts w:hint="eastAsia" w:ascii="宋体" w:hAnsi="宋体" w:eastAsia="宋体" w:cs="宋体"/>
                <w:b/>
                <w:color w:val="auto"/>
                <w:sz w:val="24"/>
                <w:szCs w:val="24"/>
                <w:highlight w:val="none"/>
              </w:rPr>
              <w:t>月</w:t>
            </w:r>
            <w:r>
              <w:rPr>
                <w:rFonts w:hint="eastAsia" w:ascii="宋体" w:hAnsi="宋体" w:cs="宋体"/>
                <w:b/>
                <w:color w:val="auto"/>
                <w:sz w:val="24"/>
                <w:szCs w:val="24"/>
                <w:highlight w:val="none"/>
                <w:lang w:val="en-US" w:eastAsia="zh-CN"/>
              </w:rPr>
              <w:t xml:space="preserve"> 16 </w:t>
            </w:r>
            <w:r>
              <w:rPr>
                <w:rFonts w:hint="eastAsia" w:ascii="宋体" w:hAnsi="宋体" w:eastAsia="宋体" w:cs="宋体"/>
                <w:b/>
                <w:color w:val="auto"/>
                <w:sz w:val="24"/>
                <w:szCs w:val="24"/>
                <w:highlight w:val="none"/>
              </w:rPr>
              <w:t>日8时30分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2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p>
        </w:tc>
        <w:tc>
          <w:tcPr>
            <w:tcW w:w="180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代理服务费</w:t>
            </w:r>
          </w:p>
        </w:tc>
        <w:tc>
          <w:tcPr>
            <w:tcW w:w="73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1、收费标准：中标的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应按项目中标额的国家收费标准向招标代理机构交纳代理服务费。</w:t>
            </w:r>
          </w:p>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2、交纳时间：领取《中标通知书》时交纳。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72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p>
        </w:tc>
        <w:tc>
          <w:tcPr>
            <w:tcW w:w="180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本次招标</w:t>
            </w:r>
          </w:p>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联系事宜</w:t>
            </w:r>
          </w:p>
        </w:tc>
        <w:tc>
          <w:tcPr>
            <w:tcW w:w="73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1.采购人信息</w:t>
            </w:r>
          </w:p>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名称：</w:t>
            </w:r>
            <w:r>
              <w:rPr>
                <w:rFonts w:hint="eastAsia" w:ascii="宋体" w:hAnsi="宋体" w:cs="宋体"/>
                <w:color w:val="auto"/>
                <w:sz w:val="24"/>
                <w:szCs w:val="24"/>
                <w:highlight w:val="none"/>
                <w:lang w:eastAsia="zh-CN"/>
              </w:rPr>
              <w:t>汝州市退役军人事务局</w:t>
            </w:r>
          </w:p>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地址：汝州市</w:t>
            </w:r>
            <w:r>
              <w:rPr>
                <w:rFonts w:hint="eastAsia" w:ascii="宋体" w:hAnsi="宋体" w:cs="宋体"/>
                <w:color w:val="auto"/>
                <w:sz w:val="24"/>
                <w:szCs w:val="24"/>
                <w:highlight w:val="none"/>
                <w:lang w:val="en-US" w:eastAsia="zh-CN"/>
              </w:rPr>
              <w:t>广成东</w:t>
            </w:r>
            <w:r>
              <w:rPr>
                <w:rFonts w:hint="eastAsia" w:ascii="宋体" w:hAnsi="宋体" w:eastAsia="宋体" w:cs="宋体"/>
                <w:color w:val="auto"/>
                <w:sz w:val="24"/>
                <w:szCs w:val="24"/>
                <w:highlight w:val="none"/>
              </w:rPr>
              <w:t>路</w:t>
            </w:r>
          </w:p>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陈先生</w:t>
            </w:r>
          </w:p>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lang w:val="en-US" w:eastAsia="zh-CN"/>
              </w:rPr>
              <w:t>19937580081</w:t>
            </w:r>
          </w:p>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2.采购代理机构信息</w:t>
            </w:r>
          </w:p>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名称：河南中普德项目管理有限公司</w:t>
            </w:r>
          </w:p>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地址：河南省郑州市科学大道65号</w:t>
            </w:r>
          </w:p>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联系人：李先生         </w:t>
            </w:r>
          </w:p>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联系方式：18937190851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72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w:t>
            </w:r>
          </w:p>
        </w:tc>
        <w:tc>
          <w:tcPr>
            <w:tcW w:w="180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中标信息发布</w:t>
            </w:r>
          </w:p>
        </w:tc>
        <w:tc>
          <w:tcPr>
            <w:tcW w:w="73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《河南省政府采购网》、《汝州市政府采购网》、《全国公共资源交易平台（河南省•汝州市）公共资源交易系统（www.rzggzy.com）上发布，公告期限1个工作日。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72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p>
        </w:tc>
        <w:tc>
          <w:tcPr>
            <w:tcW w:w="180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最高限价</w:t>
            </w:r>
          </w:p>
        </w:tc>
        <w:tc>
          <w:tcPr>
            <w:tcW w:w="73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w:t>
            </w:r>
            <w:r>
              <w:rPr>
                <w:rFonts w:hint="eastAsia" w:ascii="宋体" w:hAnsi="宋体" w:eastAsia="宋体" w:cs="宋体"/>
                <w:color w:val="auto"/>
                <w:sz w:val="24"/>
                <w:szCs w:val="24"/>
                <w:highlight w:val="none"/>
                <w:lang w:val="en-US" w:eastAsia="zh-CN"/>
              </w:rPr>
              <w:t>最高限</w:t>
            </w:r>
            <w:r>
              <w:rPr>
                <w:rFonts w:hint="eastAsia" w:ascii="宋体" w:hAnsi="宋体" w:eastAsia="宋体" w:cs="宋体"/>
                <w:color w:val="auto"/>
                <w:sz w:val="24"/>
                <w:szCs w:val="24"/>
                <w:highlight w:val="none"/>
              </w:rPr>
              <w:t>价：</w:t>
            </w:r>
          </w:p>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小写：697227.00</w:t>
            </w:r>
            <w:r>
              <w:rPr>
                <w:rFonts w:hint="eastAsia" w:ascii="宋体" w:hAnsi="宋体" w:eastAsia="宋体" w:cs="宋体"/>
                <w:color w:val="auto"/>
                <w:sz w:val="24"/>
                <w:szCs w:val="24"/>
                <w:highlight w:val="none"/>
                <w:lang w:val="en-US" w:eastAsia="zh-CN"/>
              </w:rPr>
              <w:t>元</w:t>
            </w:r>
          </w:p>
          <w:p>
            <w:pPr>
              <w:keepNext w:val="0"/>
              <w:keepLines w:val="0"/>
              <w:suppressLineNumbers w:val="0"/>
              <w:spacing w:before="0" w:beforeAutospacing="0" w:after="0" w:afterAutospacing="0"/>
              <w:ind w:left="0" w:right="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大写： 陆拾玖万柒仟贰佰贰拾柒元</w:t>
            </w:r>
            <w:r>
              <w:rPr>
                <w:rFonts w:hint="eastAsia" w:ascii="宋体" w:hAnsi="宋体" w:cs="宋体"/>
                <w:color w:val="auto"/>
                <w:sz w:val="24"/>
                <w:szCs w:val="24"/>
                <w:highlight w:val="none"/>
                <w:lang w:val="en-US" w:eastAsia="zh-CN"/>
              </w:rPr>
              <w:t>整</w:t>
            </w:r>
          </w:p>
          <w:p>
            <w:pPr>
              <w:keepNext w:val="0"/>
              <w:keepLines w:val="0"/>
              <w:suppressLineNumbers w:val="0"/>
              <w:spacing w:before="0" w:beforeAutospacing="0" w:after="0" w:afterAutospacing="0"/>
              <w:ind w:left="0" w:right="0"/>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注：</w:t>
            </w:r>
            <w:r>
              <w:rPr>
                <w:rFonts w:hint="eastAsia" w:ascii="宋体" w:hAnsi="宋体" w:eastAsia="宋体" w:cs="宋体"/>
                <w:b/>
                <w:color w:val="auto"/>
                <w:sz w:val="24"/>
                <w:szCs w:val="24"/>
                <w:highlight w:val="none"/>
                <w:lang w:eastAsia="zh-CN"/>
              </w:rPr>
              <w:t>供应商</w:t>
            </w:r>
            <w:r>
              <w:rPr>
                <w:rFonts w:hint="eastAsia" w:ascii="宋体" w:hAnsi="宋体" w:eastAsia="宋体" w:cs="宋体"/>
                <w:b/>
                <w:color w:val="auto"/>
                <w:sz w:val="24"/>
                <w:szCs w:val="24"/>
                <w:highlight w:val="none"/>
              </w:rPr>
              <w:t>报价高出招标</w:t>
            </w:r>
            <w:r>
              <w:rPr>
                <w:rFonts w:hint="eastAsia" w:ascii="宋体" w:hAnsi="宋体" w:eastAsia="宋体" w:cs="宋体"/>
                <w:b/>
                <w:color w:val="auto"/>
                <w:sz w:val="24"/>
                <w:szCs w:val="24"/>
                <w:highlight w:val="none"/>
                <w:lang w:val="en-US" w:eastAsia="zh-CN"/>
              </w:rPr>
              <w:t>最高限价</w:t>
            </w:r>
            <w:r>
              <w:rPr>
                <w:rFonts w:hint="eastAsia" w:ascii="宋体" w:hAnsi="宋体" w:eastAsia="宋体" w:cs="宋体"/>
                <w:b/>
                <w:color w:val="auto"/>
                <w:sz w:val="24"/>
                <w:szCs w:val="24"/>
                <w:highlight w:val="none"/>
              </w:rPr>
              <w:t>的，投标文件为无效文件，将不予评审。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72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p>
        </w:tc>
        <w:tc>
          <w:tcPr>
            <w:tcW w:w="180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评标委员会的组建</w:t>
            </w:r>
          </w:p>
        </w:tc>
        <w:tc>
          <w:tcPr>
            <w:tcW w:w="73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评标委员会构成共</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人：由业主代表</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人和相关的技术、经济专家</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人组成。</w:t>
            </w:r>
          </w:p>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评标专家确定方式：经济、技术专家应在开标前从符合相关规定的评标专家库中随机抽取确定。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72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p>
        </w:tc>
        <w:tc>
          <w:tcPr>
            <w:tcW w:w="180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是否授权评标委员会确定中标人</w:t>
            </w:r>
          </w:p>
        </w:tc>
        <w:tc>
          <w:tcPr>
            <w:tcW w:w="73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否。评委会推荐3名中标候选人。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23</w:t>
            </w:r>
          </w:p>
        </w:tc>
        <w:tc>
          <w:tcPr>
            <w:tcW w:w="180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所属行业为</w:t>
            </w:r>
          </w:p>
        </w:tc>
        <w:tc>
          <w:tcPr>
            <w:tcW w:w="73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kern w:val="2"/>
                <w:sz w:val="24"/>
                <w:szCs w:val="24"/>
                <w:lang w:val="en-US" w:eastAsia="zh-CN" w:bidi="ar-SA"/>
              </w:rPr>
            </w:pPr>
            <w:r>
              <w:rPr>
                <w:rFonts w:hint="eastAsia" w:ascii="宋体" w:hAnsi="宋体" w:cs="宋体"/>
                <w:sz w:val="24"/>
                <w:lang w:val="en-US" w:eastAsia="zh-CN"/>
              </w:rPr>
              <w:t>批发</w:t>
            </w:r>
            <w:r>
              <w:rPr>
                <w:rFonts w:hint="eastAsia" w:ascii="宋体" w:hAnsi="宋体" w:eastAsia="宋体" w:cs="宋体"/>
                <w:sz w:val="24"/>
              </w:rPr>
              <w:t>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9879" w:type="dxa"/>
            <w:gridSpan w:val="3"/>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注：</w:t>
            </w:r>
            <w:r>
              <w:rPr>
                <w:rFonts w:hint="eastAsia" w:ascii="宋体" w:hAnsi="宋体" w:eastAsia="宋体" w:cs="宋体"/>
                <w:color w:val="auto"/>
                <w:sz w:val="24"/>
                <w:szCs w:val="24"/>
                <w:highlight w:val="none"/>
              </w:rPr>
              <w:t>本招标文件前后不符的，以招标文件</w:t>
            </w:r>
            <w:r>
              <w:rPr>
                <w:rFonts w:hint="eastAsia" w:ascii="宋体" w:hAnsi="宋体" w:eastAsia="宋体" w:cs="宋体"/>
                <w:color w:val="auto"/>
                <w:sz w:val="24"/>
                <w:szCs w:val="24"/>
                <w:highlight w:val="none"/>
                <w:u w:val="single"/>
                <w:lang w:val="en-US" w:eastAsia="zh-CN"/>
              </w:rPr>
              <w:t>供应商</w:t>
            </w:r>
            <w:r>
              <w:rPr>
                <w:rFonts w:hint="eastAsia" w:ascii="宋体" w:hAnsi="宋体" w:eastAsia="宋体" w:cs="宋体"/>
                <w:color w:val="auto"/>
                <w:sz w:val="24"/>
                <w:szCs w:val="24"/>
                <w:highlight w:val="none"/>
                <w:u w:val="single"/>
              </w:rPr>
              <w:t>须知前附表</w:t>
            </w:r>
            <w:r>
              <w:rPr>
                <w:rFonts w:hint="eastAsia" w:ascii="宋体" w:hAnsi="宋体" w:eastAsia="宋体" w:cs="宋体"/>
                <w:color w:val="auto"/>
                <w:sz w:val="24"/>
                <w:szCs w:val="24"/>
                <w:highlight w:val="none"/>
              </w:rPr>
              <w:t>为准</w:t>
            </w:r>
          </w:p>
        </w:tc>
      </w:tr>
    </w:tbl>
    <w:p>
      <w:pPr>
        <w:pStyle w:val="4"/>
        <w:ind w:firstLine="480" w:firstLineChars="200"/>
        <w:jc w:val="left"/>
        <w:rPr>
          <w:rFonts w:hint="eastAsia" w:ascii="宋体" w:hAnsi="宋体" w:eastAsia="宋体" w:cs="宋体"/>
          <w:color w:val="auto"/>
          <w:sz w:val="24"/>
          <w:highlight w:val="none"/>
        </w:rPr>
      </w:pPr>
      <w:bookmarkStart w:id="12" w:name="_Toc11324"/>
      <w:bookmarkEnd w:id="12"/>
      <w:r>
        <w:rPr>
          <w:rFonts w:hint="eastAsia" w:ascii="宋体" w:hAnsi="宋体" w:eastAsia="宋体" w:cs="宋体"/>
          <w:color w:val="auto"/>
          <w:sz w:val="24"/>
          <w:highlight w:val="none"/>
        </w:rPr>
        <w:t xml:space="preserve">1.总则 </w:t>
      </w:r>
    </w:p>
    <w:p>
      <w:pPr>
        <w:adjustRightInd w:val="0"/>
        <w:snapToGrid w:val="0"/>
        <w:spacing w:line="440" w:lineRule="exact"/>
        <w:ind w:right="31" w:rightChars="15" w:firstLine="480"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1.1 项目概况</w:t>
      </w:r>
    </w:p>
    <w:p>
      <w:pPr>
        <w:adjustRightInd w:val="0"/>
        <w:snapToGrid w:val="0"/>
        <w:spacing w:line="440" w:lineRule="exact"/>
        <w:ind w:right="31" w:rightChars="1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w:t>
      </w:r>
      <w:r>
        <w:rPr>
          <w:rFonts w:hint="eastAsia" w:ascii="宋体" w:hAnsi="宋体" w:eastAsia="宋体" w:cs="宋体"/>
          <w:color w:val="auto"/>
          <w:kern w:val="0"/>
          <w:sz w:val="24"/>
          <w:szCs w:val="24"/>
          <w:highlight w:val="none"/>
        </w:rPr>
        <w:t>根据《中华人民共和国政府采购法》等有关法律、法规和规章的规定，本项目已具备招标条件，现对本项目进行公开招标。</w:t>
      </w:r>
    </w:p>
    <w:p>
      <w:pPr>
        <w:adjustRightInd w:val="0"/>
        <w:snapToGrid w:val="0"/>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 本项目采购人、采购代理机构、</w:t>
      </w:r>
      <w:r>
        <w:rPr>
          <w:rFonts w:hint="eastAsia" w:ascii="宋体" w:hAnsi="宋体" w:eastAsia="宋体" w:cs="宋体"/>
          <w:color w:val="auto"/>
          <w:sz w:val="24"/>
          <w:szCs w:val="24"/>
          <w:highlight w:val="none"/>
          <w:lang w:eastAsia="zh-CN"/>
        </w:rPr>
        <w:t>项目名称</w:t>
      </w:r>
      <w:r>
        <w:rPr>
          <w:rFonts w:hint="eastAsia" w:ascii="宋体" w:hAnsi="宋体" w:eastAsia="宋体" w:cs="宋体"/>
          <w:color w:val="auto"/>
          <w:sz w:val="24"/>
          <w:szCs w:val="24"/>
          <w:highlight w:val="none"/>
        </w:rPr>
        <w:t>：见“</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w:t>
      </w:r>
    </w:p>
    <w:p>
      <w:pPr>
        <w:adjustRightInd w:val="0"/>
        <w:snapToGrid w:val="0"/>
        <w:spacing w:line="440" w:lineRule="exact"/>
        <w:ind w:right="31" w:rightChars="15" w:firstLine="480"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1.2 资金来源和落实情况</w:t>
      </w:r>
    </w:p>
    <w:p>
      <w:pPr>
        <w:adjustRightInd w:val="0"/>
        <w:snapToGrid w:val="0"/>
        <w:spacing w:line="440" w:lineRule="exact"/>
        <w:ind w:right="31" w:rightChars="1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 本项目的资金来源、资金落实情况：见“</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w:t>
      </w:r>
    </w:p>
    <w:p>
      <w:pPr>
        <w:adjustRightInd w:val="0"/>
        <w:snapToGrid w:val="0"/>
        <w:spacing w:line="440" w:lineRule="exact"/>
        <w:ind w:right="31" w:rightChars="15" w:firstLine="480"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1.3 招标范围和</w:t>
      </w:r>
      <w:r>
        <w:rPr>
          <w:rFonts w:hint="eastAsia" w:ascii="宋体" w:hAnsi="宋体" w:eastAsia="宋体" w:cs="宋体"/>
          <w:b/>
          <w:bCs/>
          <w:color w:val="auto"/>
          <w:sz w:val="24"/>
          <w:szCs w:val="24"/>
          <w:highlight w:val="none"/>
          <w:lang w:val="en-US" w:eastAsia="zh-CN"/>
        </w:rPr>
        <w:t>供货期</w:t>
      </w:r>
    </w:p>
    <w:p>
      <w:pPr>
        <w:adjustRightInd w:val="0"/>
        <w:snapToGrid w:val="0"/>
        <w:spacing w:line="440" w:lineRule="exact"/>
        <w:ind w:right="31" w:rightChars="1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1.3.1本次采购范围及供货期：见“</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 xml:space="preserve">须知前附表”。 </w:t>
      </w:r>
    </w:p>
    <w:p>
      <w:pPr>
        <w:adjustRightInd w:val="0"/>
        <w:snapToGrid w:val="0"/>
        <w:spacing w:line="440" w:lineRule="exact"/>
        <w:ind w:right="31" w:rightChars="15" w:firstLine="480"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1.4 </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资格要求</w:t>
      </w:r>
    </w:p>
    <w:p>
      <w:pPr>
        <w:adjustRightInd w:val="0"/>
        <w:snapToGrid w:val="0"/>
        <w:spacing w:line="440" w:lineRule="exact"/>
        <w:ind w:right="31" w:rightChars="1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1.4.1本项目对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资质条件的要求：见“</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w:t>
      </w:r>
    </w:p>
    <w:p>
      <w:pPr>
        <w:adjustRightInd w:val="0"/>
        <w:snapToGrid w:val="0"/>
        <w:spacing w:line="440" w:lineRule="exact"/>
        <w:ind w:right="31" w:rightChars="1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按“</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须知前附表”规定不接受联合体投标。</w:t>
      </w:r>
    </w:p>
    <w:p>
      <w:pPr>
        <w:adjustRightInd w:val="0"/>
        <w:snapToGrid w:val="0"/>
        <w:spacing w:line="440" w:lineRule="exact"/>
        <w:ind w:right="31" w:rightChars="1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1.4.3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不得存在下列任何一种情形：</w:t>
      </w:r>
    </w:p>
    <w:p>
      <w:pPr>
        <w:adjustRightInd w:val="0"/>
        <w:snapToGrid w:val="0"/>
        <w:spacing w:line="440" w:lineRule="exact"/>
        <w:ind w:right="31" w:rightChars="1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（1）为招标人不具有独立法人资格的附属机构（单位）；</w:t>
      </w:r>
    </w:p>
    <w:p>
      <w:pPr>
        <w:adjustRightInd w:val="0"/>
        <w:snapToGrid w:val="0"/>
        <w:spacing w:line="440" w:lineRule="exact"/>
        <w:ind w:right="31" w:rightChars="1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（2）为本项目的代建人；</w:t>
      </w:r>
    </w:p>
    <w:p>
      <w:pPr>
        <w:adjustRightInd w:val="0"/>
        <w:snapToGrid w:val="0"/>
        <w:spacing w:line="440" w:lineRule="exact"/>
        <w:ind w:right="31" w:rightChars="1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（3）为本项目提供招标代理服务的；</w:t>
      </w:r>
    </w:p>
    <w:p>
      <w:pPr>
        <w:adjustRightInd w:val="0"/>
        <w:snapToGrid w:val="0"/>
        <w:spacing w:line="440" w:lineRule="exact"/>
        <w:ind w:right="31" w:rightChars="1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（4）与本项目的代建人或招标代理机构同为一个法定代表人的；</w:t>
      </w:r>
    </w:p>
    <w:p>
      <w:pPr>
        <w:adjustRightInd w:val="0"/>
        <w:snapToGrid w:val="0"/>
        <w:spacing w:line="440" w:lineRule="exact"/>
        <w:ind w:right="31" w:rightChars="1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（5）本招标项目的代建人或招标代理机构相互控股或参股的；</w:t>
      </w:r>
    </w:p>
    <w:p>
      <w:pPr>
        <w:adjustRightInd w:val="0"/>
        <w:snapToGrid w:val="0"/>
        <w:spacing w:line="440" w:lineRule="exact"/>
        <w:ind w:right="31" w:rightChars="1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（6）与本招标项目的代建人或招标代理机构相互任职或工作的；</w:t>
      </w:r>
    </w:p>
    <w:p>
      <w:pPr>
        <w:adjustRightInd w:val="0"/>
        <w:snapToGrid w:val="0"/>
        <w:spacing w:line="440" w:lineRule="exact"/>
        <w:ind w:right="31" w:rightChars="1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（7）被责令停业的；</w:t>
      </w:r>
    </w:p>
    <w:p>
      <w:pPr>
        <w:adjustRightInd w:val="0"/>
        <w:snapToGrid w:val="0"/>
        <w:spacing w:line="440" w:lineRule="exact"/>
        <w:ind w:right="31" w:rightChars="1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（8）财产被接管或冻结的；</w:t>
      </w:r>
    </w:p>
    <w:p>
      <w:pPr>
        <w:adjustRightInd w:val="0"/>
        <w:snapToGrid w:val="0"/>
        <w:spacing w:line="440" w:lineRule="exact"/>
        <w:ind w:right="31" w:rightChars="1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（9）经评标委员会认定会对承担本招标项目造成重大影响的正在诉讼的案件；</w:t>
      </w:r>
    </w:p>
    <w:p>
      <w:pPr>
        <w:adjustRightInd w:val="0"/>
        <w:snapToGrid w:val="0"/>
        <w:spacing w:line="440" w:lineRule="exact"/>
        <w:ind w:right="31" w:rightChars="1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（10）被省级及以上主管部门取消项目所在地的投标资格或禁止进入该区域建设市场且处于有效期内；</w:t>
      </w:r>
    </w:p>
    <w:p>
      <w:pPr>
        <w:adjustRightInd w:val="0"/>
        <w:snapToGrid w:val="0"/>
        <w:spacing w:line="440" w:lineRule="exact"/>
        <w:ind w:right="31" w:rightChars="1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（11）为投资参股本招标项目的法人单位。</w:t>
      </w:r>
    </w:p>
    <w:p>
      <w:pPr>
        <w:adjustRightInd w:val="0"/>
        <w:snapToGrid w:val="0"/>
        <w:spacing w:line="440" w:lineRule="exact"/>
        <w:ind w:firstLine="480"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1.5 费用承担</w:t>
      </w:r>
    </w:p>
    <w:p>
      <w:pPr>
        <w:widowControl/>
        <w:topLinePunct/>
        <w:adjustRightInd w:val="0"/>
        <w:snapToGrid w:val="0"/>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1.5.1</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应承担其投标文件编制与递交所涉及的一切费用，招标人和招标代理机构对上述费用均不承担任何责任；</w:t>
      </w:r>
    </w:p>
    <w:p>
      <w:pPr>
        <w:widowControl/>
        <w:topLinePunct/>
        <w:adjustRightInd w:val="0"/>
        <w:snapToGrid w:val="0"/>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1.5.2本项目招标代理服务费，由中标单位支付。</w:t>
      </w:r>
    </w:p>
    <w:p>
      <w:pPr>
        <w:adjustRightInd w:val="0"/>
        <w:snapToGrid w:val="0"/>
        <w:spacing w:line="440" w:lineRule="exact"/>
        <w:ind w:firstLine="480"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1.6 保密</w:t>
      </w:r>
    </w:p>
    <w:p>
      <w:pPr>
        <w:adjustRightInd w:val="0"/>
        <w:snapToGrid w:val="0"/>
        <w:spacing w:line="440" w:lineRule="exact"/>
        <w:ind w:right="31" w:rightChars="1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参与招标投标活动的各方应对招标文件和投标文件中的商业和技术等秘密保密，违者应对由此造成的后果承担法律责任。</w:t>
      </w:r>
    </w:p>
    <w:p>
      <w:pPr>
        <w:adjustRightInd w:val="0"/>
        <w:snapToGrid w:val="0"/>
        <w:spacing w:line="440" w:lineRule="exact"/>
        <w:ind w:firstLine="480"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1.7 语言文字</w:t>
      </w:r>
    </w:p>
    <w:p>
      <w:pPr>
        <w:adjustRightInd w:val="0"/>
        <w:snapToGrid w:val="0"/>
        <w:spacing w:line="440" w:lineRule="exact"/>
        <w:ind w:right="31" w:rightChars="1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除专用术语外，与招标投标有关的语言均使用中文。必要时专用术语应附有中文注释。</w:t>
      </w:r>
    </w:p>
    <w:p>
      <w:pPr>
        <w:adjustRightInd w:val="0"/>
        <w:snapToGrid w:val="0"/>
        <w:spacing w:line="440" w:lineRule="exact"/>
        <w:ind w:firstLine="480"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1.8 计量单位</w:t>
      </w:r>
    </w:p>
    <w:p>
      <w:pPr>
        <w:adjustRightInd w:val="0"/>
        <w:snapToGrid w:val="0"/>
        <w:spacing w:line="440" w:lineRule="exact"/>
        <w:ind w:right="31" w:rightChars="1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所有计量均采用中华人民共和国法定计量单位。</w:t>
      </w:r>
    </w:p>
    <w:p>
      <w:pPr>
        <w:adjustRightInd w:val="0"/>
        <w:snapToGrid w:val="0"/>
        <w:spacing w:line="440" w:lineRule="exact"/>
        <w:ind w:firstLine="480"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1.9</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t>踏勘现场</w:t>
      </w:r>
    </w:p>
    <w:p>
      <w:pPr>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不组织，</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自行踏勘。</w:t>
      </w:r>
    </w:p>
    <w:p>
      <w:pPr>
        <w:adjustRightInd w:val="0"/>
        <w:snapToGrid w:val="0"/>
        <w:spacing w:line="440" w:lineRule="exact"/>
        <w:ind w:firstLine="480"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1.10</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t>投标预备会</w:t>
      </w:r>
    </w:p>
    <w:p>
      <w:pPr>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不召开。</w:t>
      </w:r>
    </w:p>
    <w:p>
      <w:pPr>
        <w:adjustRightInd w:val="0"/>
        <w:snapToGrid w:val="0"/>
        <w:spacing w:line="440" w:lineRule="exact"/>
        <w:ind w:firstLine="480"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1.11 分包</w:t>
      </w:r>
    </w:p>
    <w:p>
      <w:pPr>
        <w:adjustRightInd w:val="0"/>
        <w:snapToGrid w:val="0"/>
        <w:spacing w:line="440" w:lineRule="exact"/>
        <w:ind w:right="31" w:rightChars="1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本项目严禁转包和违规分包，且不得再次分包。</w:t>
      </w:r>
    </w:p>
    <w:p>
      <w:pPr>
        <w:pStyle w:val="4"/>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招标文件</w:t>
      </w:r>
    </w:p>
    <w:p>
      <w:pPr>
        <w:adjustRightInd w:val="0"/>
        <w:snapToGrid w:val="0"/>
        <w:spacing w:line="440" w:lineRule="exact"/>
        <w:ind w:firstLine="480"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2.1 招标文件的组成</w:t>
      </w:r>
    </w:p>
    <w:p>
      <w:pPr>
        <w:adjustRightInd w:val="0"/>
        <w:snapToGrid w:val="0"/>
        <w:spacing w:line="440" w:lineRule="exact"/>
        <w:ind w:right="31" w:rightChars="1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本招标文件包括：</w:t>
      </w:r>
    </w:p>
    <w:p>
      <w:pPr>
        <w:adjustRightInd w:val="0"/>
        <w:snapToGrid w:val="0"/>
        <w:spacing w:line="440" w:lineRule="exact"/>
        <w:ind w:right="31" w:rightChars="1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（1）招标公告；</w:t>
      </w:r>
    </w:p>
    <w:p>
      <w:pPr>
        <w:adjustRightInd w:val="0"/>
        <w:snapToGrid w:val="0"/>
        <w:spacing w:line="440" w:lineRule="exact"/>
        <w:ind w:right="31" w:rightChars="1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须知；</w:t>
      </w:r>
    </w:p>
    <w:p>
      <w:pPr>
        <w:adjustRightInd w:val="0"/>
        <w:snapToGrid w:val="0"/>
        <w:spacing w:line="440" w:lineRule="exact"/>
        <w:ind w:right="31" w:rightChars="1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（3）采购清单； </w:t>
      </w:r>
    </w:p>
    <w:p>
      <w:pPr>
        <w:adjustRightInd w:val="0"/>
        <w:snapToGrid w:val="0"/>
        <w:spacing w:line="440" w:lineRule="exact"/>
        <w:ind w:right="31" w:rightChars="1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（4）合同条款及格式；</w:t>
      </w:r>
    </w:p>
    <w:p>
      <w:pPr>
        <w:adjustRightInd w:val="0"/>
        <w:snapToGrid w:val="0"/>
        <w:spacing w:line="440" w:lineRule="exact"/>
        <w:ind w:right="31" w:rightChars="1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（5）投标文件格式；</w:t>
      </w:r>
    </w:p>
    <w:p>
      <w:pPr>
        <w:adjustRightInd w:val="0"/>
        <w:snapToGrid w:val="0"/>
        <w:spacing w:line="440" w:lineRule="exact"/>
        <w:ind w:firstLine="480"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2.2 招标文件的澄清</w:t>
      </w:r>
    </w:p>
    <w:p>
      <w:pPr>
        <w:adjustRightInd w:val="0"/>
        <w:snapToGrid w:val="0"/>
        <w:spacing w:line="440" w:lineRule="exact"/>
        <w:ind w:right="31" w:rightChars="1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2.2.1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应仔细阅读和检查招标文件的全部内容。如发现缺页或附件不全，应及时向招标人提出，以便补齐。如有疑问，应在质疑期限内要求招标人对招标文件予以澄清。</w:t>
      </w:r>
    </w:p>
    <w:p>
      <w:pPr>
        <w:adjustRightInd w:val="0"/>
        <w:snapToGrid w:val="0"/>
        <w:spacing w:line="440" w:lineRule="exact"/>
        <w:ind w:right="31" w:rightChars="1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2.2.2招标文件的澄清将在</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须知前附表规定的投标截止时间15天前在网上通知所有购买招标文件的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，但不指明澄清问题的来源。如果澄清的内容可能影响投标文件编制的，发出的时间距投标截止时间不足15天，相应延长投标截止时间。</w:t>
      </w:r>
    </w:p>
    <w:p>
      <w:pPr>
        <w:adjustRightInd w:val="0"/>
        <w:snapToGrid w:val="0"/>
        <w:spacing w:line="440" w:lineRule="exact"/>
        <w:ind w:firstLine="480"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2.3 招标文件的修改</w:t>
      </w:r>
    </w:p>
    <w:p>
      <w:pPr>
        <w:adjustRightInd w:val="0"/>
        <w:snapToGrid w:val="0"/>
        <w:spacing w:line="440" w:lineRule="exact"/>
        <w:ind w:right="31" w:rightChars="1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在投标截止时间15天前，招标人可以书面形式修改招标文件。如果修改招标文件的时间距投标截止时间不足15天，相应延长投标截止时间。</w:t>
      </w:r>
    </w:p>
    <w:p>
      <w:pPr>
        <w:pStyle w:val="4"/>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3.投标文件</w:t>
      </w:r>
    </w:p>
    <w:p>
      <w:pPr>
        <w:adjustRightInd w:val="0"/>
        <w:snapToGrid w:val="0"/>
        <w:spacing w:line="440" w:lineRule="exact"/>
        <w:ind w:firstLine="480"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3.1 投标文件的组成</w:t>
      </w:r>
    </w:p>
    <w:p>
      <w:pPr>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（1）投标函及投标函附录</w:t>
      </w:r>
    </w:p>
    <w:p>
      <w:pPr>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（2）分项报价明细表</w:t>
      </w:r>
    </w:p>
    <w:p>
      <w:pPr>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（3）法定代表人身份证明</w:t>
      </w:r>
    </w:p>
    <w:p>
      <w:pPr>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（4）授权委托书</w:t>
      </w:r>
    </w:p>
    <w:p>
      <w:pPr>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（5）技术部分</w:t>
      </w:r>
    </w:p>
    <w:p>
      <w:pPr>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（6）资格审查资料</w:t>
      </w:r>
    </w:p>
    <w:p>
      <w:pPr>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（7）服务方案及承诺</w:t>
      </w:r>
    </w:p>
    <w:p>
      <w:pPr>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（8）反商业贿赂承诺书</w:t>
      </w:r>
    </w:p>
    <w:p>
      <w:pPr>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（9）投标诚信承诺</w:t>
      </w:r>
    </w:p>
    <w:p>
      <w:pPr>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认为需要提交的其他资料</w:t>
      </w:r>
    </w:p>
    <w:p>
      <w:pPr>
        <w:adjustRightInd w:val="0"/>
        <w:snapToGrid w:val="0"/>
        <w:spacing w:line="440" w:lineRule="exact"/>
        <w:ind w:firstLine="480"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3.2 投标报价</w:t>
      </w:r>
    </w:p>
    <w:p>
      <w:pPr>
        <w:adjustRightInd w:val="0"/>
        <w:snapToGrid w:val="0"/>
        <w:spacing w:line="440" w:lineRule="exact"/>
        <w:ind w:right="31" w:rightChars="15" w:firstLine="480"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3.2.1本项目设置招标</w:t>
      </w:r>
      <w:r>
        <w:rPr>
          <w:rFonts w:hint="eastAsia" w:ascii="宋体" w:hAnsi="宋体" w:eastAsia="宋体" w:cs="宋体"/>
          <w:b/>
          <w:bCs/>
          <w:color w:val="auto"/>
          <w:sz w:val="24"/>
          <w:szCs w:val="24"/>
          <w:highlight w:val="none"/>
          <w:lang w:val="en-US" w:eastAsia="zh-CN"/>
        </w:rPr>
        <w:t>最高限</w:t>
      </w:r>
      <w:r>
        <w:rPr>
          <w:rFonts w:hint="eastAsia" w:ascii="宋体" w:hAnsi="宋体" w:eastAsia="宋体" w:cs="宋体"/>
          <w:b/>
          <w:bCs/>
          <w:color w:val="auto"/>
          <w:sz w:val="24"/>
          <w:szCs w:val="24"/>
          <w:highlight w:val="none"/>
        </w:rPr>
        <w:t>价，</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的投标报价超出招标</w:t>
      </w:r>
      <w:r>
        <w:rPr>
          <w:rFonts w:hint="eastAsia" w:ascii="宋体" w:hAnsi="宋体" w:eastAsia="宋体" w:cs="宋体"/>
          <w:b/>
          <w:bCs/>
          <w:color w:val="auto"/>
          <w:sz w:val="24"/>
          <w:szCs w:val="24"/>
          <w:highlight w:val="none"/>
          <w:lang w:val="en-US" w:eastAsia="zh-CN"/>
        </w:rPr>
        <w:t>最高限</w:t>
      </w:r>
      <w:r>
        <w:rPr>
          <w:rFonts w:hint="eastAsia" w:ascii="宋体" w:hAnsi="宋体" w:eastAsia="宋体" w:cs="宋体"/>
          <w:b/>
          <w:bCs/>
          <w:color w:val="auto"/>
          <w:sz w:val="24"/>
          <w:szCs w:val="24"/>
          <w:highlight w:val="none"/>
        </w:rPr>
        <w:t>价的，按废标处理。</w:t>
      </w:r>
    </w:p>
    <w:p>
      <w:pPr>
        <w:adjustRightInd w:val="0"/>
        <w:snapToGrid w:val="0"/>
        <w:spacing w:line="440" w:lineRule="exact"/>
        <w:ind w:right="31" w:rightChars="1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3.2.2</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的投标报价应参考国家相关收费标准，结合本项目实际情况和自身实力按照市场价自主合理报价。</w:t>
      </w:r>
    </w:p>
    <w:p>
      <w:pPr>
        <w:adjustRightInd w:val="0"/>
        <w:snapToGrid w:val="0"/>
        <w:spacing w:line="440" w:lineRule="exact"/>
        <w:ind w:firstLine="480"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3.3 投标有效期</w:t>
      </w:r>
    </w:p>
    <w:p>
      <w:pPr>
        <w:adjustRightInd w:val="0"/>
        <w:snapToGrid w:val="0"/>
        <w:spacing w:line="440" w:lineRule="exact"/>
        <w:ind w:right="31" w:rightChars="1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 在“</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须知前附表”规定的投标有效期内，</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不得要求撤销或修改其投标文件。</w:t>
      </w:r>
    </w:p>
    <w:p>
      <w:pPr>
        <w:adjustRightInd w:val="0"/>
        <w:snapToGrid w:val="0"/>
        <w:spacing w:line="440" w:lineRule="exact"/>
        <w:ind w:right="31" w:rightChars="1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3.3.2在特殊情况下，招标人可与</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协商延长投标文件的有效期。这种要求和答复都应以书面形式进行。同意延长有效期的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除按照招标人要求修改投标文件有效期外，不能修改投标文件的其他内容。</w:t>
      </w:r>
    </w:p>
    <w:p>
      <w:pPr>
        <w:adjustRightInd w:val="0"/>
        <w:snapToGrid w:val="0"/>
        <w:spacing w:line="440" w:lineRule="exact"/>
        <w:ind w:firstLine="480"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3.4 投标保证金</w:t>
      </w:r>
    </w:p>
    <w:p>
      <w:pPr>
        <w:adjustRightInd w:val="0"/>
        <w:snapToGrid w:val="0"/>
        <w:spacing w:line="440" w:lineRule="exact"/>
        <w:ind w:right="31" w:rightChars="15" w:firstLine="480" w:firstLineChars="200"/>
        <w:rPr>
          <w:rFonts w:hint="eastAsia" w:ascii="宋体" w:hAnsi="宋体" w:eastAsia="宋体" w:cs="宋体"/>
          <w:color w:val="auto"/>
          <w:sz w:val="24"/>
          <w:szCs w:val="24"/>
          <w:highlight w:val="none"/>
        </w:rPr>
      </w:pPr>
      <w:r>
        <w:rPr>
          <w:rFonts w:hint="eastAsia" w:ascii="宋体" w:hAnsi="宋体" w:cs="Times New Roman"/>
          <w:bCs/>
          <w:color w:val="auto"/>
          <w:sz w:val="24"/>
          <w:szCs w:val="24"/>
        </w:rPr>
        <w:t xml:space="preserve"> </w:t>
      </w:r>
      <w:r>
        <w:rPr>
          <w:rFonts w:hint="eastAsia" w:ascii="宋体" w:hAnsi="宋体" w:cs="Times New Roman"/>
          <w:bCs/>
          <w:color w:val="auto"/>
          <w:sz w:val="24"/>
          <w:szCs w:val="24"/>
          <w:lang w:val="en-US" w:eastAsia="zh-CN"/>
        </w:rPr>
        <w:t xml:space="preserve"> </w:t>
      </w:r>
      <w:r>
        <w:rPr>
          <w:rFonts w:hint="eastAsia" w:ascii="宋体" w:hAnsi="宋体" w:eastAsia="宋体" w:cs="宋体"/>
          <w:color w:val="auto"/>
          <w:sz w:val="24"/>
          <w:szCs w:val="24"/>
          <w:highlight w:val="none"/>
          <w:lang w:val="en-US" w:eastAsia="zh-CN"/>
        </w:rPr>
        <w:t>3.4.1</w:t>
      </w:r>
      <w:r>
        <w:rPr>
          <w:rFonts w:hint="eastAsia" w:ascii="宋体" w:hAnsi="宋体" w:eastAsia="宋体" w:cs="宋体"/>
          <w:color w:val="auto"/>
          <w:sz w:val="24"/>
          <w:szCs w:val="24"/>
          <w:highlight w:val="none"/>
        </w:rPr>
        <w:t>投标保证金：不收取</w:t>
      </w:r>
    </w:p>
    <w:p>
      <w:pPr>
        <w:adjustRightInd w:val="0"/>
        <w:snapToGrid w:val="0"/>
        <w:spacing w:line="440" w:lineRule="exact"/>
        <w:ind w:right="31" w:rightChars="15"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3.4.2</w:t>
      </w:r>
      <w:r>
        <w:rPr>
          <w:rFonts w:hint="eastAsia" w:ascii="宋体" w:hAnsi="宋体" w:eastAsia="宋体" w:cs="宋体"/>
          <w:color w:val="auto"/>
          <w:sz w:val="24"/>
          <w:szCs w:val="24"/>
          <w:highlight w:val="none"/>
        </w:rPr>
        <w:t>履约保证金：不收取</w:t>
      </w:r>
    </w:p>
    <w:p>
      <w:pPr>
        <w:adjustRightInd w:val="0"/>
        <w:snapToGrid w:val="0"/>
        <w:spacing w:line="440" w:lineRule="exact"/>
        <w:ind w:right="31" w:rightChars="1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3.4.3</w:t>
      </w:r>
      <w:r>
        <w:rPr>
          <w:rFonts w:hint="eastAsia" w:ascii="宋体" w:hAnsi="宋体" w:eastAsia="宋体" w:cs="宋体"/>
          <w:color w:val="auto"/>
          <w:sz w:val="24"/>
          <w:szCs w:val="24"/>
          <w:highlight w:val="none"/>
        </w:rPr>
        <w:t>质量保证金：不收取</w:t>
      </w:r>
    </w:p>
    <w:p>
      <w:pPr>
        <w:adjustRightInd w:val="0"/>
        <w:snapToGrid w:val="0"/>
        <w:spacing w:line="440" w:lineRule="exact"/>
        <w:ind w:firstLine="480"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3.5 投标文件的编制</w:t>
      </w:r>
    </w:p>
    <w:p>
      <w:pPr>
        <w:adjustRightInd w:val="0"/>
        <w:snapToGrid w:val="0"/>
        <w:spacing w:line="440" w:lineRule="exact"/>
        <w:ind w:right="31" w:rightChars="1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3.5.1投标文件应参考第五章“投标文件格式”进行编写，如有必要，可以增加附页，作为投标文件的组成部分。</w:t>
      </w:r>
    </w:p>
    <w:p>
      <w:pPr>
        <w:adjustRightInd w:val="0"/>
        <w:snapToGrid w:val="0"/>
        <w:spacing w:line="440" w:lineRule="exact"/>
        <w:ind w:right="31" w:rightChars="1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3.5.2 投标文件应当对招标文件有关供货期、投标有效期、招标范围等实质性内容作出响应。</w:t>
      </w:r>
    </w:p>
    <w:p>
      <w:pPr>
        <w:adjustRightInd w:val="0"/>
        <w:snapToGrid w:val="0"/>
        <w:spacing w:line="440" w:lineRule="exact"/>
        <w:ind w:right="31" w:rightChars="1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3.5.3 如果投标文件由委托代理人签署，则</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需提交法定代表人的授权委托书，授权委托书应按规定的方式出具，并由法定代表人和委托代理人签名或盖章。</w:t>
      </w:r>
    </w:p>
    <w:p>
      <w:pPr>
        <w:adjustRightInd w:val="0"/>
        <w:snapToGrid w:val="0"/>
        <w:spacing w:line="440" w:lineRule="exact"/>
        <w:ind w:right="31" w:rightChars="1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投标文件应尽量避免涂改、行间插字或删除。如果出现上述情况，改动之处应加</w:t>
      </w:r>
      <w:r>
        <w:rPr>
          <w:rFonts w:hint="eastAsia" w:ascii="宋体" w:hAnsi="宋体" w:eastAsia="宋体" w:cs="宋体"/>
          <w:color w:val="auto"/>
          <w:sz w:val="24"/>
          <w:szCs w:val="24"/>
          <w:highlight w:val="none"/>
          <w:lang w:eastAsia="zh-CN"/>
        </w:rPr>
        <w:t>电子签章</w:t>
      </w:r>
      <w:r>
        <w:rPr>
          <w:rFonts w:hint="eastAsia" w:ascii="宋体" w:hAnsi="宋体" w:eastAsia="宋体" w:cs="宋体"/>
          <w:color w:val="auto"/>
          <w:sz w:val="24"/>
          <w:szCs w:val="24"/>
          <w:highlight w:val="none"/>
        </w:rPr>
        <w:t>或由</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的法定代表人或其授权的代理人签字确认。</w:t>
      </w:r>
    </w:p>
    <w:p>
      <w:pPr>
        <w:pStyle w:val="4"/>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4.投标文件的递交</w:t>
      </w:r>
    </w:p>
    <w:p>
      <w:pPr>
        <w:adjustRightInd w:val="0"/>
        <w:snapToGrid w:val="0"/>
        <w:spacing w:line="440" w:lineRule="exact"/>
        <w:ind w:right="31" w:rightChars="15"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4.1本项目为全流程电子化交易项目，</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只需要递交电子投标文件，不用再提供纸质投标文件。</w:t>
      </w:r>
    </w:p>
    <w:p>
      <w:pPr>
        <w:wordWrap w:val="0"/>
        <w:adjustRightInd w:val="0"/>
        <w:snapToGrid w:val="0"/>
        <w:spacing w:line="440" w:lineRule="exact"/>
        <w:ind w:right="31" w:rightChars="15"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4.2加密电子投标文件(.file格式)应在招标文件规定的投标截止时间（开标时间）之前成功提交至全国公共资源交易平台（河南省•汝州市）交易系统（http://www.rzggzy.com:8070/ggzy/）。具体操作方法详见全国公共资源交易平台（河南省•汝州市）交易中心网站：http://www.rzggzy.com/djzgc/14171.jhtml</w:t>
      </w:r>
    </w:p>
    <w:p>
      <w:pPr>
        <w:adjustRightInd w:val="0"/>
        <w:snapToGrid w:val="0"/>
        <w:spacing w:line="440" w:lineRule="exact"/>
        <w:ind w:right="31" w:rightChars="15"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4.3</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应充分考虑到处理技术问题和上传数据等工作所需的时间问题，投标文件未在投标截止时间前成功上传的，其投标文件不予接收。</w:t>
      </w:r>
    </w:p>
    <w:p>
      <w:pPr>
        <w:pStyle w:val="4"/>
        <w:ind w:firstLine="480" w:firstLineChars="200"/>
        <w:jc w:val="left"/>
        <w:rPr>
          <w:rFonts w:hint="eastAsia" w:ascii="宋体" w:hAnsi="宋体" w:eastAsia="宋体" w:cs="宋体"/>
          <w:color w:val="auto"/>
          <w:sz w:val="24"/>
          <w:highlight w:val="none"/>
        </w:rPr>
      </w:pPr>
      <w:bookmarkStart w:id="13" w:name="_Toc525062087"/>
      <w:bookmarkEnd w:id="13"/>
      <w:bookmarkStart w:id="14" w:name="_Toc4523"/>
      <w:r>
        <w:rPr>
          <w:rFonts w:hint="eastAsia" w:ascii="宋体" w:hAnsi="宋体" w:eastAsia="宋体" w:cs="宋体"/>
          <w:color w:val="auto"/>
          <w:sz w:val="24"/>
          <w:highlight w:val="none"/>
        </w:rPr>
        <w:t>5</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开标及评标</w:t>
      </w:r>
      <w:bookmarkEnd w:id="14"/>
      <w:r>
        <w:rPr>
          <w:rFonts w:hint="eastAsia" w:ascii="宋体" w:hAnsi="宋体" w:eastAsia="宋体" w:cs="宋体"/>
          <w:color w:val="auto"/>
          <w:sz w:val="24"/>
          <w:highlight w:val="none"/>
        </w:rPr>
        <w:t xml:space="preserve"> </w:t>
      </w:r>
    </w:p>
    <w:p>
      <w:pPr>
        <w:adjustRightInd w:val="0"/>
        <w:snapToGrid w:val="0"/>
        <w:spacing w:line="440" w:lineRule="exact"/>
        <w:ind w:firstLine="480" w:firstLineChars="200"/>
        <w:rPr>
          <w:rFonts w:hint="eastAsia" w:ascii="宋体" w:hAnsi="宋体" w:eastAsia="宋体" w:cs="宋体"/>
          <w:b/>
          <w:bCs/>
          <w:color w:val="auto"/>
          <w:sz w:val="24"/>
          <w:szCs w:val="24"/>
          <w:highlight w:val="none"/>
        </w:rPr>
      </w:pPr>
      <w:bookmarkStart w:id="15" w:name="_Toc525062088"/>
      <w:bookmarkEnd w:id="15"/>
      <w:bookmarkStart w:id="16" w:name="_Toc20808"/>
      <w:r>
        <w:rPr>
          <w:rFonts w:hint="eastAsia" w:ascii="宋体" w:hAnsi="宋体" w:eastAsia="宋体" w:cs="宋体"/>
          <w:b/>
          <w:bCs/>
          <w:color w:val="auto"/>
          <w:sz w:val="24"/>
          <w:szCs w:val="24"/>
          <w:highlight w:val="none"/>
        </w:rPr>
        <w:t>5.1开标</w:t>
      </w:r>
      <w:bookmarkEnd w:id="16"/>
      <w:r>
        <w:rPr>
          <w:rFonts w:hint="eastAsia" w:ascii="宋体" w:hAnsi="宋体" w:eastAsia="宋体" w:cs="宋体"/>
          <w:b/>
          <w:bCs/>
          <w:color w:val="auto"/>
          <w:sz w:val="24"/>
          <w:szCs w:val="24"/>
          <w:highlight w:val="none"/>
        </w:rPr>
        <w:t xml:space="preserve"> </w:t>
      </w:r>
    </w:p>
    <w:p>
      <w:pPr>
        <w:keepNext w:val="0"/>
        <w:keepLines w:val="0"/>
        <w:pageBreakBefore w:val="0"/>
        <w:widowControl w:val="0"/>
        <w:kinsoku/>
        <w:wordWrap w:val="0"/>
        <w:overflowPunct/>
        <w:topLinePunct w:val="0"/>
        <w:autoSpaceDE/>
        <w:autoSpaceDN/>
        <w:bidi w:val="0"/>
        <w:adjustRightInd w:val="0"/>
        <w:snapToGrid w:val="0"/>
        <w:spacing w:line="440" w:lineRule="exact"/>
        <w:ind w:right="31" w:rightChars="15"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5.1.1招标人按招标文件规定的时间、地点主持公开开标，招标人代表及有关工作人员参加。</w:t>
      </w:r>
    </w:p>
    <w:p>
      <w:pPr>
        <w:keepNext w:val="0"/>
        <w:keepLines w:val="0"/>
        <w:pageBreakBefore w:val="0"/>
        <w:widowControl w:val="0"/>
        <w:kinsoku/>
        <w:wordWrap w:val="0"/>
        <w:overflowPunct/>
        <w:topLinePunct w:val="0"/>
        <w:autoSpaceDE/>
        <w:autoSpaceDN/>
        <w:bidi w:val="0"/>
        <w:adjustRightInd w:val="0"/>
        <w:snapToGrid w:val="0"/>
        <w:spacing w:line="440" w:lineRule="exact"/>
        <w:ind w:right="31" w:rightChars="15"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5.1.2本项目采用“不见面”开标方式，</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只需要递交电子投标文件，无需到达现场提交原件资料、无需到现场参加开标会议。</w:t>
      </w:r>
    </w:p>
    <w:p>
      <w:pPr>
        <w:keepNext w:val="0"/>
        <w:keepLines w:val="0"/>
        <w:pageBreakBefore w:val="0"/>
        <w:widowControl w:val="0"/>
        <w:kinsoku/>
        <w:wordWrap w:val="0"/>
        <w:overflowPunct/>
        <w:topLinePunct w:val="0"/>
        <w:autoSpaceDE/>
        <w:autoSpaceDN/>
        <w:bidi w:val="0"/>
        <w:adjustRightInd w:val="0"/>
        <w:snapToGrid w:val="0"/>
        <w:spacing w:line="440" w:lineRule="exact"/>
        <w:ind w:right="31" w:rightChars="15"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应当在开标时间前,登录开标大厅,在线准时参加开标活动并进行投标文件解密。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具体开标注意事项及操作指南详见http://www.rzggzy.com/zwjxz/10492.jhtml）。</w:t>
      </w:r>
    </w:p>
    <w:p>
      <w:pPr>
        <w:keepNext w:val="0"/>
        <w:keepLines w:val="0"/>
        <w:pageBreakBefore w:val="0"/>
        <w:widowControl w:val="0"/>
        <w:kinsoku/>
        <w:wordWrap w:val="0"/>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b/>
          <w:bCs/>
          <w:color w:val="auto"/>
          <w:sz w:val="24"/>
          <w:szCs w:val="24"/>
          <w:highlight w:val="none"/>
        </w:rPr>
      </w:pPr>
      <w:bookmarkStart w:id="17" w:name="_Toc322"/>
      <w:bookmarkEnd w:id="17"/>
      <w:bookmarkStart w:id="18" w:name="_Toc525062089"/>
      <w:r>
        <w:rPr>
          <w:rFonts w:hint="eastAsia" w:ascii="宋体" w:hAnsi="宋体" w:eastAsia="宋体" w:cs="宋体"/>
          <w:b/>
          <w:bCs/>
          <w:color w:val="auto"/>
          <w:sz w:val="24"/>
          <w:szCs w:val="24"/>
          <w:highlight w:val="none"/>
        </w:rPr>
        <w:t>5.2 组建评标委员会</w:t>
      </w:r>
      <w:bookmarkEnd w:id="18"/>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招标人根据有关法律法规和本招标文件的规定，结合本招标项目的特点组建评标委员会。评标委员会由业主代表</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人和有关技术、经济等方面的专家</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人组成，成员人数为</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人。 </w:t>
      </w:r>
    </w:p>
    <w:p>
      <w:pPr>
        <w:adjustRightInd w:val="0"/>
        <w:snapToGrid w:val="0"/>
        <w:spacing w:line="440" w:lineRule="exact"/>
        <w:ind w:firstLine="480" w:firstLineChars="200"/>
        <w:rPr>
          <w:rFonts w:hint="eastAsia" w:ascii="宋体" w:hAnsi="宋体" w:eastAsia="宋体" w:cs="宋体"/>
          <w:b/>
          <w:bCs/>
          <w:color w:val="auto"/>
          <w:sz w:val="24"/>
          <w:szCs w:val="24"/>
          <w:highlight w:val="none"/>
        </w:rPr>
      </w:pPr>
      <w:bookmarkStart w:id="19" w:name="_Toc525062090"/>
      <w:bookmarkEnd w:id="19"/>
      <w:bookmarkStart w:id="20" w:name="_Toc11095"/>
      <w:r>
        <w:rPr>
          <w:rFonts w:hint="eastAsia" w:ascii="宋体" w:hAnsi="宋体" w:eastAsia="宋体" w:cs="宋体"/>
          <w:b/>
          <w:bCs/>
          <w:color w:val="auto"/>
          <w:sz w:val="24"/>
          <w:szCs w:val="24"/>
          <w:highlight w:val="none"/>
        </w:rPr>
        <w:t>5.3 对投标文件的初审</w:t>
      </w:r>
      <w:bookmarkEnd w:id="20"/>
      <w:r>
        <w:rPr>
          <w:rFonts w:hint="eastAsia" w:ascii="宋体" w:hAnsi="宋体" w:eastAsia="宋体" w:cs="宋体"/>
          <w:b/>
          <w:bCs/>
          <w:color w:val="auto"/>
          <w:sz w:val="24"/>
          <w:szCs w:val="24"/>
          <w:highlight w:val="none"/>
        </w:rPr>
        <w:t xml:space="preserve"> </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5.3.1 开标后，评标委员会将审查投标文件是否符合招标文件的基本要求：内容是否完整、资格证明文件是否齐全、有无计算错误、文件签署是否齐全。 </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5.3.2 在详细评标之前，评标委员会要审查每份投标文件是否实质上响应了招标文件的要求。 </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 实质上响应的投标是指与招标文件的全部条款、条件和规格相符，没有重大偏离或保留。 </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重大偏离或保留包括但不限于： 不具备招标文件中规定资格要求的；不符合招标文件中规定的质量、完成时间要求的。</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重大偏离不允许在开标后修正，但评标委员会将允许修正投标中不构成重大偏离的地方，这些修正不会对其他实质上响应招标文件要求的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 xml:space="preserve">的竞争地位产生不公正的影响。 </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如果投标文件实质上没有响应招标文件的要求，评标委员会将予以拒绝，</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 xml:space="preserve">不得再对投标文件进行任何修正从而使其投标成为实质上响应的投标。 </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5.3.3 初审中，对明显的文字和计算错误按下述原则修正： </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 如果以文字表示的数据与数字表示的有差别，以文字为准修正数字。如果大小写金额不一致的，以大写金额为准。 </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调整后的数据应对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具有约束力，</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 xml:space="preserve">不同意以上修正，其投标将被拒绝。 </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5.3.4 评标委员会对投标文件的判定，只依据投标文件本身，不依据任何外来证明。 </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5.3.5 投标的澄清 </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评标委员会有权要求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对投标文件中含义不明确、对同类问题表述不一致或者有明显文字和计算错误等内容作必要的澄清、说明或者补正，该要求应当采用书面形式，并由评标委员会专家签字。</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必须按照评标委员会通知的内容和时间做出书面答复，该答复经法定代表人或</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代表的签字认可，将作为投标文件内容的一部分。澄清、说明或者补正不得超出投标文件的范围或者改变投标文件的实质性内容。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 xml:space="preserve">拒不按照要求对投标文件进行澄清、说明或者补正的，评标委员会可拒绝该投标。 </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如评标委员会一致认为某个</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的报价明显不合理，有降低质量、不能诚信履行的可能时，评标委员会有权决定是否要求该</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作出书面说明并提供相关证明材料。若已要求，而该</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未在规定期限内做出解释、作出的解释不合理或不能提供证明材料的，经评标委员会取得一致意见后，可拒绝该投标。若未决定要求该</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作出书面说明并提供相关证明材料的，经评标委员会取得一致意见后，可直接拒绝该投标。</w:t>
      </w:r>
    </w:p>
    <w:p>
      <w:pPr>
        <w:pStyle w:val="4"/>
        <w:ind w:firstLine="480" w:firstLineChars="200"/>
        <w:jc w:val="left"/>
        <w:rPr>
          <w:rFonts w:hint="eastAsia" w:ascii="宋体" w:hAnsi="宋体" w:eastAsia="宋体" w:cs="宋体"/>
          <w:color w:val="auto"/>
          <w:sz w:val="24"/>
          <w:highlight w:val="none"/>
        </w:rPr>
      </w:pPr>
      <w:bookmarkStart w:id="21" w:name="_Toc525062091"/>
      <w:bookmarkEnd w:id="21"/>
      <w:bookmarkStart w:id="22" w:name="_Toc11196"/>
      <w:r>
        <w:rPr>
          <w:rFonts w:hint="eastAsia" w:ascii="宋体" w:hAnsi="宋体" w:eastAsia="宋体" w:cs="宋体"/>
          <w:color w:val="auto"/>
          <w:sz w:val="24"/>
          <w:highlight w:val="none"/>
        </w:rPr>
        <w:t>6</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评标</w:t>
      </w:r>
      <w:bookmarkEnd w:id="22"/>
    </w:p>
    <w:p>
      <w:pPr>
        <w:adjustRightInd w:val="0"/>
        <w:snapToGrid w:val="0"/>
        <w:spacing w:line="440" w:lineRule="exact"/>
        <w:ind w:firstLine="480" w:firstLineChars="200"/>
        <w:rPr>
          <w:rFonts w:hint="eastAsia" w:ascii="宋体" w:hAnsi="宋体" w:eastAsia="宋体" w:cs="宋体"/>
          <w:b/>
          <w:bCs/>
          <w:color w:val="auto"/>
          <w:sz w:val="24"/>
          <w:szCs w:val="24"/>
          <w:highlight w:val="none"/>
        </w:rPr>
      </w:pPr>
      <w:bookmarkStart w:id="23" w:name="_Toc525062092"/>
      <w:bookmarkEnd w:id="23"/>
      <w:bookmarkStart w:id="24" w:name="_Toc26764"/>
      <w:r>
        <w:rPr>
          <w:rFonts w:hint="eastAsia" w:ascii="宋体" w:hAnsi="宋体" w:eastAsia="宋体" w:cs="宋体"/>
          <w:b/>
          <w:bCs/>
          <w:color w:val="auto"/>
          <w:sz w:val="24"/>
          <w:szCs w:val="24"/>
          <w:highlight w:val="none"/>
        </w:rPr>
        <w:t>6.1评审原则</w:t>
      </w:r>
      <w:bookmarkEnd w:id="24"/>
      <w:r>
        <w:rPr>
          <w:rFonts w:hint="eastAsia" w:ascii="宋体" w:hAnsi="宋体" w:eastAsia="宋体" w:cs="宋体"/>
          <w:b/>
          <w:bCs/>
          <w:color w:val="auto"/>
          <w:sz w:val="24"/>
          <w:szCs w:val="24"/>
          <w:highlight w:val="none"/>
        </w:rPr>
        <w:t xml:space="preserve"> </w:t>
      </w:r>
    </w:p>
    <w:p>
      <w:pPr>
        <w:adjustRightIn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（1）按照招标文件的要求和条件进行，招标文件由招标人或代理机构解释； </w:t>
      </w:r>
    </w:p>
    <w:p>
      <w:pPr>
        <w:adjustRightIn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（2）评标委员会只对实质上响应招标文件的投标进行评价和比较； </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（3）评标委员会在评审时主要根据投标报价，同时根据各项技术和服务因素对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实力和投标售后服务等方面进行综合评价。</w:t>
      </w:r>
    </w:p>
    <w:p>
      <w:pPr>
        <w:adjustRightInd w:val="0"/>
        <w:snapToGrid w:val="0"/>
        <w:spacing w:line="440" w:lineRule="exact"/>
        <w:ind w:firstLine="480" w:firstLineChars="200"/>
        <w:rPr>
          <w:rFonts w:hint="eastAsia" w:ascii="宋体" w:hAnsi="宋体" w:eastAsia="宋体" w:cs="宋体"/>
          <w:b/>
          <w:bCs/>
          <w:color w:val="auto"/>
          <w:sz w:val="24"/>
          <w:szCs w:val="24"/>
          <w:highlight w:val="none"/>
        </w:rPr>
      </w:pPr>
      <w:bookmarkStart w:id="25" w:name="_Toc2640"/>
      <w:bookmarkEnd w:id="25"/>
      <w:bookmarkStart w:id="26" w:name="_Toc525062093"/>
      <w:r>
        <w:rPr>
          <w:rFonts w:hint="eastAsia" w:ascii="宋体" w:hAnsi="宋体" w:eastAsia="宋体" w:cs="宋体"/>
          <w:b/>
          <w:bCs/>
          <w:color w:val="auto"/>
          <w:sz w:val="24"/>
          <w:szCs w:val="24"/>
          <w:highlight w:val="none"/>
        </w:rPr>
        <w:t>6.2 评标程序</w:t>
      </w:r>
      <w:bookmarkEnd w:id="26"/>
    </w:p>
    <w:p>
      <w:pPr>
        <w:adjustRightIn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（1）资格性审查</w:t>
      </w:r>
    </w:p>
    <w:p>
      <w:pPr>
        <w:adjustRightIn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采购人或代理机构依据《政府采购货物和服务招标投标管理办法》 87号令的规定，公开招标采购项目开标结束后，采购人或者采购代理机构应当依法对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的资格进行审查，合格</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不足3家的，不得评标。根据第二章</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资格要求”中涉及资料须于开标前上传到会员诚信库系统，</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可通过汝州市公共资源交易中心平台对会员诚信库直接进行变更维护，变更信息提交即时生效。</w:t>
      </w:r>
    </w:p>
    <w:p>
      <w:pPr>
        <w:adjustRightIn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资格审查指标有一项不合格即为未通过资格审查。</w:t>
      </w:r>
    </w:p>
    <w:p>
      <w:pPr>
        <w:adjustRightInd w:val="0"/>
        <w:spacing w:line="440" w:lineRule="exact"/>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资格评审标准</w:t>
      </w:r>
    </w:p>
    <w:tbl>
      <w:tblPr>
        <w:tblStyle w:val="46"/>
        <w:tblW w:w="9317" w:type="dxa"/>
        <w:tblInd w:w="224" w:type="dxa"/>
        <w:tblLayout w:type="fixed"/>
        <w:tblCellMar>
          <w:top w:w="0" w:type="dxa"/>
          <w:left w:w="0" w:type="dxa"/>
          <w:bottom w:w="0" w:type="dxa"/>
          <w:right w:w="113" w:type="dxa"/>
        </w:tblCellMar>
      </w:tblPr>
      <w:tblGrid>
        <w:gridCol w:w="1100"/>
        <w:gridCol w:w="2233"/>
        <w:gridCol w:w="5984"/>
      </w:tblGrid>
      <w:tr>
        <w:tblPrEx>
          <w:tblCellMar>
            <w:top w:w="0" w:type="dxa"/>
            <w:left w:w="0" w:type="dxa"/>
            <w:bottom w:w="0" w:type="dxa"/>
            <w:right w:w="113" w:type="dxa"/>
          </w:tblCellMar>
        </w:tblPrEx>
        <w:trPr>
          <w:trHeight w:val="670" w:hRule="atLeast"/>
        </w:trPr>
        <w:tc>
          <w:tcPr>
            <w:tcW w:w="1100" w:type="dxa"/>
            <w:vMerge w:val="restart"/>
            <w:tcBorders>
              <w:top w:val="single" w:color="auto" w:sz="4" w:space="0"/>
              <w:left w:val="single" w:color="auto" w:sz="4" w:space="0"/>
              <w:right w:val="single" w:color="auto" w:sz="4" w:space="0"/>
            </w:tcBorders>
            <w:vAlign w:val="center"/>
          </w:tcPr>
          <w:p>
            <w:pPr>
              <w:pStyle w:val="67"/>
              <w:keepNext w:val="0"/>
              <w:keepLines w:val="0"/>
              <w:suppressLineNumbers w:val="0"/>
              <w:kinsoku w:val="0"/>
              <w:overflowPunct w:val="0"/>
              <w:spacing w:before="0" w:beforeAutospacing="0" w:after="0" w:afterAutospacing="0" w:line="316" w:lineRule="auto"/>
              <w:ind w:left="233" w:right="224"/>
              <w:jc w:val="center"/>
              <w:rPr>
                <w:rFonts w:hint="eastAsia" w:ascii="宋体" w:hAnsi="宋体" w:eastAsia="宋体" w:cs="宋体"/>
                <w:color w:val="auto"/>
                <w:highlight w:val="none"/>
              </w:rPr>
            </w:pPr>
            <w:r>
              <w:rPr>
                <w:rFonts w:hint="eastAsia" w:ascii="宋体" w:hAnsi="宋体" w:eastAsia="宋体" w:cs="宋体"/>
                <w:color w:val="auto"/>
                <w:highlight w:val="none"/>
              </w:rPr>
              <w:t>资格评审标准</w:t>
            </w:r>
          </w:p>
        </w:tc>
        <w:tc>
          <w:tcPr>
            <w:tcW w:w="2233" w:type="dxa"/>
            <w:tcBorders>
              <w:top w:val="single" w:color="auto" w:sz="4" w:space="0"/>
              <w:left w:val="single" w:color="auto" w:sz="4" w:space="0"/>
              <w:bottom w:val="single" w:color="auto" w:sz="4" w:space="0"/>
              <w:right w:val="single" w:color="auto" w:sz="4" w:space="0"/>
            </w:tcBorders>
            <w:vAlign w:val="center"/>
          </w:tcPr>
          <w:p>
            <w:pPr>
              <w:pStyle w:val="67"/>
              <w:keepNext w:val="0"/>
              <w:keepLines w:val="0"/>
              <w:suppressLineNumbers w:val="0"/>
              <w:kinsoku w:val="0"/>
              <w:overflowPunct w:val="0"/>
              <w:spacing w:before="116" w:beforeAutospacing="0" w:after="0" w:afterAutospacing="0"/>
              <w:ind w:left="122" w:right="97"/>
              <w:jc w:val="center"/>
              <w:rPr>
                <w:rFonts w:hint="eastAsia" w:ascii="宋体" w:hAnsi="宋体" w:eastAsia="宋体" w:cs="宋体"/>
                <w:color w:val="auto"/>
                <w:highlight w:val="none"/>
              </w:rPr>
            </w:pPr>
            <w:r>
              <w:rPr>
                <w:rFonts w:hint="eastAsia" w:ascii="宋体" w:hAnsi="宋体" w:eastAsia="宋体" w:cs="宋体"/>
                <w:color w:val="auto"/>
                <w:highlight w:val="none"/>
              </w:rPr>
              <w:t>营业执照</w:t>
            </w:r>
          </w:p>
        </w:tc>
        <w:tc>
          <w:tcPr>
            <w:tcW w:w="5984" w:type="dxa"/>
            <w:tcBorders>
              <w:top w:val="single" w:color="auto" w:sz="4" w:space="0"/>
              <w:left w:val="single" w:color="auto" w:sz="4" w:space="0"/>
              <w:bottom w:val="single" w:color="auto" w:sz="4" w:space="0"/>
              <w:right w:val="single" w:color="auto" w:sz="4" w:space="0"/>
            </w:tcBorders>
            <w:vAlign w:val="center"/>
          </w:tcPr>
          <w:p>
            <w:pPr>
              <w:pStyle w:val="67"/>
              <w:keepNext w:val="0"/>
              <w:keepLines w:val="0"/>
              <w:suppressLineNumbers w:val="0"/>
              <w:kinsoku w:val="0"/>
              <w:overflowPunct w:val="0"/>
              <w:spacing w:before="116" w:beforeAutospacing="0" w:after="0" w:afterAutospacing="0"/>
              <w:ind w:left="107" w:right="0"/>
              <w:rPr>
                <w:rFonts w:hint="eastAsia" w:ascii="宋体" w:hAnsi="宋体" w:eastAsia="宋体" w:cs="宋体"/>
                <w:color w:val="auto"/>
                <w:highlight w:val="none"/>
              </w:rPr>
            </w:pPr>
            <w:r>
              <w:rPr>
                <w:rFonts w:hint="eastAsia" w:ascii="宋体" w:hAnsi="宋体" w:eastAsia="宋体" w:cs="宋体"/>
                <w:color w:val="auto"/>
                <w:highlight w:val="none"/>
                <w:lang w:eastAsia="zh-CN"/>
              </w:rPr>
              <w:t>符合第二章“供应商须知前附表”第1</w:t>
            </w:r>
            <w:r>
              <w:rPr>
                <w:rFonts w:hint="eastAsia" w:hAnsi="宋体" w:cs="宋体"/>
                <w:color w:val="auto"/>
                <w:highlight w:val="none"/>
                <w:lang w:val="en-US" w:eastAsia="zh-CN"/>
              </w:rPr>
              <w:t>4</w:t>
            </w:r>
            <w:r>
              <w:rPr>
                <w:rFonts w:hint="eastAsia" w:ascii="宋体" w:hAnsi="宋体" w:eastAsia="宋体" w:cs="宋体"/>
                <w:color w:val="auto"/>
                <w:highlight w:val="none"/>
                <w:lang w:eastAsia="zh-CN"/>
              </w:rPr>
              <w:t>项规定</w:t>
            </w:r>
          </w:p>
        </w:tc>
      </w:tr>
      <w:tr>
        <w:tblPrEx>
          <w:tblCellMar>
            <w:top w:w="0" w:type="dxa"/>
            <w:left w:w="0" w:type="dxa"/>
            <w:bottom w:w="0" w:type="dxa"/>
            <w:right w:w="113" w:type="dxa"/>
          </w:tblCellMar>
        </w:tblPrEx>
        <w:trPr>
          <w:trHeight w:val="571" w:hRule="atLeast"/>
        </w:trPr>
        <w:tc>
          <w:tcPr>
            <w:tcW w:w="1100"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2233" w:type="dxa"/>
            <w:tcBorders>
              <w:top w:val="single" w:color="auto" w:sz="4" w:space="0"/>
              <w:left w:val="single" w:color="auto" w:sz="4" w:space="0"/>
              <w:bottom w:val="single" w:color="auto" w:sz="4" w:space="0"/>
              <w:right w:val="single" w:color="auto" w:sz="4" w:space="0"/>
            </w:tcBorders>
            <w:vAlign w:val="center"/>
          </w:tcPr>
          <w:p>
            <w:pPr>
              <w:pStyle w:val="67"/>
              <w:keepNext w:val="0"/>
              <w:keepLines w:val="0"/>
              <w:suppressLineNumbers w:val="0"/>
              <w:kinsoku w:val="0"/>
              <w:overflowPunct w:val="0"/>
              <w:spacing w:before="116" w:beforeAutospacing="0" w:after="0" w:afterAutospacing="0"/>
              <w:ind w:left="122" w:leftChars="0" w:right="92" w:rightChars="0"/>
              <w:jc w:val="center"/>
              <w:rPr>
                <w:rFonts w:hint="eastAsia" w:ascii="宋体" w:hAnsi="宋体" w:eastAsia="宋体" w:cs="宋体"/>
                <w:color w:val="auto"/>
                <w:highlight w:val="none"/>
              </w:rPr>
            </w:pPr>
            <w:r>
              <w:rPr>
                <w:rFonts w:hint="eastAsia" w:ascii="宋体" w:hAnsi="宋体" w:eastAsia="宋体" w:cs="宋体"/>
                <w:color w:val="auto"/>
                <w:highlight w:val="none"/>
              </w:rPr>
              <w:t>财务状况</w:t>
            </w:r>
          </w:p>
        </w:tc>
        <w:tc>
          <w:tcPr>
            <w:tcW w:w="5984" w:type="dxa"/>
            <w:tcBorders>
              <w:top w:val="single" w:color="auto" w:sz="4" w:space="0"/>
              <w:left w:val="single" w:color="auto" w:sz="4" w:space="0"/>
              <w:bottom w:val="single" w:color="auto" w:sz="4" w:space="0"/>
              <w:right w:val="single" w:color="auto" w:sz="4" w:space="0"/>
            </w:tcBorders>
            <w:vAlign w:val="center"/>
          </w:tcPr>
          <w:p>
            <w:pPr>
              <w:pStyle w:val="67"/>
              <w:keepNext w:val="0"/>
              <w:keepLines w:val="0"/>
              <w:suppressLineNumbers w:val="0"/>
              <w:kinsoku w:val="0"/>
              <w:overflowPunct w:val="0"/>
              <w:spacing w:before="116" w:beforeAutospacing="0" w:after="0" w:afterAutospacing="0"/>
              <w:ind w:left="107" w:leftChars="0" w:right="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符合第二章“供应商须知前附表”第1</w:t>
            </w:r>
            <w:r>
              <w:rPr>
                <w:rFonts w:hint="eastAsia" w:hAnsi="宋体" w:cs="宋体"/>
                <w:color w:val="auto"/>
                <w:highlight w:val="none"/>
                <w:lang w:val="en-US" w:eastAsia="zh-CN"/>
              </w:rPr>
              <w:t>4</w:t>
            </w:r>
            <w:r>
              <w:rPr>
                <w:rFonts w:hint="eastAsia" w:ascii="宋体" w:hAnsi="宋体" w:eastAsia="宋体" w:cs="宋体"/>
                <w:color w:val="auto"/>
                <w:highlight w:val="none"/>
                <w:lang w:eastAsia="zh-CN"/>
              </w:rPr>
              <w:t>项规定</w:t>
            </w:r>
          </w:p>
        </w:tc>
      </w:tr>
      <w:tr>
        <w:tblPrEx>
          <w:tblCellMar>
            <w:top w:w="0" w:type="dxa"/>
            <w:left w:w="0" w:type="dxa"/>
            <w:bottom w:w="0" w:type="dxa"/>
            <w:right w:w="113" w:type="dxa"/>
          </w:tblCellMar>
        </w:tblPrEx>
        <w:trPr>
          <w:trHeight w:val="670" w:hRule="atLeast"/>
        </w:trPr>
        <w:tc>
          <w:tcPr>
            <w:tcW w:w="1100"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2233" w:type="dxa"/>
            <w:tcBorders>
              <w:top w:val="single" w:color="auto" w:sz="4" w:space="0"/>
              <w:left w:val="single" w:color="auto" w:sz="4" w:space="0"/>
              <w:bottom w:val="single" w:color="auto" w:sz="4" w:space="0"/>
              <w:right w:val="single" w:color="auto" w:sz="4" w:space="0"/>
            </w:tcBorders>
            <w:vAlign w:val="center"/>
          </w:tcPr>
          <w:p>
            <w:pPr>
              <w:pStyle w:val="67"/>
              <w:keepNext w:val="0"/>
              <w:keepLines w:val="0"/>
              <w:suppressLineNumbers w:val="0"/>
              <w:kinsoku w:val="0"/>
              <w:overflowPunct w:val="0"/>
              <w:spacing w:before="116" w:beforeAutospacing="0" w:after="0" w:afterAutospacing="0"/>
              <w:ind w:left="122" w:right="97"/>
              <w:jc w:val="center"/>
              <w:rPr>
                <w:rFonts w:hint="eastAsia" w:ascii="宋体" w:hAnsi="宋体" w:eastAsia="宋体" w:cs="宋体"/>
                <w:color w:val="auto"/>
                <w:highlight w:val="none"/>
              </w:rPr>
            </w:pPr>
            <w:r>
              <w:rPr>
                <w:rFonts w:hint="eastAsia" w:ascii="宋体" w:hAnsi="宋体" w:eastAsia="宋体" w:cs="宋体"/>
                <w:color w:val="auto"/>
                <w:highlight w:val="none"/>
              </w:rPr>
              <w:t>税收和社保</w:t>
            </w:r>
          </w:p>
        </w:tc>
        <w:tc>
          <w:tcPr>
            <w:tcW w:w="5984" w:type="dxa"/>
            <w:tcBorders>
              <w:top w:val="single" w:color="auto" w:sz="4" w:space="0"/>
              <w:left w:val="single" w:color="auto" w:sz="4" w:space="0"/>
              <w:bottom w:val="single" w:color="auto" w:sz="4" w:space="0"/>
              <w:right w:val="single" w:color="auto" w:sz="4" w:space="0"/>
            </w:tcBorders>
            <w:vAlign w:val="center"/>
          </w:tcPr>
          <w:p>
            <w:pPr>
              <w:pStyle w:val="67"/>
              <w:keepNext w:val="0"/>
              <w:keepLines w:val="0"/>
              <w:suppressLineNumbers w:val="0"/>
              <w:kinsoku w:val="0"/>
              <w:overflowPunct w:val="0"/>
              <w:spacing w:before="116" w:beforeAutospacing="0" w:after="0" w:afterAutospacing="0"/>
              <w:ind w:left="107" w:right="0"/>
              <w:rPr>
                <w:rFonts w:hint="eastAsia" w:ascii="宋体" w:hAnsi="宋体" w:eastAsia="宋体" w:cs="宋体"/>
                <w:color w:val="auto"/>
                <w:highlight w:val="none"/>
              </w:rPr>
            </w:pPr>
            <w:r>
              <w:rPr>
                <w:rFonts w:hint="eastAsia" w:ascii="宋体" w:hAnsi="宋体" w:eastAsia="宋体" w:cs="宋体"/>
                <w:color w:val="auto"/>
                <w:highlight w:val="none"/>
                <w:lang w:eastAsia="zh-CN"/>
              </w:rPr>
              <w:t>符合第二章“供应商须知前附表”第1</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项规定</w:t>
            </w:r>
          </w:p>
        </w:tc>
      </w:tr>
      <w:tr>
        <w:tblPrEx>
          <w:tblCellMar>
            <w:top w:w="0" w:type="dxa"/>
            <w:left w:w="0" w:type="dxa"/>
            <w:bottom w:w="0" w:type="dxa"/>
            <w:right w:w="113" w:type="dxa"/>
          </w:tblCellMar>
        </w:tblPrEx>
        <w:trPr>
          <w:trHeight w:val="688" w:hRule="atLeast"/>
        </w:trPr>
        <w:tc>
          <w:tcPr>
            <w:tcW w:w="1100"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2233" w:type="dxa"/>
            <w:tcBorders>
              <w:top w:val="single" w:color="auto" w:sz="4" w:space="0"/>
              <w:left w:val="single" w:color="auto" w:sz="4" w:space="0"/>
              <w:bottom w:val="single" w:color="auto" w:sz="4" w:space="0"/>
              <w:right w:val="single" w:color="auto" w:sz="4" w:space="0"/>
            </w:tcBorders>
            <w:vAlign w:val="center"/>
          </w:tcPr>
          <w:p>
            <w:pPr>
              <w:pStyle w:val="67"/>
              <w:keepNext w:val="0"/>
              <w:keepLines w:val="0"/>
              <w:suppressLineNumbers w:val="0"/>
              <w:kinsoku w:val="0"/>
              <w:overflowPunct w:val="0"/>
              <w:spacing w:before="116" w:beforeAutospacing="0" w:after="0" w:afterAutospacing="0"/>
              <w:ind w:left="122" w:right="92"/>
              <w:jc w:val="center"/>
              <w:rPr>
                <w:rFonts w:hint="eastAsia" w:ascii="宋体" w:hAnsi="宋体" w:eastAsia="宋体" w:cs="宋体"/>
                <w:color w:val="auto"/>
                <w:highlight w:val="none"/>
              </w:rPr>
            </w:pPr>
            <w:r>
              <w:rPr>
                <w:rFonts w:hint="eastAsia" w:ascii="宋体" w:hAnsi="宋体" w:eastAsia="宋体" w:cs="宋体"/>
                <w:color w:val="auto"/>
                <w:highlight w:val="none"/>
              </w:rPr>
              <w:t>具有履行合同所必需的设备和专业技术能力</w:t>
            </w:r>
          </w:p>
        </w:tc>
        <w:tc>
          <w:tcPr>
            <w:tcW w:w="5984" w:type="dxa"/>
            <w:tcBorders>
              <w:top w:val="single" w:color="auto" w:sz="4" w:space="0"/>
              <w:left w:val="single" w:color="auto" w:sz="4" w:space="0"/>
              <w:bottom w:val="single" w:color="auto" w:sz="4" w:space="0"/>
              <w:right w:val="single" w:color="auto" w:sz="4" w:space="0"/>
            </w:tcBorders>
            <w:vAlign w:val="center"/>
          </w:tcPr>
          <w:p>
            <w:pPr>
              <w:pStyle w:val="67"/>
              <w:keepNext w:val="0"/>
              <w:keepLines w:val="0"/>
              <w:suppressLineNumbers w:val="0"/>
              <w:kinsoku w:val="0"/>
              <w:overflowPunct w:val="0"/>
              <w:spacing w:before="116" w:beforeAutospacing="0" w:after="0" w:afterAutospacing="0"/>
              <w:ind w:left="107" w:right="0"/>
              <w:rPr>
                <w:rFonts w:hint="eastAsia" w:ascii="宋体" w:hAnsi="宋体" w:eastAsia="宋体" w:cs="宋体"/>
                <w:color w:val="auto"/>
                <w:highlight w:val="none"/>
              </w:rPr>
            </w:pPr>
            <w:r>
              <w:rPr>
                <w:rFonts w:hint="eastAsia" w:ascii="宋体" w:hAnsi="宋体" w:eastAsia="宋体" w:cs="宋体"/>
                <w:color w:val="auto"/>
                <w:highlight w:val="none"/>
                <w:lang w:eastAsia="zh-CN"/>
              </w:rPr>
              <w:t>符合第二章“供应商须知前附表”第1</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项规定</w:t>
            </w:r>
          </w:p>
        </w:tc>
      </w:tr>
      <w:tr>
        <w:tblPrEx>
          <w:tblCellMar>
            <w:top w:w="0" w:type="dxa"/>
            <w:left w:w="0" w:type="dxa"/>
            <w:bottom w:w="0" w:type="dxa"/>
            <w:right w:w="113" w:type="dxa"/>
          </w:tblCellMar>
        </w:tblPrEx>
        <w:trPr>
          <w:trHeight w:val="688" w:hRule="atLeast"/>
        </w:trPr>
        <w:tc>
          <w:tcPr>
            <w:tcW w:w="1100"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2233" w:type="dxa"/>
            <w:tcBorders>
              <w:top w:val="single" w:color="auto" w:sz="4" w:space="0"/>
              <w:left w:val="single" w:color="auto" w:sz="4" w:space="0"/>
              <w:bottom w:val="single" w:color="auto" w:sz="4" w:space="0"/>
              <w:right w:val="single" w:color="auto" w:sz="4" w:space="0"/>
            </w:tcBorders>
            <w:vAlign w:val="center"/>
          </w:tcPr>
          <w:p>
            <w:pPr>
              <w:pStyle w:val="67"/>
              <w:keepNext w:val="0"/>
              <w:keepLines w:val="0"/>
              <w:suppressLineNumbers w:val="0"/>
              <w:kinsoku w:val="0"/>
              <w:overflowPunct w:val="0"/>
              <w:spacing w:before="116" w:beforeAutospacing="0" w:after="0" w:afterAutospacing="0"/>
              <w:ind w:left="122" w:right="92"/>
              <w:jc w:val="center"/>
              <w:rPr>
                <w:rFonts w:hint="eastAsia" w:ascii="宋体" w:hAnsi="宋体" w:eastAsia="宋体" w:cs="宋体"/>
                <w:color w:val="auto"/>
                <w:highlight w:val="none"/>
              </w:rPr>
            </w:pPr>
            <w:r>
              <w:rPr>
                <w:rFonts w:hint="eastAsia" w:hAnsi="宋体" w:cs="宋体"/>
                <w:color w:val="auto"/>
                <w:highlight w:val="none"/>
                <w:lang w:val="en-US" w:eastAsia="zh-CN"/>
              </w:rPr>
              <w:t>参加</w:t>
            </w:r>
            <w:r>
              <w:rPr>
                <w:rFonts w:hint="eastAsia" w:ascii="宋体" w:hAnsi="宋体" w:eastAsia="宋体" w:cs="宋体"/>
                <w:color w:val="auto"/>
                <w:highlight w:val="none"/>
              </w:rPr>
              <w:t>政府采购活动近三年内在经营活动中没有重大违法记录</w:t>
            </w:r>
          </w:p>
        </w:tc>
        <w:tc>
          <w:tcPr>
            <w:tcW w:w="5984" w:type="dxa"/>
            <w:tcBorders>
              <w:top w:val="single" w:color="auto" w:sz="4" w:space="0"/>
              <w:left w:val="single" w:color="auto" w:sz="4" w:space="0"/>
              <w:bottom w:val="single" w:color="auto" w:sz="4" w:space="0"/>
              <w:right w:val="single" w:color="auto" w:sz="4" w:space="0"/>
            </w:tcBorders>
            <w:vAlign w:val="center"/>
          </w:tcPr>
          <w:p>
            <w:pPr>
              <w:pStyle w:val="67"/>
              <w:keepNext w:val="0"/>
              <w:keepLines w:val="0"/>
              <w:suppressLineNumbers w:val="0"/>
              <w:kinsoku w:val="0"/>
              <w:overflowPunct w:val="0"/>
              <w:spacing w:before="116" w:beforeAutospacing="0" w:after="0" w:afterAutospacing="0"/>
              <w:ind w:left="107" w:right="0"/>
              <w:rPr>
                <w:rFonts w:hint="eastAsia" w:ascii="宋体" w:hAnsi="宋体" w:eastAsia="宋体" w:cs="宋体"/>
                <w:color w:val="auto"/>
                <w:highlight w:val="none"/>
              </w:rPr>
            </w:pPr>
            <w:r>
              <w:rPr>
                <w:rFonts w:hint="eastAsia" w:ascii="宋体" w:hAnsi="宋体" w:eastAsia="宋体" w:cs="宋体"/>
                <w:color w:val="auto"/>
                <w:highlight w:val="none"/>
                <w:lang w:eastAsia="zh-CN"/>
              </w:rPr>
              <w:t>符合第二章“供应商须知前附表”第1</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项规定</w:t>
            </w:r>
          </w:p>
        </w:tc>
      </w:tr>
      <w:tr>
        <w:tblPrEx>
          <w:tblCellMar>
            <w:top w:w="0" w:type="dxa"/>
            <w:left w:w="0" w:type="dxa"/>
            <w:bottom w:w="0" w:type="dxa"/>
            <w:right w:w="113" w:type="dxa"/>
          </w:tblCellMar>
        </w:tblPrEx>
        <w:trPr>
          <w:trHeight w:val="688" w:hRule="atLeast"/>
        </w:trPr>
        <w:tc>
          <w:tcPr>
            <w:tcW w:w="1100"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2233" w:type="dxa"/>
            <w:tcBorders>
              <w:top w:val="single" w:color="auto" w:sz="4" w:space="0"/>
              <w:left w:val="single" w:color="auto" w:sz="4" w:space="0"/>
              <w:bottom w:val="single" w:color="auto" w:sz="4" w:space="0"/>
              <w:right w:val="single" w:color="auto" w:sz="4" w:space="0"/>
            </w:tcBorders>
            <w:vAlign w:val="center"/>
          </w:tcPr>
          <w:p>
            <w:pPr>
              <w:pStyle w:val="67"/>
              <w:keepNext w:val="0"/>
              <w:keepLines w:val="0"/>
              <w:suppressLineNumbers w:val="0"/>
              <w:kinsoku w:val="0"/>
              <w:overflowPunct w:val="0"/>
              <w:spacing w:before="116" w:beforeAutospacing="0" w:after="0" w:afterAutospacing="0"/>
              <w:ind w:left="122" w:right="92"/>
              <w:jc w:val="center"/>
              <w:rPr>
                <w:rFonts w:hint="eastAsia" w:ascii="宋体" w:hAnsi="宋体" w:eastAsia="宋体" w:cs="宋体"/>
                <w:color w:val="auto"/>
                <w:highlight w:val="none"/>
              </w:rPr>
            </w:pPr>
            <w:r>
              <w:rPr>
                <w:rFonts w:hint="eastAsia" w:ascii="宋体" w:hAnsi="宋体" w:eastAsia="宋体" w:cs="宋体"/>
                <w:color w:val="auto"/>
                <w:highlight w:val="none"/>
              </w:rPr>
              <w:t>信用中国</w:t>
            </w:r>
          </w:p>
        </w:tc>
        <w:tc>
          <w:tcPr>
            <w:tcW w:w="5984" w:type="dxa"/>
            <w:tcBorders>
              <w:top w:val="single" w:color="auto" w:sz="4" w:space="0"/>
              <w:left w:val="single" w:color="auto" w:sz="4" w:space="0"/>
              <w:bottom w:val="single" w:color="auto" w:sz="4" w:space="0"/>
              <w:right w:val="single" w:color="auto" w:sz="4" w:space="0"/>
            </w:tcBorders>
            <w:vAlign w:val="center"/>
          </w:tcPr>
          <w:p>
            <w:pPr>
              <w:pStyle w:val="67"/>
              <w:keepNext w:val="0"/>
              <w:keepLines w:val="0"/>
              <w:suppressLineNumbers w:val="0"/>
              <w:kinsoku w:val="0"/>
              <w:overflowPunct w:val="0"/>
              <w:spacing w:before="116" w:beforeAutospacing="0" w:after="0" w:afterAutospacing="0"/>
              <w:ind w:left="107" w:right="0"/>
              <w:rPr>
                <w:rFonts w:hint="eastAsia" w:ascii="宋体" w:hAnsi="宋体" w:eastAsia="宋体" w:cs="宋体"/>
                <w:color w:val="auto"/>
                <w:highlight w:val="none"/>
              </w:rPr>
            </w:pPr>
            <w:r>
              <w:rPr>
                <w:rFonts w:hint="eastAsia" w:ascii="宋体" w:hAnsi="宋体" w:eastAsia="宋体" w:cs="宋体"/>
                <w:color w:val="auto"/>
                <w:highlight w:val="none"/>
                <w:lang w:eastAsia="zh-CN"/>
              </w:rPr>
              <w:t>符合第二章“供应商须知前附表”第1</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项规定</w:t>
            </w:r>
          </w:p>
        </w:tc>
      </w:tr>
      <w:tr>
        <w:tblPrEx>
          <w:tblCellMar>
            <w:top w:w="0" w:type="dxa"/>
            <w:left w:w="0" w:type="dxa"/>
            <w:bottom w:w="0" w:type="dxa"/>
            <w:right w:w="113" w:type="dxa"/>
          </w:tblCellMar>
        </w:tblPrEx>
        <w:trPr>
          <w:trHeight w:val="688" w:hRule="atLeast"/>
        </w:trPr>
        <w:tc>
          <w:tcPr>
            <w:tcW w:w="1100"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2233" w:type="dxa"/>
            <w:tcBorders>
              <w:top w:val="single" w:color="auto" w:sz="4" w:space="0"/>
              <w:left w:val="single" w:color="auto" w:sz="4" w:space="0"/>
              <w:bottom w:val="single" w:color="auto" w:sz="4" w:space="0"/>
              <w:right w:val="single" w:color="auto" w:sz="4" w:space="0"/>
            </w:tcBorders>
            <w:vAlign w:val="center"/>
          </w:tcPr>
          <w:p>
            <w:pPr>
              <w:pStyle w:val="67"/>
              <w:keepNext w:val="0"/>
              <w:keepLines w:val="0"/>
              <w:suppressLineNumbers w:val="0"/>
              <w:kinsoku w:val="0"/>
              <w:overflowPunct w:val="0"/>
              <w:spacing w:before="116" w:beforeAutospacing="0" w:after="0" w:afterAutospacing="0"/>
              <w:ind w:left="122" w:right="92"/>
              <w:jc w:val="center"/>
              <w:rPr>
                <w:rFonts w:hint="eastAsia" w:ascii="宋体" w:hAnsi="宋体" w:eastAsia="宋体" w:cs="宋体"/>
                <w:color w:val="auto"/>
                <w:highlight w:val="none"/>
              </w:rPr>
            </w:pPr>
            <w:r>
              <w:rPr>
                <w:rFonts w:hint="eastAsia" w:ascii="宋体" w:hAnsi="宋体" w:eastAsia="宋体" w:cs="宋体"/>
                <w:color w:val="auto"/>
                <w:highlight w:val="none"/>
              </w:rPr>
              <w:t>其他要求</w:t>
            </w:r>
          </w:p>
        </w:tc>
        <w:tc>
          <w:tcPr>
            <w:tcW w:w="5984" w:type="dxa"/>
            <w:tcBorders>
              <w:top w:val="single" w:color="auto" w:sz="4" w:space="0"/>
              <w:left w:val="single" w:color="auto" w:sz="4" w:space="0"/>
              <w:bottom w:val="single" w:color="auto" w:sz="4" w:space="0"/>
              <w:right w:val="single" w:color="auto" w:sz="4" w:space="0"/>
            </w:tcBorders>
            <w:vAlign w:val="center"/>
          </w:tcPr>
          <w:p>
            <w:pPr>
              <w:pStyle w:val="67"/>
              <w:keepNext w:val="0"/>
              <w:keepLines w:val="0"/>
              <w:suppressLineNumbers w:val="0"/>
              <w:kinsoku w:val="0"/>
              <w:overflowPunct w:val="0"/>
              <w:spacing w:before="116" w:beforeAutospacing="0" w:after="0" w:afterAutospacing="0"/>
              <w:ind w:left="107" w:right="0"/>
              <w:rPr>
                <w:rFonts w:hint="eastAsia" w:ascii="宋体" w:hAnsi="宋体" w:eastAsia="宋体" w:cs="宋体"/>
                <w:color w:val="auto"/>
                <w:highlight w:val="none"/>
              </w:rPr>
            </w:pPr>
            <w:r>
              <w:rPr>
                <w:rFonts w:hint="eastAsia" w:ascii="宋体" w:hAnsi="宋体" w:eastAsia="宋体" w:cs="宋体"/>
                <w:color w:val="auto"/>
                <w:highlight w:val="none"/>
              </w:rPr>
              <w:t>不接受联合体投标</w:t>
            </w:r>
          </w:p>
        </w:tc>
      </w:tr>
    </w:tbl>
    <w:p>
      <w:pPr>
        <w:adjustRightIn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（2）符合性审查</w:t>
      </w:r>
    </w:p>
    <w:p>
      <w:pPr>
        <w:adjustRightIn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通过资格审查的投标单位，由评标专家进行评审。评委会根据招标文件，对投标文件进行符合性审查。</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在评标过程中，评委会发现</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以他人名义投标、串通投标、以行贿手段谋取中标或者以其他弄虚作假方式投标的，应否决其投标。</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细微偏差是指投标文件在实质上响应招标文件要求，但在个别地方存在漏项或者提供了不完整的技术信息和数据等情况，并且补正这些遗漏或者不完整不会对其他</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造成不公平的结果。评委会书面要求存在细微偏差的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在评标结束前予以补正。</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（3）评委会可以用书面方式要求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对投标文件中含义不明确、对同类问题表达不一致或者有明显文字和计算错误的内容作必要的澄清、署名或者补正。</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的澄清、说明或者有补正的须以书面方式并不得超出投标文件的范围或者改变投标文件的实质性内容；</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（4）按照招标文件中规定的评标办法和标准,对资格性审查和符合性审查合格的投标文件进行评审、打分。</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（5）评委会在评标过程中发现的问题，应当及时作出处理或者向招标人提出处理建议，并作出书面记录；</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（6）评委会编写评标报告，根据评标得分高低进行排序，根据最终得分高低，从高到低向招标人推荐前3名为中标候选人。</w:t>
      </w:r>
    </w:p>
    <w:p>
      <w:pPr>
        <w:pStyle w:val="4"/>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中标通知</w:t>
      </w:r>
    </w:p>
    <w:p>
      <w:pPr>
        <w:adjustRightInd w:val="0"/>
        <w:snapToGrid w:val="0"/>
        <w:spacing w:line="440" w:lineRule="exact"/>
        <w:ind w:right="31" w:rightChars="1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在本章第3.3款规定的投标有效期内，招标人以书面形式向中标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发出中标通知书，同时将中标结果通知未中标的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p>
    <w:p>
      <w:pPr>
        <w:pStyle w:val="4"/>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8</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合同签订</w:t>
      </w:r>
    </w:p>
    <w:p>
      <w:pPr>
        <w:adjustRightInd w:val="0"/>
        <w:snapToGrid w:val="0"/>
        <w:spacing w:line="440" w:lineRule="exact"/>
        <w:ind w:right="31" w:rightChars="1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 招标人和中标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应当自中标通知书发出之日起15天内，根据招标文件和中标人的投标文件订立书面合同。中标人无正当理由拒签合同的，招标人取消其中标资格。</w:t>
      </w:r>
    </w:p>
    <w:p>
      <w:pPr>
        <w:adjustRightInd w:val="0"/>
        <w:snapToGrid w:val="0"/>
        <w:spacing w:line="440" w:lineRule="exact"/>
        <w:ind w:right="31" w:rightChars="1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 合同协议书经双方法定代表人或其授权的代理人签署并加</w:t>
      </w:r>
      <w:r>
        <w:rPr>
          <w:rFonts w:hint="eastAsia" w:ascii="宋体" w:hAnsi="宋体" w:eastAsia="宋体" w:cs="宋体"/>
          <w:color w:val="auto"/>
          <w:sz w:val="24"/>
          <w:szCs w:val="24"/>
          <w:highlight w:val="none"/>
          <w:lang w:eastAsia="zh-CN"/>
        </w:rPr>
        <w:t>电子签章</w:t>
      </w:r>
      <w:r>
        <w:rPr>
          <w:rFonts w:hint="eastAsia" w:ascii="宋体" w:hAnsi="宋体" w:eastAsia="宋体" w:cs="宋体"/>
          <w:color w:val="auto"/>
          <w:sz w:val="24"/>
          <w:szCs w:val="24"/>
          <w:highlight w:val="none"/>
        </w:rPr>
        <w:t>后生效。</w:t>
      </w:r>
    </w:p>
    <w:p>
      <w:pPr>
        <w:pStyle w:val="4"/>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9</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重新招标</w:t>
      </w:r>
    </w:p>
    <w:p>
      <w:pPr>
        <w:adjustRightInd w:val="0"/>
        <w:snapToGrid w:val="0"/>
        <w:spacing w:line="440" w:lineRule="exact"/>
        <w:ind w:right="31" w:rightChars="1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有下列情形之一的，招标人将重新招标：</w:t>
      </w:r>
    </w:p>
    <w:p>
      <w:pPr>
        <w:adjustRightInd w:val="0"/>
        <w:snapToGrid w:val="0"/>
        <w:spacing w:line="440" w:lineRule="exact"/>
        <w:ind w:right="31" w:rightChars="1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（1）投标截止时间止，</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少于3个的；</w:t>
      </w:r>
    </w:p>
    <w:p>
      <w:pPr>
        <w:adjustRightInd w:val="0"/>
        <w:snapToGrid w:val="0"/>
        <w:spacing w:line="440" w:lineRule="exact"/>
        <w:ind w:right="31" w:rightChars="1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（2）经评标委员会评审后否决所有投标的；</w:t>
      </w:r>
    </w:p>
    <w:p>
      <w:pPr>
        <w:pStyle w:val="4"/>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纪律和监督</w:t>
      </w:r>
    </w:p>
    <w:p>
      <w:pPr>
        <w:adjustRightInd w:val="0"/>
        <w:snapToGrid w:val="0"/>
        <w:spacing w:line="440" w:lineRule="exact"/>
        <w:ind w:firstLine="480"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10.1 对招标人的纪律要求</w:t>
      </w:r>
    </w:p>
    <w:p>
      <w:pPr>
        <w:adjustRightInd w:val="0"/>
        <w:snapToGrid w:val="0"/>
        <w:spacing w:line="440" w:lineRule="exact"/>
        <w:ind w:right="31" w:rightChars="1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招标人不得泄漏招标投标活动中应当保密的情况和资料，不得与</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串通损害国家利益、社会公共利益或者他人合法权益。</w:t>
      </w:r>
    </w:p>
    <w:p>
      <w:pPr>
        <w:adjustRightInd w:val="0"/>
        <w:snapToGrid w:val="0"/>
        <w:spacing w:line="440" w:lineRule="exact"/>
        <w:ind w:firstLine="480"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10.2 对</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的纪律要求</w:t>
      </w:r>
    </w:p>
    <w:p>
      <w:pPr>
        <w:adjustRightInd w:val="0"/>
        <w:snapToGrid w:val="0"/>
        <w:spacing w:line="440" w:lineRule="exact"/>
        <w:ind w:right="31" w:rightChars="1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不得相互串通投标或者与招标人串通投标，不得向招标人或者评标委员会成员行贿谋取中标，不得以他人名义投标或者以其他方式弄虚作假骗取中标；</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不得以任何方式干扰、影响评标工作。</w:t>
      </w:r>
    </w:p>
    <w:p>
      <w:pPr>
        <w:adjustRightInd w:val="0"/>
        <w:snapToGrid w:val="0"/>
        <w:spacing w:line="440" w:lineRule="exact"/>
        <w:ind w:firstLine="480"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10.3 对评标委员会成员的纪律要求</w:t>
      </w:r>
    </w:p>
    <w:p>
      <w:pPr>
        <w:adjustRightInd w:val="0"/>
        <w:snapToGrid w:val="0"/>
        <w:spacing w:line="440" w:lineRule="exact"/>
        <w:ind w:right="31" w:rightChars="1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11项“评标标准和办法”没有规定的评审因素和标准进行评标。</w:t>
      </w:r>
    </w:p>
    <w:p>
      <w:pPr>
        <w:adjustRightInd w:val="0"/>
        <w:snapToGrid w:val="0"/>
        <w:spacing w:line="440" w:lineRule="exact"/>
        <w:ind w:firstLine="480"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10.4 对与评标活动有关的工作人员的纪律要求</w:t>
      </w:r>
    </w:p>
    <w:p>
      <w:pPr>
        <w:adjustRightInd w:val="0"/>
        <w:snapToGrid w:val="0"/>
        <w:spacing w:line="440" w:lineRule="exact"/>
        <w:ind w:right="31" w:rightChars="1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adjustRightInd w:val="0"/>
        <w:snapToGrid w:val="0"/>
        <w:spacing w:line="440" w:lineRule="exact"/>
        <w:ind w:firstLine="480"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10.5 投诉</w:t>
      </w:r>
    </w:p>
    <w:p>
      <w:pPr>
        <w:adjustRightInd w:val="0"/>
        <w:snapToGrid w:val="0"/>
        <w:spacing w:line="440" w:lineRule="exact"/>
        <w:ind w:right="31" w:rightChars="1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和其他利害关系人认为本次招标活动违反法律、法规和规章规定的，有权向有关行政监督部门投诉。</w:t>
      </w:r>
    </w:p>
    <w:p>
      <w:pPr>
        <w:adjustRightInd w:val="0"/>
        <w:snapToGrid w:val="0"/>
        <w:spacing w:line="440" w:lineRule="exact"/>
        <w:ind w:firstLine="480"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10.6其他规定</w:t>
      </w:r>
      <w:bookmarkStart w:id="27" w:name="_Toc9689"/>
      <w:bookmarkEnd w:id="27"/>
      <w:bookmarkStart w:id="28" w:name="_Toc525062094"/>
      <w:bookmarkEnd w:id="28"/>
    </w:p>
    <w:p>
      <w:pPr>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w:t>
      </w:r>
    </w:p>
    <w:p>
      <w:pPr>
        <w:pStyle w:val="4"/>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11. 评标标准和办法</w:t>
      </w:r>
    </w:p>
    <w:p>
      <w:pPr>
        <w:adjustRightInd w:val="0"/>
        <w:snapToGrid w:val="0"/>
        <w:spacing w:line="440" w:lineRule="exact"/>
        <w:ind w:firstLine="480"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11.1符合性审查</w:t>
      </w:r>
    </w:p>
    <w:tbl>
      <w:tblPr>
        <w:tblStyle w:val="46"/>
        <w:tblW w:w="9841" w:type="dxa"/>
        <w:tblInd w:w="-79" w:type="dxa"/>
        <w:tblLayout w:type="fixed"/>
        <w:tblCellMar>
          <w:top w:w="0" w:type="dxa"/>
          <w:left w:w="0" w:type="dxa"/>
          <w:bottom w:w="0" w:type="dxa"/>
          <w:right w:w="0" w:type="dxa"/>
        </w:tblCellMar>
      </w:tblPr>
      <w:tblGrid>
        <w:gridCol w:w="713"/>
        <w:gridCol w:w="1332"/>
        <w:gridCol w:w="2292"/>
        <w:gridCol w:w="5504"/>
      </w:tblGrid>
      <w:tr>
        <w:tblPrEx>
          <w:tblCellMar>
            <w:top w:w="0" w:type="dxa"/>
            <w:left w:w="0" w:type="dxa"/>
            <w:bottom w:w="0" w:type="dxa"/>
            <w:right w:w="0" w:type="dxa"/>
          </w:tblCellMar>
        </w:tblPrEx>
        <w:trPr>
          <w:trHeight w:val="534" w:hRule="atLeast"/>
        </w:trPr>
        <w:tc>
          <w:tcPr>
            <w:tcW w:w="713" w:type="dxa"/>
            <w:vMerge w:val="restart"/>
            <w:tcBorders>
              <w:top w:val="single" w:color="000000" w:sz="4" w:space="0"/>
              <w:left w:val="single" w:color="000000" w:sz="4" w:space="0"/>
              <w:bottom w:val="single" w:color="000000" w:sz="4" w:space="0"/>
              <w:right w:val="single" w:color="000000" w:sz="4" w:space="0"/>
            </w:tcBorders>
            <w:vAlign w:val="center"/>
          </w:tcPr>
          <w:p>
            <w:pPr>
              <w:pStyle w:val="67"/>
              <w:keepNext w:val="0"/>
              <w:keepLines w:val="0"/>
              <w:suppressLineNumbers w:val="0"/>
              <w:kinsoku w:val="0"/>
              <w:overflowPunct w:val="0"/>
              <w:spacing w:before="0" w:beforeAutospacing="0" w:after="0" w:afterAutospacing="0"/>
              <w:ind w:left="106" w:right="0"/>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1332" w:type="dxa"/>
            <w:vMerge w:val="restart"/>
            <w:tcBorders>
              <w:top w:val="single" w:color="000000" w:sz="4" w:space="0"/>
              <w:left w:val="nil"/>
              <w:bottom w:val="single" w:color="000000" w:sz="4" w:space="0"/>
              <w:right w:val="single" w:color="000000" w:sz="4" w:space="0"/>
            </w:tcBorders>
            <w:vAlign w:val="center"/>
          </w:tcPr>
          <w:p>
            <w:pPr>
              <w:pStyle w:val="67"/>
              <w:keepNext w:val="0"/>
              <w:keepLines w:val="0"/>
              <w:suppressLineNumbers w:val="0"/>
              <w:kinsoku w:val="0"/>
              <w:overflowPunct w:val="0"/>
              <w:spacing w:before="1" w:beforeAutospacing="0" w:after="0" w:afterAutospacing="0" w:line="316" w:lineRule="auto"/>
              <w:ind w:left="233" w:right="226"/>
              <w:jc w:val="center"/>
              <w:rPr>
                <w:rFonts w:hint="eastAsia" w:ascii="宋体" w:hAnsi="宋体" w:eastAsia="宋体" w:cs="宋体"/>
                <w:color w:val="auto"/>
                <w:highlight w:val="none"/>
              </w:rPr>
            </w:pPr>
            <w:r>
              <w:rPr>
                <w:rFonts w:hint="eastAsia" w:ascii="宋体" w:hAnsi="宋体" w:eastAsia="宋体" w:cs="宋体"/>
                <w:color w:val="auto"/>
                <w:highlight w:val="none"/>
              </w:rPr>
              <w:t>形式评审标准</w:t>
            </w:r>
          </w:p>
        </w:tc>
        <w:tc>
          <w:tcPr>
            <w:tcW w:w="2292" w:type="dxa"/>
            <w:tcBorders>
              <w:top w:val="single" w:color="000000" w:sz="4" w:space="0"/>
              <w:left w:val="nil"/>
              <w:bottom w:val="single" w:color="000000" w:sz="4" w:space="0"/>
              <w:right w:val="single" w:color="000000" w:sz="4" w:space="0"/>
            </w:tcBorders>
            <w:vAlign w:val="center"/>
          </w:tcPr>
          <w:p>
            <w:pPr>
              <w:pStyle w:val="67"/>
              <w:keepNext w:val="0"/>
              <w:keepLines w:val="0"/>
              <w:suppressLineNumbers w:val="0"/>
              <w:kinsoku w:val="0"/>
              <w:overflowPunct w:val="0"/>
              <w:spacing w:before="50" w:beforeAutospacing="0" w:after="0" w:afterAutospacing="0"/>
              <w:ind w:left="122" w:right="95"/>
              <w:jc w:val="center"/>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名称</w:t>
            </w:r>
          </w:p>
        </w:tc>
        <w:tc>
          <w:tcPr>
            <w:tcW w:w="5504" w:type="dxa"/>
            <w:tcBorders>
              <w:top w:val="single" w:color="000000" w:sz="4" w:space="0"/>
              <w:left w:val="nil"/>
              <w:bottom w:val="single" w:color="000000" w:sz="4" w:space="0"/>
              <w:right w:val="single" w:color="000000" w:sz="4" w:space="0"/>
            </w:tcBorders>
            <w:vAlign w:val="center"/>
          </w:tcPr>
          <w:p>
            <w:pPr>
              <w:pStyle w:val="67"/>
              <w:keepNext w:val="0"/>
              <w:keepLines w:val="0"/>
              <w:suppressLineNumbers w:val="0"/>
              <w:kinsoku w:val="0"/>
              <w:overflowPunct w:val="0"/>
              <w:spacing w:before="50" w:beforeAutospacing="0" w:after="0" w:afterAutospacing="0"/>
              <w:ind w:left="107" w:right="95"/>
              <w:jc w:val="center"/>
              <w:rPr>
                <w:rFonts w:hint="eastAsia" w:ascii="宋体" w:hAnsi="宋体" w:eastAsia="宋体" w:cs="宋体"/>
                <w:color w:val="auto"/>
                <w:highlight w:val="none"/>
              </w:rPr>
            </w:pPr>
            <w:r>
              <w:rPr>
                <w:rFonts w:hint="eastAsia" w:ascii="宋体" w:hAnsi="宋体" w:eastAsia="宋体" w:cs="宋体"/>
                <w:color w:val="auto"/>
                <w:highlight w:val="none"/>
              </w:rPr>
              <w:t>与营业执照一致</w:t>
            </w:r>
          </w:p>
        </w:tc>
      </w:tr>
      <w:tr>
        <w:tblPrEx>
          <w:tblCellMar>
            <w:top w:w="0" w:type="dxa"/>
            <w:left w:w="0" w:type="dxa"/>
            <w:bottom w:w="0" w:type="dxa"/>
            <w:right w:w="0" w:type="dxa"/>
          </w:tblCellMar>
        </w:tblPrEx>
        <w:trPr>
          <w:trHeight w:val="615" w:hRule="atLeast"/>
        </w:trPr>
        <w:tc>
          <w:tcPr>
            <w:tcW w:w="71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1332" w:type="dxa"/>
            <w:vMerge w:val="continue"/>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2292" w:type="dxa"/>
            <w:tcBorders>
              <w:top w:val="single" w:color="000000" w:sz="4" w:space="0"/>
              <w:left w:val="nil"/>
              <w:bottom w:val="single" w:color="000000" w:sz="4" w:space="0"/>
              <w:right w:val="single" w:color="000000" w:sz="4" w:space="0"/>
            </w:tcBorders>
            <w:vAlign w:val="center"/>
          </w:tcPr>
          <w:p>
            <w:pPr>
              <w:pStyle w:val="67"/>
              <w:keepNext w:val="0"/>
              <w:keepLines w:val="0"/>
              <w:suppressLineNumbers w:val="0"/>
              <w:kinsoku w:val="0"/>
              <w:overflowPunct w:val="0"/>
              <w:spacing w:before="50" w:beforeAutospacing="0" w:after="0" w:afterAutospacing="0"/>
              <w:ind w:left="122" w:right="95"/>
              <w:jc w:val="center"/>
              <w:rPr>
                <w:rFonts w:hint="eastAsia" w:ascii="宋体" w:hAnsi="宋体" w:eastAsia="宋体" w:cs="宋体"/>
                <w:color w:val="auto"/>
                <w:highlight w:val="none"/>
              </w:rPr>
            </w:pPr>
            <w:r>
              <w:rPr>
                <w:rFonts w:hint="eastAsia" w:ascii="宋体" w:hAnsi="宋体" w:eastAsia="宋体" w:cs="宋体"/>
                <w:color w:val="auto"/>
                <w:highlight w:val="none"/>
              </w:rPr>
              <w:t>投标函签字盖章</w:t>
            </w:r>
          </w:p>
        </w:tc>
        <w:tc>
          <w:tcPr>
            <w:tcW w:w="5504" w:type="dxa"/>
            <w:tcBorders>
              <w:top w:val="single" w:color="000000" w:sz="4" w:space="0"/>
              <w:left w:val="nil"/>
              <w:bottom w:val="single" w:color="000000" w:sz="4" w:space="0"/>
              <w:right w:val="single" w:color="000000" w:sz="4" w:space="0"/>
            </w:tcBorders>
            <w:vAlign w:val="center"/>
          </w:tcPr>
          <w:p>
            <w:pPr>
              <w:pStyle w:val="67"/>
              <w:keepNext w:val="0"/>
              <w:keepLines w:val="0"/>
              <w:suppressLineNumbers w:val="0"/>
              <w:kinsoku w:val="0"/>
              <w:overflowPunct w:val="0"/>
              <w:spacing w:before="52" w:beforeAutospacing="0" w:after="0" w:afterAutospacing="0"/>
              <w:ind w:left="107" w:right="0"/>
              <w:jc w:val="center"/>
              <w:rPr>
                <w:rFonts w:hint="eastAsia" w:ascii="宋体" w:hAnsi="宋体" w:eastAsia="宋体" w:cs="宋体"/>
                <w:color w:val="auto"/>
                <w:highlight w:val="none"/>
              </w:rPr>
            </w:pPr>
            <w:r>
              <w:rPr>
                <w:rFonts w:hint="eastAsia" w:ascii="宋体" w:hAnsi="宋体" w:eastAsia="宋体" w:cs="宋体"/>
                <w:color w:val="auto"/>
                <w:highlight w:val="none"/>
              </w:rPr>
              <w:t>有法定代表人或其委托代理人签字或盖章并加盖单位公章</w:t>
            </w:r>
          </w:p>
        </w:tc>
      </w:tr>
      <w:tr>
        <w:tblPrEx>
          <w:tblCellMar>
            <w:top w:w="0" w:type="dxa"/>
            <w:left w:w="0" w:type="dxa"/>
            <w:bottom w:w="0" w:type="dxa"/>
            <w:right w:w="0" w:type="dxa"/>
          </w:tblCellMar>
        </w:tblPrEx>
        <w:trPr>
          <w:trHeight w:val="714" w:hRule="atLeast"/>
        </w:trPr>
        <w:tc>
          <w:tcPr>
            <w:tcW w:w="71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1332" w:type="dxa"/>
            <w:vMerge w:val="continue"/>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2292" w:type="dxa"/>
            <w:tcBorders>
              <w:top w:val="single" w:color="000000" w:sz="4" w:space="0"/>
              <w:left w:val="nil"/>
              <w:bottom w:val="single" w:color="000000" w:sz="4" w:space="0"/>
              <w:right w:val="single" w:color="000000" w:sz="4" w:space="0"/>
            </w:tcBorders>
            <w:vAlign w:val="center"/>
          </w:tcPr>
          <w:p>
            <w:pPr>
              <w:pStyle w:val="67"/>
              <w:keepNext w:val="0"/>
              <w:keepLines w:val="0"/>
              <w:suppressLineNumbers w:val="0"/>
              <w:kinsoku w:val="0"/>
              <w:overflowPunct w:val="0"/>
              <w:spacing w:before="118" w:beforeAutospacing="0" w:after="0" w:afterAutospacing="0"/>
              <w:ind w:left="122" w:right="95"/>
              <w:jc w:val="center"/>
              <w:rPr>
                <w:rFonts w:hint="eastAsia" w:ascii="宋体" w:hAnsi="宋体" w:eastAsia="宋体" w:cs="宋体"/>
                <w:color w:val="auto"/>
                <w:highlight w:val="none"/>
              </w:rPr>
            </w:pPr>
            <w:r>
              <w:rPr>
                <w:rFonts w:hint="eastAsia" w:ascii="宋体" w:hAnsi="宋体" w:eastAsia="宋体" w:cs="宋体"/>
                <w:color w:val="auto"/>
                <w:highlight w:val="none"/>
              </w:rPr>
              <w:t>投标文件格式</w:t>
            </w:r>
          </w:p>
        </w:tc>
        <w:tc>
          <w:tcPr>
            <w:tcW w:w="5504" w:type="dxa"/>
            <w:tcBorders>
              <w:top w:val="single" w:color="000000" w:sz="4" w:space="0"/>
              <w:left w:val="nil"/>
              <w:bottom w:val="single" w:color="000000" w:sz="4" w:space="0"/>
              <w:right w:val="single" w:color="000000" w:sz="4" w:space="0"/>
            </w:tcBorders>
            <w:vAlign w:val="center"/>
          </w:tcPr>
          <w:p>
            <w:pPr>
              <w:pStyle w:val="67"/>
              <w:keepNext w:val="0"/>
              <w:keepLines w:val="0"/>
              <w:suppressLineNumbers w:val="0"/>
              <w:kinsoku w:val="0"/>
              <w:overflowPunct w:val="0"/>
              <w:spacing w:before="118" w:beforeAutospacing="0" w:after="0" w:afterAutospacing="0"/>
              <w:ind w:left="107" w:right="0"/>
              <w:jc w:val="center"/>
              <w:rPr>
                <w:rFonts w:hint="eastAsia" w:ascii="宋体" w:hAnsi="宋体" w:eastAsia="宋体" w:cs="宋体"/>
                <w:color w:val="auto"/>
                <w:highlight w:val="none"/>
              </w:rPr>
            </w:pPr>
            <w:r>
              <w:rPr>
                <w:rFonts w:hint="eastAsia" w:ascii="宋体" w:hAnsi="宋体" w:eastAsia="宋体" w:cs="宋体"/>
                <w:color w:val="auto"/>
                <w:highlight w:val="none"/>
              </w:rPr>
              <w:t>符合“投标文件格式”的要求</w:t>
            </w:r>
          </w:p>
        </w:tc>
      </w:tr>
      <w:tr>
        <w:tblPrEx>
          <w:tblCellMar>
            <w:top w:w="0" w:type="dxa"/>
            <w:left w:w="0" w:type="dxa"/>
            <w:bottom w:w="0" w:type="dxa"/>
            <w:right w:w="0" w:type="dxa"/>
          </w:tblCellMar>
        </w:tblPrEx>
        <w:trPr>
          <w:trHeight w:val="727" w:hRule="atLeast"/>
        </w:trPr>
        <w:tc>
          <w:tcPr>
            <w:tcW w:w="71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1332" w:type="dxa"/>
            <w:vMerge w:val="continue"/>
            <w:tcBorders>
              <w:top w:val="single" w:color="000000" w:sz="4" w:space="0"/>
              <w:left w:val="nil"/>
              <w:bottom w:val="single" w:color="auto"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2292" w:type="dxa"/>
            <w:tcBorders>
              <w:top w:val="single" w:color="000000" w:sz="4" w:space="0"/>
              <w:left w:val="nil"/>
              <w:bottom w:val="single" w:color="auto" w:sz="4" w:space="0"/>
              <w:right w:val="single" w:color="000000" w:sz="4" w:space="0"/>
            </w:tcBorders>
            <w:vAlign w:val="center"/>
          </w:tcPr>
          <w:p>
            <w:pPr>
              <w:pStyle w:val="67"/>
              <w:keepNext w:val="0"/>
              <w:keepLines w:val="0"/>
              <w:suppressLineNumbers w:val="0"/>
              <w:kinsoku w:val="0"/>
              <w:overflowPunct w:val="0"/>
              <w:spacing w:before="142" w:beforeAutospacing="0" w:after="0" w:afterAutospacing="0"/>
              <w:ind w:left="110" w:right="104"/>
              <w:jc w:val="center"/>
              <w:rPr>
                <w:rFonts w:hint="eastAsia" w:ascii="宋体" w:hAnsi="宋体" w:eastAsia="宋体" w:cs="宋体"/>
                <w:color w:val="auto"/>
                <w:highlight w:val="none"/>
              </w:rPr>
            </w:pPr>
            <w:r>
              <w:rPr>
                <w:rFonts w:hint="eastAsia" w:ascii="宋体" w:hAnsi="宋体" w:eastAsia="宋体" w:cs="宋体"/>
                <w:color w:val="auto"/>
                <w:highlight w:val="none"/>
              </w:rPr>
              <w:t>报价唯一</w:t>
            </w:r>
          </w:p>
        </w:tc>
        <w:tc>
          <w:tcPr>
            <w:tcW w:w="5504" w:type="dxa"/>
            <w:tcBorders>
              <w:top w:val="single" w:color="000000" w:sz="4" w:space="0"/>
              <w:left w:val="nil"/>
              <w:bottom w:val="single" w:color="auto" w:sz="4" w:space="0"/>
              <w:right w:val="single" w:color="000000" w:sz="4" w:space="0"/>
            </w:tcBorders>
            <w:vAlign w:val="center"/>
          </w:tcPr>
          <w:p>
            <w:pPr>
              <w:pStyle w:val="67"/>
              <w:keepNext w:val="0"/>
              <w:keepLines w:val="0"/>
              <w:suppressLineNumbers w:val="0"/>
              <w:kinsoku w:val="0"/>
              <w:overflowPunct w:val="0"/>
              <w:spacing w:before="142" w:beforeAutospacing="0" w:after="0" w:afterAutospacing="0"/>
              <w:ind w:left="107" w:right="0"/>
              <w:jc w:val="center"/>
              <w:rPr>
                <w:rFonts w:hint="eastAsia" w:ascii="宋体" w:hAnsi="宋体" w:eastAsia="宋体" w:cs="宋体"/>
                <w:color w:val="auto"/>
                <w:highlight w:val="none"/>
              </w:rPr>
            </w:pPr>
            <w:r>
              <w:rPr>
                <w:rFonts w:hint="eastAsia" w:ascii="宋体" w:hAnsi="宋体" w:eastAsia="宋体" w:cs="宋体"/>
                <w:color w:val="auto"/>
                <w:highlight w:val="none"/>
              </w:rPr>
              <w:t>只能有一个有效报价</w:t>
            </w:r>
          </w:p>
        </w:tc>
      </w:tr>
      <w:tr>
        <w:tblPrEx>
          <w:tblCellMar>
            <w:top w:w="0" w:type="dxa"/>
            <w:left w:w="0" w:type="dxa"/>
            <w:bottom w:w="0" w:type="dxa"/>
            <w:right w:w="0" w:type="dxa"/>
          </w:tblCellMar>
        </w:tblPrEx>
        <w:trPr>
          <w:trHeight w:val="727" w:hRule="atLeast"/>
        </w:trPr>
        <w:tc>
          <w:tcPr>
            <w:tcW w:w="713"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2"/>
                <w:szCs w:val="22"/>
                <w:highlight w:val="none"/>
                <w:lang w:val="en-US" w:eastAsia="zh-CN"/>
              </w:rPr>
              <w:t>2</w:t>
            </w:r>
          </w:p>
        </w:tc>
        <w:tc>
          <w:tcPr>
            <w:tcW w:w="1332" w:type="dxa"/>
            <w:vMerge w:val="restart"/>
            <w:tcBorders>
              <w:top w:val="single" w:color="000000" w:sz="4" w:space="0"/>
              <w:left w:val="nil"/>
              <w:right w:val="single" w:color="000000" w:sz="4" w:space="0"/>
            </w:tcBorders>
            <w:vAlign w:val="center"/>
          </w:tcPr>
          <w:p>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2"/>
                <w:szCs w:val="22"/>
                <w:highlight w:val="none"/>
                <w:lang w:val="en-US" w:eastAsia="zh-CN"/>
              </w:rPr>
              <w:t>资格评审标准</w:t>
            </w:r>
          </w:p>
        </w:tc>
        <w:tc>
          <w:tcPr>
            <w:tcW w:w="2292" w:type="dxa"/>
            <w:tcBorders>
              <w:top w:val="single" w:color="000000" w:sz="4" w:space="0"/>
              <w:left w:val="nil"/>
              <w:bottom w:val="single" w:color="auto" w:sz="4" w:space="0"/>
              <w:right w:val="single" w:color="000000" w:sz="4" w:space="0"/>
            </w:tcBorders>
            <w:vAlign w:val="center"/>
          </w:tcPr>
          <w:p>
            <w:pPr>
              <w:keepNext w:val="0"/>
              <w:keepLines w:val="0"/>
              <w:pageBreakBefore w:val="0"/>
              <w:suppressLineNumbers w:val="0"/>
              <w:wordWrap w:val="0"/>
              <w:topLinePunct w:val="0"/>
              <w:bidi w:val="0"/>
              <w:spacing w:before="0" w:beforeAutospacing="0" w:after="0" w:afterAutospacing="0" w:line="360" w:lineRule="auto"/>
              <w:ind w:left="0" w:right="0"/>
              <w:jc w:val="center"/>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营业执照</w:t>
            </w:r>
          </w:p>
        </w:tc>
        <w:tc>
          <w:tcPr>
            <w:tcW w:w="5504" w:type="dxa"/>
            <w:tcBorders>
              <w:top w:val="single" w:color="000000" w:sz="4" w:space="0"/>
              <w:left w:val="nil"/>
              <w:bottom w:val="single" w:color="auto" w:sz="4" w:space="0"/>
              <w:right w:val="single" w:color="000000" w:sz="4" w:space="0"/>
            </w:tcBorders>
            <w:vAlign w:val="center"/>
          </w:tcPr>
          <w:p>
            <w:pPr>
              <w:keepNext w:val="0"/>
              <w:keepLines w:val="0"/>
              <w:pageBreakBefore w:val="0"/>
              <w:suppressLineNumbers w:val="0"/>
              <w:wordWrap w:val="0"/>
              <w:topLinePunct w:val="0"/>
              <w:bidi w:val="0"/>
              <w:spacing w:before="0" w:beforeAutospacing="0" w:after="0" w:afterAutospacing="0" w:line="360" w:lineRule="auto"/>
              <w:ind w:left="0" w:right="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符合第二章“供应商须知前附表”第14项规定</w:t>
            </w:r>
          </w:p>
        </w:tc>
      </w:tr>
      <w:tr>
        <w:tblPrEx>
          <w:tblCellMar>
            <w:top w:w="0" w:type="dxa"/>
            <w:left w:w="0" w:type="dxa"/>
            <w:bottom w:w="0" w:type="dxa"/>
            <w:right w:w="0" w:type="dxa"/>
          </w:tblCellMar>
        </w:tblPrEx>
        <w:trPr>
          <w:trHeight w:val="727" w:hRule="atLeast"/>
        </w:trPr>
        <w:tc>
          <w:tcPr>
            <w:tcW w:w="713"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kern w:val="0"/>
                <w:sz w:val="22"/>
                <w:szCs w:val="22"/>
                <w:highlight w:val="none"/>
                <w:lang w:val="en-US" w:eastAsia="zh-CN"/>
              </w:rPr>
            </w:pPr>
          </w:p>
        </w:tc>
        <w:tc>
          <w:tcPr>
            <w:tcW w:w="1332" w:type="dxa"/>
            <w:vMerge w:val="continue"/>
            <w:tcBorders>
              <w:left w:val="nil"/>
              <w:right w:val="single" w:color="000000" w:sz="4" w:space="0"/>
            </w:tcBorders>
            <w:vAlign w:val="center"/>
          </w:tcPr>
          <w:p>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color w:val="auto"/>
                <w:kern w:val="0"/>
                <w:sz w:val="22"/>
                <w:szCs w:val="22"/>
                <w:highlight w:val="none"/>
                <w:lang w:val="en-US" w:eastAsia="zh-CN"/>
              </w:rPr>
            </w:pPr>
          </w:p>
        </w:tc>
        <w:tc>
          <w:tcPr>
            <w:tcW w:w="2292" w:type="dxa"/>
            <w:tcBorders>
              <w:top w:val="single" w:color="000000" w:sz="4" w:space="0"/>
              <w:left w:val="nil"/>
              <w:bottom w:val="single" w:color="auto" w:sz="4" w:space="0"/>
              <w:right w:val="single" w:color="000000" w:sz="4" w:space="0"/>
            </w:tcBorders>
            <w:vAlign w:val="center"/>
          </w:tcPr>
          <w:p>
            <w:pPr>
              <w:keepNext w:val="0"/>
              <w:keepLines w:val="0"/>
              <w:pageBreakBefore w:val="0"/>
              <w:suppressLineNumbers w:val="0"/>
              <w:wordWrap w:val="0"/>
              <w:topLinePunct w:val="0"/>
              <w:bidi w:val="0"/>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财务状况</w:t>
            </w:r>
          </w:p>
        </w:tc>
        <w:tc>
          <w:tcPr>
            <w:tcW w:w="5504" w:type="dxa"/>
            <w:tcBorders>
              <w:top w:val="single" w:color="000000" w:sz="4" w:space="0"/>
              <w:left w:val="nil"/>
              <w:bottom w:val="single" w:color="auto" w:sz="4" w:space="0"/>
              <w:right w:val="single" w:color="000000" w:sz="4" w:space="0"/>
            </w:tcBorders>
            <w:vAlign w:val="center"/>
          </w:tcPr>
          <w:p>
            <w:pPr>
              <w:keepNext w:val="0"/>
              <w:keepLines w:val="0"/>
              <w:pageBreakBefore w:val="0"/>
              <w:suppressLineNumbers w:val="0"/>
              <w:wordWrap w:val="0"/>
              <w:topLinePunct w:val="0"/>
              <w:bidi w:val="0"/>
              <w:spacing w:before="0" w:beforeAutospacing="0" w:after="0" w:afterAutospacing="0" w:line="360" w:lineRule="auto"/>
              <w:ind w:left="0" w:right="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符合第二章“供应商须知前附表”第14项规定</w:t>
            </w:r>
          </w:p>
        </w:tc>
      </w:tr>
      <w:tr>
        <w:tblPrEx>
          <w:tblCellMar>
            <w:top w:w="0" w:type="dxa"/>
            <w:left w:w="0" w:type="dxa"/>
            <w:bottom w:w="0" w:type="dxa"/>
            <w:right w:w="0" w:type="dxa"/>
          </w:tblCellMar>
        </w:tblPrEx>
        <w:trPr>
          <w:trHeight w:val="727" w:hRule="atLeast"/>
        </w:trPr>
        <w:tc>
          <w:tcPr>
            <w:tcW w:w="713"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kern w:val="0"/>
                <w:sz w:val="22"/>
                <w:szCs w:val="22"/>
                <w:highlight w:val="none"/>
                <w:lang w:val="en-US" w:eastAsia="zh-CN"/>
              </w:rPr>
            </w:pPr>
          </w:p>
        </w:tc>
        <w:tc>
          <w:tcPr>
            <w:tcW w:w="1332" w:type="dxa"/>
            <w:vMerge w:val="continue"/>
            <w:tcBorders>
              <w:left w:val="nil"/>
              <w:right w:val="single" w:color="000000" w:sz="4" w:space="0"/>
            </w:tcBorders>
            <w:vAlign w:val="center"/>
          </w:tcPr>
          <w:p>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color w:val="auto"/>
                <w:kern w:val="0"/>
                <w:sz w:val="22"/>
                <w:szCs w:val="22"/>
                <w:highlight w:val="none"/>
                <w:lang w:val="en-US" w:eastAsia="zh-CN"/>
              </w:rPr>
            </w:pPr>
          </w:p>
        </w:tc>
        <w:tc>
          <w:tcPr>
            <w:tcW w:w="2292" w:type="dxa"/>
            <w:tcBorders>
              <w:top w:val="single" w:color="000000" w:sz="4" w:space="0"/>
              <w:left w:val="nil"/>
              <w:bottom w:val="single" w:color="auto" w:sz="4" w:space="0"/>
              <w:right w:val="single" w:color="000000" w:sz="4" w:space="0"/>
            </w:tcBorders>
            <w:vAlign w:val="center"/>
          </w:tcPr>
          <w:p>
            <w:pPr>
              <w:keepNext w:val="0"/>
              <w:keepLines w:val="0"/>
              <w:pageBreakBefore w:val="0"/>
              <w:suppressLineNumbers w:val="0"/>
              <w:wordWrap w:val="0"/>
              <w:topLinePunct w:val="0"/>
              <w:bidi w:val="0"/>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税收和社保</w:t>
            </w:r>
          </w:p>
        </w:tc>
        <w:tc>
          <w:tcPr>
            <w:tcW w:w="5504" w:type="dxa"/>
            <w:tcBorders>
              <w:top w:val="single" w:color="000000" w:sz="4" w:space="0"/>
              <w:left w:val="nil"/>
              <w:bottom w:val="single" w:color="auto" w:sz="4" w:space="0"/>
              <w:right w:val="single" w:color="000000" w:sz="4" w:space="0"/>
            </w:tcBorders>
            <w:vAlign w:val="center"/>
          </w:tcPr>
          <w:p>
            <w:pPr>
              <w:keepNext w:val="0"/>
              <w:keepLines w:val="0"/>
              <w:pageBreakBefore w:val="0"/>
              <w:suppressLineNumbers w:val="0"/>
              <w:wordWrap w:val="0"/>
              <w:topLinePunct w:val="0"/>
              <w:bidi w:val="0"/>
              <w:spacing w:before="0" w:beforeAutospacing="0" w:after="0" w:afterAutospacing="0" w:line="360" w:lineRule="auto"/>
              <w:ind w:left="0" w:right="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符合第二章“供应商须知前附表”第14项规定</w:t>
            </w:r>
          </w:p>
        </w:tc>
      </w:tr>
      <w:tr>
        <w:tblPrEx>
          <w:tblCellMar>
            <w:top w:w="0" w:type="dxa"/>
            <w:left w:w="0" w:type="dxa"/>
            <w:bottom w:w="0" w:type="dxa"/>
            <w:right w:w="0" w:type="dxa"/>
          </w:tblCellMar>
        </w:tblPrEx>
        <w:trPr>
          <w:trHeight w:val="727" w:hRule="atLeast"/>
        </w:trPr>
        <w:tc>
          <w:tcPr>
            <w:tcW w:w="713"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kern w:val="0"/>
                <w:sz w:val="22"/>
                <w:szCs w:val="22"/>
                <w:highlight w:val="none"/>
                <w:lang w:val="en-US" w:eastAsia="zh-CN"/>
              </w:rPr>
            </w:pPr>
          </w:p>
        </w:tc>
        <w:tc>
          <w:tcPr>
            <w:tcW w:w="1332" w:type="dxa"/>
            <w:vMerge w:val="continue"/>
            <w:tcBorders>
              <w:left w:val="nil"/>
              <w:right w:val="single" w:color="000000" w:sz="4" w:space="0"/>
            </w:tcBorders>
            <w:vAlign w:val="center"/>
          </w:tcPr>
          <w:p>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color w:val="auto"/>
                <w:kern w:val="0"/>
                <w:sz w:val="22"/>
                <w:szCs w:val="22"/>
                <w:highlight w:val="none"/>
                <w:lang w:val="en-US" w:eastAsia="zh-CN"/>
              </w:rPr>
            </w:pPr>
          </w:p>
        </w:tc>
        <w:tc>
          <w:tcPr>
            <w:tcW w:w="2292" w:type="dxa"/>
            <w:tcBorders>
              <w:top w:val="single" w:color="000000" w:sz="4" w:space="0"/>
              <w:left w:val="nil"/>
              <w:bottom w:val="single" w:color="auto" w:sz="4" w:space="0"/>
              <w:right w:val="single" w:color="000000" w:sz="4" w:space="0"/>
            </w:tcBorders>
            <w:vAlign w:val="center"/>
          </w:tcPr>
          <w:p>
            <w:pPr>
              <w:keepNext w:val="0"/>
              <w:keepLines w:val="0"/>
              <w:pageBreakBefore w:val="0"/>
              <w:suppressLineNumbers w:val="0"/>
              <w:wordWrap w:val="0"/>
              <w:topLinePunct w:val="0"/>
              <w:bidi w:val="0"/>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具有履行合同所必需的设备和专业技术能力</w:t>
            </w:r>
          </w:p>
        </w:tc>
        <w:tc>
          <w:tcPr>
            <w:tcW w:w="5504" w:type="dxa"/>
            <w:tcBorders>
              <w:top w:val="single" w:color="000000" w:sz="4" w:space="0"/>
              <w:left w:val="nil"/>
              <w:bottom w:val="single" w:color="auto" w:sz="4" w:space="0"/>
              <w:right w:val="single" w:color="000000" w:sz="4" w:space="0"/>
            </w:tcBorders>
            <w:vAlign w:val="center"/>
          </w:tcPr>
          <w:p>
            <w:pPr>
              <w:keepNext w:val="0"/>
              <w:keepLines w:val="0"/>
              <w:pageBreakBefore w:val="0"/>
              <w:suppressLineNumbers w:val="0"/>
              <w:wordWrap w:val="0"/>
              <w:topLinePunct w:val="0"/>
              <w:bidi w:val="0"/>
              <w:spacing w:before="0" w:beforeAutospacing="0" w:after="0" w:afterAutospacing="0" w:line="360" w:lineRule="auto"/>
              <w:ind w:left="0" w:right="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符合第二章“供应商须知前附表”第14项规定</w:t>
            </w:r>
          </w:p>
        </w:tc>
      </w:tr>
      <w:tr>
        <w:tblPrEx>
          <w:tblCellMar>
            <w:top w:w="0" w:type="dxa"/>
            <w:left w:w="0" w:type="dxa"/>
            <w:bottom w:w="0" w:type="dxa"/>
            <w:right w:w="0" w:type="dxa"/>
          </w:tblCellMar>
        </w:tblPrEx>
        <w:trPr>
          <w:trHeight w:val="727" w:hRule="atLeast"/>
        </w:trPr>
        <w:tc>
          <w:tcPr>
            <w:tcW w:w="713"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kern w:val="0"/>
                <w:sz w:val="22"/>
                <w:szCs w:val="22"/>
                <w:highlight w:val="none"/>
                <w:lang w:val="en-US" w:eastAsia="zh-CN"/>
              </w:rPr>
            </w:pPr>
          </w:p>
        </w:tc>
        <w:tc>
          <w:tcPr>
            <w:tcW w:w="1332" w:type="dxa"/>
            <w:vMerge w:val="continue"/>
            <w:tcBorders>
              <w:left w:val="nil"/>
              <w:right w:val="single" w:color="000000" w:sz="4" w:space="0"/>
            </w:tcBorders>
            <w:vAlign w:val="center"/>
          </w:tcPr>
          <w:p>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color w:val="auto"/>
                <w:kern w:val="0"/>
                <w:sz w:val="22"/>
                <w:szCs w:val="22"/>
                <w:highlight w:val="none"/>
                <w:lang w:val="en-US" w:eastAsia="zh-CN"/>
              </w:rPr>
            </w:pPr>
          </w:p>
        </w:tc>
        <w:tc>
          <w:tcPr>
            <w:tcW w:w="2292" w:type="dxa"/>
            <w:tcBorders>
              <w:top w:val="single" w:color="000000" w:sz="4" w:space="0"/>
              <w:left w:val="nil"/>
              <w:bottom w:val="single" w:color="auto" w:sz="4" w:space="0"/>
              <w:right w:val="single" w:color="000000" w:sz="4" w:space="0"/>
            </w:tcBorders>
            <w:vAlign w:val="center"/>
          </w:tcPr>
          <w:p>
            <w:pPr>
              <w:keepNext w:val="0"/>
              <w:keepLines w:val="0"/>
              <w:pageBreakBefore w:val="0"/>
              <w:suppressLineNumbers w:val="0"/>
              <w:wordWrap w:val="0"/>
              <w:topLinePunct w:val="0"/>
              <w:bidi w:val="0"/>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参加政府采购活动近三年内在经营活动中没有重大违法记录</w:t>
            </w:r>
          </w:p>
        </w:tc>
        <w:tc>
          <w:tcPr>
            <w:tcW w:w="5504" w:type="dxa"/>
            <w:tcBorders>
              <w:top w:val="single" w:color="000000" w:sz="4" w:space="0"/>
              <w:left w:val="nil"/>
              <w:bottom w:val="single" w:color="auto" w:sz="4" w:space="0"/>
              <w:right w:val="single" w:color="000000" w:sz="4" w:space="0"/>
            </w:tcBorders>
            <w:vAlign w:val="center"/>
          </w:tcPr>
          <w:p>
            <w:pPr>
              <w:keepNext w:val="0"/>
              <w:keepLines w:val="0"/>
              <w:pageBreakBefore w:val="0"/>
              <w:suppressLineNumbers w:val="0"/>
              <w:wordWrap w:val="0"/>
              <w:topLinePunct w:val="0"/>
              <w:bidi w:val="0"/>
              <w:spacing w:before="0" w:beforeAutospacing="0" w:after="0" w:afterAutospacing="0" w:line="360" w:lineRule="auto"/>
              <w:ind w:left="0" w:right="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符合第二章“供应商须知前附表”第14项规定</w:t>
            </w:r>
          </w:p>
        </w:tc>
      </w:tr>
      <w:tr>
        <w:tblPrEx>
          <w:tblCellMar>
            <w:top w:w="0" w:type="dxa"/>
            <w:left w:w="0" w:type="dxa"/>
            <w:bottom w:w="0" w:type="dxa"/>
            <w:right w:w="0" w:type="dxa"/>
          </w:tblCellMar>
        </w:tblPrEx>
        <w:trPr>
          <w:trHeight w:val="727" w:hRule="atLeast"/>
        </w:trPr>
        <w:tc>
          <w:tcPr>
            <w:tcW w:w="713"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kern w:val="0"/>
                <w:sz w:val="22"/>
                <w:szCs w:val="22"/>
                <w:highlight w:val="none"/>
                <w:lang w:val="en-US" w:eastAsia="zh-CN"/>
              </w:rPr>
            </w:pPr>
          </w:p>
        </w:tc>
        <w:tc>
          <w:tcPr>
            <w:tcW w:w="1332" w:type="dxa"/>
            <w:vMerge w:val="continue"/>
            <w:tcBorders>
              <w:left w:val="nil"/>
              <w:right w:val="single" w:color="000000" w:sz="4" w:space="0"/>
            </w:tcBorders>
            <w:vAlign w:val="center"/>
          </w:tcPr>
          <w:p>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color w:val="auto"/>
                <w:kern w:val="0"/>
                <w:sz w:val="22"/>
                <w:szCs w:val="22"/>
                <w:highlight w:val="none"/>
                <w:lang w:val="en-US" w:eastAsia="zh-CN"/>
              </w:rPr>
            </w:pPr>
          </w:p>
        </w:tc>
        <w:tc>
          <w:tcPr>
            <w:tcW w:w="2292" w:type="dxa"/>
            <w:tcBorders>
              <w:top w:val="single" w:color="000000" w:sz="4" w:space="0"/>
              <w:left w:val="nil"/>
              <w:bottom w:val="single" w:color="auto" w:sz="4" w:space="0"/>
              <w:right w:val="single" w:color="000000" w:sz="4" w:space="0"/>
            </w:tcBorders>
            <w:vAlign w:val="center"/>
          </w:tcPr>
          <w:p>
            <w:pPr>
              <w:keepNext w:val="0"/>
              <w:keepLines w:val="0"/>
              <w:pageBreakBefore w:val="0"/>
              <w:suppressLineNumbers w:val="0"/>
              <w:wordWrap w:val="0"/>
              <w:topLinePunct w:val="0"/>
              <w:bidi w:val="0"/>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信用中国</w:t>
            </w:r>
          </w:p>
        </w:tc>
        <w:tc>
          <w:tcPr>
            <w:tcW w:w="5504" w:type="dxa"/>
            <w:tcBorders>
              <w:top w:val="single" w:color="000000" w:sz="4" w:space="0"/>
              <w:left w:val="nil"/>
              <w:bottom w:val="single" w:color="auto" w:sz="4" w:space="0"/>
              <w:right w:val="single" w:color="000000" w:sz="4" w:space="0"/>
            </w:tcBorders>
            <w:vAlign w:val="center"/>
          </w:tcPr>
          <w:p>
            <w:pPr>
              <w:keepNext w:val="0"/>
              <w:keepLines w:val="0"/>
              <w:pageBreakBefore w:val="0"/>
              <w:suppressLineNumbers w:val="0"/>
              <w:wordWrap w:val="0"/>
              <w:topLinePunct w:val="0"/>
              <w:bidi w:val="0"/>
              <w:spacing w:before="0" w:beforeAutospacing="0" w:after="0" w:afterAutospacing="0" w:line="360" w:lineRule="auto"/>
              <w:ind w:left="0" w:right="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符合第二章“供应商须知前附表”第14项规定</w:t>
            </w:r>
          </w:p>
        </w:tc>
      </w:tr>
      <w:tr>
        <w:tblPrEx>
          <w:tblCellMar>
            <w:top w:w="0" w:type="dxa"/>
            <w:left w:w="0" w:type="dxa"/>
            <w:bottom w:w="0" w:type="dxa"/>
            <w:right w:w="0" w:type="dxa"/>
          </w:tblCellMar>
        </w:tblPrEx>
        <w:trPr>
          <w:trHeight w:val="727" w:hRule="atLeast"/>
        </w:trPr>
        <w:tc>
          <w:tcPr>
            <w:tcW w:w="713" w:type="dxa"/>
            <w:vMerge w:val="continue"/>
            <w:tcBorders>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kern w:val="0"/>
                <w:sz w:val="22"/>
                <w:szCs w:val="22"/>
                <w:highlight w:val="none"/>
                <w:lang w:val="en-US" w:eastAsia="zh-CN"/>
              </w:rPr>
            </w:pPr>
          </w:p>
        </w:tc>
        <w:tc>
          <w:tcPr>
            <w:tcW w:w="1332" w:type="dxa"/>
            <w:vMerge w:val="continue"/>
            <w:tcBorders>
              <w:left w:val="nil"/>
              <w:right w:val="single" w:color="000000" w:sz="4" w:space="0"/>
            </w:tcBorders>
            <w:vAlign w:val="center"/>
          </w:tcPr>
          <w:p>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color w:val="auto"/>
                <w:kern w:val="0"/>
                <w:sz w:val="22"/>
                <w:szCs w:val="22"/>
                <w:highlight w:val="none"/>
                <w:lang w:val="en-US" w:eastAsia="zh-CN"/>
              </w:rPr>
            </w:pPr>
          </w:p>
        </w:tc>
        <w:tc>
          <w:tcPr>
            <w:tcW w:w="2292" w:type="dxa"/>
            <w:tcBorders>
              <w:top w:val="single" w:color="000000" w:sz="4" w:space="0"/>
              <w:left w:val="nil"/>
              <w:bottom w:val="single" w:color="auto" w:sz="4" w:space="0"/>
              <w:right w:val="single" w:color="000000" w:sz="4" w:space="0"/>
            </w:tcBorders>
            <w:vAlign w:val="center"/>
          </w:tcPr>
          <w:p>
            <w:pPr>
              <w:keepNext w:val="0"/>
              <w:keepLines w:val="0"/>
              <w:pageBreakBefore w:val="0"/>
              <w:suppressLineNumbers w:val="0"/>
              <w:wordWrap w:val="0"/>
              <w:topLinePunct w:val="0"/>
              <w:bidi w:val="0"/>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其他要求</w:t>
            </w:r>
          </w:p>
        </w:tc>
        <w:tc>
          <w:tcPr>
            <w:tcW w:w="5504" w:type="dxa"/>
            <w:tcBorders>
              <w:top w:val="single" w:color="000000" w:sz="4" w:space="0"/>
              <w:left w:val="nil"/>
              <w:bottom w:val="single" w:color="auto" w:sz="4" w:space="0"/>
              <w:right w:val="single" w:color="000000" w:sz="4" w:space="0"/>
            </w:tcBorders>
            <w:vAlign w:val="center"/>
          </w:tcPr>
          <w:p>
            <w:pPr>
              <w:keepNext w:val="0"/>
              <w:keepLines w:val="0"/>
              <w:pageBreakBefore w:val="0"/>
              <w:suppressLineNumbers w:val="0"/>
              <w:wordWrap w:val="0"/>
              <w:topLinePunct w:val="0"/>
              <w:bidi w:val="0"/>
              <w:spacing w:before="0" w:beforeAutospacing="0" w:after="0" w:afterAutospacing="0" w:line="360" w:lineRule="auto"/>
              <w:ind w:left="0" w:right="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不接受联合体投标</w:t>
            </w:r>
          </w:p>
        </w:tc>
      </w:tr>
      <w:tr>
        <w:tblPrEx>
          <w:tblCellMar>
            <w:top w:w="0" w:type="dxa"/>
            <w:left w:w="0" w:type="dxa"/>
            <w:bottom w:w="0" w:type="dxa"/>
            <w:right w:w="0" w:type="dxa"/>
          </w:tblCellMar>
        </w:tblPrEx>
        <w:trPr>
          <w:trHeight w:val="670" w:hRule="atLeast"/>
        </w:trPr>
        <w:tc>
          <w:tcPr>
            <w:tcW w:w="713" w:type="dxa"/>
            <w:vMerge w:val="restart"/>
            <w:tcBorders>
              <w:top w:val="nil"/>
              <w:left w:val="single" w:color="000000" w:sz="4" w:space="0"/>
              <w:bottom w:val="single" w:color="000000" w:sz="4" w:space="0"/>
              <w:right w:val="single" w:color="auto" w:sz="4" w:space="0"/>
            </w:tcBorders>
            <w:vAlign w:val="center"/>
          </w:tcPr>
          <w:p>
            <w:pPr>
              <w:pStyle w:val="67"/>
              <w:keepNext w:val="0"/>
              <w:keepLines w:val="0"/>
              <w:suppressLineNumbers w:val="0"/>
              <w:kinsoku w:val="0"/>
              <w:overflowPunct w:val="0"/>
              <w:spacing w:before="0" w:beforeAutospacing="0" w:after="0" w:afterAutospacing="0"/>
              <w:ind w:left="106" w:right="0"/>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3</w:t>
            </w:r>
          </w:p>
        </w:tc>
        <w:tc>
          <w:tcPr>
            <w:tcW w:w="1332" w:type="dxa"/>
            <w:vMerge w:val="restart"/>
            <w:tcBorders>
              <w:top w:val="single" w:color="auto" w:sz="4" w:space="0"/>
              <w:left w:val="single" w:color="auto" w:sz="4" w:space="0"/>
              <w:bottom w:val="single" w:color="auto" w:sz="4" w:space="0"/>
              <w:right w:val="single" w:color="auto" w:sz="4" w:space="0"/>
            </w:tcBorders>
            <w:vAlign w:val="center"/>
          </w:tcPr>
          <w:p>
            <w:pPr>
              <w:pStyle w:val="67"/>
              <w:keepNext w:val="0"/>
              <w:keepLines w:val="0"/>
              <w:suppressLineNumbers w:val="0"/>
              <w:kinsoku w:val="0"/>
              <w:overflowPunct w:val="0"/>
              <w:spacing w:before="0" w:beforeAutospacing="0" w:after="0" w:afterAutospacing="0" w:line="316" w:lineRule="auto"/>
              <w:ind w:left="233" w:right="224"/>
              <w:jc w:val="center"/>
              <w:rPr>
                <w:rFonts w:hint="eastAsia" w:ascii="宋体" w:hAnsi="宋体" w:eastAsia="宋体" w:cs="宋体"/>
                <w:color w:val="auto"/>
                <w:highlight w:val="none"/>
              </w:rPr>
            </w:pPr>
            <w:r>
              <w:rPr>
                <w:rFonts w:hint="eastAsia" w:ascii="宋体" w:hAnsi="宋体" w:eastAsia="宋体" w:cs="宋体"/>
                <w:color w:val="auto"/>
                <w:highlight w:val="none"/>
              </w:rPr>
              <w:t>响应性评审标准</w:t>
            </w:r>
          </w:p>
        </w:tc>
        <w:tc>
          <w:tcPr>
            <w:tcW w:w="2292" w:type="dxa"/>
            <w:tcBorders>
              <w:top w:val="single" w:color="auto" w:sz="4" w:space="0"/>
              <w:left w:val="single" w:color="auto" w:sz="4" w:space="0"/>
              <w:bottom w:val="single" w:color="auto" w:sz="4" w:space="0"/>
              <w:right w:val="single" w:color="auto" w:sz="4" w:space="0"/>
            </w:tcBorders>
            <w:vAlign w:val="center"/>
          </w:tcPr>
          <w:p>
            <w:pPr>
              <w:pStyle w:val="67"/>
              <w:keepNext w:val="0"/>
              <w:keepLines w:val="0"/>
              <w:suppressLineNumbers w:val="0"/>
              <w:kinsoku w:val="0"/>
              <w:overflowPunct w:val="0"/>
              <w:spacing w:before="116" w:beforeAutospacing="0" w:after="0" w:afterAutospacing="0"/>
              <w:ind w:left="122" w:right="97"/>
              <w:jc w:val="center"/>
              <w:rPr>
                <w:rFonts w:hint="eastAsia" w:ascii="宋体" w:hAnsi="宋体" w:eastAsia="宋体" w:cs="宋体"/>
                <w:color w:val="auto"/>
                <w:highlight w:val="none"/>
              </w:rPr>
            </w:pPr>
            <w:r>
              <w:rPr>
                <w:rFonts w:hint="eastAsia" w:ascii="宋体" w:hAnsi="宋体" w:eastAsia="宋体" w:cs="宋体"/>
                <w:color w:val="auto"/>
                <w:highlight w:val="none"/>
              </w:rPr>
              <w:t>供货期</w:t>
            </w:r>
          </w:p>
        </w:tc>
        <w:tc>
          <w:tcPr>
            <w:tcW w:w="5504" w:type="dxa"/>
            <w:tcBorders>
              <w:top w:val="single" w:color="auto" w:sz="4" w:space="0"/>
              <w:left w:val="single" w:color="auto" w:sz="4" w:space="0"/>
              <w:bottom w:val="single" w:color="auto" w:sz="4" w:space="0"/>
              <w:right w:val="single" w:color="auto" w:sz="4" w:space="0"/>
            </w:tcBorders>
            <w:vAlign w:val="center"/>
          </w:tcPr>
          <w:p>
            <w:pPr>
              <w:pStyle w:val="67"/>
              <w:keepNext w:val="0"/>
              <w:keepLines w:val="0"/>
              <w:suppressLineNumbers w:val="0"/>
              <w:kinsoku w:val="0"/>
              <w:overflowPunct w:val="0"/>
              <w:spacing w:before="116" w:beforeAutospacing="0" w:after="0" w:afterAutospacing="0"/>
              <w:ind w:left="107" w:right="0"/>
              <w:jc w:val="center"/>
              <w:rPr>
                <w:rFonts w:hint="eastAsia" w:ascii="宋体" w:hAnsi="宋体" w:eastAsia="宋体" w:cs="宋体"/>
                <w:color w:val="auto"/>
                <w:highlight w:val="none"/>
              </w:rPr>
            </w:pPr>
            <w:r>
              <w:rPr>
                <w:rFonts w:hint="eastAsia" w:ascii="宋体" w:hAnsi="宋体" w:eastAsia="宋体" w:cs="宋体"/>
                <w:color w:val="auto"/>
                <w:highlight w:val="none"/>
              </w:rPr>
              <w:t>符合第二章“</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须知前附表”第9项规定</w:t>
            </w:r>
          </w:p>
        </w:tc>
      </w:tr>
      <w:tr>
        <w:tblPrEx>
          <w:tblCellMar>
            <w:top w:w="0" w:type="dxa"/>
            <w:left w:w="0" w:type="dxa"/>
            <w:bottom w:w="0" w:type="dxa"/>
            <w:right w:w="0" w:type="dxa"/>
          </w:tblCellMar>
        </w:tblPrEx>
        <w:trPr>
          <w:trHeight w:val="714" w:hRule="atLeast"/>
        </w:trPr>
        <w:tc>
          <w:tcPr>
            <w:tcW w:w="713" w:type="dxa"/>
            <w:vMerge w:val="continue"/>
            <w:tcBorders>
              <w:top w:val="nil"/>
              <w:left w:val="single" w:color="000000"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133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2292" w:type="dxa"/>
            <w:tcBorders>
              <w:top w:val="single" w:color="auto" w:sz="4" w:space="0"/>
              <w:left w:val="single" w:color="auto" w:sz="4" w:space="0"/>
              <w:bottom w:val="single" w:color="auto" w:sz="4" w:space="0"/>
              <w:right w:val="single" w:color="auto" w:sz="4" w:space="0"/>
            </w:tcBorders>
            <w:vAlign w:val="center"/>
          </w:tcPr>
          <w:p>
            <w:pPr>
              <w:pStyle w:val="67"/>
              <w:keepNext w:val="0"/>
              <w:keepLines w:val="0"/>
              <w:suppressLineNumbers w:val="0"/>
              <w:kinsoku w:val="0"/>
              <w:overflowPunct w:val="0"/>
              <w:spacing w:before="116" w:beforeAutospacing="0" w:after="0" w:afterAutospacing="0"/>
              <w:ind w:left="122" w:right="97"/>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rPr>
              <w:t>质量</w:t>
            </w:r>
            <w:r>
              <w:rPr>
                <w:rFonts w:hint="eastAsia" w:hAnsi="宋体" w:cs="宋体"/>
                <w:color w:val="auto"/>
                <w:highlight w:val="none"/>
                <w:lang w:val="en-US" w:eastAsia="zh-CN"/>
              </w:rPr>
              <w:t>要求</w:t>
            </w:r>
          </w:p>
        </w:tc>
        <w:tc>
          <w:tcPr>
            <w:tcW w:w="5504" w:type="dxa"/>
            <w:tcBorders>
              <w:top w:val="single" w:color="auto" w:sz="4" w:space="0"/>
              <w:left w:val="single" w:color="auto" w:sz="4" w:space="0"/>
              <w:bottom w:val="single" w:color="auto" w:sz="4" w:space="0"/>
              <w:right w:val="single" w:color="auto" w:sz="4" w:space="0"/>
            </w:tcBorders>
            <w:vAlign w:val="center"/>
          </w:tcPr>
          <w:p>
            <w:pPr>
              <w:pStyle w:val="67"/>
              <w:keepNext w:val="0"/>
              <w:keepLines w:val="0"/>
              <w:suppressLineNumbers w:val="0"/>
              <w:kinsoku w:val="0"/>
              <w:overflowPunct w:val="0"/>
              <w:spacing w:before="116" w:beforeAutospacing="0" w:after="0" w:afterAutospacing="0"/>
              <w:ind w:left="107" w:right="0"/>
              <w:jc w:val="center"/>
              <w:rPr>
                <w:rFonts w:hint="eastAsia" w:ascii="宋体" w:hAnsi="宋体" w:eastAsia="宋体" w:cs="宋体"/>
                <w:color w:val="auto"/>
                <w:highlight w:val="none"/>
              </w:rPr>
            </w:pPr>
            <w:r>
              <w:rPr>
                <w:rFonts w:hint="eastAsia" w:ascii="宋体" w:hAnsi="宋体" w:eastAsia="宋体" w:cs="宋体"/>
                <w:color w:val="auto"/>
                <w:highlight w:val="none"/>
              </w:rPr>
              <w:t>符合第二章“</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须知前附表” 第10项规定</w:t>
            </w:r>
          </w:p>
        </w:tc>
      </w:tr>
      <w:tr>
        <w:tblPrEx>
          <w:tblCellMar>
            <w:top w:w="0" w:type="dxa"/>
            <w:left w:w="0" w:type="dxa"/>
            <w:bottom w:w="0" w:type="dxa"/>
            <w:right w:w="0" w:type="dxa"/>
          </w:tblCellMar>
        </w:tblPrEx>
        <w:trPr>
          <w:trHeight w:val="714" w:hRule="atLeast"/>
        </w:trPr>
        <w:tc>
          <w:tcPr>
            <w:tcW w:w="713" w:type="dxa"/>
            <w:vMerge w:val="continue"/>
            <w:tcBorders>
              <w:top w:val="nil"/>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1332" w:type="dxa"/>
            <w:vMerge w:val="continue"/>
            <w:tcBorders>
              <w:top w:val="single" w:color="auto"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2292" w:type="dxa"/>
            <w:tcBorders>
              <w:top w:val="single" w:color="auto" w:sz="4" w:space="0"/>
              <w:left w:val="nil"/>
              <w:bottom w:val="single" w:color="000000" w:sz="4" w:space="0"/>
              <w:right w:val="single" w:color="000000" w:sz="4" w:space="0"/>
            </w:tcBorders>
            <w:vAlign w:val="center"/>
          </w:tcPr>
          <w:p>
            <w:pPr>
              <w:pStyle w:val="67"/>
              <w:keepNext w:val="0"/>
              <w:keepLines w:val="0"/>
              <w:suppressLineNumbers w:val="0"/>
              <w:kinsoku w:val="0"/>
              <w:overflowPunct w:val="0"/>
              <w:spacing w:before="116" w:beforeAutospacing="0" w:after="0" w:afterAutospacing="0"/>
              <w:ind w:left="122" w:right="97"/>
              <w:jc w:val="center"/>
              <w:rPr>
                <w:rFonts w:hint="eastAsia" w:ascii="宋体" w:hAnsi="宋体" w:eastAsia="宋体" w:cs="宋体"/>
                <w:color w:val="auto"/>
                <w:highlight w:val="none"/>
              </w:rPr>
            </w:pPr>
            <w:r>
              <w:rPr>
                <w:rFonts w:hint="eastAsia" w:ascii="宋体" w:hAnsi="宋体" w:eastAsia="宋体" w:cs="宋体"/>
                <w:color w:val="auto"/>
                <w:highlight w:val="none"/>
              </w:rPr>
              <w:t>质保期</w:t>
            </w:r>
          </w:p>
        </w:tc>
        <w:tc>
          <w:tcPr>
            <w:tcW w:w="5504" w:type="dxa"/>
            <w:tcBorders>
              <w:top w:val="single" w:color="auto" w:sz="4" w:space="0"/>
              <w:left w:val="nil"/>
              <w:bottom w:val="single" w:color="000000" w:sz="4" w:space="0"/>
              <w:right w:val="single" w:color="000000" w:sz="4" w:space="0"/>
            </w:tcBorders>
            <w:vAlign w:val="center"/>
          </w:tcPr>
          <w:p>
            <w:pPr>
              <w:pStyle w:val="67"/>
              <w:keepNext w:val="0"/>
              <w:keepLines w:val="0"/>
              <w:suppressLineNumbers w:val="0"/>
              <w:kinsoku w:val="0"/>
              <w:overflowPunct w:val="0"/>
              <w:spacing w:before="116" w:beforeAutospacing="0" w:after="0" w:afterAutospacing="0"/>
              <w:ind w:left="107" w:right="0"/>
              <w:jc w:val="center"/>
              <w:rPr>
                <w:rFonts w:hint="eastAsia" w:ascii="宋体" w:hAnsi="宋体" w:eastAsia="宋体" w:cs="宋体"/>
                <w:color w:val="auto"/>
                <w:highlight w:val="none"/>
              </w:rPr>
            </w:pPr>
            <w:r>
              <w:rPr>
                <w:rFonts w:hint="eastAsia" w:ascii="宋体" w:hAnsi="宋体" w:eastAsia="宋体" w:cs="宋体"/>
                <w:color w:val="auto"/>
                <w:highlight w:val="none"/>
              </w:rPr>
              <w:t>符合第二章“</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须知前附表” 第11项规定</w:t>
            </w:r>
          </w:p>
        </w:tc>
      </w:tr>
      <w:tr>
        <w:tblPrEx>
          <w:tblCellMar>
            <w:top w:w="0" w:type="dxa"/>
            <w:left w:w="0" w:type="dxa"/>
            <w:bottom w:w="0" w:type="dxa"/>
            <w:right w:w="0" w:type="dxa"/>
          </w:tblCellMar>
        </w:tblPrEx>
        <w:trPr>
          <w:trHeight w:val="688" w:hRule="atLeast"/>
        </w:trPr>
        <w:tc>
          <w:tcPr>
            <w:tcW w:w="713" w:type="dxa"/>
            <w:vMerge w:val="continue"/>
            <w:tcBorders>
              <w:top w:val="nil"/>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1332" w:type="dxa"/>
            <w:vMerge w:val="continue"/>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c>
          <w:tcPr>
            <w:tcW w:w="2292" w:type="dxa"/>
            <w:tcBorders>
              <w:top w:val="single" w:color="000000" w:sz="4" w:space="0"/>
              <w:left w:val="nil"/>
              <w:bottom w:val="single" w:color="000000" w:sz="4" w:space="0"/>
              <w:right w:val="single" w:color="000000" w:sz="4" w:space="0"/>
            </w:tcBorders>
            <w:vAlign w:val="center"/>
          </w:tcPr>
          <w:p>
            <w:pPr>
              <w:pStyle w:val="67"/>
              <w:keepNext w:val="0"/>
              <w:keepLines w:val="0"/>
              <w:suppressLineNumbers w:val="0"/>
              <w:kinsoku w:val="0"/>
              <w:overflowPunct w:val="0"/>
              <w:spacing w:before="116" w:beforeAutospacing="0" w:after="0" w:afterAutospacing="0"/>
              <w:ind w:left="122" w:right="92"/>
              <w:jc w:val="center"/>
              <w:rPr>
                <w:rFonts w:hint="eastAsia" w:ascii="宋体" w:hAnsi="宋体" w:eastAsia="宋体" w:cs="宋体"/>
                <w:color w:val="auto"/>
                <w:highlight w:val="none"/>
              </w:rPr>
            </w:pPr>
            <w:r>
              <w:rPr>
                <w:rFonts w:hint="eastAsia" w:ascii="宋体" w:hAnsi="宋体" w:eastAsia="宋体" w:cs="宋体"/>
                <w:color w:val="auto"/>
                <w:highlight w:val="none"/>
              </w:rPr>
              <w:t>投标有效期</w:t>
            </w:r>
          </w:p>
        </w:tc>
        <w:tc>
          <w:tcPr>
            <w:tcW w:w="5504" w:type="dxa"/>
            <w:tcBorders>
              <w:top w:val="single" w:color="000000" w:sz="4" w:space="0"/>
              <w:left w:val="nil"/>
              <w:bottom w:val="single" w:color="000000" w:sz="4" w:space="0"/>
              <w:right w:val="single" w:color="000000" w:sz="4" w:space="0"/>
            </w:tcBorders>
            <w:vAlign w:val="center"/>
          </w:tcPr>
          <w:p>
            <w:pPr>
              <w:pStyle w:val="67"/>
              <w:keepNext w:val="0"/>
              <w:keepLines w:val="0"/>
              <w:suppressLineNumbers w:val="0"/>
              <w:kinsoku w:val="0"/>
              <w:overflowPunct w:val="0"/>
              <w:spacing w:before="116" w:beforeAutospacing="0" w:after="0" w:afterAutospacing="0"/>
              <w:ind w:left="107" w:right="0"/>
              <w:jc w:val="center"/>
              <w:rPr>
                <w:rFonts w:hint="eastAsia" w:ascii="宋体" w:hAnsi="宋体" w:eastAsia="宋体" w:cs="宋体"/>
                <w:color w:val="auto"/>
                <w:highlight w:val="none"/>
              </w:rPr>
            </w:pPr>
            <w:r>
              <w:rPr>
                <w:rFonts w:hint="eastAsia" w:ascii="宋体" w:hAnsi="宋体" w:eastAsia="宋体" w:cs="宋体"/>
                <w:color w:val="auto"/>
                <w:highlight w:val="none"/>
              </w:rPr>
              <w:t>符合第二章“</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须知前附表” 第13项规定</w:t>
            </w:r>
          </w:p>
        </w:tc>
      </w:tr>
    </w:tbl>
    <w:p>
      <w:pPr>
        <w:adjustRightInd w:val="0"/>
        <w:snapToGrid w:val="0"/>
        <w:spacing w:line="440" w:lineRule="exact"/>
        <w:ind w:firstLine="480"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11.2详细评审</w:t>
      </w:r>
    </w:p>
    <w:p>
      <w:pPr>
        <w:pStyle w:val="21"/>
        <w:ind w:firstLine="602"/>
        <w:jc w:val="center"/>
        <w:rPr>
          <w:rFonts w:hint="eastAsia" w:ascii="宋体" w:hAnsi="宋体" w:eastAsia="宋体" w:cs="宋体"/>
          <w:b/>
          <w:color w:val="auto"/>
          <w:sz w:val="28"/>
          <w:szCs w:val="32"/>
          <w:highlight w:val="none"/>
        </w:rPr>
      </w:pPr>
      <w:r>
        <w:rPr>
          <w:rFonts w:hint="eastAsia" w:ascii="宋体" w:hAnsi="宋体" w:eastAsia="宋体" w:cs="宋体"/>
          <w:b/>
          <w:color w:val="auto"/>
          <w:sz w:val="28"/>
          <w:szCs w:val="32"/>
          <w:highlight w:val="none"/>
        </w:rPr>
        <w:t>详细评审</w:t>
      </w:r>
    </w:p>
    <w:tbl>
      <w:tblPr>
        <w:tblStyle w:val="46"/>
        <w:tblW w:w="9215" w:type="dxa"/>
        <w:tblInd w:w="-27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1"/>
        <w:gridCol w:w="851"/>
        <w:gridCol w:w="1559"/>
        <w:gridCol w:w="59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261" w:type="dxa"/>
            <w:gridSpan w:val="3"/>
            <w:vAlign w:val="center"/>
          </w:tcPr>
          <w:p>
            <w:pPr>
              <w:keepNext w:val="0"/>
              <w:keepLines w:val="0"/>
              <w:suppressLineNumbers w:val="0"/>
              <w:autoSpaceDE w:val="0"/>
              <w:autoSpaceDN w:val="0"/>
              <w:adjustRightInd w:val="0"/>
              <w:spacing w:before="0" w:beforeAutospacing="0" w:after="0" w:afterAutospacing="0"/>
              <w:ind w:left="115" w:leftChars="28" w:right="97" w:hanging="57" w:hangingChars="24"/>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分值构成</w:t>
            </w:r>
          </w:p>
          <w:p>
            <w:pPr>
              <w:keepNext w:val="0"/>
              <w:keepLines w:val="0"/>
              <w:suppressLineNumbers w:val="0"/>
              <w:autoSpaceDE w:val="0"/>
              <w:autoSpaceDN w:val="0"/>
              <w:adjustRightInd w:val="0"/>
              <w:spacing w:before="0" w:beforeAutospacing="0" w:after="0" w:afterAutospacing="0"/>
              <w:ind w:left="115" w:leftChars="28" w:right="97" w:hanging="57" w:hangingChars="24"/>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(总分100分)</w:t>
            </w:r>
          </w:p>
        </w:tc>
        <w:tc>
          <w:tcPr>
            <w:tcW w:w="5954" w:type="dxa"/>
          </w:tcPr>
          <w:p>
            <w:pPr>
              <w:keepNext w:val="0"/>
              <w:keepLines w:val="0"/>
              <w:suppressLineNumbers w:val="0"/>
              <w:spacing w:before="0" w:beforeAutospacing="0" w:after="0" w:afterAutospacing="0" w:line="360" w:lineRule="auto"/>
              <w:ind w:left="178" w:leftChars="85" w:right="0"/>
              <w:rPr>
                <w:rFonts w:hint="eastAsia" w:ascii="宋体" w:hAnsi="宋体" w:eastAsia="宋体" w:cs="宋体"/>
                <w:b/>
                <w:bCs/>
                <w:kern w:val="0"/>
                <w:sz w:val="24"/>
                <w:szCs w:val="24"/>
              </w:rPr>
            </w:pPr>
            <w:r>
              <w:rPr>
                <w:rFonts w:hint="eastAsia" w:ascii="宋体" w:hAnsi="宋体" w:eastAsia="宋体" w:cs="宋体"/>
                <w:b/>
                <w:bCs/>
                <w:kern w:val="0"/>
                <w:sz w:val="24"/>
                <w:szCs w:val="24"/>
              </w:rPr>
              <w:t xml:space="preserve">报价部分：30 分 </w:t>
            </w:r>
          </w:p>
          <w:p>
            <w:pPr>
              <w:keepNext w:val="0"/>
              <w:keepLines w:val="0"/>
              <w:suppressLineNumbers w:val="0"/>
              <w:spacing w:before="0" w:beforeAutospacing="0" w:after="0" w:afterAutospacing="0" w:line="360" w:lineRule="auto"/>
              <w:ind w:left="178" w:leftChars="85" w:right="0"/>
              <w:rPr>
                <w:rFonts w:hint="eastAsia" w:ascii="宋体" w:hAnsi="宋体" w:eastAsia="宋体" w:cs="宋体"/>
                <w:b/>
                <w:bCs/>
                <w:kern w:val="0"/>
                <w:sz w:val="24"/>
                <w:szCs w:val="24"/>
              </w:rPr>
            </w:pPr>
            <w:r>
              <w:rPr>
                <w:rFonts w:hint="eastAsia" w:ascii="宋体" w:hAnsi="宋体" w:eastAsia="宋体" w:cs="宋体"/>
                <w:b/>
                <w:bCs/>
                <w:kern w:val="0"/>
                <w:sz w:val="24"/>
                <w:szCs w:val="24"/>
              </w:rPr>
              <w:t>技术部分：</w:t>
            </w:r>
            <w:r>
              <w:rPr>
                <w:rFonts w:hint="eastAsia" w:ascii="宋体" w:hAnsi="宋体" w:cs="宋体"/>
                <w:b/>
                <w:bCs/>
                <w:kern w:val="0"/>
                <w:sz w:val="24"/>
                <w:szCs w:val="24"/>
                <w:lang w:val="en-US" w:eastAsia="zh-CN"/>
              </w:rPr>
              <w:t>50</w:t>
            </w:r>
            <w:r>
              <w:rPr>
                <w:rFonts w:hint="eastAsia" w:ascii="宋体" w:hAnsi="宋体" w:eastAsia="宋体" w:cs="宋体"/>
                <w:b/>
                <w:bCs/>
                <w:kern w:val="0"/>
                <w:sz w:val="24"/>
                <w:szCs w:val="24"/>
              </w:rPr>
              <w:t xml:space="preserve"> 分 </w:t>
            </w:r>
          </w:p>
          <w:p>
            <w:pPr>
              <w:keepNext w:val="0"/>
              <w:keepLines w:val="0"/>
              <w:suppressLineNumbers w:val="0"/>
              <w:spacing w:before="0" w:beforeAutospacing="0" w:after="0" w:afterAutospacing="0" w:line="360" w:lineRule="auto"/>
              <w:ind w:left="178" w:leftChars="85" w:right="0"/>
              <w:rPr>
                <w:rFonts w:hint="eastAsia" w:ascii="宋体" w:hAnsi="宋体" w:eastAsia="宋体" w:cs="宋体"/>
                <w:b/>
                <w:bCs/>
                <w:kern w:val="0"/>
                <w:sz w:val="24"/>
                <w:szCs w:val="24"/>
              </w:rPr>
            </w:pPr>
            <w:r>
              <w:rPr>
                <w:rFonts w:hint="eastAsia" w:ascii="宋体" w:hAnsi="宋体" w:eastAsia="宋体" w:cs="宋体"/>
                <w:b/>
                <w:bCs/>
                <w:kern w:val="0"/>
                <w:sz w:val="24"/>
                <w:szCs w:val="24"/>
              </w:rPr>
              <w:t>商务部分：</w:t>
            </w:r>
            <w:r>
              <w:rPr>
                <w:rFonts w:hint="eastAsia" w:ascii="宋体" w:hAnsi="宋体" w:cs="宋体"/>
                <w:b/>
                <w:bCs/>
                <w:kern w:val="0"/>
                <w:sz w:val="24"/>
                <w:szCs w:val="24"/>
                <w:lang w:val="en-US" w:eastAsia="zh-CN"/>
              </w:rPr>
              <w:t>20</w:t>
            </w:r>
            <w:r>
              <w:rPr>
                <w:rFonts w:hint="eastAsia" w:ascii="宋体" w:hAnsi="宋体" w:eastAsia="宋体" w:cs="宋体"/>
                <w:b/>
                <w:bCs/>
                <w:kern w:val="0"/>
                <w:sz w:val="24"/>
                <w:szCs w:val="24"/>
              </w:rPr>
              <w:t xml:space="preserve">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51" w:type="dxa"/>
            <w:vAlign w:val="center"/>
          </w:tcPr>
          <w:p>
            <w:pPr>
              <w:keepNext w:val="0"/>
              <w:keepLines w:val="0"/>
              <w:suppressLineNumbers w:val="0"/>
              <w:autoSpaceDE w:val="0"/>
              <w:autoSpaceDN w:val="0"/>
              <w:adjustRightInd w:val="0"/>
              <w:spacing w:before="0" w:beforeAutospacing="0" w:after="0" w:afterAutospacing="0"/>
              <w:ind w:left="0" w:right="97"/>
              <w:rPr>
                <w:rFonts w:hint="eastAsia" w:ascii="宋体" w:hAnsi="宋体" w:eastAsia="宋体" w:cs="宋体"/>
                <w:b/>
                <w:bCs/>
                <w:kern w:val="0"/>
                <w:sz w:val="24"/>
                <w:szCs w:val="24"/>
              </w:rPr>
            </w:pPr>
            <w:r>
              <w:rPr>
                <w:rFonts w:hint="eastAsia" w:ascii="宋体" w:hAnsi="宋体" w:eastAsia="宋体" w:cs="宋体"/>
                <w:b/>
                <w:bCs/>
                <w:kern w:val="0"/>
                <w:sz w:val="24"/>
                <w:szCs w:val="24"/>
              </w:rPr>
              <w:t xml:space="preserve">   条</w:t>
            </w:r>
          </w:p>
          <w:p>
            <w:pPr>
              <w:keepNext w:val="0"/>
              <w:keepLines w:val="0"/>
              <w:suppressLineNumbers w:val="0"/>
              <w:autoSpaceDE w:val="0"/>
              <w:autoSpaceDN w:val="0"/>
              <w:adjustRightInd w:val="0"/>
              <w:spacing w:before="0" w:beforeAutospacing="0" w:after="0" w:afterAutospacing="0"/>
              <w:ind w:left="0" w:right="97"/>
              <w:rPr>
                <w:rFonts w:hint="eastAsia" w:ascii="宋体" w:hAnsi="宋体" w:eastAsia="宋体" w:cs="宋体"/>
                <w:b/>
                <w:bCs/>
                <w:kern w:val="0"/>
                <w:sz w:val="24"/>
                <w:szCs w:val="24"/>
              </w:rPr>
            </w:pPr>
            <w:r>
              <w:rPr>
                <w:rFonts w:hint="eastAsia" w:ascii="宋体" w:hAnsi="宋体" w:eastAsia="宋体" w:cs="宋体"/>
                <w:b/>
                <w:bCs/>
                <w:kern w:val="0"/>
                <w:sz w:val="24"/>
                <w:szCs w:val="24"/>
              </w:rPr>
              <w:t xml:space="preserve">   款</w:t>
            </w:r>
          </w:p>
          <w:p>
            <w:pPr>
              <w:keepNext w:val="0"/>
              <w:keepLines w:val="0"/>
              <w:suppressLineNumbers w:val="0"/>
              <w:autoSpaceDE w:val="0"/>
              <w:autoSpaceDN w:val="0"/>
              <w:adjustRightInd w:val="0"/>
              <w:spacing w:before="0" w:beforeAutospacing="0" w:after="0" w:afterAutospacing="0"/>
              <w:ind w:left="0" w:right="97"/>
              <w:rPr>
                <w:rFonts w:hint="eastAsia" w:ascii="宋体" w:hAnsi="宋体" w:eastAsia="宋体" w:cs="宋体"/>
                <w:b/>
                <w:bCs/>
                <w:kern w:val="0"/>
                <w:sz w:val="24"/>
                <w:szCs w:val="24"/>
              </w:rPr>
            </w:pPr>
            <w:r>
              <w:rPr>
                <w:rFonts w:hint="eastAsia" w:ascii="宋体" w:hAnsi="宋体" w:eastAsia="宋体" w:cs="宋体"/>
                <w:b/>
                <w:bCs/>
                <w:kern w:val="0"/>
                <w:sz w:val="24"/>
                <w:szCs w:val="24"/>
              </w:rPr>
              <w:t xml:space="preserve">   号</w:t>
            </w:r>
          </w:p>
        </w:tc>
        <w:tc>
          <w:tcPr>
            <w:tcW w:w="851" w:type="dxa"/>
            <w:vAlign w:val="center"/>
          </w:tcPr>
          <w:p>
            <w:pPr>
              <w:keepNext w:val="0"/>
              <w:keepLines w:val="0"/>
              <w:suppressLineNumbers w:val="0"/>
              <w:autoSpaceDE w:val="0"/>
              <w:autoSpaceDN w:val="0"/>
              <w:adjustRightInd w:val="0"/>
              <w:spacing w:before="0" w:beforeAutospacing="0" w:after="0" w:afterAutospacing="0"/>
              <w:ind w:left="115" w:leftChars="28" w:right="97" w:hanging="57" w:hangingChars="24"/>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评分</w:t>
            </w:r>
          </w:p>
          <w:p>
            <w:pPr>
              <w:keepNext w:val="0"/>
              <w:keepLines w:val="0"/>
              <w:suppressLineNumbers w:val="0"/>
              <w:autoSpaceDE w:val="0"/>
              <w:autoSpaceDN w:val="0"/>
              <w:adjustRightInd w:val="0"/>
              <w:spacing w:before="0" w:beforeAutospacing="0" w:after="0" w:afterAutospacing="0"/>
              <w:ind w:left="115" w:leftChars="28" w:right="97" w:hanging="57" w:hangingChars="24"/>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因素</w:t>
            </w:r>
          </w:p>
        </w:tc>
        <w:tc>
          <w:tcPr>
            <w:tcW w:w="7513" w:type="dxa"/>
            <w:gridSpan w:val="2"/>
            <w:vAlign w:val="center"/>
          </w:tcPr>
          <w:p>
            <w:pPr>
              <w:keepNext w:val="0"/>
              <w:keepLines w:val="0"/>
              <w:suppressLineNumbers w:val="0"/>
              <w:tabs>
                <w:tab w:val="left" w:pos="-22"/>
              </w:tabs>
              <w:spacing w:before="0" w:beforeAutospacing="0" w:after="0" w:afterAutospacing="0"/>
              <w:ind w:left="0" w:right="0" w:firstLine="480" w:firstLineChars="200"/>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 xml:space="preserve">                      评分标准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69" w:hRule="atLeast"/>
        </w:trPr>
        <w:tc>
          <w:tcPr>
            <w:tcW w:w="851" w:type="dxa"/>
            <w:vAlign w:val="center"/>
          </w:tcPr>
          <w:p>
            <w:pPr>
              <w:keepNext w:val="0"/>
              <w:keepLines w:val="0"/>
              <w:suppressLineNumbers w:val="0"/>
              <w:autoSpaceDE w:val="0"/>
              <w:autoSpaceDN w:val="0"/>
              <w:adjustRightInd w:val="0"/>
              <w:spacing w:before="0" w:beforeAutospacing="0" w:after="0" w:afterAutospacing="0"/>
              <w:ind w:left="115" w:leftChars="28" w:right="97" w:hanging="57" w:hangingChars="24"/>
              <w:jc w:val="center"/>
              <w:rPr>
                <w:rFonts w:hint="eastAsia" w:ascii="宋体" w:hAnsi="宋体" w:eastAsia="宋体" w:cs="宋体"/>
                <w:sz w:val="24"/>
                <w:szCs w:val="24"/>
              </w:rPr>
            </w:pPr>
            <w:r>
              <w:rPr>
                <w:rFonts w:hint="eastAsia" w:ascii="宋体" w:hAnsi="宋体" w:eastAsia="宋体" w:cs="宋体"/>
                <w:sz w:val="24"/>
                <w:szCs w:val="24"/>
              </w:rPr>
              <w:t>1</w:t>
            </w:r>
          </w:p>
          <w:p>
            <w:pPr>
              <w:keepNext w:val="0"/>
              <w:keepLines w:val="0"/>
              <w:suppressLineNumbers w:val="0"/>
              <w:autoSpaceDE w:val="0"/>
              <w:autoSpaceDN w:val="0"/>
              <w:adjustRightInd w:val="0"/>
              <w:spacing w:before="0" w:beforeAutospacing="0" w:after="0" w:afterAutospacing="0"/>
              <w:ind w:left="0" w:right="97"/>
              <w:rPr>
                <w:rFonts w:hint="eastAsia" w:ascii="宋体" w:hAnsi="宋体" w:eastAsia="宋体" w:cs="宋体"/>
                <w:sz w:val="24"/>
                <w:szCs w:val="24"/>
              </w:rPr>
            </w:pPr>
          </w:p>
        </w:tc>
        <w:tc>
          <w:tcPr>
            <w:tcW w:w="851" w:type="dxa"/>
            <w:vAlign w:val="center"/>
          </w:tcPr>
          <w:p>
            <w:pPr>
              <w:keepNext w:val="0"/>
              <w:keepLines w:val="0"/>
              <w:suppressLineNumbers w:val="0"/>
              <w:autoSpaceDE w:val="0"/>
              <w:autoSpaceDN w:val="0"/>
              <w:adjustRightInd w:val="0"/>
              <w:spacing w:before="0" w:beforeAutospacing="0" w:after="0" w:afterAutospacing="0"/>
              <w:ind w:left="115" w:leftChars="28" w:right="97" w:hanging="57" w:hangingChars="24"/>
              <w:jc w:val="center"/>
              <w:rPr>
                <w:rFonts w:hint="eastAsia" w:ascii="宋体" w:hAnsi="宋体" w:eastAsia="宋体" w:cs="宋体"/>
                <w:sz w:val="24"/>
                <w:szCs w:val="24"/>
              </w:rPr>
            </w:pPr>
            <w:r>
              <w:rPr>
                <w:rFonts w:hint="eastAsia" w:ascii="宋体" w:hAnsi="宋体" w:eastAsia="宋体" w:cs="宋体"/>
                <w:sz w:val="24"/>
                <w:szCs w:val="24"/>
              </w:rPr>
              <w:t>报价部分（30 分）</w:t>
            </w:r>
          </w:p>
        </w:tc>
        <w:tc>
          <w:tcPr>
            <w:tcW w:w="7513" w:type="dxa"/>
            <w:gridSpan w:val="2"/>
            <w:vAlign w:val="center"/>
          </w:tcPr>
          <w:p>
            <w:pPr>
              <w:keepNext w:val="0"/>
              <w:keepLines w:val="0"/>
              <w:pageBreakBefore w:val="0"/>
              <w:widowControl w:val="0"/>
              <w:suppressLineNumbers w:val="0"/>
              <w:tabs>
                <w:tab w:val="left" w:pos="-22"/>
              </w:tabs>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价格分统一采用低价优先法计算，即满足招标文件要求且投标价格最低的投标报价为评标基准价，其报价得分为满分 30 分，其它合格供应商的投标报价按下列公式计算： 投标报价得分=（评标基准值/投标报价）×30。</w:t>
            </w:r>
          </w:p>
          <w:p>
            <w:pPr>
              <w:keepNext w:val="0"/>
              <w:keepLines w:val="0"/>
              <w:pageBreakBefore w:val="0"/>
              <w:widowControl w:val="0"/>
              <w:suppressLineNumbers w:val="0"/>
              <w:tabs>
                <w:tab w:val="left" w:pos="-22"/>
              </w:tabs>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rPr>
            </w:pPr>
            <w:r>
              <w:rPr>
                <w:rFonts w:hint="eastAsia" w:ascii="宋体" w:hAnsi="宋体" w:eastAsia="宋体" w:cs="宋体"/>
                <w:sz w:val="24"/>
                <w:szCs w:val="24"/>
                <w:lang w:val="en-US" w:eastAsia="zh-CN"/>
              </w:rPr>
              <w:t>注：</w:t>
            </w:r>
            <w:r>
              <w:rPr>
                <w:rFonts w:hint="eastAsia" w:ascii="宋体" w:hAnsi="宋体" w:eastAsia="宋体" w:cs="宋体"/>
                <w:sz w:val="24"/>
                <w:szCs w:val="24"/>
              </w:rPr>
              <w:t>评标委员会认为投标人的报价明显低于其他通过符合性审查投标人的报价，有可能影响产品质量或者不能诚信履约的，应当要求其在合理的时间内提供说明，必要时提交相关证明材料；投标人不能证明其报价合理性的，评标委员会应当将其作为无效投标处理。</w:t>
            </w:r>
            <w:r>
              <w:rPr>
                <w:rFonts w:hint="eastAsia"/>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trPr>
        <w:tc>
          <w:tcPr>
            <w:tcW w:w="851" w:type="dxa"/>
            <w:vMerge w:val="restart"/>
            <w:vAlign w:val="center"/>
          </w:tcPr>
          <w:p>
            <w:pPr>
              <w:keepNext w:val="0"/>
              <w:keepLines w:val="0"/>
              <w:suppressLineNumbers w:val="0"/>
              <w:autoSpaceDE w:val="0"/>
              <w:autoSpaceDN w:val="0"/>
              <w:adjustRightInd w:val="0"/>
              <w:spacing w:before="0" w:beforeAutospacing="0" w:after="0" w:afterAutospacing="0"/>
              <w:ind w:left="115" w:leftChars="28" w:right="97" w:hanging="57" w:hangingChars="24"/>
              <w:jc w:val="center"/>
              <w:rPr>
                <w:rFonts w:hint="eastAsia" w:ascii="宋体" w:hAnsi="宋体" w:eastAsia="宋体" w:cs="宋体"/>
                <w:sz w:val="24"/>
                <w:szCs w:val="24"/>
              </w:rPr>
            </w:pPr>
            <w:r>
              <w:rPr>
                <w:rFonts w:hint="eastAsia" w:ascii="宋体" w:hAnsi="宋体" w:eastAsia="宋体" w:cs="宋体"/>
                <w:sz w:val="24"/>
                <w:szCs w:val="24"/>
              </w:rPr>
              <w:t>2</w:t>
            </w:r>
          </w:p>
        </w:tc>
        <w:tc>
          <w:tcPr>
            <w:tcW w:w="851" w:type="dxa"/>
            <w:vMerge w:val="restart"/>
            <w:vAlign w:val="center"/>
          </w:tcPr>
          <w:p>
            <w:pPr>
              <w:keepNext w:val="0"/>
              <w:keepLines w:val="0"/>
              <w:suppressLineNumbers w:val="0"/>
              <w:autoSpaceDE w:val="0"/>
              <w:autoSpaceDN w:val="0"/>
              <w:adjustRightInd w:val="0"/>
              <w:spacing w:before="0" w:beforeAutospacing="0" w:after="0" w:afterAutospacing="0"/>
              <w:ind w:left="115" w:leftChars="28" w:right="97" w:hanging="57" w:hangingChars="24"/>
              <w:jc w:val="center"/>
              <w:rPr>
                <w:rFonts w:hint="eastAsia" w:ascii="宋体" w:hAnsi="宋体" w:eastAsia="宋体" w:cs="宋体"/>
                <w:sz w:val="24"/>
                <w:szCs w:val="24"/>
              </w:rPr>
            </w:pPr>
            <w:r>
              <w:rPr>
                <w:rFonts w:hint="eastAsia" w:ascii="宋体" w:hAnsi="宋体" w:eastAsia="宋体" w:cs="宋体"/>
                <w:sz w:val="24"/>
                <w:szCs w:val="24"/>
              </w:rPr>
              <w:t>技术部分（</w:t>
            </w:r>
            <w:r>
              <w:rPr>
                <w:rFonts w:hint="eastAsia" w:ascii="宋体" w:hAnsi="宋体" w:cs="宋体"/>
                <w:sz w:val="24"/>
                <w:szCs w:val="24"/>
                <w:lang w:val="en-US" w:eastAsia="zh-CN"/>
              </w:rPr>
              <w:t>50</w:t>
            </w:r>
            <w:r>
              <w:rPr>
                <w:rFonts w:hint="eastAsia" w:ascii="宋体" w:hAnsi="宋体" w:eastAsia="宋体" w:cs="宋体"/>
                <w:sz w:val="24"/>
                <w:szCs w:val="24"/>
              </w:rPr>
              <w:t xml:space="preserve"> 分）</w:t>
            </w:r>
          </w:p>
        </w:tc>
        <w:tc>
          <w:tcPr>
            <w:tcW w:w="1559" w:type="dxa"/>
            <w:vAlign w:val="center"/>
          </w:tcPr>
          <w:p>
            <w:pPr>
              <w:keepNext w:val="0"/>
              <w:keepLines w:val="0"/>
              <w:suppressLineNumbers w:val="0"/>
              <w:autoSpaceDE w:val="0"/>
              <w:autoSpaceDN w:val="0"/>
              <w:adjustRightInd w:val="0"/>
              <w:spacing w:before="0" w:beforeAutospacing="0" w:after="0" w:afterAutospacing="0"/>
              <w:ind w:left="115" w:leftChars="28" w:right="97" w:hanging="57" w:hangingChars="24"/>
              <w:jc w:val="center"/>
              <w:rPr>
                <w:rFonts w:hint="eastAsia" w:ascii="宋体" w:hAnsi="宋体" w:eastAsia="宋体" w:cs="宋体"/>
                <w:sz w:val="24"/>
                <w:szCs w:val="24"/>
              </w:rPr>
            </w:pPr>
            <w:r>
              <w:rPr>
                <w:rFonts w:hint="eastAsia" w:ascii="宋体" w:hAnsi="宋体" w:eastAsia="宋体" w:cs="宋体"/>
                <w:sz w:val="24"/>
                <w:szCs w:val="24"/>
              </w:rPr>
              <w:t>技术参数</w:t>
            </w:r>
          </w:p>
          <w:p>
            <w:pPr>
              <w:keepNext w:val="0"/>
              <w:keepLines w:val="0"/>
              <w:suppressLineNumbers w:val="0"/>
              <w:autoSpaceDE w:val="0"/>
              <w:autoSpaceDN w:val="0"/>
              <w:adjustRightInd w:val="0"/>
              <w:spacing w:before="0" w:beforeAutospacing="0" w:after="0" w:afterAutospacing="0"/>
              <w:ind w:left="115" w:leftChars="28" w:right="97" w:hanging="57" w:hangingChars="24"/>
              <w:jc w:val="center"/>
              <w:rPr>
                <w:rFonts w:hint="eastAsia" w:ascii="宋体" w:hAnsi="宋体" w:eastAsia="宋体" w:cs="宋体"/>
                <w:sz w:val="24"/>
                <w:szCs w:val="24"/>
              </w:rPr>
            </w:pPr>
            <w:r>
              <w:rPr>
                <w:rFonts w:hint="eastAsia" w:ascii="宋体" w:hAnsi="宋体" w:eastAsia="宋体" w:cs="宋体"/>
                <w:sz w:val="24"/>
                <w:szCs w:val="24"/>
              </w:rPr>
              <w:t>25分</w:t>
            </w:r>
          </w:p>
        </w:tc>
        <w:tc>
          <w:tcPr>
            <w:tcW w:w="5954" w:type="dxa"/>
            <w:vAlign w:val="center"/>
          </w:tcPr>
          <w:p>
            <w:pPr>
              <w:keepNext w:val="0"/>
              <w:keepLines w:val="0"/>
              <w:pageBreakBefore w:val="0"/>
              <w:widowControl w:val="0"/>
              <w:suppressLineNumbers w:val="0"/>
              <w:tabs>
                <w:tab w:val="left" w:pos="-22"/>
              </w:tabs>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1.投标文件的技术参数不能满足招标文件的技术参数且为负偏差的；每有一项扣 1 分，最多扣 5 分。 </w:t>
            </w:r>
          </w:p>
          <w:p>
            <w:pPr>
              <w:keepNext w:val="0"/>
              <w:keepLines w:val="0"/>
              <w:pageBreakBefore w:val="0"/>
              <w:widowControl w:val="0"/>
              <w:suppressLineNumbers w:val="0"/>
              <w:tabs>
                <w:tab w:val="left" w:pos="-22"/>
              </w:tabs>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2.投标文件的技术参数都满足招标文件的技术参数，得 20分； </w:t>
            </w:r>
          </w:p>
          <w:p>
            <w:pPr>
              <w:keepNext w:val="0"/>
              <w:keepLines w:val="0"/>
              <w:pageBreakBefore w:val="0"/>
              <w:widowControl w:val="0"/>
              <w:suppressLineNumbers w:val="0"/>
              <w:tabs>
                <w:tab w:val="left" w:pos="-22"/>
              </w:tabs>
              <w:kinsoku/>
              <w:wordWrap/>
              <w:overflowPunct/>
              <w:topLinePunct w:val="0"/>
              <w:autoSpaceDE/>
              <w:autoSpaceDN/>
              <w:bidi w:val="0"/>
              <w:adjustRightInd/>
              <w:snapToGrid/>
              <w:spacing w:before="0" w:beforeAutospacing="0" w:after="0" w:afterAutospacing="0" w:line="312" w:lineRule="auto"/>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3.投标文件的技术参数都优于招标文件的技术参数，每有 一项加 1 分，最多加 5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7" w:hRule="atLeast"/>
        </w:trPr>
        <w:tc>
          <w:tcPr>
            <w:tcW w:w="851" w:type="dxa"/>
            <w:vMerge w:val="continue"/>
            <w:vAlign w:val="center"/>
          </w:tcPr>
          <w:p>
            <w:pPr>
              <w:keepNext w:val="0"/>
              <w:keepLines w:val="0"/>
              <w:suppressLineNumbers w:val="0"/>
              <w:autoSpaceDE w:val="0"/>
              <w:autoSpaceDN w:val="0"/>
              <w:adjustRightInd w:val="0"/>
              <w:spacing w:before="0" w:beforeAutospacing="0" w:after="0" w:afterAutospacing="0"/>
              <w:ind w:left="115" w:leftChars="28" w:right="97" w:hanging="57" w:hangingChars="24"/>
              <w:jc w:val="center"/>
              <w:rPr>
                <w:rFonts w:hint="eastAsia" w:ascii="宋体" w:hAnsi="宋体" w:eastAsia="宋体" w:cs="宋体"/>
                <w:kern w:val="0"/>
                <w:sz w:val="24"/>
                <w:szCs w:val="24"/>
              </w:rPr>
            </w:pPr>
          </w:p>
        </w:tc>
        <w:tc>
          <w:tcPr>
            <w:tcW w:w="851" w:type="dxa"/>
            <w:vMerge w:val="continue"/>
            <w:vAlign w:val="center"/>
          </w:tcPr>
          <w:p>
            <w:pPr>
              <w:keepNext w:val="0"/>
              <w:keepLines w:val="0"/>
              <w:suppressLineNumbers w:val="0"/>
              <w:autoSpaceDE w:val="0"/>
              <w:autoSpaceDN w:val="0"/>
              <w:adjustRightInd w:val="0"/>
              <w:spacing w:before="0" w:beforeAutospacing="0" w:after="0" w:afterAutospacing="0"/>
              <w:ind w:left="115" w:leftChars="28" w:right="97" w:hanging="57" w:hangingChars="24"/>
              <w:jc w:val="center"/>
              <w:rPr>
                <w:rFonts w:hint="eastAsia" w:ascii="宋体" w:hAnsi="宋体" w:eastAsia="宋体" w:cs="宋体"/>
                <w:kern w:val="0"/>
                <w:sz w:val="24"/>
                <w:szCs w:val="24"/>
              </w:rPr>
            </w:pPr>
          </w:p>
        </w:tc>
        <w:tc>
          <w:tcPr>
            <w:tcW w:w="1559" w:type="dxa"/>
            <w:vAlign w:val="center"/>
          </w:tcPr>
          <w:p>
            <w:pPr>
              <w:keepNext w:val="0"/>
              <w:keepLines w:val="0"/>
              <w:suppressLineNumbers w:val="0"/>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sz w:val="24"/>
                <w:szCs w:val="24"/>
              </w:rPr>
              <w:t>实施交货方案（0-</w:t>
            </w:r>
            <w:r>
              <w:rPr>
                <w:rFonts w:hint="eastAsia" w:ascii="宋体" w:hAnsi="宋体" w:cs="宋体"/>
                <w:sz w:val="24"/>
                <w:szCs w:val="24"/>
                <w:lang w:val="en-US" w:eastAsia="zh-CN"/>
              </w:rPr>
              <w:t>8</w:t>
            </w:r>
            <w:r>
              <w:rPr>
                <w:rFonts w:hint="eastAsia" w:ascii="宋体" w:hAnsi="宋体" w:eastAsia="宋体" w:cs="宋体"/>
                <w:sz w:val="24"/>
                <w:szCs w:val="24"/>
              </w:rPr>
              <w:t>分）</w:t>
            </w:r>
          </w:p>
        </w:tc>
        <w:tc>
          <w:tcPr>
            <w:tcW w:w="595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rPr>
              <w:t xml:space="preserve">交货方案承诺科学合理，切实可行，能够充分为项目考虑的在 </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8</w:t>
            </w:r>
            <w:r>
              <w:rPr>
                <w:rFonts w:hint="eastAsia" w:ascii="宋体" w:hAnsi="宋体" w:eastAsia="宋体" w:cs="宋体"/>
                <w:sz w:val="24"/>
                <w:szCs w:val="24"/>
              </w:rPr>
              <w:t xml:space="preserve"> 分的范围内打分。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（2）交货方案基本合理，承诺一般的在 </w:t>
            </w:r>
            <w:r>
              <w:rPr>
                <w:rFonts w:hint="eastAsia" w:ascii="宋体" w:hAnsi="宋体" w:eastAsia="宋体" w:cs="宋体"/>
                <w:sz w:val="24"/>
                <w:szCs w:val="24"/>
                <w:lang w:val="en-US" w:eastAsia="zh-CN"/>
              </w:rPr>
              <w:t>1-</w:t>
            </w:r>
            <w:r>
              <w:rPr>
                <w:rFonts w:hint="eastAsia" w:ascii="宋体" w:hAnsi="宋体" w:cs="宋体"/>
                <w:sz w:val="24"/>
                <w:szCs w:val="24"/>
                <w:lang w:val="en-US" w:eastAsia="zh-CN"/>
              </w:rPr>
              <w:t>4</w:t>
            </w:r>
            <w:r>
              <w:rPr>
                <w:rFonts w:hint="eastAsia" w:ascii="宋体" w:hAnsi="宋体" w:eastAsia="宋体" w:cs="宋体"/>
                <w:sz w:val="24"/>
                <w:szCs w:val="24"/>
              </w:rPr>
              <w:t xml:space="preserve"> 分的范围内打分。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（3）没有交货方案的得 0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7" w:hRule="atLeast"/>
        </w:trPr>
        <w:tc>
          <w:tcPr>
            <w:tcW w:w="851" w:type="dxa"/>
            <w:vMerge w:val="continue"/>
            <w:vAlign w:val="center"/>
          </w:tcPr>
          <w:p>
            <w:pPr>
              <w:keepNext w:val="0"/>
              <w:keepLines w:val="0"/>
              <w:suppressLineNumbers w:val="0"/>
              <w:autoSpaceDE w:val="0"/>
              <w:autoSpaceDN w:val="0"/>
              <w:adjustRightInd w:val="0"/>
              <w:spacing w:before="0" w:beforeAutospacing="0" w:after="0" w:afterAutospacing="0"/>
              <w:ind w:left="115" w:leftChars="28" w:right="97" w:hanging="57" w:hangingChars="24"/>
              <w:jc w:val="center"/>
              <w:rPr>
                <w:rFonts w:hint="eastAsia" w:ascii="宋体" w:hAnsi="宋体" w:eastAsia="宋体" w:cs="宋体"/>
                <w:kern w:val="0"/>
                <w:sz w:val="24"/>
                <w:szCs w:val="24"/>
              </w:rPr>
            </w:pPr>
          </w:p>
        </w:tc>
        <w:tc>
          <w:tcPr>
            <w:tcW w:w="851" w:type="dxa"/>
            <w:vMerge w:val="continue"/>
            <w:vAlign w:val="center"/>
          </w:tcPr>
          <w:p>
            <w:pPr>
              <w:keepNext w:val="0"/>
              <w:keepLines w:val="0"/>
              <w:suppressLineNumbers w:val="0"/>
              <w:autoSpaceDE w:val="0"/>
              <w:autoSpaceDN w:val="0"/>
              <w:adjustRightInd w:val="0"/>
              <w:spacing w:before="0" w:beforeAutospacing="0" w:after="0" w:afterAutospacing="0"/>
              <w:ind w:left="115" w:leftChars="28" w:right="97" w:hanging="57" w:hangingChars="24"/>
              <w:jc w:val="center"/>
              <w:rPr>
                <w:rFonts w:hint="eastAsia" w:ascii="宋体" w:hAnsi="宋体" w:eastAsia="宋体" w:cs="宋体"/>
                <w:kern w:val="0"/>
                <w:sz w:val="24"/>
                <w:szCs w:val="24"/>
              </w:rPr>
            </w:pPr>
          </w:p>
        </w:tc>
        <w:tc>
          <w:tcPr>
            <w:tcW w:w="1559" w:type="dxa"/>
            <w:vAlign w:val="center"/>
          </w:tcPr>
          <w:p>
            <w:pPr>
              <w:keepNext w:val="0"/>
              <w:keepLines w:val="0"/>
              <w:suppressLineNumbers w:val="0"/>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sz w:val="24"/>
                <w:szCs w:val="24"/>
              </w:rPr>
              <w:t>配送服务承诺</w:t>
            </w:r>
            <w:r>
              <w:rPr>
                <w:rFonts w:hint="eastAsia" w:ascii="宋体" w:hAnsi="宋体" w:eastAsia="宋体" w:cs="宋体"/>
                <w:sz w:val="24"/>
                <w:szCs w:val="24"/>
                <w:lang w:eastAsia="zh-CN"/>
              </w:rPr>
              <w:t>（</w:t>
            </w:r>
            <w:r>
              <w:rPr>
                <w:rFonts w:hint="eastAsia" w:ascii="宋体" w:hAnsi="宋体" w:eastAsia="宋体" w:cs="宋体"/>
                <w:sz w:val="24"/>
                <w:szCs w:val="24"/>
              </w:rPr>
              <w:t>0-</w:t>
            </w:r>
            <w:r>
              <w:rPr>
                <w:rFonts w:hint="eastAsia" w:ascii="宋体" w:hAnsi="宋体" w:eastAsia="宋体" w:cs="宋体"/>
                <w:sz w:val="24"/>
                <w:szCs w:val="24"/>
                <w:lang w:val="en-US" w:eastAsia="zh-CN"/>
              </w:rPr>
              <w:t>6</w:t>
            </w:r>
            <w:r>
              <w:rPr>
                <w:rFonts w:hint="eastAsia" w:ascii="宋体" w:hAnsi="宋体" w:eastAsia="宋体" w:cs="宋体"/>
                <w:sz w:val="24"/>
                <w:szCs w:val="24"/>
              </w:rPr>
              <w:t>分</w:t>
            </w:r>
            <w:r>
              <w:rPr>
                <w:rFonts w:hint="eastAsia" w:ascii="宋体" w:hAnsi="宋体" w:eastAsia="宋体" w:cs="宋体"/>
                <w:sz w:val="24"/>
                <w:szCs w:val="24"/>
                <w:lang w:val="en-US" w:eastAsia="zh-CN"/>
              </w:rPr>
              <w:t>）</w:t>
            </w:r>
          </w:p>
        </w:tc>
        <w:tc>
          <w:tcPr>
            <w:tcW w:w="595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提供配送方案具体、有针对性、实施性较强得</w:t>
            </w:r>
            <w:r>
              <w:rPr>
                <w:rFonts w:hint="eastAsia" w:ascii="宋体" w:hAnsi="宋体" w:eastAsia="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分，一般得</w:t>
            </w:r>
            <w:r>
              <w:rPr>
                <w:rFonts w:hint="eastAsia" w:ascii="宋体" w:hAnsi="宋体" w:eastAsia="宋体" w:cs="宋体"/>
                <w:sz w:val="24"/>
                <w:szCs w:val="24"/>
                <w:lang w:val="en-US" w:eastAsia="zh-CN"/>
              </w:rPr>
              <w:t>1-3</w:t>
            </w:r>
            <w:r>
              <w:rPr>
                <w:rFonts w:hint="eastAsia" w:ascii="宋体" w:hAnsi="宋体" w:eastAsia="宋体" w:cs="宋体"/>
                <w:sz w:val="24"/>
                <w:szCs w:val="24"/>
              </w:rPr>
              <w:t>分，没有不得分</w:t>
            </w:r>
            <w:r>
              <w:rPr>
                <w:rFonts w:hint="eastAsia" w:ascii="宋体" w:hAnsi="宋体" w:eastAsia="宋体" w:cs="宋体"/>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7" w:hRule="atLeast"/>
        </w:trPr>
        <w:tc>
          <w:tcPr>
            <w:tcW w:w="851" w:type="dxa"/>
            <w:vMerge w:val="continue"/>
            <w:vAlign w:val="center"/>
          </w:tcPr>
          <w:p>
            <w:pPr>
              <w:keepNext w:val="0"/>
              <w:keepLines w:val="0"/>
              <w:suppressLineNumbers w:val="0"/>
              <w:autoSpaceDE w:val="0"/>
              <w:autoSpaceDN w:val="0"/>
              <w:adjustRightInd w:val="0"/>
              <w:spacing w:before="0" w:beforeAutospacing="0" w:after="0" w:afterAutospacing="0"/>
              <w:ind w:left="115" w:leftChars="28" w:right="97" w:hanging="57" w:hangingChars="24"/>
              <w:jc w:val="center"/>
              <w:rPr>
                <w:rFonts w:hint="eastAsia" w:ascii="宋体" w:hAnsi="宋体" w:eastAsia="宋体" w:cs="宋体"/>
                <w:kern w:val="0"/>
                <w:sz w:val="24"/>
                <w:szCs w:val="24"/>
              </w:rPr>
            </w:pPr>
          </w:p>
        </w:tc>
        <w:tc>
          <w:tcPr>
            <w:tcW w:w="851" w:type="dxa"/>
            <w:vMerge w:val="continue"/>
            <w:vAlign w:val="center"/>
          </w:tcPr>
          <w:p>
            <w:pPr>
              <w:keepNext w:val="0"/>
              <w:keepLines w:val="0"/>
              <w:suppressLineNumbers w:val="0"/>
              <w:autoSpaceDE w:val="0"/>
              <w:autoSpaceDN w:val="0"/>
              <w:adjustRightInd w:val="0"/>
              <w:spacing w:before="0" w:beforeAutospacing="0" w:after="0" w:afterAutospacing="0"/>
              <w:ind w:left="115" w:leftChars="28" w:right="97" w:hanging="57" w:hangingChars="24"/>
              <w:jc w:val="center"/>
              <w:rPr>
                <w:rFonts w:hint="eastAsia" w:ascii="宋体" w:hAnsi="宋体" w:eastAsia="宋体" w:cs="宋体"/>
                <w:kern w:val="0"/>
                <w:sz w:val="24"/>
                <w:szCs w:val="24"/>
              </w:rPr>
            </w:pPr>
          </w:p>
        </w:tc>
        <w:tc>
          <w:tcPr>
            <w:tcW w:w="1559" w:type="dxa"/>
            <w:vAlign w:val="center"/>
          </w:tcPr>
          <w:p>
            <w:pPr>
              <w:keepNext w:val="0"/>
              <w:keepLines w:val="0"/>
              <w:suppressLineNumbers w:val="0"/>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sz w:val="24"/>
                <w:szCs w:val="24"/>
              </w:rPr>
              <w:t>质量保障措施（0-</w:t>
            </w:r>
            <w:r>
              <w:rPr>
                <w:rFonts w:hint="eastAsia" w:ascii="宋体" w:hAnsi="宋体" w:cs="宋体"/>
                <w:sz w:val="24"/>
                <w:szCs w:val="24"/>
                <w:lang w:val="en-US" w:eastAsia="zh-CN"/>
              </w:rPr>
              <w:t>6</w:t>
            </w:r>
            <w:r>
              <w:rPr>
                <w:rFonts w:hint="eastAsia" w:ascii="宋体" w:hAnsi="宋体" w:eastAsia="宋体" w:cs="宋体"/>
                <w:sz w:val="24"/>
                <w:szCs w:val="24"/>
              </w:rPr>
              <w:t>分）</w:t>
            </w:r>
          </w:p>
        </w:tc>
        <w:tc>
          <w:tcPr>
            <w:tcW w:w="595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投标人按采购人要求有明确的质量保证目标，质量保证措施和体系合理先进并具有详细的实施内容等。</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（1）根据供应商的售后承诺、售后保障体系和资料进行评审，提供且满足招标文件要求的，得</w:t>
            </w:r>
            <w:r>
              <w:rPr>
                <w:rFonts w:hint="eastAsia" w:ascii="宋体" w:hAnsi="宋体" w:cs="宋体"/>
                <w:sz w:val="24"/>
                <w:szCs w:val="24"/>
                <w:lang w:val="en-US" w:eastAsia="zh-CN"/>
              </w:rPr>
              <w:t>4</w:t>
            </w:r>
            <w:r>
              <w:rPr>
                <w:rFonts w:hint="eastAsia" w:ascii="宋体" w:hAnsi="宋体" w:eastAsia="宋体" w:cs="宋体"/>
                <w:sz w:val="24"/>
                <w:szCs w:val="24"/>
              </w:rPr>
              <w:t>-</w:t>
            </w:r>
            <w:r>
              <w:rPr>
                <w:rFonts w:hint="eastAsia" w:ascii="宋体" w:hAnsi="宋体" w:cs="宋体"/>
                <w:sz w:val="24"/>
                <w:szCs w:val="24"/>
                <w:lang w:val="en-US" w:eastAsia="zh-CN"/>
              </w:rPr>
              <w:t>6</w:t>
            </w:r>
            <w:r>
              <w:rPr>
                <w:rFonts w:hint="eastAsia" w:ascii="宋体" w:hAnsi="宋体" w:eastAsia="宋体" w:cs="宋体"/>
                <w:sz w:val="24"/>
                <w:szCs w:val="24"/>
              </w:rPr>
              <w:t>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（2）售后保障体系有但不完善的得1-</w:t>
            </w:r>
            <w:r>
              <w:rPr>
                <w:rFonts w:hint="eastAsia" w:ascii="宋体" w:hAnsi="宋体" w:cs="宋体"/>
                <w:sz w:val="24"/>
                <w:szCs w:val="24"/>
                <w:lang w:val="en-US" w:eastAsia="zh-CN"/>
              </w:rPr>
              <w:t>3</w:t>
            </w:r>
            <w:r>
              <w:rPr>
                <w:rFonts w:hint="eastAsia" w:ascii="宋体" w:hAnsi="宋体" w:eastAsia="宋体" w:cs="宋体"/>
                <w:sz w:val="24"/>
                <w:szCs w:val="24"/>
              </w:rPr>
              <w:t>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（3）没有提供或不满足招标文件要求的，得0分。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851" w:type="dxa"/>
            <w:vMerge w:val="continue"/>
            <w:vAlign w:val="center"/>
          </w:tcPr>
          <w:p>
            <w:pPr>
              <w:keepNext w:val="0"/>
              <w:keepLines w:val="0"/>
              <w:suppressLineNumbers w:val="0"/>
              <w:autoSpaceDE w:val="0"/>
              <w:autoSpaceDN w:val="0"/>
              <w:adjustRightInd w:val="0"/>
              <w:spacing w:before="0" w:beforeAutospacing="0" w:after="0" w:afterAutospacing="0"/>
              <w:ind w:left="115" w:leftChars="28" w:right="97" w:hanging="57" w:hangingChars="24"/>
              <w:jc w:val="center"/>
              <w:rPr>
                <w:rFonts w:hint="eastAsia" w:ascii="宋体" w:hAnsi="宋体" w:eastAsia="宋体" w:cs="宋体"/>
                <w:kern w:val="0"/>
                <w:sz w:val="24"/>
                <w:szCs w:val="24"/>
              </w:rPr>
            </w:pPr>
          </w:p>
        </w:tc>
        <w:tc>
          <w:tcPr>
            <w:tcW w:w="851" w:type="dxa"/>
            <w:vMerge w:val="continue"/>
            <w:vAlign w:val="center"/>
          </w:tcPr>
          <w:p>
            <w:pPr>
              <w:keepNext w:val="0"/>
              <w:keepLines w:val="0"/>
              <w:suppressLineNumbers w:val="0"/>
              <w:autoSpaceDE w:val="0"/>
              <w:autoSpaceDN w:val="0"/>
              <w:adjustRightInd w:val="0"/>
              <w:spacing w:before="0" w:beforeAutospacing="0" w:after="0" w:afterAutospacing="0"/>
              <w:ind w:left="115" w:leftChars="28" w:right="97" w:hanging="57" w:hangingChars="24"/>
              <w:jc w:val="center"/>
              <w:rPr>
                <w:rFonts w:hint="eastAsia" w:ascii="宋体" w:hAnsi="宋体" w:eastAsia="宋体" w:cs="宋体"/>
                <w:kern w:val="0"/>
                <w:sz w:val="24"/>
                <w:szCs w:val="24"/>
              </w:rPr>
            </w:pPr>
          </w:p>
        </w:tc>
        <w:tc>
          <w:tcPr>
            <w:tcW w:w="1559" w:type="dxa"/>
            <w:vAlign w:val="center"/>
          </w:tcPr>
          <w:p>
            <w:pPr>
              <w:keepNext w:val="0"/>
              <w:keepLines w:val="0"/>
              <w:suppressLineNumbers w:val="0"/>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sz w:val="24"/>
                <w:szCs w:val="24"/>
              </w:rPr>
              <w:t>培训方案</w:t>
            </w:r>
          </w:p>
          <w:p>
            <w:pPr>
              <w:keepNext w:val="0"/>
              <w:keepLines w:val="0"/>
              <w:suppressLineNumbers w:val="0"/>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sz w:val="24"/>
                <w:szCs w:val="24"/>
              </w:rPr>
              <w:t>（0-5分）</w:t>
            </w:r>
          </w:p>
        </w:tc>
        <w:tc>
          <w:tcPr>
            <w:tcW w:w="595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投标人对项目的培训工作有着良好的响应，培训方案包括但不限于培训计划、培训内容，培训方案需合理可行。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（1）表述清晰完整，编制水平较高，培训计划安排合理，得3-5分；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（2）方案实施难度大，培训计划不合理的，得1-2分；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（3）未提供的得0分。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7" w:hRule="atLeast"/>
        </w:trPr>
        <w:tc>
          <w:tcPr>
            <w:tcW w:w="851" w:type="dxa"/>
            <w:vMerge w:val="restart"/>
            <w:vAlign w:val="center"/>
          </w:tcPr>
          <w:p>
            <w:pPr>
              <w:keepNext w:val="0"/>
              <w:keepLines w:val="0"/>
              <w:suppressLineNumbers w:val="0"/>
              <w:autoSpaceDE w:val="0"/>
              <w:autoSpaceDN w:val="0"/>
              <w:adjustRightInd w:val="0"/>
              <w:spacing w:before="0" w:beforeAutospacing="0" w:after="0" w:afterAutospacing="0"/>
              <w:ind w:left="115" w:leftChars="28" w:right="97" w:hanging="57" w:hangingChars="24"/>
              <w:jc w:val="center"/>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851" w:type="dxa"/>
            <w:vMerge w:val="restart"/>
            <w:vAlign w:val="center"/>
          </w:tcPr>
          <w:p>
            <w:pPr>
              <w:keepNext w:val="0"/>
              <w:keepLines w:val="0"/>
              <w:suppressLineNumbers w:val="0"/>
              <w:autoSpaceDE w:val="0"/>
              <w:autoSpaceDN w:val="0"/>
              <w:adjustRightInd w:val="0"/>
              <w:spacing w:before="0" w:beforeAutospacing="0" w:after="0" w:afterAutospacing="0"/>
              <w:ind w:left="115" w:leftChars="28" w:right="97" w:hanging="57" w:hangingChars="24"/>
              <w:jc w:val="center"/>
              <w:rPr>
                <w:rFonts w:hint="eastAsia" w:ascii="宋体" w:hAnsi="宋体" w:eastAsia="宋体" w:cs="宋体"/>
                <w:sz w:val="24"/>
                <w:szCs w:val="24"/>
              </w:rPr>
            </w:pPr>
            <w:r>
              <w:rPr>
                <w:rFonts w:hint="eastAsia" w:ascii="宋体" w:hAnsi="宋体" w:eastAsia="宋体" w:cs="宋体"/>
                <w:sz w:val="24"/>
                <w:szCs w:val="24"/>
              </w:rPr>
              <w:t>商务部分（</w:t>
            </w:r>
            <w:r>
              <w:rPr>
                <w:rFonts w:hint="eastAsia" w:ascii="宋体" w:hAnsi="宋体" w:cs="宋体"/>
                <w:sz w:val="24"/>
                <w:szCs w:val="24"/>
                <w:lang w:val="en-US" w:eastAsia="zh-CN"/>
              </w:rPr>
              <w:t>20</w:t>
            </w:r>
            <w:r>
              <w:rPr>
                <w:rFonts w:hint="eastAsia" w:ascii="宋体" w:hAnsi="宋体" w:eastAsia="宋体" w:cs="宋体"/>
                <w:sz w:val="24"/>
                <w:szCs w:val="24"/>
              </w:rPr>
              <w:t xml:space="preserve"> 分）</w:t>
            </w:r>
          </w:p>
        </w:tc>
        <w:tc>
          <w:tcPr>
            <w:tcW w:w="1559" w:type="dxa"/>
            <w:vAlign w:val="center"/>
          </w:tcPr>
          <w:p>
            <w:pPr>
              <w:keepNext w:val="0"/>
              <w:keepLines w:val="0"/>
              <w:suppressLineNumbers w:val="0"/>
              <w:shd w:val="clear" w:color="auto" w:fill="FFFFFF"/>
              <w:spacing w:before="0" w:beforeAutospacing="0" w:after="0" w:afterAutospacing="0" w:line="360" w:lineRule="auto"/>
              <w:ind w:left="0" w:right="0"/>
              <w:jc w:val="center"/>
              <w:rPr>
                <w:rFonts w:hint="eastAsia" w:ascii="宋体" w:hAnsi="宋体" w:eastAsia="宋体" w:cs="宋体"/>
                <w:sz w:val="24"/>
              </w:rPr>
            </w:pPr>
            <w:r>
              <w:rPr>
                <w:rFonts w:hint="eastAsia" w:ascii="宋体" w:hAnsi="宋体" w:eastAsia="宋体" w:cs="宋体"/>
                <w:sz w:val="24"/>
              </w:rPr>
              <w:t>售后服务</w:t>
            </w:r>
          </w:p>
          <w:p>
            <w:pPr>
              <w:keepNext w:val="0"/>
              <w:keepLines w:val="0"/>
              <w:suppressLineNumbers w:val="0"/>
              <w:shd w:val="clear" w:color="auto" w:fill="FFFFFF"/>
              <w:spacing w:before="0" w:beforeAutospacing="0" w:after="0" w:afterAutospacing="0" w:line="360" w:lineRule="auto"/>
              <w:ind w:left="0" w:leftChars="0" w:right="0" w:rightChars="0"/>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承诺（</w:t>
            </w:r>
            <w:r>
              <w:rPr>
                <w:rFonts w:hint="eastAsia" w:ascii="宋体" w:hAnsi="宋体" w:cs="宋体"/>
                <w:sz w:val="24"/>
                <w:lang w:val="en-US" w:eastAsia="zh-CN"/>
              </w:rPr>
              <w:t>0-</w:t>
            </w:r>
            <w:r>
              <w:rPr>
                <w:rFonts w:hint="eastAsia" w:ascii="宋体" w:hAnsi="宋体" w:eastAsia="宋体" w:cs="宋体"/>
                <w:sz w:val="24"/>
                <w:lang w:val="en-US" w:eastAsia="zh-CN"/>
              </w:rPr>
              <w:t>1</w:t>
            </w:r>
            <w:r>
              <w:rPr>
                <w:rFonts w:hint="eastAsia" w:ascii="宋体" w:hAnsi="宋体" w:cs="宋体"/>
                <w:sz w:val="24"/>
                <w:lang w:val="en-US" w:eastAsia="zh-CN"/>
              </w:rPr>
              <w:t>2</w:t>
            </w:r>
            <w:r>
              <w:rPr>
                <w:rFonts w:hint="eastAsia" w:ascii="宋体" w:hAnsi="宋体" w:eastAsia="宋体" w:cs="宋体"/>
                <w:sz w:val="24"/>
              </w:rPr>
              <w:t>分）</w:t>
            </w:r>
          </w:p>
        </w:tc>
        <w:tc>
          <w:tcPr>
            <w:tcW w:w="5954" w:type="dxa"/>
            <w:vAlign w:val="center"/>
          </w:tcPr>
          <w:p>
            <w:pPr>
              <w:keepNext w:val="0"/>
              <w:keepLines w:val="0"/>
              <w:suppressLineNumbers w:val="0"/>
              <w:shd w:val="clear" w:color="auto" w:fill="FFFFFF"/>
              <w:spacing w:before="0" w:beforeAutospacing="0" w:after="0" w:afterAutospacing="0" w:line="360" w:lineRule="auto"/>
              <w:ind w:left="0" w:leftChars="0" w:right="0" w:rightChars="0" w:firstLine="240" w:firstLineChars="100"/>
              <w:jc w:val="left"/>
              <w:rPr>
                <w:rFonts w:hint="eastAsia" w:ascii="宋体" w:hAnsi="宋体" w:eastAsia="宋体" w:cs="宋体"/>
                <w:kern w:val="2"/>
                <w:sz w:val="24"/>
                <w:szCs w:val="24"/>
                <w:lang w:val="en-US" w:eastAsia="zh-CN" w:bidi="ar-SA"/>
              </w:rPr>
            </w:pPr>
            <w:r>
              <w:rPr>
                <w:rFonts w:hint="eastAsia" w:ascii="宋体" w:hAnsi="宋体" w:eastAsia="宋体" w:cs="宋体"/>
                <w:sz w:val="24"/>
              </w:rPr>
              <w:t>售后服务的内容、形式、安装培训方案、质量保证、免费维修时间、解决质量或操作问题的响应时间、维修单位名称、地点</w:t>
            </w:r>
            <w:r>
              <w:rPr>
                <w:rFonts w:hint="eastAsia" w:ascii="宋体" w:hAnsi="宋体" w:eastAsia="宋体" w:cs="宋体"/>
                <w:sz w:val="24"/>
                <w:lang w:eastAsia="zh-CN"/>
              </w:rPr>
              <w:t>等方案</w:t>
            </w:r>
            <w:r>
              <w:rPr>
                <w:rFonts w:hint="eastAsia" w:ascii="宋体" w:hAnsi="宋体" w:eastAsia="宋体" w:cs="宋体"/>
                <w:sz w:val="24"/>
              </w:rPr>
              <w:t>，描述详细完善得</w:t>
            </w:r>
            <w:r>
              <w:rPr>
                <w:rFonts w:hint="eastAsia" w:ascii="宋体" w:hAnsi="宋体" w:cs="宋体"/>
                <w:sz w:val="24"/>
                <w:lang w:val="en-US" w:eastAsia="zh-CN"/>
              </w:rPr>
              <w:t>8</w:t>
            </w:r>
            <w:r>
              <w:rPr>
                <w:rFonts w:hint="eastAsia" w:ascii="宋体" w:hAnsi="宋体" w:eastAsia="宋体" w:cs="宋体"/>
                <w:sz w:val="24"/>
                <w:lang w:val="en-US" w:eastAsia="zh-CN"/>
              </w:rPr>
              <w:t>-1</w:t>
            </w:r>
            <w:r>
              <w:rPr>
                <w:rFonts w:hint="eastAsia" w:ascii="宋体" w:hAnsi="宋体" w:cs="宋体"/>
                <w:sz w:val="24"/>
                <w:lang w:val="en-US" w:eastAsia="zh-CN"/>
              </w:rPr>
              <w:t>2</w:t>
            </w:r>
            <w:r>
              <w:rPr>
                <w:rFonts w:hint="eastAsia" w:ascii="宋体" w:hAnsi="宋体" w:eastAsia="宋体" w:cs="宋体"/>
                <w:sz w:val="24"/>
              </w:rPr>
              <w:t>分；良好得</w:t>
            </w:r>
            <w:r>
              <w:rPr>
                <w:rFonts w:hint="eastAsia" w:ascii="宋体" w:hAnsi="宋体" w:eastAsia="宋体" w:cs="宋体"/>
                <w:sz w:val="24"/>
                <w:lang w:val="en-US" w:eastAsia="zh-CN"/>
              </w:rPr>
              <w:t>4-</w:t>
            </w:r>
            <w:r>
              <w:rPr>
                <w:rFonts w:hint="eastAsia" w:ascii="宋体" w:hAnsi="宋体" w:cs="宋体"/>
                <w:sz w:val="24"/>
                <w:lang w:val="en-US" w:eastAsia="zh-CN"/>
              </w:rPr>
              <w:t>7</w:t>
            </w:r>
            <w:r>
              <w:rPr>
                <w:rFonts w:hint="eastAsia" w:ascii="宋体" w:hAnsi="宋体" w:eastAsia="宋体" w:cs="宋体"/>
                <w:sz w:val="24"/>
              </w:rPr>
              <w:t>分；一般得</w:t>
            </w:r>
            <w:r>
              <w:rPr>
                <w:rFonts w:hint="eastAsia" w:ascii="宋体" w:hAnsi="宋体" w:eastAsia="宋体" w:cs="宋体"/>
                <w:sz w:val="24"/>
                <w:lang w:val="en-US" w:eastAsia="zh-CN"/>
              </w:rPr>
              <w:t>1-3</w:t>
            </w:r>
            <w:r>
              <w:rPr>
                <w:rFonts w:hint="eastAsia" w:ascii="宋体" w:hAnsi="宋体" w:eastAsia="宋体" w:cs="宋体"/>
                <w:sz w:val="24"/>
              </w:rPr>
              <w:t xml:space="preserve"> 分；</w:t>
            </w:r>
            <w:r>
              <w:rPr>
                <w:rFonts w:hint="eastAsia" w:ascii="宋体" w:hAnsi="宋体" w:eastAsia="宋体" w:cs="宋体"/>
                <w:sz w:val="24"/>
                <w:lang w:eastAsia="zh-CN"/>
              </w:rPr>
              <w:t>缺项</w:t>
            </w:r>
            <w:r>
              <w:rPr>
                <w:rFonts w:hint="eastAsia" w:ascii="宋体" w:hAnsi="宋体" w:eastAsia="宋体" w:cs="宋体"/>
                <w:sz w:val="24"/>
                <w:lang w:val="en-US" w:eastAsia="zh-CN"/>
              </w:rPr>
              <w:t>0分</w:t>
            </w:r>
            <w:r>
              <w:rPr>
                <w:rFonts w:hint="eastAsia" w:ascii="宋体" w:hAnsi="宋体" w:eastAsia="宋体" w:cs="宋体"/>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6" w:hRule="atLeast"/>
        </w:trPr>
        <w:tc>
          <w:tcPr>
            <w:tcW w:w="851" w:type="dxa"/>
            <w:vMerge w:val="continue"/>
            <w:vAlign w:val="center"/>
          </w:tcPr>
          <w:p>
            <w:pPr>
              <w:keepNext w:val="0"/>
              <w:keepLines w:val="0"/>
              <w:suppressLineNumbers w:val="0"/>
              <w:autoSpaceDE w:val="0"/>
              <w:autoSpaceDN w:val="0"/>
              <w:adjustRightInd w:val="0"/>
              <w:spacing w:before="0" w:beforeAutospacing="0" w:after="0" w:afterAutospacing="0"/>
              <w:ind w:left="115" w:leftChars="28" w:right="97" w:hanging="57" w:hangingChars="24"/>
              <w:jc w:val="center"/>
              <w:rPr>
                <w:rFonts w:hint="eastAsia" w:ascii="宋体" w:hAnsi="宋体" w:eastAsia="宋体" w:cs="宋体"/>
                <w:kern w:val="0"/>
                <w:sz w:val="24"/>
                <w:szCs w:val="24"/>
              </w:rPr>
            </w:pPr>
          </w:p>
        </w:tc>
        <w:tc>
          <w:tcPr>
            <w:tcW w:w="851" w:type="dxa"/>
            <w:vMerge w:val="continue"/>
            <w:vAlign w:val="center"/>
          </w:tcPr>
          <w:p>
            <w:pPr>
              <w:keepNext w:val="0"/>
              <w:keepLines w:val="0"/>
              <w:suppressLineNumbers w:val="0"/>
              <w:autoSpaceDE w:val="0"/>
              <w:autoSpaceDN w:val="0"/>
              <w:adjustRightInd w:val="0"/>
              <w:spacing w:before="0" w:beforeAutospacing="0" w:after="0" w:afterAutospacing="0"/>
              <w:ind w:left="115" w:leftChars="28" w:right="97" w:hanging="57" w:hangingChars="24"/>
              <w:jc w:val="center"/>
              <w:rPr>
                <w:rFonts w:hint="eastAsia" w:ascii="宋体" w:hAnsi="宋体" w:eastAsia="宋体" w:cs="宋体"/>
                <w:kern w:val="0"/>
                <w:sz w:val="24"/>
                <w:szCs w:val="24"/>
              </w:rPr>
            </w:pPr>
          </w:p>
        </w:tc>
        <w:tc>
          <w:tcPr>
            <w:tcW w:w="1559" w:type="dxa"/>
            <w:vAlign w:val="center"/>
          </w:tcPr>
          <w:p>
            <w:pPr>
              <w:keepNext w:val="0"/>
              <w:keepLines w:val="0"/>
              <w:suppressLineNumbers w:val="0"/>
              <w:shd w:val="clear" w:color="auto" w:fill="FFFFFF"/>
              <w:spacing w:before="0" w:beforeAutospacing="0" w:after="0" w:afterAutospacing="0" w:line="360" w:lineRule="auto"/>
              <w:ind w:left="0" w:right="0"/>
              <w:jc w:val="center"/>
              <w:rPr>
                <w:rFonts w:hint="eastAsia" w:ascii="宋体" w:hAnsi="宋体" w:eastAsia="宋体" w:cs="宋体"/>
                <w:sz w:val="24"/>
                <w:szCs w:val="24"/>
                <w:lang w:eastAsia="zh-CN"/>
              </w:rPr>
            </w:pPr>
            <w:r>
              <w:rPr>
                <w:rFonts w:hint="eastAsia" w:ascii="宋体" w:hAnsi="宋体" w:eastAsia="宋体" w:cs="宋体"/>
                <w:sz w:val="24"/>
                <w:szCs w:val="24"/>
              </w:rPr>
              <w:t>其他实质性优惠条件</w:t>
            </w:r>
            <w:r>
              <w:rPr>
                <w:rFonts w:hint="eastAsia" w:ascii="宋体" w:hAnsi="宋体" w:cs="宋体"/>
                <w:sz w:val="24"/>
                <w:szCs w:val="24"/>
                <w:lang w:eastAsia="zh-CN"/>
              </w:rPr>
              <w:t>（</w:t>
            </w:r>
            <w:r>
              <w:rPr>
                <w:rFonts w:hint="eastAsia" w:ascii="宋体" w:hAnsi="宋体" w:eastAsia="宋体" w:cs="宋体"/>
                <w:sz w:val="24"/>
                <w:szCs w:val="24"/>
              </w:rPr>
              <w:t>0-</w:t>
            </w:r>
            <w:r>
              <w:rPr>
                <w:rFonts w:hint="eastAsia" w:ascii="宋体" w:hAnsi="宋体" w:cs="宋体"/>
                <w:sz w:val="24"/>
                <w:szCs w:val="24"/>
                <w:lang w:val="en-US" w:eastAsia="zh-CN"/>
              </w:rPr>
              <w:t>4</w:t>
            </w:r>
            <w:r>
              <w:rPr>
                <w:rFonts w:hint="eastAsia" w:ascii="宋体" w:hAnsi="宋体" w:eastAsia="宋体" w:cs="宋体"/>
                <w:sz w:val="24"/>
                <w:szCs w:val="24"/>
              </w:rPr>
              <w:t>分</w:t>
            </w:r>
            <w:r>
              <w:rPr>
                <w:rFonts w:hint="eastAsia" w:ascii="宋体" w:hAnsi="宋体" w:cs="宋体"/>
                <w:sz w:val="24"/>
                <w:szCs w:val="24"/>
                <w:lang w:eastAsia="zh-CN"/>
              </w:rPr>
              <w:t>）</w:t>
            </w:r>
          </w:p>
        </w:tc>
        <w:tc>
          <w:tcPr>
            <w:tcW w:w="5954" w:type="dxa"/>
            <w:vAlign w:val="center"/>
          </w:tcPr>
          <w:p>
            <w:pPr>
              <w:keepNext w:val="0"/>
              <w:keepLines w:val="0"/>
              <w:suppressLineNumbers w:val="0"/>
              <w:shd w:val="clear" w:color="auto" w:fill="FFFFFF"/>
              <w:spacing w:before="0" w:beforeAutospacing="0" w:after="0" w:afterAutospacing="0" w:line="360" w:lineRule="auto"/>
              <w:ind w:left="0" w:right="0" w:firstLine="240" w:firstLineChars="100"/>
              <w:jc w:val="left"/>
              <w:rPr>
                <w:rFonts w:hint="eastAsia" w:ascii="宋体" w:hAnsi="宋体" w:eastAsia="宋体" w:cs="宋体"/>
                <w:sz w:val="24"/>
                <w:szCs w:val="24"/>
              </w:rPr>
            </w:pPr>
            <w:r>
              <w:rPr>
                <w:rFonts w:hint="eastAsia" w:ascii="宋体" w:hAnsi="宋体" w:eastAsia="宋体" w:cs="宋体"/>
                <w:sz w:val="24"/>
                <w:szCs w:val="24"/>
              </w:rPr>
              <w:t>投标人提供的其他实质性优惠条件, 由评委横向比较打 0-</w:t>
            </w:r>
            <w:r>
              <w:rPr>
                <w:rFonts w:hint="eastAsia" w:ascii="宋体" w:hAnsi="宋体" w:cs="宋体"/>
                <w:sz w:val="24"/>
                <w:szCs w:val="24"/>
                <w:lang w:val="en-US" w:eastAsia="zh-CN"/>
              </w:rPr>
              <w:t>4</w:t>
            </w:r>
            <w:r>
              <w:rPr>
                <w:rFonts w:hint="eastAsia" w:ascii="宋体" w:hAnsi="宋体" w:eastAsia="宋体" w:cs="宋体"/>
                <w:sz w:val="24"/>
                <w:szCs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8" w:hRule="atLeast"/>
        </w:trPr>
        <w:tc>
          <w:tcPr>
            <w:tcW w:w="851" w:type="dxa"/>
            <w:vMerge w:val="continue"/>
            <w:vAlign w:val="center"/>
          </w:tcPr>
          <w:p>
            <w:pPr>
              <w:keepNext w:val="0"/>
              <w:keepLines w:val="0"/>
              <w:suppressLineNumbers w:val="0"/>
              <w:autoSpaceDE w:val="0"/>
              <w:autoSpaceDN w:val="0"/>
              <w:adjustRightInd w:val="0"/>
              <w:spacing w:before="0" w:beforeAutospacing="0" w:after="0" w:afterAutospacing="0"/>
              <w:ind w:left="115" w:leftChars="28" w:right="97" w:hanging="57" w:hangingChars="24"/>
              <w:jc w:val="center"/>
              <w:rPr>
                <w:rFonts w:hint="eastAsia" w:ascii="宋体" w:hAnsi="宋体" w:eastAsia="宋体" w:cs="宋体"/>
                <w:kern w:val="0"/>
                <w:sz w:val="24"/>
                <w:szCs w:val="24"/>
              </w:rPr>
            </w:pPr>
          </w:p>
        </w:tc>
        <w:tc>
          <w:tcPr>
            <w:tcW w:w="851" w:type="dxa"/>
            <w:vMerge w:val="continue"/>
            <w:vAlign w:val="center"/>
          </w:tcPr>
          <w:p>
            <w:pPr>
              <w:keepNext w:val="0"/>
              <w:keepLines w:val="0"/>
              <w:suppressLineNumbers w:val="0"/>
              <w:autoSpaceDE w:val="0"/>
              <w:autoSpaceDN w:val="0"/>
              <w:adjustRightInd w:val="0"/>
              <w:spacing w:before="0" w:beforeAutospacing="0" w:after="0" w:afterAutospacing="0"/>
              <w:ind w:left="115" w:leftChars="28" w:right="97" w:hanging="57" w:hangingChars="24"/>
              <w:jc w:val="center"/>
              <w:rPr>
                <w:rFonts w:hint="eastAsia" w:ascii="宋体" w:hAnsi="宋体" w:eastAsia="宋体" w:cs="宋体"/>
                <w:kern w:val="0"/>
                <w:sz w:val="24"/>
                <w:szCs w:val="24"/>
              </w:rPr>
            </w:pPr>
          </w:p>
        </w:tc>
        <w:tc>
          <w:tcPr>
            <w:tcW w:w="1559" w:type="dxa"/>
            <w:vAlign w:val="center"/>
          </w:tcPr>
          <w:p>
            <w:pPr>
              <w:keepNext w:val="0"/>
              <w:keepLines w:val="0"/>
              <w:suppressLineNumbers w:val="0"/>
              <w:shd w:val="clear" w:color="auto" w:fill="FFFFFF"/>
              <w:spacing w:before="0" w:beforeAutospacing="0" w:after="0" w:afterAutospacing="0" w:line="360" w:lineRule="auto"/>
              <w:ind w:left="0" w:right="0"/>
              <w:jc w:val="center"/>
              <w:rPr>
                <w:rFonts w:hint="eastAsia" w:ascii="宋体" w:hAnsi="宋体" w:eastAsia="宋体" w:cs="宋体"/>
                <w:sz w:val="24"/>
                <w:szCs w:val="24"/>
                <w:lang w:eastAsia="zh-CN"/>
              </w:rPr>
            </w:pPr>
            <w:r>
              <w:rPr>
                <w:rFonts w:hint="eastAsia" w:ascii="宋体" w:hAnsi="宋体" w:eastAsia="宋体" w:cs="宋体"/>
                <w:sz w:val="24"/>
                <w:szCs w:val="24"/>
              </w:rPr>
              <w:t>综合评价</w:t>
            </w:r>
            <w:r>
              <w:rPr>
                <w:rFonts w:hint="eastAsia" w:ascii="宋体" w:hAnsi="宋体" w:eastAsia="宋体" w:cs="宋体"/>
                <w:sz w:val="24"/>
                <w:szCs w:val="24"/>
                <w:lang w:eastAsia="zh-CN"/>
              </w:rPr>
              <w:t>（</w:t>
            </w:r>
            <w:r>
              <w:rPr>
                <w:rFonts w:hint="eastAsia" w:ascii="宋体" w:hAnsi="宋体" w:eastAsia="宋体" w:cs="宋体"/>
                <w:sz w:val="24"/>
                <w:szCs w:val="24"/>
              </w:rPr>
              <w:t>0-</w:t>
            </w:r>
            <w:r>
              <w:rPr>
                <w:rFonts w:hint="eastAsia" w:ascii="宋体" w:hAnsi="宋体" w:eastAsia="宋体" w:cs="宋体"/>
                <w:sz w:val="24"/>
                <w:szCs w:val="24"/>
                <w:lang w:val="en-US" w:eastAsia="zh-CN"/>
              </w:rPr>
              <w:t>4</w:t>
            </w:r>
            <w:r>
              <w:rPr>
                <w:rFonts w:hint="eastAsia" w:ascii="宋体" w:hAnsi="宋体" w:eastAsia="宋体" w:cs="宋体"/>
                <w:sz w:val="24"/>
                <w:szCs w:val="24"/>
              </w:rPr>
              <w:t>分</w:t>
            </w:r>
            <w:r>
              <w:rPr>
                <w:rFonts w:hint="eastAsia" w:ascii="宋体" w:hAnsi="宋体" w:eastAsia="宋体" w:cs="宋体"/>
                <w:sz w:val="24"/>
                <w:szCs w:val="24"/>
                <w:lang w:eastAsia="zh-CN"/>
              </w:rPr>
              <w:t>）</w:t>
            </w:r>
          </w:p>
        </w:tc>
        <w:tc>
          <w:tcPr>
            <w:tcW w:w="5954" w:type="dxa"/>
            <w:vAlign w:val="center"/>
          </w:tcPr>
          <w:p>
            <w:pPr>
              <w:keepNext w:val="0"/>
              <w:keepLines w:val="0"/>
              <w:suppressLineNumbers w:val="0"/>
              <w:shd w:val="clear" w:color="auto" w:fill="FFFFFF"/>
              <w:spacing w:before="0" w:beforeAutospacing="0" w:after="0" w:afterAutospacing="0" w:line="360" w:lineRule="auto"/>
              <w:ind w:left="0" w:right="0" w:firstLine="240" w:firstLineChars="100"/>
              <w:jc w:val="left"/>
              <w:rPr>
                <w:rFonts w:hint="eastAsia" w:ascii="宋体" w:hAnsi="宋体" w:eastAsia="宋体" w:cs="宋体"/>
                <w:sz w:val="24"/>
                <w:szCs w:val="24"/>
              </w:rPr>
            </w:pPr>
            <w:r>
              <w:rPr>
                <w:rFonts w:hint="eastAsia" w:ascii="宋体" w:hAnsi="宋体" w:eastAsia="宋体" w:cs="宋体"/>
                <w:sz w:val="24"/>
                <w:szCs w:val="24"/>
              </w:rPr>
              <w:t>对投标人综合实力、产品质量、标书制作、方案编制等方面整体评价，0-</w:t>
            </w:r>
            <w:r>
              <w:rPr>
                <w:rFonts w:hint="eastAsia" w:ascii="宋体" w:hAnsi="宋体" w:eastAsia="宋体" w:cs="宋体"/>
                <w:sz w:val="24"/>
                <w:szCs w:val="24"/>
                <w:lang w:val="en-US" w:eastAsia="zh-CN"/>
              </w:rPr>
              <w:t>4</w:t>
            </w:r>
            <w:r>
              <w:rPr>
                <w:rFonts w:hint="eastAsia" w:ascii="宋体" w:hAnsi="宋体" w:eastAsia="宋体" w:cs="宋体"/>
                <w:sz w:val="24"/>
                <w:szCs w:val="24"/>
              </w:rPr>
              <w:t>分之间打分。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8" w:hRule="atLeast"/>
        </w:trPr>
        <w:tc>
          <w:tcPr>
            <w:tcW w:w="9215" w:type="dxa"/>
            <w:gridSpan w:val="4"/>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注： 1、评标委员会成员对供应商评分的算术平均值即为该供应商最终评标得分，评分和计算结果均保留小数点后 2 位（采用四舍五入法）。</w:t>
            </w:r>
          </w:p>
        </w:tc>
      </w:tr>
    </w:tbl>
    <w:p>
      <w:pPr>
        <w:rPr>
          <w:rFonts w:hint="eastAsia" w:ascii="宋体" w:hAnsi="宋体" w:eastAsia="宋体" w:cs="宋体"/>
          <w:b/>
          <w:color w:val="auto"/>
          <w:sz w:val="28"/>
          <w:szCs w:val="32"/>
          <w:highlight w:val="none"/>
        </w:rPr>
      </w:pPr>
    </w:p>
    <w:p>
      <w:pPr>
        <w:spacing w:line="360" w:lineRule="auto"/>
        <w:ind w:firstLine="480" w:firstLineChars="200"/>
        <w:rPr>
          <w:rFonts w:hint="eastAsia" w:ascii="宋体" w:hAnsi="宋体" w:eastAsia="宋体" w:cs="宋体"/>
          <w:bCs/>
          <w:color w:val="auto"/>
          <w:kern w:val="44"/>
          <w:sz w:val="24"/>
          <w:szCs w:val="24"/>
          <w:highlight w:val="none"/>
        </w:rPr>
      </w:pPr>
      <w:bookmarkStart w:id="29" w:name="_Toc29806"/>
      <w:r>
        <w:rPr>
          <w:rFonts w:hint="eastAsia" w:ascii="宋体" w:hAnsi="宋体" w:eastAsia="宋体" w:cs="宋体"/>
          <w:bCs/>
          <w:color w:val="auto"/>
          <w:kern w:val="44"/>
          <w:sz w:val="24"/>
          <w:szCs w:val="24"/>
          <w:highlight w:val="none"/>
        </w:rPr>
        <w:t>评标办法</w:t>
      </w:r>
      <w:bookmarkEnd w:id="29"/>
      <w:r>
        <w:rPr>
          <w:rFonts w:hint="eastAsia" w:ascii="宋体" w:hAnsi="宋体" w:eastAsia="宋体" w:cs="宋体"/>
          <w:bCs/>
          <w:color w:val="auto"/>
          <w:kern w:val="44"/>
          <w:sz w:val="24"/>
          <w:szCs w:val="24"/>
          <w:highlight w:val="none"/>
        </w:rPr>
        <w:t>：本次评标采用综合评</w:t>
      </w:r>
      <w:r>
        <w:rPr>
          <w:rFonts w:hint="eastAsia" w:ascii="宋体" w:hAnsi="宋体" w:eastAsia="宋体" w:cs="宋体"/>
          <w:color w:val="auto"/>
          <w:sz w:val="24"/>
          <w:szCs w:val="24"/>
          <w:highlight w:val="none"/>
        </w:rPr>
        <w:t>分</w:t>
      </w:r>
      <w:r>
        <w:rPr>
          <w:rFonts w:hint="eastAsia" w:ascii="宋体" w:hAnsi="宋体" w:eastAsia="宋体" w:cs="宋体"/>
          <w:bCs/>
          <w:color w:val="auto"/>
          <w:kern w:val="44"/>
          <w:sz w:val="24"/>
          <w:szCs w:val="24"/>
          <w:highlight w:val="none"/>
        </w:rPr>
        <w:t>法。评标委员会对满足招标文件实质性要求的投标文件，按照本章规定的评分标准进行打分，并按得分由高到低顺序推荐3名中标候选人，但投标报价低于其成本的除外。综合评分相等时，以投标报价低的优先；投标报价也相等的，按技术部分的得分由高到低排序。</w:t>
      </w:r>
    </w:p>
    <w:p>
      <w:pPr>
        <w:spacing w:line="360" w:lineRule="auto"/>
        <w:ind w:firstLine="480" w:firstLineChars="200"/>
        <w:rPr>
          <w:rFonts w:hint="eastAsia" w:ascii="宋体" w:hAnsi="宋体" w:eastAsia="宋体" w:cs="宋体"/>
          <w:bCs/>
          <w:color w:val="auto"/>
          <w:kern w:val="44"/>
          <w:sz w:val="24"/>
          <w:szCs w:val="24"/>
          <w:highlight w:val="none"/>
        </w:rPr>
      </w:pPr>
      <w:r>
        <w:rPr>
          <w:rFonts w:hint="eastAsia" w:ascii="宋体" w:hAnsi="宋体" w:eastAsia="宋体" w:cs="宋体"/>
          <w:bCs/>
          <w:color w:val="auto"/>
          <w:kern w:val="44"/>
          <w:sz w:val="24"/>
          <w:szCs w:val="24"/>
          <w:highlight w:val="none"/>
        </w:rPr>
        <w:t>定标办法：</w:t>
      </w:r>
      <w:r>
        <w:rPr>
          <w:rFonts w:hint="eastAsia" w:ascii="宋体" w:hAnsi="宋体" w:eastAsia="宋体" w:cs="宋体"/>
          <w:bCs/>
          <w:color w:val="auto"/>
          <w:kern w:val="44"/>
          <w:sz w:val="24"/>
          <w:szCs w:val="24"/>
          <w:highlight w:val="none"/>
          <w:lang w:eastAsia="zh-CN"/>
        </w:rPr>
        <w:t>供应商</w:t>
      </w:r>
      <w:r>
        <w:rPr>
          <w:rFonts w:hint="eastAsia" w:ascii="宋体" w:hAnsi="宋体" w:eastAsia="宋体" w:cs="宋体"/>
          <w:bCs/>
          <w:color w:val="auto"/>
          <w:kern w:val="44"/>
          <w:sz w:val="24"/>
          <w:szCs w:val="24"/>
          <w:highlight w:val="none"/>
        </w:rPr>
        <w:t>的排名按得分顺序从高到低排列；得分相同的，按投标报价由低到高顺序排列；得分且投标报价相同的，按技术指标优劣顺序排列。</w:t>
      </w:r>
      <w:bookmarkStart w:id="30" w:name="_Toc525062096"/>
      <w:bookmarkEnd w:id="30"/>
      <w:bookmarkStart w:id="31" w:name="_Toc22082"/>
      <w:bookmarkEnd w:id="31"/>
    </w:p>
    <w:p>
      <w:pPr>
        <w:spacing w:line="360" w:lineRule="auto"/>
        <w:ind w:firstLine="480" w:firstLineChars="200"/>
        <w:rPr>
          <w:rFonts w:hint="eastAsia" w:ascii="宋体" w:hAnsi="宋体" w:eastAsia="宋体" w:cs="宋体"/>
          <w:bCs/>
          <w:color w:val="auto"/>
          <w:kern w:val="44"/>
          <w:sz w:val="24"/>
          <w:szCs w:val="24"/>
          <w:highlight w:val="none"/>
        </w:rPr>
      </w:pPr>
      <w:r>
        <w:rPr>
          <w:rFonts w:hint="eastAsia" w:ascii="宋体" w:hAnsi="宋体" w:eastAsia="宋体" w:cs="宋体"/>
          <w:bCs/>
          <w:color w:val="auto"/>
          <w:kern w:val="44"/>
          <w:sz w:val="24"/>
          <w:szCs w:val="24"/>
          <w:highlight w:val="none"/>
          <w:lang w:eastAsia="zh-CN"/>
        </w:rPr>
        <w:t>供应商</w:t>
      </w:r>
      <w:r>
        <w:rPr>
          <w:rFonts w:hint="eastAsia" w:ascii="宋体" w:hAnsi="宋体" w:eastAsia="宋体" w:cs="宋体"/>
          <w:bCs/>
          <w:color w:val="auto"/>
          <w:kern w:val="44"/>
          <w:sz w:val="24"/>
          <w:szCs w:val="24"/>
          <w:highlight w:val="none"/>
        </w:rPr>
        <w:t>提供相同品牌产品且通过资格审查、符合性审查的不同</w:t>
      </w:r>
      <w:r>
        <w:rPr>
          <w:rFonts w:hint="eastAsia" w:ascii="宋体" w:hAnsi="宋体" w:eastAsia="宋体" w:cs="宋体"/>
          <w:bCs/>
          <w:color w:val="auto"/>
          <w:kern w:val="44"/>
          <w:sz w:val="24"/>
          <w:szCs w:val="24"/>
          <w:highlight w:val="none"/>
          <w:lang w:eastAsia="zh-CN"/>
        </w:rPr>
        <w:t>供应商</w:t>
      </w:r>
      <w:r>
        <w:rPr>
          <w:rFonts w:hint="eastAsia" w:ascii="宋体" w:hAnsi="宋体" w:eastAsia="宋体" w:cs="宋体"/>
          <w:bCs/>
          <w:color w:val="auto"/>
          <w:kern w:val="44"/>
          <w:sz w:val="24"/>
          <w:szCs w:val="24"/>
          <w:highlight w:val="none"/>
        </w:rPr>
        <w:t>参加同一合同项下投标的，按一家</w:t>
      </w:r>
      <w:r>
        <w:rPr>
          <w:rFonts w:hint="eastAsia" w:ascii="宋体" w:hAnsi="宋体" w:eastAsia="宋体" w:cs="宋体"/>
          <w:bCs/>
          <w:color w:val="auto"/>
          <w:kern w:val="44"/>
          <w:sz w:val="24"/>
          <w:szCs w:val="24"/>
          <w:highlight w:val="none"/>
          <w:lang w:eastAsia="zh-CN"/>
        </w:rPr>
        <w:t>供应商</w:t>
      </w:r>
      <w:r>
        <w:rPr>
          <w:rFonts w:hint="eastAsia" w:ascii="宋体" w:hAnsi="宋体" w:eastAsia="宋体" w:cs="宋体"/>
          <w:bCs/>
          <w:color w:val="auto"/>
          <w:kern w:val="44"/>
          <w:sz w:val="24"/>
          <w:szCs w:val="24"/>
          <w:highlight w:val="none"/>
        </w:rPr>
        <w:t>计算，评审后得分最高的同品牌</w:t>
      </w:r>
      <w:r>
        <w:rPr>
          <w:rFonts w:hint="eastAsia" w:ascii="宋体" w:hAnsi="宋体" w:eastAsia="宋体" w:cs="宋体"/>
          <w:bCs/>
          <w:color w:val="auto"/>
          <w:kern w:val="44"/>
          <w:sz w:val="24"/>
          <w:szCs w:val="24"/>
          <w:highlight w:val="none"/>
          <w:lang w:eastAsia="zh-CN"/>
        </w:rPr>
        <w:t>供应商</w:t>
      </w:r>
      <w:r>
        <w:rPr>
          <w:rFonts w:hint="eastAsia" w:ascii="宋体" w:hAnsi="宋体" w:eastAsia="宋体" w:cs="宋体"/>
          <w:bCs/>
          <w:color w:val="auto"/>
          <w:kern w:val="44"/>
          <w:sz w:val="24"/>
          <w:szCs w:val="24"/>
          <w:highlight w:val="none"/>
        </w:rPr>
        <w:t>获得中标人推荐资格；评审得分相同的，由评标委员会随机确定一个</w:t>
      </w:r>
      <w:r>
        <w:rPr>
          <w:rFonts w:hint="eastAsia" w:ascii="宋体" w:hAnsi="宋体" w:eastAsia="宋体" w:cs="宋体"/>
          <w:bCs/>
          <w:color w:val="auto"/>
          <w:kern w:val="44"/>
          <w:sz w:val="24"/>
          <w:szCs w:val="24"/>
          <w:highlight w:val="none"/>
          <w:lang w:eastAsia="zh-CN"/>
        </w:rPr>
        <w:t>供应商</w:t>
      </w:r>
      <w:r>
        <w:rPr>
          <w:rFonts w:hint="eastAsia" w:ascii="宋体" w:hAnsi="宋体" w:eastAsia="宋体" w:cs="宋体"/>
          <w:bCs/>
          <w:color w:val="auto"/>
          <w:kern w:val="44"/>
          <w:sz w:val="24"/>
          <w:szCs w:val="24"/>
          <w:highlight w:val="none"/>
        </w:rPr>
        <w:t>获得中标人推荐资格，其他同品牌</w:t>
      </w:r>
      <w:r>
        <w:rPr>
          <w:rFonts w:hint="eastAsia" w:ascii="宋体" w:hAnsi="宋体" w:eastAsia="宋体" w:cs="宋体"/>
          <w:bCs/>
          <w:color w:val="auto"/>
          <w:kern w:val="44"/>
          <w:sz w:val="24"/>
          <w:szCs w:val="24"/>
          <w:highlight w:val="none"/>
          <w:lang w:eastAsia="zh-CN"/>
        </w:rPr>
        <w:t>供应商</w:t>
      </w:r>
      <w:r>
        <w:rPr>
          <w:rFonts w:hint="eastAsia" w:ascii="宋体" w:hAnsi="宋体" w:eastAsia="宋体" w:cs="宋体"/>
          <w:bCs/>
          <w:color w:val="auto"/>
          <w:kern w:val="44"/>
          <w:sz w:val="24"/>
          <w:szCs w:val="24"/>
          <w:highlight w:val="none"/>
        </w:rPr>
        <w:t>不作为中标候选人。</w:t>
      </w:r>
    </w:p>
    <w:p>
      <w:pPr>
        <w:pStyle w:val="4"/>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12.确定中标人 </w:t>
      </w:r>
    </w:p>
    <w:p>
      <w:pPr>
        <w:spacing w:line="440" w:lineRule="exact"/>
        <w:ind w:firstLine="480" w:firstLineChars="200"/>
        <w:jc w:val="left"/>
        <w:rPr>
          <w:rFonts w:hint="eastAsia" w:ascii="宋体" w:hAnsi="宋体" w:eastAsia="宋体" w:cs="宋体"/>
          <w:bCs/>
          <w:color w:val="auto"/>
          <w:kern w:val="44"/>
          <w:sz w:val="24"/>
          <w:szCs w:val="24"/>
          <w:highlight w:val="none"/>
        </w:rPr>
      </w:pPr>
      <w:r>
        <w:rPr>
          <w:rFonts w:hint="eastAsia" w:ascii="宋体" w:hAnsi="宋体" w:eastAsia="宋体" w:cs="宋体"/>
          <w:bCs/>
          <w:color w:val="auto"/>
          <w:kern w:val="44"/>
          <w:sz w:val="24"/>
          <w:szCs w:val="24"/>
          <w:highlight w:val="none"/>
        </w:rPr>
        <w:t xml:space="preserve">1 评标委员会根据详细评审的结果,按最终得分由高到低确定前3名为中标候选人。 </w:t>
      </w:r>
    </w:p>
    <w:p>
      <w:pPr>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招标人将确定排名第一的中标候选人为中标人并向其授予合同。</w:t>
      </w:r>
      <w:r>
        <w:rPr>
          <w:rFonts w:hint="eastAsia" w:ascii="宋体" w:hAnsi="宋体" w:eastAsia="宋体" w:cs="宋体"/>
          <w:color w:val="auto"/>
          <w:kern w:val="0"/>
          <w:sz w:val="24"/>
          <w:szCs w:val="24"/>
          <w:highlight w:val="none"/>
        </w:rPr>
        <w:t>排名第一的中标候选人放弃中标、因不可抗力不能履行合同，或者被查实存在影响中标结果的违法行为等情形，不符合中标条件的，招标人可以按照评标委员会提出的中标候选人名单排序依次确定其他中标候选人为中标人，也可以重新招标。</w:t>
      </w:r>
    </w:p>
    <w:p>
      <w:pPr>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3招标人将在收到评标报告后五个工作日内按前款规定确定中标人。</w:t>
      </w:r>
    </w:p>
    <w:p>
      <w:pPr>
        <w:pStyle w:val="4"/>
        <w:ind w:firstLine="480" w:firstLineChars="200"/>
        <w:jc w:val="left"/>
        <w:rPr>
          <w:rFonts w:hint="eastAsia" w:ascii="宋体" w:hAnsi="宋体" w:eastAsia="宋体" w:cs="宋体"/>
          <w:color w:val="auto"/>
          <w:sz w:val="24"/>
          <w:highlight w:val="none"/>
        </w:rPr>
      </w:pPr>
      <w:bookmarkStart w:id="32" w:name="_Toc525062097"/>
      <w:bookmarkEnd w:id="32"/>
      <w:bookmarkStart w:id="33" w:name="_Toc30425"/>
      <w:r>
        <w:rPr>
          <w:rFonts w:hint="eastAsia" w:ascii="宋体" w:hAnsi="宋体" w:eastAsia="宋体" w:cs="宋体"/>
          <w:color w:val="auto"/>
          <w:sz w:val="24"/>
          <w:highlight w:val="none"/>
        </w:rPr>
        <w:t>13. 评标过程保密</w:t>
      </w:r>
      <w:bookmarkEnd w:id="33"/>
      <w:r>
        <w:rPr>
          <w:rFonts w:hint="eastAsia" w:ascii="宋体" w:hAnsi="宋体" w:eastAsia="宋体" w:cs="宋体"/>
          <w:color w:val="auto"/>
          <w:sz w:val="24"/>
          <w:highlight w:val="none"/>
        </w:rPr>
        <w:t xml:space="preserve"> </w:t>
      </w:r>
    </w:p>
    <w:p>
      <w:pPr>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开标之后,直到授予</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合同止，凡是属于审查、澄清、评价和比较投标的有关资料以及授标意向等，均不向</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 xml:space="preserve">或其他与评标无关的人员透露。 </w:t>
      </w:r>
    </w:p>
    <w:p>
      <w:pPr>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在评标期间，</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 xml:space="preserve">企图影响招标人或评标委员会的任何活动，将导致投标被拒绝，并由其承担相应的法律责任。 </w:t>
      </w:r>
      <w:bookmarkStart w:id="34" w:name="_Toc16427"/>
      <w:bookmarkEnd w:id="34"/>
      <w:bookmarkStart w:id="35" w:name="_Toc525062098"/>
      <w:bookmarkEnd w:id="35"/>
    </w:p>
    <w:p>
      <w:pPr>
        <w:pStyle w:val="4"/>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14.废标情况规定</w:t>
      </w:r>
    </w:p>
    <w:p>
      <w:pPr>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出现下列情况之一时，应予废标： </w:t>
      </w:r>
    </w:p>
    <w:p>
      <w:pPr>
        <w:numPr>
          <w:ilvl w:val="0"/>
          <w:numId w:val="6"/>
        </w:numPr>
        <w:spacing w:line="44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出现影响采购公正的违法、违规行为的；</w:t>
      </w:r>
    </w:p>
    <w:p>
      <w:pPr>
        <w:numPr>
          <w:ilvl w:val="0"/>
          <w:numId w:val="6"/>
        </w:numPr>
        <w:spacing w:line="44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符合专业条件的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或者对招标文件作实质性响应的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 xml:space="preserve">不足三家的 </w:t>
      </w:r>
    </w:p>
    <w:p>
      <w:pPr>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 xml:space="preserve">的报价均超过了招标控制价，招标人不能支付的； </w:t>
      </w:r>
    </w:p>
    <w:p>
      <w:pPr>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 因重大变故，采购任务取消的。 </w:t>
      </w:r>
    </w:p>
    <w:p>
      <w:pPr>
        <w:pStyle w:val="4"/>
        <w:ind w:firstLine="480" w:firstLineChars="200"/>
        <w:jc w:val="left"/>
        <w:rPr>
          <w:rFonts w:hint="eastAsia" w:ascii="宋体" w:hAnsi="宋体" w:eastAsia="宋体" w:cs="宋体"/>
          <w:color w:val="auto"/>
          <w:sz w:val="24"/>
          <w:highlight w:val="none"/>
        </w:rPr>
      </w:pPr>
      <w:bookmarkStart w:id="36" w:name="_Toc17119"/>
      <w:bookmarkEnd w:id="36"/>
      <w:bookmarkStart w:id="37" w:name="_Toc525062099"/>
      <w:r>
        <w:rPr>
          <w:rFonts w:hint="eastAsia" w:ascii="宋体" w:hAnsi="宋体" w:eastAsia="宋体" w:cs="宋体"/>
          <w:color w:val="auto"/>
          <w:sz w:val="24"/>
          <w:highlight w:val="none"/>
        </w:rPr>
        <w:t>15. 关于</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瑕疵滞后发现的处理规则</w:t>
      </w:r>
      <w:bookmarkEnd w:id="37"/>
    </w:p>
    <w:p>
      <w:pPr>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无论基于何种原因，各项本应作拒绝处理的情形，如虚假应标等即便未被及时发现而使该</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进入初审、详细评审或其它后续程序，包括已经签约的情形，一旦在任何时间被发现存在上述情形，则招标人均有权随时决定取消该</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的此前评议结果，或随时视情形决定是否对该投标予以拒绝，并有权决定采取相应的补救或纠正措施。一旦该等</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被拒绝或被取消该</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的此前评议结果，其现有的位置将由排名第二的候选中标人替代，以此类推。且相关的一切损失均由该等</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承担，招标人并将此情况上报财政部门，将中标人的行为记入不良记录。</w:t>
      </w:r>
    </w:p>
    <w:p>
      <w:pPr>
        <w:pStyle w:val="4"/>
        <w:ind w:firstLine="480" w:firstLineChars="200"/>
        <w:jc w:val="left"/>
        <w:rPr>
          <w:rFonts w:hint="eastAsia" w:ascii="宋体" w:hAnsi="宋体" w:eastAsia="宋体" w:cs="宋体"/>
          <w:color w:val="auto"/>
          <w:sz w:val="24"/>
          <w:highlight w:val="none"/>
        </w:rPr>
      </w:pPr>
      <w:bookmarkStart w:id="38" w:name="_Toc525062101"/>
      <w:bookmarkEnd w:id="38"/>
      <w:bookmarkStart w:id="39" w:name="_Toc7568"/>
      <w:r>
        <w:rPr>
          <w:rFonts w:hint="eastAsia" w:ascii="宋体" w:hAnsi="宋体" w:eastAsia="宋体" w:cs="宋体"/>
          <w:color w:val="auto"/>
          <w:sz w:val="24"/>
          <w:highlight w:val="none"/>
        </w:rPr>
        <w:t>16. 中标通知</w:t>
      </w:r>
      <w:bookmarkEnd w:id="39"/>
      <w:r>
        <w:rPr>
          <w:rFonts w:hint="eastAsia" w:ascii="宋体" w:hAnsi="宋体" w:eastAsia="宋体" w:cs="宋体"/>
          <w:color w:val="auto"/>
          <w:sz w:val="24"/>
          <w:highlight w:val="none"/>
        </w:rPr>
        <w:t xml:space="preserve"> </w:t>
      </w:r>
    </w:p>
    <w:p>
      <w:pPr>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招标人将在刊登本次招标公告的媒体上发布中标公告以告知中标人和其他</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评标结果，并以当面交接、邮寄或传真等书面形式向所选定的中标人发出中标通知，不再向未中标的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 xml:space="preserve">发出书面通知。 </w:t>
      </w:r>
    </w:p>
    <w:p>
      <w:pPr>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2招标人对未中标的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不作未中标原因的解释。中标结果的有效性不依赖于未中标的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 xml:space="preserve">是否已经收到该通知。 </w:t>
      </w:r>
    </w:p>
    <w:p>
      <w:pPr>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 中标通知书是合同的组成部分。 </w:t>
      </w:r>
    </w:p>
    <w:p>
      <w:pPr>
        <w:pStyle w:val="4"/>
        <w:ind w:firstLine="480" w:firstLineChars="200"/>
        <w:jc w:val="left"/>
        <w:rPr>
          <w:rFonts w:hint="eastAsia" w:ascii="宋体" w:hAnsi="宋体" w:eastAsia="宋体" w:cs="宋体"/>
          <w:color w:val="auto"/>
          <w:sz w:val="24"/>
          <w:highlight w:val="none"/>
        </w:rPr>
      </w:pPr>
      <w:bookmarkStart w:id="40" w:name="_Toc525062102"/>
      <w:bookmarkEnd w:id="40"/>
      <w:bookmarkStart w:id="41" w:name="_Toc10969"/>
      <w:r>
        <w:rPr>
          <w:rFonts w:hint="eastAsia" w:ascii="宋体" w:hAnsi="宋体" w:eastAsia="宋体" w:cs="宋体"/>
          <w:color w:val="auto"/>
          <w:sz w:val="24"/>
          <w:highlight w:val="none"/>
        </w:rPr>
        <w:t>17. 合同签订</w:t>
      </w:r>
      <w:bookmarkEnd w:id="41"/>
      <w:r>
        <w:rPr>
          <w:rFonts w:hint="eastAsia" w:ascii="宋体" w:hAnsi="宋体" w:eastAsia="宋体" w:cs="宋体"/>
          <w:color w:val="auto"/>
          <w:sz w:val="24"/>
          <w:highlight w:val="none"/>
        </w:rPr>
        <w:t xml:space="preserve"> </w:t>
      </w:r>
    </w:p>
    <w:p>
      <w:pPr>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招标人和中标人应当自成交通知书发出之日起15天内签订中标合同。中标人不得再与招标人签订背离合同实质性内容的其它协议或声明，否则按开标后撤回投标处理。中标</w:t>
      </w:r>
      <w:r>
        <w:rPr>
          <w:rFonts w:hint="eastAsia" w:ascii="宋体" w:hAnsi="宋体" w:eastAsia="宋体" w:cs="宋体"/>
          <w:color w:val="auto"/>
          <w:sz w:val="24"/>
          <w:szCs w:val="24"/>
          <w:highlight w:val="none"/>
          <w:lang w:eastAsia="zh-CN"/>
        </w:rPr>
        <w:t>人</w:t>
      </w:r>
      <w:r>
        <w:rPr>
          <w:rFonts w:hint="eastAsia" w:ascii="宋体" w:hAnsi="宋体" w:eastAsia="宋体" w:cs="宋体"/>
          <w:color w:val="auto"/>
          <w:sz w:val="24"/>
          <w:szCs w:val="24"/>
          <w:highlight w:val="none"/>
        </w:rPr>
        <w:t>可在中标成交后持政府采购合同向融资机构申请贷款，详见附件。</w:t>
      </w:r>
    </w:p>
    <w:p>
      <w:pPr>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2中标人应按照招标文件、投标文件及评标过程中的有关澄清文件的内容与招标人签订合同。中标人不与招标人签订采购合同的，招标人有权取消其中标资格，并没收其投标保证金。</w:t>
      </w:r>
    </w:p>
    <w:p>
      <w:pPr>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一旦中标，签订合同后，未经招标人事先给予书面同意不得转包、分包，亦不得将合同全部及任何权利、义务向第三方转让，否则将被视为严重违约，招标人有权决定按照</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 xml:space="preserve">中标后撤回投标、终止或解除合同处理或作出其它处理。 </w:t>
      </w:r>
    </w:p>
    <w:p>
      <w:pPr>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4中标人如未按投标文件中的要求按期完成项目的，视为中标人违约，则招标人有权取消合同，中标人还应赔偿招标人由此造成的所有损失。招标人并将此情况上报财政部门，将中标人的行为记入不良记录。 </w:t>
      </w:r>
    </w:p>
    <w:p>
      <w:pPr>
        <w:pStyle w:val="4"/>
        <w:ind w:firstLine="480" w:firstLineChars="200"/>
        <w:jc w:val="left"/>
        <w:rPr>
          <w:rFonts w:hint="eastAsia" w:ascii="宋体" w:hAnsi="宋体" w:eastAsia="宋体" w:cs="宋体"/>
          <w:color w:val="auto"/>
          <w:sz w:val="24"/>
          <w:highlight w:val="none"/>
        </w:rPr>
      </w:pPr>
      <w:bookmarkStart w:id="42" w:name="_Toc525062103"/>
      <w:bookmarkEnd w:id="42"/>
      <w:bookmarkStart w:id="43" w:name="_Toc25249"/>
      <w:r>
        <w:rPr>
          <w:rFonts w:hint="eastAsia" w:ascii="宋体" w:hAnsi="宋体" w:eastAsia="宋体" w:cs="宋体"/>
          <w:color w:val="auto"/>
          <w:sz w:val="24"/>
          <w:highlight w:val="none"/>
        </w:rPr>
        <w:t>1</w:t>
      </w:r>
      <w:bookmarkEnd w:id="43"/>
      <w:r>
        <w:rPr>
          <w:rFonts w:hint="eastAsia" w:ascii="宋体" w:hAnsi="宋体" w:eastAsia="宋体" w:cs="宋体"/>
          <w:color w:val="auto"/>
          <w:sz w:val="24"/>
          <w:highlight w:val="none"/>
        </w:rPr>
        <w:t>8.付款方式</w:t>
      </w:r>
      <w:bookmarkStart w:id="44" w:name="_Toc193772271"/>
      <w:bookmarkEnd w:id="44"/>
      <w:bookmarkStart w:id="45" w:name="_Toc525062105"/>
      <w:bookmarkEnd w:id="45"/>
    </w:p>
    <w:p>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在遵照河南省财政厅和汝州市财政局政府采购合同资金支付相关政策的前提下，依据采购合同相关约定执行。</w:t>
      </w:r>
    </w:p>
    <w:p>
      <w:pPr>
        <w:pStyle w:val="4"/>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19. 招标代理服务费 </w:t>
      </w:r>
    </w:p>
    <w:p>
      <w:pPr>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本次招标需中标人按发改价格【2011】534号文件和计价格（2002）1980号文件规定，支付招标代理服务费。请</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 xml:space="preserve">在测算投标报价时充分考虑这一因素，将此费用包含在投标报价中。 </w:t>
      </w:r>
    </w:p>
    <w:p>
      <w:pPr>
        <w:pStyle w:val="4"/>
        <w:ind w:firstLine="480" w:firstLineChars="200"/>
        <w:jc w:val="left"/>
        <w:rPr>
          <w:rFonts w:hint="eastAsia" w:ascii="宋体" w:hAnsi="宋体" w:eastAsia="宋体" w:cs="宋体"/>
          <w:color w:val="auto"/>
          <w:sz w:val="24"/>
          <w:highlight w:val="none"/>
        </w:rPr>
      </w:pPr>
      <w:bookmarkStart w:id="46" w:name="_Toc525062107"/>
      <w:bookmarkEnd w:id="46"/>
      <w:bookmarkStart w:id="47" w:name="_Toc193772272"/>
      <w:bookmarkEnd w:id="47"/>
      <w:bookmarkStart w:id="48" w:name="_Toc25097"/>
      <w:r>
        <w:rPr>
          <w:rFonts w:hint="eastAsia" w:ascii="宋体" w:hAnsi="宋体" w:eastAsia="宋体" w:cs="宋体"/>
          <w:color w:val="auto"/>
          <w:sz w:val="24"/>
          <w:highlight w:val="none"/>
        </w:rPr>
        <w:t>2</w:t>
      </w:r>
      <w:bookmarkEnd w:id="48"/>
      <w:r>
        <w:rPr>
          <w:rFonts w:hint="eastAsia" w:ascii="宋体" w:hAnsi="宋体" w:eastAsia="宋体" w:cs="宋体"/>
          <w:color w:val="auto"/>
          <w:sz w:val="24"/>
          <w:highlight w:val="none"/>
        </w:rPr>
        <w:t xml:space="preserve">0. 询问和质疑 </w:t>
      </w:r>
    </w:p>
    <w:p>
      <w:pPr>
        <w:pStyle w:val="4"/>
        <w:spacing w:line="440" w:lineRule="exact"/>
        <w:ind w:firstLine="468" w:firstLineChars="195"/>
        <w:jc w:val="left"/>
        <w:rPr>
          <w:rFonts w:hint="eastAsia" w:ascii="宋体" w:hAnsi="宋体" w:eastAsia="宋体" w:cs="宋体"/>
          <w:color w:val="auto"/>
          <w:sz w:val="24"/>
          <w:szCs w:val="24"/>
          <w:highlight w:val="none"/>
        </w:rPr>
      </w:pPr>
      <w:bookmarkStart w:id="49" w:name="_Toc19692"/>
      <w:bookmarkEnd w:id="49"/>
      <w:bookmarkStart w:id="50" w:name="_Toc525062108"/>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质疑</w:t>
      </w:r>
      <w:bookmarkEnd w:id="50"/>
      <w:r>
        <w:rPr>
          <w:rFonts w:hint="eastAsia" w:ascii="宋体" w:hAnsi="宋体" w:eastAsia="宋体" w:cs="宋体"/>
          <w:color w:val="auto"/>
          <w:sz w:val="24"/>
          <w:szCs w:val="24"/>
          <w:highlight w:val="none"/>
        </w:rPr>
        <w:t xml:space="preserve"> </w:t>
      </w:r>
    </w:p>
    <w:p>
      <w:pPr>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 xml:space="preserve">对采购事项有疑问的，可以向招标人或采购代理机构提出询问。 </w:t>
      </w:r>
    </w:p>
    <w:p>
      <w:pPr>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2.招标程序受《中华人民共和国政府采购法》和相关法律法规的约束，并受到严格的内部监察，以确保授予合同过程的公平公正。若</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认为其投标未获公平评审或采购文件、采购过程和中标结果使自己的合法权益受到损害，可以在知道或者应知其权益受到损害之日起 7 个工作日内，以书面形式向招标人或采购代理机构提出质疑并要求答复。</w:t>
      </w:r>
    </w:p>
    <w:p>
      <w:pPr>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3.招标人或采购代理机构将在收到书面质疑后 7 个工作日内审查质疑事项，作出答复或相关处理决定，并以书面形式通知质疑</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和其他有关</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 xml:space="preserve">，但答复的内容不涉及商业秘密。若质疑涉及招标制度或程序，将被转交政府采购的管理部门审查。 </w:t>
      </w:r>
    </w:p>
    <w:p>
      <w:pPr>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4.质疑</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对招标人或采购代理机构的答复不满意以及招标人或采购代理机构未在规定的时间内做出答复的，可以在答复期满后 15 个工作日内向财政管理部门投诉。</w:t>
      </w:r>
    </w:p>
    <w:p>
      <w:pPr>
        <w:pStyle w:val="7"/>
        <w:ind w:firstLine="400"/>
        <w:rPr>
          <w:rFonts w:hint="eastAsia" w:ascii="宋体" w:hAnsi="宋体" w:eastAsia="宋体" w:cs="宋体"/>
          <w:color w:val="auto"/>
          <w:highlight w:val="none"/>
        </w:rPr>
      </w:pPr>
      <w:bookmarkStart w:id="51" w:name="_Toc193772274"/>
      <w:bookmarkEnd w:id="51"/>
      <w:bookmarkStart w:id="52" w:name="_Toc525062109"/>
      <w:r>
        <w:rPr>
          <w:rFonts w:hint="eastAsia" w:ascii="宋体" w:hAnsi="宋体" w:eastAsia="宋体" w:cs="宋体"/>
          <w:color w:val="auto"/>
          <w:highlight w:val="none"/>
        </w:rPr>
        <w:t xml:space="preserve"> </w:t>
      </w:r>
      <w:bookmarkEnd w:id="52"/>
      <w:r>
        <w:rPr>
          <w:rFonts w:hint="eastAsia" w:ascii="宋体" w:hAnsi="宋体" w:eastAsia="宋体" w:cs="宋体"/>
          <w:color w:val="auto"/>
          <w:highlight w:val="none"/>
        </w:rPr>
        <w:t xml:space="preserve"> </w:t>
      </w:r>
    </w:p>
    <w:p>
      <w:pPr>
        <w:pStyle w:val="7"/>
        <w:ind w:firstLine="400"/>
        <w:rPr>
          <w:rFonts w:hint="eastAsia" w:ascii="宋体" w:hAnsi="宋体" w:eastAsia="宋体" w:cs="宋体"/>
          <w:color w:val="auto"/>
          <w:highlight w:val="none"/>
        </w:rPr>
      </w:pPr>
    </w:p>
    <w:p>
      <w:pPr>
        <w:spacing w:line="600" w:lineRule="auto"/>
        <w:rPr>
          <w:rFonts w:hint="eastAsia" w:ascii="宋体" w:hAnsi="宋体" w:eastAsia="宋体" w:cs="宋体"/>
          <w:color w:val="auto"/>
          <w:sz w:val="28"/>
          <w:highlight w:val="none"/>
        </w:rPr>
      </w:pPr>
      <w:r>
        <w:rPr>
          <w:rFonts w:hint="eastAsia" w:ascii="宋体" w:hAnsi="宋体" w:eastAsia="宋体" w:cs="宋体"/>
          <w:color w:val="auto"/>
          <w:sz w:val="28"/>
          <w:highlight w:val="none"/>
        </w:rPr>
        <w:t>附件1：</w:t>
      </w:r>
    </w:p>
    <w:p>
      <w:pPr>
        <w:autoSpaceDE w:val="0"/>
        <w:spacing w:line="44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河南省政府采购合同融资政策告知函</w:t>
      </w:r>
    </w:p>
    <w:p>
      <w:pPr>
        <w:rPr>
          <w:rFonts w:hint="eastAsia" w:ascii="宋体" w:hAnsi="宋体" w:eastAsia="宋体" w:cs="宋体"/>
          <w:b/>
          <w:color w:val="auto"/>
          <w:highlight w:val="none"/>
        </w:rPr>
      </w:pPr>
      <w:r>
        <w:rPr>
          <w:rFonts w:hint="eastAsia" w:ascii="宋体" w:hAnsi="宋体" w:eastAsia="宋体" w:cs="宋体"/>
          <w:color w:val="auto"/>
          <w:highlight w:val="none"/>
        </w:rPr>
        <w:t>各</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 xml:space="preserve">: </w:t>
      </w:r>
    </w:p>
    <w:p>
      <w:pPr>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 xml:space="preserve">欢迎贵公司参与河南省政府采购活动! </w:t>
      </w:r>
    </w:p>
    <w:p>
      <w:pPr>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政府采购合同融资是河南省财政厅支持中小微企业发展，针对参与政府采购活动的</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融资难、融资贵问题推出的一项融 资政策。贵公司若成为本次政府采购项目的中标成交</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 xml:space="preserve">，可 持政府采购合同向金融机构申请贷款，无需抵押、担保，融资机构将根据《河南省政府采购合同融资工作实施方案》 (豫财购 【2017】10号)，按照双方自愿的原则提供便捷、优惠的贷款服务。 </w:t>
      </w:r>
    </w:p>
    <w:p>
      <w:pPr>
        <w:ind w:firstLine="480" w:firstLineChars="200"/>
        <w:rPr>
          <w:rFonts w:hint="eastAsia" w:ascii="宋体" w:hAnsi="宋体" w:eastAsia="宋体" w:cs="宋体"/>
          <w:bCs/>
          <w:color w:val="auto"/>
          <w:kern w:val="44"/>
          <w:sz w:val="24"/>
          <w:highlight w:val="none"/>
        </w:rPr>
      </w:pPr>
      <w:r>
        <w:rPr>
          <w:rFonts w:hint="eastAsia" w:ascii="宋体" w:hAnsi="宋体" w:eastAsia="宋体" w:cs="宋体"/>
          <w:bCs/>
          <w:color w:val="auto"/>
          <w:kern w:val="44"/>
          <w:sz w:val="24"/>
          <w:highlight w:val="none"/>
        </w:rPr>
        <w:t>贷款渠道和提供贷款的金融机构，可在河南省政府采购网 "河南省政府采购合同融资平台"查询联系。</w:t>
      </w:r>
    </w:p>
    <w:p>
      <w:pPr>
        <w:ind w:firstLine="480" w:firstLineChars="200"/>
        <w:rPr>
          <w:rFonts w:hint="eastAsia" w:ascii="宋体" w:hAnsi="宋体" w:eastAsia="宋体" w:cs="宋体"/>
          <w:color w:val="auto"/>
          <w:sz w:val="24"/>
          <w:highlight w:val="none"/>
        </w:rPr>
      </w:pPr>
    </w:p>
    <w:p>
      <w:pPr>
        <w:pStyle w:val="20"/>
        <w:rPr>
          <w:rFonts w:hint="eastAsia" w:ascii="宋体" w:hAnsi="宋体" w:eastAsia="宋体" w:cs="宋体"/>
          <w:color w:val="auto"/>
          <w:sz w:val="24"/>
          <w:highlight w:val="none"/>
        </w:rPr>
      </w:pPr>
    </w:p>
    <w:p>
      <w:pPr>
        <w:pStyle w:val="3"/>
        <w:numPr>
          <w:ilvl w:val="0"/>
          <w:numId w:val="7"/>
        </w:numPr>
        <w:jc w:val="center"/>
        <w:rPr>
          <w:rFonts w:hint="eastAsia" w:ascii="宋体" w:hAnsi="宋体" w:eastAsia="宋体" w:cs="宋体"/>
          <w:color w:val="auto"/>
          <w:sz w:val="40"/>
          <w:highlight w:val="none"/>
        </w:rPr>
      </w:pPr>
      <w:bookmarkStart w:id="53" w:name="_Toc13880"/>
      <w:r>
        <w:rPr>
          <w:rFonts w:hint="eastAsia" w:ascii="宋体" w:hAnsi="宋体" w:eastAsia="宋体" w:cs="宋体"/>
          <w:color w:val="auto"/>
          <w:sz w:val="40"/>
          <w:highlight w:val="none"/>
        </w:rPr>
        <w:t xml:space="preserve"> </w:t>
      </w:r>
      <w:bookmarkStart w:id="54" w:name="_Toc525062110"/>
      <w:bookmarkEnd w:id="54"/>
      <w:bookmarkStart w:id="55" w:name="_Toc193772275"/>
      <w:bookmarkEnd w:id="55"/>
      <w:r>
        <w:rPr>
          <w:rFonts w:hint="eastAsia" w:ascii="宋体" w:hAnsi="宋体" w:eastAsia="宋体" w:cs="宋体"/>
          <w:color w:val="auto"/>
          <w:sz w:val="40"/>
          <w:highlight w:val="none"/>
        </w:rPr>
        <w:t>采购清单</w:t>
      </w:r>
      <w:bookmarkEnd w:id="53"/>
    </w:p>
    <w:tbl>
      <w:tblPr>
        <w:tblStyle w:val="46"/>
        <w:tblpPr w:leftFromText="180" w:rightFromText="180" w:vertAnchor="text" w:horzAnchor="page" w:tblpXSpec="center" w:tblpY="640"/>
        <w:tblOverlap w:val="never"/>
        <w:tblW w:w="9670" w:type="dxa"/>
        <w:tblInd w:w="0" w:type="dxa"/>
        <w:tblLayout w:type="fixed"/>
        <w:tblCellMar>
          <w:top w:w="0" w:type="dxa"/>
          <w:left w:w="108" w:type="dxa"/>
          <w:bottom w:w="0" w:type="dxa"/>
          <w:right w:w="108" w:type="dxa"/>
        </w:tblCellMar>
      </w:tblPr>
      <w:tblGrid>
        <w:gridCol w:w="795"/>
        <w:gridCol w:w="780"/>
        <w:gridCol w:w="6277"/>
        <w:gridCol w:w="975"/>
        <w:gridCol w:w="843"/>
      </w:tblGrid>
      <w:tr>
        <w:tblPrEx>
          <w:tblCellMar>
            <w:top w:w="0" w:type="dxa"/>
            <w:left w:w="108" w:type="dxa"/>
            <w:bottom w:w="0" w:type="dxa"/>
            <w:right w:w="108" w:type="dxa"/>
          </w:tblCellMar>
        </w:tblPrEx>
        <w:trPr>
          <w:trHeight w:val="325"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序号</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名称</w:t>
            </w:r>
          </w:p>
        </w:tc>
        <w:tc>
          <w:tcPr>
            <w:tcW w:w="62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jc w:val="center"/>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参数</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jc w:val="center"/>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数量</w:t>
            </w:r>
          </w:p>
        </w:tc>
        <w:tc>
          <w:tcPr>
            <w:tcW w:w="8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jc w:val="center"/>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单位</w:t>
            </w:r>
          </w:p>
        </w:tc>
      </w:tr>
      <w:tr>
        <w:tblPrEx>
          <w:tblCellMar>
            <w:top w:w="0" w:type="dxa"/>
            <w:left w:w="108" w:type="dxa"/>
            <w:bottom w:w="0" w:type="dxa"/>
            <w:right w:w="108" w:type="dxa"/>
          </w:tblCellMar>
        </w:tblPrEx>
        <w:trPr>
          <w:trHeight w:val="325"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对讲机</w:t>
            </w:r>
          </w:p>
        </w:tc>
        <w:tc>
          <w:tcPr>
            <w:tcW w:w="62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一、基础参数.</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1、频率范围U(可选):361-366 MHz、372-376 MHz、403-423.5 MHz</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2、信道总数:512;</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3、区域: 32;</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4、信道间隔:12.5KH/25KHz;</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5、工作电压: DC7.4V (20%):</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6、电池容量等1200mAh</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7、电池平均工作时间:数字15小时</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8、录音时间300小时;</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9、频率稳定度:1.5ppm;</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10、天线阻抗&gt;50见。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二、发射部分</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1、输出功率&lt;3.5W(防爆) ;</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2、4FSK 调制方式:12.5kHz仅数据:7K60FXD;12.5kHz 数据和语音:7K60FXE3、FM 调制方式: 12.5 kHz: 8K50F3E; 25 kHz: 16KOF3E;</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3、调制限制:+- 2.5kHz @ 12.5kHz;+/- 5kHz @ 25kHz;</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4、FM 噪声:-40dB;</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 xml:space="preserve">5、发射杂散:-36 m1GH/-30 1GHz </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6、邻道功率:-0dB;</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7、频响: +1/-3 B;</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8、音频失真3%;</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9、数字语音编码器: MBE3000或AMBE。</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三、接收部分</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1、数字灵敏度:5% BER:0.25 uy;</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2、互调: 60dB;</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3、邻道选择性: 60dB;</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4、散制:60dB;</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5、FM 噪声:-40dB;</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6、频响: +1/-3 dB;</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7、额定音频输出功率0.5W;</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8、额定音频失真3%(典型]</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9、传导辐射:-5TdBm;</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10、北斗 定位精度:水平位置精度-10m《良好信号条件下) ;</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11、TTFF(首次定位时间)冷启动:&lt; 1 分钟(良好信号条件下)</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12、TTFF(首次定位时间)热启动:&lt; 10 秒《良好信号条件下)。</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四、环境指标</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1、工作温度范围:-20C-+60C;</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2、存储温度范围:-30C-+85C ;</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3、防湿: MIL-STD-810C/D/E/F;</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4、中击和振动: MIL-STD-810CJD/E/F;</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5、防尘防水等级:TP67。</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jc w:val="center"/>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20</w:t>
            </w:r>
          </w:p>
        </w:tc>
        <w:tc>
          <w:tcPr>
            <w:tcW w:w="8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jc w:val="center"/>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个</w:t>
            </w:r>
          </w:p>
        </w:tc>
      </w:tr>
      <w:tr>
        <w:tblPrEx>
          <w:tblCellMar>
            <w:top w:w="0" w:type="dxa"/>
            <w:left w:w="108" w:type="dxa"/>
            <w:bottom w:w="0" w:type="dxa"/>
            <w:right w:w="108" w:type="dxa"/>
          </w:tblCellMar>
        </w:tblPrEx>
        <w:trPr>
          <w:trHeight w:val="325"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单兵生活背囊</w:t>
            </w:r>
          </w:p>
        </w:tc>
        <w:tc>
          <w:tcPr>
            <w:tcW w:w="62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颜色：07数码迷彩</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面料：1000D*1000D尼龙布</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涂层：PU涂层,防红外处理</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插扣：钢塑          </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容量：75L</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重量：1.45公斤左右</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尺寸：高64cm,厚26cm,带侧袋宽50cm,不含侧袋宽40cm。</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加厚布料,防红外处理,背部有两个海绵垫，包内有金属支架，确保腰部不易劳损。左右两个耳包。</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面料具有防雨拒水功能.主要是为携行衣物,鞋靴和棉被,蚊帐,雨衣或睡具等装备品而设计的。</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包内有一个尼龙加长袋，量度极大，适用各种野外活动。</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单兵携行具在结构设计上，应用了人机工程学、人体力学、劳动卫生学、工程心理学等多学科的原理，确定了合理的携行部位和携行方法，设计了科学的携行系统。</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背包内包含：</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军品被子：1床</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军品褥子：1条</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军品床单：1条</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军品枕头:1个</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夏季迷彩鞋：1双</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军用水壶：1个</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内衣裤：1条</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军用饭盒：1个</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蚊帐：1个</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毛巾被：1条</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雨衣：1件</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枕头包：1个</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军种符号：1套</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袜子：1双</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洗漱包：1套</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针线桶：1个</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体能服：1套</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jc w:val="center"/>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38</w:t>
            </w:r>
          </w:p>
        </w:tc>
        <w:tc>
          <w:tcPr>
            <w:tcW w:w="8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jc w:val="center"/>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套</w:t>
            </w:r>
          </w:p>
        </w:tc>
      </w:tr>
      <w:tr>
        <w:tblPrEx>
          <w:tblCellMar>
            <w:top w:w="0" w:type="dxa"/>
            <w:left w:w="108" w:type="dxa"/>
            <w:bottom w:w="0" w:type="dxa"/>
            <w:right w:w="108" w:type="dxa"/>
          </w:tblCellMar>
        </w:tblPrEx>
        <w:trPr>
          <w:trHeight w:val="683"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手持式强光照明灯</w:t>
            </w:r>
          </w:p>
        </w:tc>
        <w:tc>
          <w:tcPr>
            <w:tcW w:w="62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1.防爆执行标准符合GB3836.1-2021、GB3836.2-2021、GB3836.4-2021、GB3836.31-2021、国家标准，防爆标志：Ex db ib IICT6 Gb; Ex ib tb IIIC T80℃ Db（防爆合格证中有体现）。</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2.具有工作光、强光、频闪三种光设计，第一次按动按钮是强光，第二次按动按钮是工作光，第三次按动按钮是频闪光。</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3.额定电压：≥DC11.1V,额定容量:≥4400mAh，额定功率:≥3×3W，外形尺寸：≤69×165mm（直径×长），防护等级：≥IP66，重量：≤1kg。</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4.工作时间：强光≥8h,工作光≥16h（消防检测报告中有体现）</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5.灯具5m处光斑中心照度，强光平均值≥1030lx，弱光平均值≥500lx（消防检测报告中有体现）。</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6.人性化的电量指示和低电压警示功能设计，可随时查询电池电量；当电量用到90%灯具开关由绿色变成红色，并且灯具会自动爆闪15下，强光可以用15分钟，工作光可用30分钟，提示您进行充电。</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7.常温环境下，灯具带电端子与外壳间的绝缘电阻应≥550MΩ,交变湿热后应≥20MΩ（消防检测报告中有体现）。</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8.内部点燃的不传爆试验，灯腔用爆炸性混合物试验气体：氢气浓度≥27.5%；乙炔浓度≥7.5%，经过5次点燃实验之后，灯具外壳内的点燃混合物未传到试验罐内（防爆检测报告中体现）。</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9.灯具应能耐受频率为50 Hz±0.5 Hz，交流电压为500 V±50 V，历时60 s±5 s的耐电压试验。试验过程中，灯具不应出现表面飞弧和击穿现象。试验结束后，灯具应能正常进行开、关和强、弱光切换。</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10.灯具在低温-25±2℃或者高温55±2℃持续2小时试验后，灯具应能正常进行开、关和强、弱光切换。</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jc w:val="center"/>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24</w:t>
            </w:r>
          </w:p>
        </w:tc>
        <w:tc>
          <w:tcPr>
            <w:tcW w:w="8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jc w:val="center"/>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个</w:t>
            </w:r>
          </w:p>
        </w:tc>
      </w:tr>
      <w:tr>
        <w:tblPrEx>
          <w:tblCellMar>
            <w:top w:w="0" w:type="dxa"/>
            <w:left w:w="108" w:type="dxa"/>
            <w:bottom w:w="0" w:type="dxa"/>
            <w:right w:w="108" w:type="dxa"/>
          </w:tblCellMar>
        </w:tblPrEx>
        <w:trPr>
          <w:trHeight w:val="325"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4</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大锹</w:t>
            </w:r>
          </w:p>
        </w:tc>
        <w:tc>
          <w:tcPr>
            <w:tcW w:w="62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产地:军工铲</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规格:尖头</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锹全长120cm</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锹全长120cm</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锹头宽23.5cm</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锹头宽24.5cm</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硬度:HRC42-50(冷轧钢板重量:16-17公斤</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特点:有点湿结构加单可靠</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锹把的曲线十分合理</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使用起来十分顺手。</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锹头长30cm</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jc w:val="center"/>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110</w:t>
            </w:r>
          </w:p>
        </w:tc>
        <w:tc>
          <w:tcPr>
            <w:tcW w:w="8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jc w:val="center"/>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把</w:t>
            </w:r>
          </w:p>
        </w:tc>
      </w:tr>
      <w:tr>
        <w:tblPrEx>
          <w:tblCellMar>
            <w:top w:w="0" w:type="dxa"/>
            <w:left w:w="108" w:type="dxa"/>
            <w:bottom w:w="0" w:type="dxa"/>
            <w:right w:w="108" w:type="dxa"/>
          </w:tblCellMar>
        </w:tblPrEx>
        <w:trPr>
          <w:trHeight w:val="325"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jc w:val="center"/>
              <w:textAlignment w:val="center"/>
              <w:rPr>
                <w:rFonts w:hint="default" w:ascii="宋体" w:hAnsi="宋体" w:eastAsia="宋体" w:cs="宋体"/>
                <w:sz w:val="24"/>
                <w:szCs w:val="24"/>
              </w:rPr>
            </w:pPr>
            <w:r>
              <w:rPr>
                <w:rFonts w:hint="eastAsia" w:ascii="宋体" w:hAnsi="宋体" w:eastAsia="宋体" w:cs="宋体"/>
                <w:kern w:val="0"/>
                <w:sz w:val="24"/>
                <w:szCs w:val="24"/>
                <w:lang w:bidi="ar"/>
              </w:rPr>
              <w:t>5</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jc w:val="center"/>
              <w:textAlignment w:val="center"/>
              <w:rPr>
                <w:rFonts w:hint="default" w:ascii="宋体" w:hAnsi="宋体" w:eastAsia="宋体" w:cs="宋体"/>
                <w:sz w:val="24"/>
                <w:szCs w:val="24"/>
              </w:rPr>
            </w:pPr>
            <w:r>
              <w:rPr>
                <w:rFonts w:hint="eastAsia" w:ascii="宋体" w:hAnsi="宋体" w:eastAsia="宋体" w:cs="宋体"/>
                <w:kern w:val="0"/>
                <w:sz w:val="24"/>
                <w:szCs w:val="24"/>
                <w:lang w:bidi="ar"/>
              </w:rPr>
              <w:t>大镐</w:t>
            </w:r>
          </w:p>
        </w:tc>
        <w:tc>
          <w:tcPr>
            <w:tcW w:w="62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kern w:val="0"/>
                <w:sz w:val="24"/>
                <w:szCs w:val="24"/>
                <w:lang w:bidi="ar"/>
              </w:rPr>
            </w:pPr>
            <w:r>
              <w:rPr>
                <w:rFonts w:hint="eastAsia" w:ascii="宋体" w:hAnsi="宋体" w:eastAsia="宋体" w:cs="宋体"/>
                <w:kern w:val="0"/>
                <w:sz w:val="24"/>
                <w:szCs w:val="24"/>
                <w:lang w:bidi="ar"/>
              </w:rPr>
              <w:t>产品名称:大军镐</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kern w:val="0"/>
                <w:sz w:val="24"/>
                <w:szCs w:val="24"/>
                <w:lang w:bidi="ar"/>
              </w:rPr>
            </w:pPr>
            <w:r>
              <w:rPr>
                <w:rFonts w:hint="eastAsia" w:ascii="宋体" w:hAnsi="宋体" w:eastAsia="宋体" w:cs="宋体"/>
                <w:kern w:val="0"/>
                <w:sz w:val="24"/>
                <w:szCs w:val="24"/>
                <w:lang w:bidi="ar"/>
              </w:rPr>
              <w:t>尺寸:柄长85cm镐头49*6cm</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kern w:val="0"/>
                <w:sz w:val="24"/>
                <w:szCs w:val="24"/>
                <w:lang w:bidi="ar"/>
              </w:rPr>
            </w:pPr>
            <w:r>
              <w:rPr>
                <w:rFonts w:hint="eastAsia" w:ascii="宋体" w:hAnsi="宋体" w:eastAsia="宋体" w:cs="宋体"/>
                <w:kern w:val="0"/>
                <w:sz w:val="24"/>
                <w:szCs w:val="24"/>
                <w:lang w:bidi="ar"/>
              </w:rPr>
              <w:t>产品材质:45#高碳钢水曲柳木柄硬度:HRC45-50</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kern w:val="0"/>
                <w:sz w:val="24"/>
                <w:szCs w:val="24"/>
                <w:lang w:bidi="ar"/>
              </w:rPr>
            </w:pPr>
            <w:r>
              <w:rPr>
                <w:rFonts w:hint="eastAsia" w:ascii="宋体" w:hAnsi="宋体" w:eastAsia="宋体" w:cs="宋体"/>
                <w:kern w:val="0"/>
                <w:sz w:val="24"/>
                <w:szCs w:val="24"/>
                <w:lang w:bidi="ar"/>
              </w:rPr>
              <w:t>高碳钢材质淬火工艺产品优点:特有竖筋，结实抗造，拆装快捷</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kern w:val="0"/>
                <w:sz w:val="24"/>
                <w:szCs w:val="24"/>
                <w:lang w:bidi="ar"/>
              </w:rPr>
            </w:pPr>
            <w:r>
              <w:rPr>
                <w:rFonts w:hint="eastAsia" w:ascii="宋体" w:hAnsi="宋体" w:eastAsia="宋体" w:cs="宋体"/>
                <w:kern w:val="0"/>
                <w:sz w:val="24"/>
                <w:szCs w:val="24"/>
                <w:lang w:bidi="ar"/>
              </w:rPr>
              <w:t>总重3.3Kg重量:镐头25kg+柄0.8kg</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jc w:val="center"/>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170</w:t>
            </w:r>
          </w:p>
        </w:tc>
        <w:tc>
          <w:tcPr>
            <w:tcW w:w="8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jc w:val="center"/>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把</w:t>
            </w:r>
          </w:p>
        </w:tc>
      </w:tr>
      <w:tr>
        <w:tblPrEx>
          <w:tblCellMar>
            <w:top w:w="0" w:type="dxa"/>
            <w:left w:w="108" w:type="dxa"/>
            <w:bottom w:w="0" w:type="dxa"/>
            <w:right w:w="108" w:type="dxa"/>
          </w:tblCellMar>
        </w:tblPrEx>
        <w:trPr>
          <w:trHeight w:val="325"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jc w:val="center"/>
              <w:textAlignment w:val="center"/>
              <w:rPr>
                <w:rFonts w:hint="default" w:ascii="宋体" w:hAnsi="宋体" w:eastAsia="宋体" w:cs="宋体"/>
                <w:sz w:val="24"/>
                <w:szCs w:val="24"/>
              </w:rPr>
            </w:pPr>
            <w:r>
              <w:rPr>
                <w:rFonts w:hint="eastAsia" w:ascii="宋体" w:hAnsi="宋体" w:eastAsia="宋体" w:cs="宋体"/>
                <w:kern w:val="0"/>
                <w:sz w:val="24"/>
                <w:szCs w:val="24"/>
                <w:lang w:bidi="ar"/>
              </w:rPr>
              <w:t>6</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jc w:val="center"/>
              <w:textAlignment w:val="center"/>
              <w:rPr>
                <w:rFonts w:hint="default" w:ascii="宋体" w:hAnsi="宋体" w:eastAsia="宋体" w:cs="宋体"/>
                <w:sz w:val="24"/>
                <w:szCs w:val="24"/>
              </w:rPr>
            </w:pPr>
            <w:r>
              <w:rPr>
                <w:rFonts w:hint="eastAsia" w:ascii="宋体" w:hAnsi="宋体" w:eastAsia="宋体" w:cs="宋体"/>
                <w:kern w:val="0"/>
                <w:sz w:val="24"/>
                <w:szCs w:val="24"/>
                <w:lang w:bidi="ar"/>
              </w:rPr>
              <w:t>防暴头盔</w:t>
            </w:r>
          </w:p>
        </w:tc>
        <w:tc>
          <w:tcPr>
            <w:tcW w:w="62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kern w:val="0"/>
                <w:sz w:val="24"/>
                <w:szCs w:val="24"/>
                <w:lang w:bidi="ar"/>
              </w:rPr>
            </w:pPr>
            <w:r>
              <w:rPr>
                <w:rFonts w:hint="eastAsia" w:ascii="宋体" w:hAnsi="宋体" w:eastAsia="宋体" w:cs="宋体"/>
                <w:kern w:val="0"/>
                <w:sz w:val="24"/>
                <w:szCs w:val="24"/>
                <w:lang w:bidi="ar"/>
              </w:rPr>
              <w:t>防暴头盔由壳体、缓冲层、衬垫、面罩、佩戴装置、护颈组成，防暴头盔符合标准《GA 294-2012 警用防暴头盔》相关标准。</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kern w:val="0"/>
                <w:sz w:val="24"/>
                <w:szCs w:val="24"/>
                <w:lang w:bidi="ar"/>
              </w:rPr>
            </w:pPr>
            <w:r>
              <w:rPr>
                <w:rFonts w:hint="eastAsia" w:ascii="宋体" w:hAnsi="宋体" w:eastAsia="宋体" w:cs="宋体"/>
                <w:kern w:val="0"/>
                <w:sz w:val="24"/>
                <w:szCs w:val="24"/>
                <w:lang w:bidi="ar"/>
              </w:rPr>
              <w:t>技术参数：</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kern w:val="0"/>
                <w:sz w:val="24"/>
                <w:szCs w:val="24"/>
                <w:lang w:bidi="ar"/>
              </w:rPr>
            </w:pPr>
            <w:r>
              <w:rPr>
                <w:rFonts w:hint="eastAsia" w:ascii="宋体" w:hAnsi="宋体" w:eastAsia="宋体" w:cs="宋体"/>
                <w:kern w:val="0"/>
                <w:sz w:val="24"/>
                <w:szCs w:val="24"/>
                <w:lang w:bidi="ar"/>
              </w:rPr>
              <w:t>1、防暴头盔产品材质：</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kern w:val="0"/>
                <w:sz w:val="24"/>
                <w:szCs w:val="24"/>
                <w:lang w:bidi="ar"/>
              </w:rPr>
            </w:pPr>
            <w:r>
              <w:rPr>
                <w:rFonts w:hint="eastAsia" w:ascii="宋体" w:hAnsi="宋体" w:eastAsia="宋体" w:cs="宋体"/>
                <w:kern w:val="0"/>
                <w:sz w:val="24"/>
                <w:szCs w:val="24"/>
                <w:lang w:bidi="ar"/>
              </w:rPr>
              <w:t>壳体材质 优质抗击打工程塑料制成；</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kern w:val="0"/>
                <w:sz w:val="24"/>
                <w:szCs w:val="24"/>
                <w:lang w:bidi="ar"/>
              </w:rPr>
            </w:pPr>
            <w:r>
              <w:rPr>
                <w:rFonts w:hint="eastAsia" w:ascii="宋体" w:hAnsi="宋体" w:eastAsia="宋体" w:cs="宋体"/>
                <w:kern w:val="0"/>
                <w:sz w:val="24"/>
                <w:szCs w:val="24"/>
                <w:lang w:bidi="ar"/>
              </w:rPr>
              <w:t>缓冲层使用泡沫加软质吸收材质制作；</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kern w:val="0"/>
                <w:sz w:val="24"/>
                <w:szCs w:val="24"/>
                <w:lang w:bidi="ar"/>
              </w:rPr>
            </w:pPr>
            <w:r>
              <w:rPr>
                <w:rFonts w:hint="eastAsia" w:ascii="宋体" w:hAnsi="宋体" w:eastAsia="宋体" w:cs="宋体"/>
                <w:kern w:val="0"/>
                <w:sz w:val="24"/>
                <w:szCs w:val="24"/>
                <w:lang w:bidi="ar"/>
              </w:rPr>
              <w:t>面罩材质 优质透明PC材料制成。</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kern w:val="0"/>
                <w:sz w:val="24"/>
                <w:szCs w:val="24"/>
                <w:lang w:bidi="ar"/>
              </w:rPr>
            </w:pPr>
            <w:r>
              <w:rPr>
                <w:rFonts w:hint="eastAsia" w:ascii="宋体" w:hAnsi="宋体" w:eastAsia="宋体" w:cs="宋体"/>
                <w:kern w:val="0"/>
                <w:sz w:val="24"/>
                <w:szCs w:val="24"/>
                <w:lang w:bidi="ar"/>
              </w:rPr>
              <w:t>2、防暴头盔颜色：军绿色；</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kern w:val="0"/>
                <w:sz w:val="24"/>
                <w:szCs w:val="24"/>
                <w:lang w:bidi="ar"/>
              </w:rPr>
            </w:pPr>
            <w:r>
              <w:rPr>
                <w:rFonts w:hint="eastAsia" w:ascii="宋体" w:hAnsi="宋体" w:eastAsia="宋体" w:cs="宋体"/>
                <w:kern w:val="0"/>
                <w:sz w:val="24"/>
                <w:szCs w:val="24"/>
                <w:lang w:bidi="ar"/>
              </w:rPr>
              <w:t>3、防暴头盔标志：面向帽徽方向。包含：制造厂家名称，产品名称，产品编号，执行标准号，生产日期等。</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kern w:val="0"/>
                <w:sz w:val="24"/>
                <w:szCs w:val="24"/>
                <w:lang w:bidi="ar"/>
              </w:rPr>
            </w:pPr>
            <w:r>
              <w:rPr>
                <w:rFonts w:hint="eastAsia" w:ascii="宋体" w:hAnsi="宋体" w:eastAsia="宋体" w:cs="宋体"/>
                <w:kern w:val="0"/>
                <w:sz w:val="24"/>
                <w:szCs w:val="24"/>
                <w:lang w:bidi="ar"/>
              </w:rPr>
              <w:t>4、面罩透光率：&gt;90%</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kern w:val="0"/>
                <w:sz w:val="24"/>
                <w:szCs w:val="24"/>
                <w:lang w:bidi="ar"/>
              </w:rPr>
            </w:pPr>
            <w:r>
              <w:rPr>
                <w:rFonts w:hint="eastAsia" w:ascii="宋体" w:hAnsi="宋体" w:eastAsia="宋体" w:cs="宋体"/>
                <w:kern w:val="0"/>
                <w:sz w:val="24"/>
                <w:szCs w:val="24"/>
                <w:lang w:bidi="ar"/>
              </w:rPr>
              <w:t>5、重量：小于1.5kg</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jc w:val="center"/>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10</w:t>
            </w:r>
          </w:p>
        </w:tc>
        <w:tc>
          <w:tcPr>
            <w:tcW w:w="8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jc w:val="center"/>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个</w:t>
            </w:r>
          </w:p>
        </w:tc>
      </w:tr>
      <w:tr>
        <w:tblPrEx>
          <w:tblCellMar>
            <w:top w:w="0" w:type="dxa"/>
            <w:left w:w="108" w:type="dxa"/>
            <w:bottom w:w="0" w:type="dxa"/>
            <w:right w:w="108" w:type="dxa"/>
          </w:tblCellMar>
        </w:tblPrEx>
        <w:trPr>
          <w:trHeight w:val="325"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7</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多用途警棍</w:t>
            </w:r>
          </w:p>
        </w:tc>
        <w:tc>
          <w:tcPr>
            <w:tcW w:w="62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产品参数：</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1.检测标准《GA 1125-2013 T型警棍》</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2.握持端和T型端为螺纹防滑结构</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3.主体采用全聚碳酸脂材料(优质工程塑料)一次整体铸模成型</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4.尺寸：棍体总长度：600mm，握持端长度：160mm，T型端长度：150mm；棍体外径：30.5mm</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5.产品质量：≤650g</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6.抗打击测试：连续击打1000次棍体不出现裂纹或断裂</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7.压力测试：对T型端实价1500N静压力，保持30S,不会出现裂纹或断裂</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8.阻燃性测试，表面阻燃时间≤5S</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9.适用环境：-20℃-55℃</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使用技法：</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T型警棍7种格斗技法详解（将长端称为A短端称为B，握手称为H）</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1、手握H端，将A收回靠在小臂上可用于格裆防御</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2、同上动作，B端可以用来做近距离向前攻击，如打心窝，上挑下颚</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3、同上动作，手肘弯曲，A端长于小臂的部分用来做顶肘攻击</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4、同上动作，靠手腕旋转加惯性，将A半圆弧甩出，可做横扫进攻</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5、手握H，将A端放出，可以做前刺、劈、砍、抽等攻击</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6、手握B，作为普通短棍使用</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7、手握A的最前端，可用H攻击，做钩、挂等动作；</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jc w:val="center"/>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41</w:t>
            </w:r>
          </w:p>
        </w:tc>
        <w:tc>
          <w:tcPr>
            <w:tcW w:w="8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jc w:val="center"/>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根</w:t>
            </w:r>
          </w:p>
        </w:tc>
      </w:tr>
      <w:tr>
        <w:tblPrEx>
          <w:tblCellMar>
            <w:top w:w="0" w:type="dxa"/>
            <w:left w:w="108" w:type="dxa"/>
            <w:bottom w:w="0" w:type="dxa"/>
            <w:right w:w="108" w:type="dxa"/>
          </w:tblCellMar>
        </w:tblPrEx>
        <w:trPr>
          <w:trHeight w:val="325"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8</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防暴钢叉</w:t>
            </w:r>
          </w:p>
        </w:tc>
        <w:tc>
          <w:tcPr>
            <w:tcW w:w="62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技术参数：</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1、材质：不锈钢；</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2、收缩尺寸：1315mm；</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3、展开尺寸：2020mm；</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4、管身后端直径：35cm；</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5、管身前端直径：28mm；</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6、重量：1.63kg；</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7、手柄材质：尼龙复合材料，硬度高，重量轻，可防滑。</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8、产品质量轻，方便携带，使用灵活。</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jc w:val="center"/>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21</w:t>
            </w:r>
          </w:p>
        </w:tc>
        <w:tc>
          <w:tcPr>
            <w:tcW w:w="8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jc w:val="center"/>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把</w:t>
            </w:r>
          </w:p>
        </w:tc>
      </w:tr>
      <w:tr>
        <w:tblPrEx>
          <w:tblCellMar>
            <w:top w:w="0" w:type="dxa"/>
            <w:left w:w="108" w:type="dxa"/>
            <w:bottom w:w="0" w:type="dxa"/>
            <w:right w:w="108" w:type="dxa"/>
          </w:tblCellMar>
        </w:tblPrEx>
        <w:trPr>
          <w:trHeight w:val="325"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9</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救生索抛射器</w:t>
            </w:r>
          </w:p>
        </w:tc>
        <w:tc>
          <w:tcPr>
            <w:tcW w:w="62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设备以压缩空气作为推动力的抛绳器械，使用中不会产生火花和火苗，适用于充满油、气的环境。水陆两用，并可回收反复使用；采用耐用的材料，使用寿命长；可以更 换不同的发射管，满足各种用途。</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设备主要用于：抗洪救灾、消防救援、海事救助、船与船之间的互救、海岸钻井等突发事故现场抢险救援，亦可作为陆地用于高空架设电缆、架桥施工时的补给物资及高层建筑事故现场的抢险救援。</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本产品是专业救援用的便捷气动式救援抛绳器，抛射距离可达70M以上，可作为船对船、船对岸、高楼和山涧的抛绳救援使用。该产品重量轻，携带方便，枪式发射便捷简单，抛射目标的准确性高；可根据不同救援目的抛射不同救援弹。</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拥有国家消防装备质量监督检验中心出具的检测报告。</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规格：</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1、压缩空气工作压力：产品总体重量小于3.5KG，抛射质量大于1.5KG.</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2、抛射距离：水用时抛射自动充气救生圈距离可达70M，陆用时抛射距离可达100M.</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3、抛绳尺寸：￠4mm×120M，抛绳拉力不小于2000N.</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4、飞行时间：大约3-5秒钟。</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5、水用浮具入水5秒内自动充气成为救生圈，产生8KG以上浮力。</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6、该产品可选配碳纤维气瓶＋快速接头（充气气瓶另外购买），重量轻耐压高；自动充气救生圈弹头安装替换方便，可提高救援效率。</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适用范围：</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1、水上救生：适用河边、湖边、江边和海边等复杂救援场所，可实现短距离水上救生。</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2、陆用救援：适用民用、消防、船对船、船对岸、高楼或山涧等救援场合的抛绳作业。</w:t>
            </w:r>
            <w:r>
              <w:rPr>
                <w:rFonts w:hint="eastAsia" w:ascii="宋体" w:hAnsi="宋体" w:eastAsia="宋体" w:cs="宋体"/>
                <w:color w:val="000000"/>
                <w:kern w:val="0"/>
                <w:sz w:val="24"/>
                <w:szCs w:val="24"/>
              </w:rPr>
              <w:t xml:space="preserve"> </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jc w:val="center"/>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9</w:t>
            </w:r>
          </w:p>
        </w:tc>
        <w:tc>
          <w:tcPr>
            <w:tcW w:w="8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jc w:val="center"/>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套</w:t>
            </w:r>
          </w:p>
        </w:tc>
      </w:tr>
      <w:tr>
        <w:tblPrEx>
          <w:tblCellMar>
            <w:top w:w="0" w:type="dxa"/>
            <w:left w:w="108" w:type="dxa"/>
            <w:bottom w:w="0" w:type="dxa"/>
            <w:right w:w="108" w:type="dxa"/>
          </w:tblCellMar>
        </w:tblPrEx>
        <w:trPr>
          <w:trHeight w:val="225"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便携式植桩机</w:t>
            </w:r>
          </w:p>
        </w:tc>
        <w:tc>
          <w:tcPr>
            <w:tcW w:w="62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混合比：25：1（汽油：机油）</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油箱容量：1L</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排量：52CC</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功率与速度：1900W/6500r/min</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扭矩与速度：3.5N.m/5500r/min</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燃油消耗速度：0.6L/h</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冲击：1300-3000BPM</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冲击能力：20-55J</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桩头尺寸：直径55-70,100</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 xml:space="preserve">机器净重13公斤 </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外箱尺寸64.5X34X37</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适用范围打桩直径: 55毫米 80毫米 120毫米的木头、角铁、钢管、钢筋。</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打桩深度：1m随机工具：内六角扳手: 4毫米1pc 5毫米1pc 6毫米1pc火花塞扳手: 1pc开口扳手</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jc w:val="center"/>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11</w:t>
            </w:r>
          </w:p>
        </w:tc>
        <w:tc>
          <w:tcPr>
            <w:tcW w:w="8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jc w:val="center"/>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台</w:t>
            </w:r>
          </w:p>
        </w:tc>
      </w:tr>
      <w:tr>
        <w:tblPrEx>
          <w:tblCellMar>
            <w:top w:w="0" w:type="dxa"/>
            <w:left w:w="108" w:type="dxa"/>
            <w:bottom w:w="0" w:type="dxa"/>
            <w:right w:w="108" w:type="dxa"/>
          </w:tblCellMar>
        </w:tblPrEx>
        <w:trPr>
          <w:trHeight w:val="325"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11</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jc w:val="left"/>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救生衣</w:t>
            </w:r>
          </w:p>
        </w:tc>
        <w:tc>
          <w:tcPr>
            <w:tcW w:w="62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消防专用救生衣适用于消防部队抗洪抢险和处置水域事故时使用。它突破了传统救生衣的浮力设计及浮力分布方式，采用固有浮力材料与充气气囊复合配置浮力的方式，同时可配备气胀式救生圈、示位灯、哨笛等多种水上救援工具，在最大程度上兼顾了救生衣的安全性能、营救性能和水中运动灵活性。</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性能参数</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救生衣浮力固有浮力 N ≥50</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救生衣气囊浮力 N ≥100</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气胀式救生圈浮力 N ≥150</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救生衣气囊、气胀式救生圈手动充气时间 s ≤5</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救生衣气囊CO2气瓶充装质量 ：24g</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气胀式救生圈CO2气瓶充装质量： 33g</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穿着时间 min ≤1，只能正面穿着</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质量 ㎏ ≤1.5</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适宜贮存温度 ℃ 5～35</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jc w:val="center"/>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35</w:t>
            </w:r>
          </w:p>
        </w:tc>
        <w:tc>
          <w:tcPr>
            <w:tcW w:w="8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jc w:val="center"/>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件</w:t>
            </w:r>
          </w:p>
        </w:tc>
      </w:tr>
      <w:tr>
        <w:tblPrEx>
          <w:tblCellMar>
            <w:top w:w="0" w:type="dxa"/>
            <w:left w:w="108" w:type="dxa"/>
            <w:bottom w:w="0" w:type="dxa"/>
            <w:right w:w="108" w:type="dxa"/>
          </w:tblCellMar>
        </w:tblPrEx>
        <w:trPr>
          <w:trHeight w:val="325"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12</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雨衣</w:t>
            </w:r>
          </w:p>
        </w:tc>
        <w:tc>
          <w:tcPr>
            <w:tcW w:w="62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雨衣技术参数</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1、雨衣面料采用优质 PVC 材料精致而成，缝线处均采用防渗透技术，在暴雨下不湿衣。</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2、面料采用聚氨酷涂层雨衣(湿法防水透湿)，100%涤纶，83dtex/36f*83dtex/72f，聚氨酷涂层; 经纬纱密度:610/10cm*380根/10cm，织物组织二上一下右斜纹织物单位面积质量≤165g/M2。</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3、产品必须符合国家有关标准，无毒无异味。</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4、雨衣款式:分体式。</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5、雨衣颜色:07数码迷彩。</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6、袖口为:内袖口。</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7、静水压打到 Kpa35-27 之间</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jc w:val="center"/>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46</w:t>
            </w:r>
          </w:p>
        </w:tc>
        <w:tc>
          <w:tcPr>
            <w:tcW w:w="8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jc w:val="center"/>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件</w:t>
            </w:r>
          </w:p>
        </w:tc>
      </w:tr>
      <w:tr>
        <w:tblPrEx>
          <w:tblCellMar>
            <w:top w:w="0" w:type="dxa"/>
            <w:left w:w="108" w:type="dxa"/>
            <w:bottom w:w="0" w:type="dxa"/>
            <w:right w:w="108" w:type="dxa"/>
          </w:tblCellMar>
        </w:tblPrEx>
        <w:trPr>
          <w:trHeight w:val="325"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13</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雨靴</w:t>
            </w:r>
          </w:p>
        </w:tc>
        <w:tc>
          <w:tcPr>
            <w:tcW w:w="62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雨靴参数</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本产品耐酸碱、耐油。</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倍率: 1.43，</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硬度:582，</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拉伸强度:33.8，</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延伸率:297.3，</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撕裂强度: 13.2，</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比重: 0.294，</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磨耗:12mm/国标，</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收缩(厚度 12mm):2.7%</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高筒</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jc w:val="center"/>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140</w:t>
            </w:r>
          </w:p>
        </w:tc>
        <w:tc>
          <w:tcPr>
            <w:tcW w:w="8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jc w:val="center"/>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双</w:t>
            </w:r>
          </w:p>
        </w:tc>
      </w:tr>
      <w:tr>
        <w:tblPrEx>
          <w:tblCellMar>
            <w:top w:w="0" w:type="dxa"/>
            <w:left w:w="108" w:type="dxa"/>
            <w:bottom w:w="0" w:type="dxa"/>
            <w:right w:w="108" w:type="dxa"/>
          </w:tblCellMar>
        </w:tblPrEx>
        <w:trPr>
          <w:trHeight w:val="325"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14</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救生圈</w:t>
            </w:r>
          </w:p>
        </w:tc>
        <w:tc>
          <w:tcPr>
            <w:tcW w:w="62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 xml:space="preserve">船检渔检.CY.ZY.CCS                                                   </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 xml:space="preserve">1、外径710mm 内径440mm </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 xml:space="preserve">2、能在淡水中支承不少于14.5kg的铁块达24h之久 </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 xml:space="preserve">3、具有不少于2.5kg的质量 5556-4.3救生圈 </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外观：</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救生圈外表颜色应为橙红色，且无色差。</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救生圈表面应无凹凸、无开裂。</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 xml:space="preserve">沿救生圈周长四个相等间距位置，应环绕贴有50㎜宽度的逆向反光带。配穿高强度尼龙救援绳。  </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材料：</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 xml:space="preserve">整体式救生圈的外壳材料为HDPE ,内充式救生圈的内充材料应采用闭孔型发泡材料。 </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性能：</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救生圈应耐高低温，无皱缩、破裂、膨胀、分解。</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救生圈从规定高度投落后，应无开裂或破碎。</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救生圈应耐油，无皱缩、破裂、膨胀、分解。</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救生圈应耐火，不应燃烧或过火后继续融化。</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救生圈应能支承14.5kg的铁块在淡水中持续漂浮24h。</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救生圈在自由悬挂情况下，应能承受90kg重量持续30min而无破裂和变形。</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jc w:val="center"/>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14</w:t>
            </w:r>
          </w:p>
        </w:tc>
        <w:tc>
          <w:tcPr>
            <w:tcW w:w="8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jc w:val="center"/>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个</w:t>
            </w:r>
          </w:p>
        </w:tc>
      </w:tr>
      <w:tr>
        <w:tblPrEx>
          <w:tblCellMar>
            <w:top w:w="0" w:type="dxa"/>
            <w:left w:w="108" w:type="dxa"/>
            <w:bottom w:w="0" w:type="dxa"/>
            <w:right w:w="108" w:type="dxa"/>
          </w:tblCellMar>
        </w:tblPrEx>
        <w:trPr>
          <w:trHeight w:val="325"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15</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jc w:val="left"/>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救生绳</w:t>
            </w:r>
          </w:p>
        </w:tc>
        <w:tc>
          <w:tcPr>
            <w:tcW w:w="62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符合GA494-2004标准；用途：消防员灭火救援、抢险救灾或日常训练。结构：为夹心绳，承重部分由连续纤维材料制成，强度高、延伸率小、抗冲击性能好、耐高温。最小破断强度：48.8KN；耐高温性能：在温度204℃时间5MIN环境下，不融熔、焦化。当承重达到最小破断强度的10%时，安全绳的延伸率为7.2% 。</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jc w:val="center"/>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13</w:t>
            </w:r>
          </w:p>
        </w:tc>
        <w:tc>
          <w:tcPr>
            <w:tcW w:w="8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jc w:val="center"/>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条</w:t>
            </w:r>
          </w:p>
        </w:tc>
      </w:tr>
      <w:tr>
        <w:tblPrEx>
          <w:tblCellMar>
            <w:top w:w="0" w:type="dxa"/>
            <w:left w:w="108" w:type="dxa"/>
            <w:bottom w:w="0" w:type="dxa"/>
            <w:right w:w="108" w:type="dxa"/>
          </w:tblCellMar>
        </w:tblPrEx>
        <w:trPr>
          <w:trHeight w:val="325"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16</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灭火防护服</w:t>
            </w:r>
          </w:p>
        </w:tc>
        <w:tc>
          <w:tcPr>
            <w:tcW w:w="62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灭火防护服</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1、采用纯棉阻燃面料，面料达到阻燃防护服GB8965-2009标准?</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2、桔红色纯棉12x10支阻燃面料布，经纬断裂强度（N），经 ≥1200N，纬≥1000N ；</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3、续燃时间（秒），阻燃时间（秒）0.5，?采用耐洗性强的CP类耐洗性强的C12×16纯棉阻燃纱卡制作</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4、背后有“森林防火”标志和醒目夜光带，确保扑火人员的夜间可视度</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5、洗涤50次后能保持标准规定的能，阻燃和断裂时间可达到2秒，经过特殊的化学处理,产生一种长久的耐火焰凃层,达到阻燃防护服标准。?</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6、采用钩、扣便于连结解脱，扣、钩不易燃，不易融</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7、裤腿采用牛皮包缝以防被灌木和荆棘撕破，腋下，裤裆都采用双线。身体覆盖面上，衣裤间有足够的重叠膝盖等部位另加布料，增强牢固度</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8、具有透气性，装着舒适大方，阻燃处理，前胸、后胸、手臂、腿部有醒目反光材料，左臂有“森林消防”**臂章，后背印有“森林防火”字样，确保扑火人员的夜间可视度。</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森林灭火防护头盔</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1、采用高强度ABS注塑而成，阻燃耐高温，质地坚韧，强度高，抗冲击，色泽醒目</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2、面罩前有有机玻璃防热，配有可调整面罩，防火、防尘， 外拉式面罩透光率好，视角大视野开阔清晰，能使队员观察到周围的情况</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3、头盔下部有披肩，可与防火服连成一体，对头部和肩部整体保护更好</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4、盔体中间有加强股，头盔两侧各有三个矩形孔，方便队员头部热量散出,两侧有“森林防火”字样</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5、头盔侧面安装有可调节的卡式强光手电卡槽，方便强光手电快速拆卸、可选择在头盔上部安装14粒LED照明灯，可分为强. 中. 弱. 求救4种信号方式，连续工作&gt;20小时</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森林灭火防护靴</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1、采用优质纯棉迷彩帆布制作，底部由防刺层和隔热层组成，</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2、扑火靴上部有收紧设计，有效防止火星和灰尘进入，靴底前后部模铸对称防滑网，</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3、采用优质橡胶鞋底，靴底部夹65#钢板，弯曲100度不变形，防火防水性能好，</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4、脚趾部位有钢包头，每平方米可承受&gt;300牛顿，弯折角度可超过150度，</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5、高腰、沙滩迷彩色设计，具有防尘，防滑，防砸，防扎，防水，防割特性。</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阻燃扑火手套</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1、桔黄色，整个手部采用纯皮制作,柔软舒适并且阻燃。</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2、扑火手套为全皮制作。有加长护腕部分。可以和扑火服连成一体，防止火星和灰尘进入，形成整体保护，增加安全性。</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3、采用耐洗性强的CP类耐洗性强的C12×16纯棉阻燃纱卡制作</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4、手心手背处采用纯皮制作，耐磨性强，上部加有25公分阻燃纯棉材料，保护手部，增加舒适度和透气性</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消防腰带</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产品颜色：橙黑色</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腰围尺寸70-120cm可调节</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设计负荷1.33KN</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产品重量：不大于0.85kg</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由织带、内带和外带扣、环扣及拉环等零部件组成消防员登高作业和逃生自救用的防护装置，也可用作</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产品结构</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jc w:val="center"/>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275</w:t>
            </w:r>
          </w:p>
        </w:tc>
        <w:tc>
          <w:tcPr>
            <w:tcW w:w="8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jc w:val="center"/>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套</w:t>
            </w:r>
          </w:p>
        </w:tc>
      </w:tr>
      <w:tr>
        <w:tblPrEx>
          <w:tblCellMar>
            <w:top w:w="0" w:type="dxa"/>
            <w:left w:w="108" w:type="dxa"/>
            <w:bottom w:w="0" w:type="dxa"/>
            <w:right w:w="108" w:type="dxa"/>
          </w:tblCellMar>
        </w:tblPrEx>
        <w:trPr>
          <w:trHeight w:val="325"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17</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消防锹</w:t>
            </w:r>
          </w:p>
        </w:tc>
        <w:tc>
          <w:tcPr>
            <w:tcW w:w="62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品名:美式套装钢秋款式:尖秋材质:50钢硬度:HRC40-45重量:1.4KG全长:97.5CM铲宽:22.5CM铲长:29CM手柄宽:11.8CM</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jc w:val="center"/>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190</w:t>
            </w:r>
          </w:p>
        </w:tc>
        <w:tc>
          <w:tcPr>
            <w:tcW w:w="8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jc w:val="center"/>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把</w:t>
            </w:r>
          </w:p>
        </w:tc>
      </w:tr>
      <w:tr>
        <w:tblPrEx>
          <w:tblCellMar>
            <w:top w:w="0" w:type="dxa"/>
            <w:left w:w="108" w:type="dxa"/>
            <w:bottom w:w="0" w:type="dxa"/>
            <w:right w:w="108" w:type="dxa"/>
          </w:tblCellMar>
        </w:tblPrEx>
        <w:trPr>
          <w:trHeight w:val="325"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18</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消防斧</w:t>
            </w:r>
          </w:p>
        </w:tc>
        <w:tc>
          <w:tcPr>
            <w:tcW w:w="62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产品名称:大尖斧</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斧头材质:高碳钢</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产品重量: 3.2kg</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产品优点: 十分坚固,方便携带</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产品用途: 清理着火或易燃材料，切断火势</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蔓延的途径等。</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jc w:val="center"/>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328</w:t>
            </w:r>
          </w:p>
        </w:tc>
        <w:tc>
          <w:tcPr>
            <w:tcW w:w="8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jc w:val="center"/>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把</w:t>
            </w:r>
          </w:p>
        </w:tc>
      </w:tr>
      <w:tr>
        <w:tblPrEx>
          <w:tblCellMar>
            <w:top w:w="0" w:type="dxa"/>
            <w:left w:w="108" w:type="dxa"/>
            <w:bottom w:w="0" w:type="dxa"/>
            <w:right w:w="108" w:type="dxa"/>
          </w:tblCellMar>
        </w:tblPrEx>
        <w:trPr>
          <w:trHeight w:val="325"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19</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二号扑火工具</w:t>
            </w:r>
          </w:p>
        </w:tc>
        <w:tc>
          <w:tcPr>
            <w:tcW w:w="62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1、采用18条以上规格55cm×1.6cm橡胶合成条组成，一次性切割无裂痕，在扑火时起动缓冲。</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2、工具杆为1.3m/1.5m×2.5m（直径）的金属杆制成，长杆的设计增加扑火范围。</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3、杆体光滑挺直，无明显裂纹和斑点，工具头部采用优质橡胶条。捆扎在手柄上，一次性成型、连接牢固耐、不脱落。</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特点：</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1、用于扑救森林火灾的常用一般性工具，可以直接灭火和隔离带灭火两种方法相结合的灭火方法。直接灭火常采用的方法是扑火人员使用手中的工具沿火线直接打灭火。</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2、工具头部有橡胶条，在扑火时起动缓冲。工具杆为1.4mX2.5m（直径）的金属杆制成，长杆的设计增加扑火范围。</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jc w:val="center"/>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160</w:t>
            </w:r>
          </w:p>
        </w:tc>
        <w:tc>
          <w:tcPr>
            <w:tcW w:w="8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jc w:val="center"/>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把</w:t>
            </w:r>
          </w:p>
        </w:tc>
      </w:tr>
      <w:tr>
        <w:tblPrEx>
          <w:tblCellMar>
            <w:top w:w="0" w:type="dxa"/>
            <w:left w:w="108" w:type="dxa"/>
            <w:bottom w:w="0" w:type="dxa"/>
            <w:right w:w="108" w:type="dxa"/>
          </w:tblCellMar>
        </w:tblPrEx>
        <w:trPr>
          <w:trHeight w:val="325"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20</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风力灭火机</w:t>
            </w:r>
          </w:p>
        </w:tc>
        <w:tc>
          <w:tcPr>
            <w:tcW w:w="62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1.结构紧凑、体积小、外型美观大方，整机重量轻。</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2.采用膜片式化油器，性能稳定、可靠性高、方便维修。</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3.汽油机右旋输出，吹风管水平15度输出，既有利于垂直操作，又方便水平作业。</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4.缸体倒置，缸头指向风机高压区，采用风机冷却缸体，既保证了汽油机的冷却效果，又降低了整机重量重心。</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5.发动机启动容易，冷启动一般2-3次，热启动1-2次。</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6.风速、风量大、灭火距离远。</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7.不锈钢材质末端吹风管、铁质油箱，灭火时作业时更加安全。</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功率与整机工作转速：4.5kW/8500r/min</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距风机中心2.5m处风速（m/s）：30</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风筒出口风量(m3/s)：0.4</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整备质量(kg)：13</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有效灭火距离(m)：1.84</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起动时间(s)：10</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油箱容积(L)：2.0</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一次加油连续工作时间(min)：77</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标定转速下耳旁噪声(dB)：103</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手感振动加速度(m2/s)：4.9</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jc w:val="center"/>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58</w:t>
            </w:r>
          </w:p>
        </w:tc>
        <w:tc>
          <w:tcPr>
            <w:tcW w:w="8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jc w:val="center"/>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台</w:t>
            </w:r>
          </w:p>
        </w:tc>
      </w:tr>
      <w:tr>
        <w:tblPrEx>
          <w:tblCellMar>
            <w:top w:w="0" w:type="dxa"/>
            <w:left w:w="108" w:type="dxa"/>
            <w:bottom w:w="0" w:type="dxa"/>
            <w:right w:w="108" w:type="dxa"/>
          </w:tblCellMar>
        </w:tblPrEx>
        <w:trPr>
          <w:trHeight w:val="325"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21</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摩托锯</w:t>
            </w:r>
          </w:p>
        </w:tc>
        <w:tc>
          <w:tcPr>
            <w:tcW w:w="62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1.带有护手器的快速刹车机构：使用具有华盛自主知识产权的凸轮弹簧联动刹车机构，刹车响应时间短，高可靠性、高安全性。护手器采用轻质增强材料，重量轻、强度高、耐冲击。</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2.中空铝合金前手把：前手把采用中空铝合金管一体工艺制成，重量轻、强度高；外包防滑减震手把套。</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3.泵油结构：采用油杯泵油结构，按压便于化油器进油，提高起动性能，尤其是低温冷机起动。</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4.上压盖：上压盖可拆卸，便于空滤器、化油器清理、维护。</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5.一键式启停开关：采用一键式启停开关，方便发动机停机、起动，工作过程中遇到紧急情况时便于停机，提高安全性。</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6.燃油箱一体成型后手把：后手把采用轻质增强材料制作，与燃油箱一体成型，强度高、重量轻；与曲轴箱采用三处弹簧连接，可靠性高、减震效果好；下部启动踩持部位充分人性化设计，加宽、加厚、增强材质。</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7.润滑油箱一体成型曲轴箱：曲轴箱采用镁合金制作，与润滑油箱一体成型，重量轻、比强度高、耐高温、环境适应性强，提高整机使用寿命。</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8.油箱盖：采用防错扣设计，设置有安装槽，强度高、耐高温、安装方便可靠。</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9.插木齿：插木齿采用高强度钢板一体冲压成型，提高了锯木工作安全性。</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10.消音器：采用后置式排气设计，排气口远离锯切的木头及锯末，排气口处设有防火网，提高了锯切木头的防火安全性。</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其他技术特点</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油锯采用华盛弧形定向流扫气道分层扫气技术的二冲程发动机，排放满足法规要求，尾气排放较传统二冲程发动机降低近50%，节能环保；功率、扭矩较传统二冲程发动机提高近15%；燃油消耗率较传统二冲程发动机降低近20%；采用数字控制点火器，点火能量高，具有限速功能，运转稳定，工作可靠。</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 、锯链防松张紧机构。锯链防松张紧机构用于锯链松时的张紧调节，采用一字头套筒扳手调节，操作简便、可靠。</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 、刹车盖板。刹车盖板采用镁合金制作，重量轻、比强度高、耐高温、环境适应性强，提高整机使用寿命。</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产品名称</w:t>
            </w:r>
            <w:r>
              <w:rPr>
                <w:rFonts w:hint="eastAsia" w:ascii="宋体" w:hAnsi="宋体" w:eastAsia="宋体" w:cs="宋体"/>
                <w:color w:val="000000"/>
                <w:kern w:val="0"/>
                <w:sz w:val="24"/>
                <w:szCs w:val="24"/>
                <w:lang w:bidi="ar"/>
              </w:rPr>
              <w:tab/>
            </w:r>
            <w:r>
              <w:rPr>
                <w:rFonts w:hint="eastAsia" w:ascii="宋体" w:hAnsi="宋体" w:eastAsia="宋体" w:cs="宋体"/>
                <w:color w:val="000000"/>
                <w:kern w:val="0"/>
                <w:sz w:val="24"/>
                <w:szCs w:val="24"/>
                <w:lang w:bidi="ar"/>
              </w:rPr>
              <w:t>油锯</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排量（mL）</w:t>
            </w:r>
            <w:r>
              <w:rPr>
                <w:rFonts w:hint="eastAsia" w:ascii="宋体" w:hAnsi="宋体" w:eastAsia="宋体" w:cs="宋体"/>
                <w:color w:val="000000"/>
                <w:kern w:val="0"/>
                <w:sz w:val="24"/>
                <w:szCs w:val="24"/>
                <w:lang w:bidi="ar"/>
              </w:rPr>
              <w:tab/>
            </w:r>
            <w:r>
              <w:rPr>
                <w:rFonts w:hint="eastAsia" w:ascii="宋体" w:hAnsi="宋体" w:eastAsia="宋体" w:cs="宋体"/>
                <w:color w:val="000000"/>
                <w:kern w:val="0"/>
                <w:sz w:val="24"/>
                <w:szCs w:val="24"/>
                <w:lang w:bidi="ar"/>
              </w:rPr>
              <w:t>50.8</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大功率/转速（kW/r/min）</w:t>
            </w:r>
            <w:r>
              <w:rPr>
                <w:rFonts w:hint="eastAsia" w:ascii="宋体" w:hAnsi="宋体" w:eastAsia="宋体" w:cs="宋体"/>
                <w:color w:val="000000"/>
                <w:kern w:val="0"/>
                <w:sz w:val="24"/>
                <w:szCs w:val="24"/>
                <w:lang w:bidi="ar"/>
              </w:rPr>
              <w:tab/>
            </w:r>
            <w:r>
              <w:rPr>
                <w:rFonts w:hint="eastAsia" w:ascii="宋体" w:hAnsi="宋体" w:eastAsia="宋体" w:cs="宋体"/>
                <w:color w:val="000000"/>
                <w:kern w:val="0"/>
                <w:sz w:val="24"/>
                <w:szCs w:val="24"/>
                <w:lang w:bidi="ar"/>
              </w:rPr>
              <w:t>2.2/8500</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燃油润滑油</w:t>
            </w:r>
            <w:r>
              <w:rPr>
                <w:rFonts w:hint="eastAsia" w:ascii="宋体" w:hAnsi="宋体" w:eastAsia="宋体" w:cs="宋体"/>
                <w:color w:val="000000"/>
                <w:kern w:val="0"/>
                <w:sz w:val="24"/>
                <w:szCs w:val="24"/>
                <w:lang w:bidi="ar"/>
              </w:rPr>
              <w:tab/>
            </w:r>
            <w:r>
              <w:rPr>
                <w:rFonts w:hint="eastAsia" w:ascii="宋体" w:hAnsi="宋体" w:eastAsia="宋体" w:cs="宋体"/>
                <w:color w:val="000000"/>
                <w:kern w:val="0"/>
                <w:sz w:val="24"/>
                <w:szCs w:val="24"/>
                <w:lang w:bidi="ar"/>
              </w:rPr>
              <w:t>FC级二冲程汽油机机油</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锯链润滑油</w:t>
            </w:r>
            <w:r>
              <w:rPr>
                <w:rFonts w:hint="eastAsia" w:ascii="宋体" w:hAnsi="宋体" w:eastAsia="宋体" w:cs="宋体"/>
                <w:color w:val="000000"/>
                <w:kern w:val="0"/>
                <w:sz w:val="24"/>
                <w:szCs w:val="24"/>
                <w:lang w:bidi="ar"/>
              </w:rPr>
              <w:tab/>
            </w:r>
            <w:r>
              <w:rPr>
                <w:rFonts w:hint="eastAsia" w:ascii="宋体" w:hAnsi="宋体" w:eastAsia="宋体" w:cs="宋体"/>
                <w:color w:val="000000"/>
                <w:kern w:val="0"/>
                <w:sz w:val="24"/>
                <w:szCs w:val="24"/>
                <w:lang w:bidi="ar"/>
              </w:rPr>
              <w:t>SAE# 10W- 30</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汽油与机油容积混合比</w:t>
            </w:r>
            <w:r>
              <w:rPr>
                <w:rFonts w:hint="eastAsia" w:ascii="宋体" w:hAnsi="宋体" w:eastAsia="宋体" w:cs="宋体"/>
                <w:color w:val="000000"/>
                <w:kern w:val="0"/>
                <w:sz w:val="24"/>
                <w:szCs w:val="24"/>
                <w:lang w:bidi="ar"/>
              </w:rPr>
              <w:tab/>
            </w:r>
            <w:r>
              <w:rPr>
                <w:rFonts w:hint="eastAsia" w:ascii="宋体" w:hAnsi="宋体" w:eastAsia="宋体" w:cs="宋体"/>
                <w:color w:val="000000"/>
                <w:kern w:val="0"/>
                <w:sz w:val="24"/>
                <w:szCs w:val="24"/>
                <w:lang w:bidi="ar"/>
              </w:rPr>
              <w:t>30:01:00</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起动方式</w:t>
            </w:r>
            <w:r>
              <w:rPr>
                <w:rFonts w:hint="eastAsia" w:ascii="宋体" w:hAnsi="宋体" w:eastAsia="宋体" w:cs="宋体"/>
                <w:color w:val="000000"/>
                <w:kern w:val="0"/>
                <w:sz w:val="24"/>
                <w:szCs w:val="24"/>
                <w:lang w:bidi="ar"/>
              </w:rPr>
              <w:tab/>
            </w:r>
            <w:r>
              <w:rPr>
                <w:rFonts w:hint="eastAsia" w:ascii="宋体" w:hAnsi="宋体" w:eastAsia="宋体" w:cs="宋体"/>
                <w:color w:val="000000"/>
                <w:kern w:val="0"/>
                <w:sz w:val="24"/>
                <w:szCs w:val="24"/>
                <w:lang w:bidi="ar"/>
              </w:rPr>
              <w:t>手拉自回绳起动</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汽油油箱容积（mL）</w:t>
            </w:r>
            <w:r>
              <w:rPr>
                <w:rFonts w:hint="eastAsia" w:ascii="宋体" w:hAnsi="宋体" w:eastAsia="宋体" w:cs="宋体"/>
                <w:color w:val="000000"/>
                <w:kern w:val="0"/>
                <w:sz w:val="24"/>
                <w:szCs w:val="24"/>
                <w:lang w:bidi="ar"/>
              </w:rPr>
              <w:tab/>
            </w:r>
            <w:r>
              <w:rPr>
                <w:rFonts w:hint="eastAsia" w:ascii="宋体" w:hAnsi="宋体" w:eastAsia="宋体" w:cs="宋体"/>
                <w:color w:val="000000"/>
                <w:kern w:val="0"/>
                <w:sz w:val="24"/>
                <w:szCs w:val="24"/>
                <w:lang w:bidi="ar"/>
              </w:rPr>
              <w:t>540</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机油油箱容积（mL）</w:t>
            </w:r>
            <w:r>
              <w:rPr>
                <w:rFonts w:hint="eastAsia" w:ascii="宋体" w:hAnsi="宋体" w:eastAsia="宋体" w:cs="宋体"/>
                <w:color w:val="000000"/>
                <w:kern w:val="0"/>
                <w:sz w:val="24"/>
                <w:szCs w:val="24"/>
                <w:lang w:bidi="ar"/>
              </w:rPr>
              <w:tab/>
            </w:r>
            <w:r>
              <w:rPr>
                <w:rFonts w:hint="eastAsia" w:ascii="宋体" w:hAnsi="宋体" w:eastAsia="宋体" w:cs="宋体"/>
                <w:color w:val="000000"/>
                <w:kern w:val="0"/>
                <w:sz w:val="24"/>
                <w:szCs w:val="24"/>
                <w:lang w:bidi="ar"/>
              </w:rPr>
              <w:t>280</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净质量（kg）</w:t>
            </w:r>
            <w:r>
              <w:rPr>
                <w:rFonts w:hint="eastAsia" w:ascii="宋体" w:hAnsi="宋体" w:eastAsia="宋体" w:cs="宋体"/>
                <w:color w:val="000000"/>
                <w:kern w:val="0"/>
                <w:sz w:val="24"/>
                <w:szCs w:val="24"/>
                <w:lang w:bidi="ar"/>
              </w:rPr>
              <w:tab/>
            </w:r>
            <w:r>
              <w:rPr>
                <w:rFonts w:hint="eastAsia" w:ascii="宋体" w:hAnsi="宋体" w:eastAsia="宋体" w:cs="宋体"/>
                <w:color w:val="000000"/>
                <w:kern w:val="0"/>
                <w:sz w:val="24"/>
                <w:szCs w:val="24"/>
                <w:lang w:bidi="ar"/>
              </w:rPr>
              <w:t>5.8</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导板长度in</w:t>
            </w:r>
            <w:r>
              <w:rPr>
                <w:rFonts w:hint="eastAsia" w:ascii="宋体" w:hAnsi="宋体" w:eastAsia="宋体" w:cs="宋体"/>
                <w:color w:val="000000"/>
                <w:kern w:val="0"/>
                <w:sz w:val="24"/>
                <w:szCs w:val="24"/>
                <w:lang w:bidi="ar"/>
              </w:rPr>
              <w:tab/>
            </w:r>
            <w:r>
              <w:rPr>
                <w:rFonts w:hint="eastAsia" w:ascii="宋体" w:hAnsi="宋体" w:eastAsia="宋体" w:cs="宋体"/>
                <w:color w:val="000000"/>
                <w:kern w:val="0"/>
                <w:sz w:val="24"/>
                <w:szCs w:val="24"/>
                <w:lang w:bidi="ar"/>
              </w:rPr>
              <w:t>16in   18in   20in</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锯链尺寸in</w:t>
            </w:r>
            <w:r>
              <w:rPr>
                <w:rFonts w:hint="eastAsia" w:ascii="宋体" w:hAnsi="宋体" w:eastAsia="宋体" w:cs="宋体"/>
                <w:color w:val="000000"/>
                <w:kern w:val="0"/>
                <w:sz w:val="24"/>
                <w:szCs w:val="24"/>
                <w:lang w:bidi="ar"/>
              </w:rPr>
              <w:tab/>
            </w:r>
            <w:r>
              <w:rPr>
                <w:rFonts w:hint="eastAsia" w:ascii="宋体" w:hAnsi="宋体" w:eastAsia="宋体" w:cs="宋体"/>
                <w:color w:val="000000"/>
                <w:kern w:val="0"/>
                <w:sz w:val="24"/>
                <w:szCs w:val="24"/>
                <w:lang w:bidi="ar"/>
              </w:rPr>
              <w:t>0.325in</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jc w:val="center"/>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85</w:t>
            </w:r>
          </w:p>
        </w:tc>
        <w:tc>
          <w:tcPr>
            <w:tcW w:w="8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jc w:val="center"/>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台</w:t>
            </w:r>
          </w:p>
        </w:tc>
      </w:tr>
      <w:tr>
        <w:tblPrEx>
          <w:tblCellMar>
            <w:top w:w="0" w:type="dxa"/>
            <w:left w:w="108" w:type="dxa"/>
            <w:bottom w:w="0" w:type="dxa"/>
            <w:right w:w="108" w:type="dxa"/>
          </w:tblCellMar>
        </w:tblPrEx>
        <w:trPr>
          <w:trHeight w:val="325"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22</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割灌机</w:t>
            </w:r>
          </w:p>
        </w:tc>
        <w:tc>
          <w:tcPr>
            <w:tcW w:w="62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该款割灌机，采用大背架，三个减震弹簧底座结构，底支撑部分采用三橡胶柱组合，二级减震结构，充分吸收机器运转过程中的振动，提高操作者操作时的舒适性。</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背架人性化布袋，水杯、套筒扳手工具等等随身物品可随机携带，方便周到。</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汽油机：1E48F</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排量（cm3）：63.3</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功率（kW/hp）：2/2.7</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净重（kg）：12.7</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油箱容积（L）：1.3</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二冲程汽油机</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jc w:val="center"/>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88</w:t>
            </w:r>
          </w:p>
        </w:tc>
        <w:tc>
          <w:tcPr>
            <w:tcW w:w="8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jc w:val="center"/>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台</w:t>
            </w:r>
          </w:p>
        </w:tc>
      </w:tr>
      <w:tr>
        <w:tblPrEx>
          <w:tblCellMar>
            <w:top w:w="0" w:type="dxa"/>
            <w:left w:w="108" w:type="dxa"/>
            <w:bottom w:w="0" w:type="dxa"/>
            <w:right w:w="108" w:type="dxa"/>
          </w:tblCellMar>
        </w:tblPrEx>
        <w:trPr>
          <w:trHeight w:val="325"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23</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森林灭火组合工具</w:t>
            </w:r>
          </w:p>
        </w:tc>
        <w:tc>
          <w:tcPr>
            <w:tcW w:w="62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森林灭火组合工具、多功能森林组合工具包</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1、工具杆采用新型设计，工具包采用涤纶涂层织物，防水性强；</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2、工具由：锯、斧头、锹、扑火拍、五齿耙、连接杆、工具背包等共8件组成；</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3、组合锹：锹板厚度2mm，锹面有效尺寸（长*宽）160mm*210mm。</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4、组合耙：耙材质 65#锰钢；</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5、打火拍：拍头长度540mm，拍头宽度274mm，采用长度≥480mm的弹簧钢片加工而成，齿片数量≥23根；</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6、手锯：材质 65#锰钢，厚度1.0mm；</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7、工具杆：组合杆结构可折叠，可与锯、斧头、锹、扑火拍、五齿耙任意连用；</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8、斧头：材质 65#锰钢，刃宽105mm，硬度HRC55；</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9、：总长度510mm，月牙形，宽处150mm；硬度HRC50；</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10、工具包：承重加载20kg，无破损，工具包采用涤纶涂层织物，防水性强；</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11、可背负携带，多种用途</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jc w:val="center"/>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85</w:t>
            </w:r>
          </w:p>
        </w:tc>
        <w:tc>
          <w:tcPr>
            <w:tcW w:w="8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jc w:val="center"/>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套</w:t>
            </w:r>
          </w:p>
        </w:tc>
      </w:tr>
      <w:tr>
        <w:tblPrEx>
          <w:tblCellMar>
            <w:top w:w="0" w:type="dxa"/>
            <w:left w:w="108" w:type="dxa"/>
            <w:bottom w:w="0" w:type="dxa"/>
            <w:right w:w="108" w:type="dxa"/>
          </w:tblCellMar>
        </w:tblPrEx>
        <w:trPr>
          <w:trHeight w:val="325"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24</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接力水泵</w:t>
            </w:r>
          </w:p>
        </w:tc>
        <w:tc>
          <w:tcPr>
            <w:tcW w:w="62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 xml:space="preserve">型式 风冷，四冲程，双缸 </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功率 26.1kW</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启动方式 电启动</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流量 80T/h</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额定压力 ≥ 0.82Mpa</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扬程 90m</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引水方式 旋片真空泵</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吸深 7M</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进水口径 80mm</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出水口径 65mm*2</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净重 98KG</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外形尺寸 680×650×780mm</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 xml:space="preserve">需要包含：进水管 出水管 水枪头 接扣 </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jc w:val="center"/>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39</w:t>
            </w:r>
          </w:p>
        </w:tc>
        <w:tc>
          <w:tcPr>
            <w:tcW w:w="8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jc w:val="center"/>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台</w:t>
            </w:r>
          </w:p>
        </w:tc>
      </w:tr>
      <w:tr>
        <w:tblPrEx>
          <w:tblCellMar>
            <w:top w:w="0" w:type="dxa"/>
            <w:left w:w="108" w:type="dxa"/>
            <w:bottom w:w="0" w:type="dxa"/>
            <w:right w:w="108" w:type="dxa"/>
          </w:tblCellMar>
        </w:tblPrEx>
        <w:trPr>
          <w:trHeight w:val="325"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25</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单兵背负式水枪</w:t>
            </w:r>
          </w:p>
        </w:tc>
        <w:tc>
          <w:tcPr>
            <w:tcW w:w="62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颜色：丛林迷彩 由背桶、背帯、连接水管、电动枪体组成。</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 xml:space="preserve">电动枪体参数：容量:15000毫安  </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 xml:space="preserve">电池：带三元动力电池（不掉电容量）    </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电力用时间：1.5-2小时</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出水方式：3种出水（0°直射,25°扇形，40°雾化） </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水桶采用出水防漏设计，材质抗老化，柔韧性能好</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容量≥20L；</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 xml:space="preserve">  连接管：双向快速卡扣式连接，导管为橡胶纤维塑筋增强管，弯曲180度无死摺，可连续弯曲100000次以上，枪体电池采用48V电机超长用时，电动枪头采用不锈钢材质可连续供水，水枪连接管材质橡胶纤维塑筋增强管，空载摩擦力N：2.0；</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 xml:space="preserve">  垫背：后背2处珍珠棉垫背，减轻灭火人员的负重， （迷彩外包和背桶可分离拆卸）</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最佳有效灭火距离2-10米。</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最远射程：14米左右 。</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背桶尺寸：约15x38x41cm。</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皮管长103cm</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背桶存水量：约20kg</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jc w:val="center"/>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44</w:t>
            </w:r>
          </w:p>
        </w:tc>
        <w:tc>
          <w:tcPr>
            <w:tcW w:w="8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jc w:val="center"/>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台</w:t>
            </w:r>
          </w:p>
        </w:tc>
      </w:tr>
      <w:tr>
        <w:tblPrEx>
          <w:tblCellMar>
            <w:top w:w="0" w:type="dxa"/>
            <w:left w:w="108" w:type="dxa"/>
            <w:bottom w:w="0" w:type="dxa"/>
            <w:right w:w="108" w:type="dxa"/>
          </w:tblCellMar>
        </w:tblPrEx>
        <w:trPr>
          <w:trHeight w:val="325"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26</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高压细水雾灭火器</w:t>
            </w:r>
          </w:p>
        </w:tc>
        <w:tc>
          <w:tcPr>
            <w:tcW w:w="62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500" w:lineRule="exact"/>
              <w:ind w:left="0" w:right="0" w:firstLine="480" w:firstLineChars="200"/>
              <w:rPr>
                <w:rFonts w:hint="default" w:ascii="宋体" w:hAnsi="宋体" w:eastAsia="宋体" w:cs="宋体"/>
                <w:color w:val="000000"/>
                <w:kern w:val="0"/>
                <w:sz w:val="24"/>
                <w:szCs w:val="24"/>
              </w:rPr>
            </w:pPr>
            <w:r>
              <w:rPr>
                <w:rFonts w:hint="eastAsia" w:ascii="宋体" w:hAnsi="宋体" w:eastAsia="宋体" w:cs="宋体"/>
                <w:color w:val="000000"/>
                <w:kern w:val="0"/>
                <w:sz w:val="24"/>
                <w:szCs w:val="24"/>
                <w:lang w:bidi="ar"/>
              </w:rPr>
              <w:t>高压细水雾灭火机详细参数：</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500" w:lineRule="exact"/>
              <w:ind w:left="0" w:right="0" w:firstLine="480" w:firstLineChars="200"/>
              <w:rPr>
                <w:rFonts w:hint="default" w:ascii="宋体" w:hAnsi="宋体" w:eastAsia="宋体" w:cs="宋体"/>
                <w:color w:val="000000"/>
                <w:kern w:val="0"/>
                <w:sz w:val="24"/>
                <w:szCs w:val="24"/>
              </w:rPr>
            </w:pPr>
            <w:r>
              <w:rPr>
                <w:rFonts w:hint="eastAsia" w:ascii="宋体" w:hAnsi="宋体" w:eastAsia="宋体" w:cs="宋体"/>
                <w:color w:val="000000"/>
                <w:kern w:val="0"/>
                <w:sz w:val="24"/>
                <w:szCs w:val="24"/>
                <w:lang w:bidi="ar"/>
              </w:rPr>
              <w:t>1:整机重量≤13千克。  </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500" w:lineRule="exact"/>
              <w:ind w:left="0" w:right="0" w:firstLine="480" w:firstLineChars="200"/>
              <w:rPr>
                <w:rFonts w:hint="default" w:ascii="宋体" w:hAnsi="宋体" w:eastAsia="宋体" w:cs="宋体"/>
                <w:color w:val="000000"/>
                <w:kern w:val="0"/>
                <w:sz w:val="24"/>
                <w:szCs w:val="24"/>
              </w:rPr>
            </w:pPr>
            <w:r>
              <w:rPr>
                <w:rFonts w:hint="eastAsia" w:ascii="宋体" w:hAnsi="宋体" w:eastAsia="宋体" w:cs="宋体"/>
                <w:color w:val="000000"/>
                <w:kern w:val="0"/>
                <w:sz w:val="24"/>
                <w:szCs w:val="24"/>
                <w:lang w:bidi="ar"/>
              </w:rPr>
              <w:t>2：水柱射程≥10米。  </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500" w:lineRule="exact"/>
              <w:ind w:left="0" w:right="0" w:firstLine="480" w:firstLineChars="200"/>
              <w:rPr>
                <w:rFonts w:hint="default" w:ascii="宋体" w:hAnsi="宋体" w:eastAsia="宋体" w:cs="宋体"/>
                <w:color w:val="000000"/>
                <w:kern w:val="0"/>
                <w:sz w:val="24"/>
                <w:szCs w:val="24"/>
              </w:rPr>
            </w:pPr>
            <w:r>
              <w:rPr>
                <w:rFonts w:hint="eastAsia" w:ascii="宋体" w:hAnsi="宋体" w:eastAsia="宋体" w:cs="宋体"/>
                <w:color w:val="000000"/>
                <w:kern w:val="0"/>
                <w:sz w:val="24"/>
                <w:szCs w:val="24"/>
                <w:lang w:bidi="ar"/>
              </w:rPr>
              <w:t>3：喷雾射程≥8米。  </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500" w:lineRule="exact"/>
              <w:ind w:left="0" w:right="0" w:firstLine="480" w:firstLineChars="200"/>
              <w:rPr>
                <w:rFonts w:hint="default" w:ascii="宋体" w:hAnsi="宋体" w:eastAsia="宋体" w:cs="宋体"/>
                <w:color w:val="000000"/>
                <w:kern w:val="0"/>
                <w:sz w:val="24"/>
                <w:szCs w:val="24"/>
              </w:rPr>
            </w:pPr>
            <w:r>
              <w:rPr>
                <w:rFonts w:hint="eastAsia" w:ascii="宋体" w:hAnsi="宋体" w:eastAsia="宋体" w:cs="宋体"/>
                <w:color w:val="000000"/>
                <w:kern w:val="0"/>
                <w:sz w:val="24"/>
                <w:szCs w:val="24"/>
                <w:lang w:bidi="ar"/>
              </w:rPr>
              <w:t>4：发动机可选配国产、进口两种配置。</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500" w:lineRule="exact"/>
              <w:ind w:left="0" w:right="0" w:firstLine="480" w:firstLineChars="200"/>
              <w:rPr>
                <w:rFonts w:hint="default" w:ascii="宋体" w:hAnsi="宋体" w:eastAsia="宋体" w:cs="宋体"/>
                <w:color w:val="000000"/>
                <w:kern w:val="0"/>
                <w:sz w:val="24"/>
                <w:szCs w:val="24"/>
              </w:rPr>
            </w:pPr>
            <w:r>
              <w:rPr>
                <w:rFonts w:hint="eastAsia" w:ascii="宋体" w:hAnsi="宋体" w:eastAsia="宋体" w:cs="宋体"/>
                <w:color w:val="000000"/>
                <w:kern w:val="0"/>
                <w:sz w:val="24"/>
                <w:szCs w:val="24"/>
                <w:lang w:bidi="ar"/>
              </w:rPr>
              <w:t>5：四冲程汽油发动机。</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500" w:lineRule="exact"/>
              <w:ind w:left="0" w:right="0" w:firstLine="480" w:firstLineChars="200"/>
              <w:rPr>
                <w:rFonts w:hint="default" w:ascii="宋体" w:hAnsi="宋体" w:eastAsia="宋体" w:cs="宋体"/>
                <w:color w:val="000000"/>
                <w:kern w:val="0"/>
                <w:sz w:val="24"/>
                <w:szCs w:val="24"/>
              </w:rPr>
            </w:pPr>
            <w:r>
              <w:rPr>
                <w:rFonts w:hint="eastAsia" w:ascii="宋体" w:hAnsi="宋体" w:eastAsia="宋体" w:cs="宋体"/>
                <w:color w:val="000000"/>
                <w:kern w:val="0"/>
                <w:sz w:val="24"/>
                <w:szCs w:val="24"/>
                <w:lang w:bidi="ar"/>
              </w:rPr>
              <w:t>6：水带连接使用快捷连接装置。  </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500" w:lineRule="exact"/>
              <w:ind w:left="0" w:right="0" w:firstLine="480" w:firstLineChars="200"/>
              <w:rPr>
                <w:rFonts w:hint="default" w:ascii="宋体" w:hAnsi="宋体" w:eastAsia="宋体" w:cs="宋体"/>
                <w:color w:val="000000"/>
                <w:kern w:val="0"/>
                <w:sz w:val="24"/>
                <w:szCs w:val="24"/>
              </w:rPr>
            </w:pPr>
            <w:r>
              <w:rPr>
                <w:rFonts w:hint="eastAsia" w:ascii="宋体" w:hAnsi="宋体" w:eastAsia="宋体" w:cs="宋体"/>
                <w:color w:val="000000"/>
                <w:kern w:val="0"/>
                <w:sz w:val="24"/>
                <w:szCs w:val="24"/>
                <w:lang w:bidi="ar"/>
              </w:rPr>
              <w:t>7：三节加长不锈钢伸缩管+高压软管总长2.2米左右 旋转可调枪头雾状 柱状。</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500" w:lineRule="exact"/>
              <w:ind w:left="0" w:right="0" w:firstLine="480" w:firstLineChars="200"/>
              <w:rPr>
                <w:rFonts w:hint="default" w:ascii="宋体" w:hAnsi="宋体" w:eastAsia="宋体" w:cs="宋体"/>
                <w:color w:val="000000"/>
                <w:kern w:val="0"/>
                <w:sz w:val="24"/>
                <w:szCs w:val="24"/>
              </w:rPr>
            </w:pPr>
            <w:r>
              <w:rPr>
                <w:rFonts w:hint="eastAsia" w:ascii="宋体" w:hAnsi="宋体" w:eastAsia="宋体" w:cs="宋体"/>
                <w:color w:val="000000"/>
                <w:kern w:val="0"/>
                <w:sz w:val="24"/>
                <w:szCs w:val="24"/>
                <w:lang w:bidi="ar"/>
              </w:rPr>
              <w:t>8:水袋接口、水枪接口采用快插接头。</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500" w:lineRule="exact"/>
              <w:ind w:left="0" w:right="0" w:firstLine="480" w:firstLineChars="200"/>
              <w:rPr>
                <w:rFonts w:hint="default" w:ascii="宋体" w:hAnsi="宋体" w:eastAsia="宋体" w:cs="宋体"/>
                <w:color w:val="000000"/>
                <w:kern w:val="0"/>
                <w:sz w:val="24"/>
                <w:szCs w:val="24"/>
              </w:rPr>
            </w:pPr>
            <w:r>
              <w:rPr>
                <w:rFonts w:hint="eastAsia" w:ascii="宋体" w:hAnsi="宋体" w:eastAsia="宋体" w:cs="宋体"/>
                <w:color w:val="000000"/>
                <w:kern w:val="0"/>
                <w:sz w:val="24"/>
                <w:szCs w:val="24"/>
                <w:lang w:bidi="ar"/>
              </w:rPr>
              <w:t>9:铜体连接。</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500" w:lineRule="exact"/>
              <w:ind w:left="0" w:right="0" w:firstLine="480" w:firstLineChars="200"/>
              <w:rPr>
                <w:rFonts w:hint="default" w:ascii="宋体" w:hAnsi="宋体" w:eastAsia="宋体" w:cs="宋体"/>
                <w:color w:val="000000"/>
                <w:kern w:val="0"/>
                <w:sz w:val="24"/>
                <w:szCs w:val="24"/>
              </w:rPr>
            </w:pPr>
            <w:r>
              <w:rPr>
                <w:rFonts w:hint="eastAsia" w:ascii="宋体" w:hAnsi="宋体" w:eastAsia="宋体" w:cs="宋体"/>
                <w:color w:val="000000"/>
                <w:kern w:val="0"/>
                <w:sz w:val="24"/>
                <w:szCs w:val="24"/>
                <w:lang w:bidi="ar"/>
              </w:rPr>
              <w:t>10:发动机功率1.35hp 1.0KW/7000rpm。燃油箱0.63升。润滑油箱0.11升 。手拉反冲启动。水袋容积20L/22L。</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500" w:lineRule="exact"/>
              <w:ind w:left="0" w:right="0" w:firstLine="480" w:firstLineChars="200"/>
              <w:rPr>
                <w:rFonts w:hint="default" w:ascii="宋体" w:hAnsi="宋体" w:eastAsia="宋体" w:cs="宋体"/>
                <w:color w:val="000000"/>
                <w:kern w:val="0"/>
                <w:sz w:val="24"/>
                <w:szCs w:val="24"/>
              </w:rPr>
            </w:pPr>
            <w:r>
              <w:rPr>
                <w:rFonts w:hint="eastAsia" w:ascii="宋体" w:hAnsi="宋体" w:eastAsia="宋体" w:cs="宋体"/>
                <w:color w:val="000000"/>
                <w:kern w:val="0"/>
                <w:sz w:val="24"/>
                <w:szCs w:val="24"/>
                <w:lang w:bidi="ar"/>
              </w:rPr>
              <w:t>11:发动机与泵直接连接无需减速机 动力更强。</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500" w:lineRule="exact"/>
              <w:ind w:left="0" w:right="0" w:firstLine="480" w:firstLineChars="200"/>
              <w:rPr>
                <w:rFonts w:hint="default" w:ascii="宋体" w:hAnsi="宋体" w:eastAsia="宋体" w:cs="宋体"/>
                <w:color w:val="000000"/>
                <w:kern w:val="0"/>
                <w:sz w:val="24"/>
                <w:szCs w:val="24"/>
              </w:rPr>
            </w:pPr>
            <w:r>
              <w:rPr>
                <w:rFonts w:hint="eastAsia" w:ascii="宋体" w:hAnsi="宋体" w:eastAsia="宋体" w:cs="宋体"/>
                <w:color w:val="000000"/>
                <w:kern w:val="0"/>
                <w:sz w:val="24"/>
                <w:szCs w:val="24"/>
                <w:lang w:bidi="ar"/>
              </w:rPr>
              <w:t>12:水袋和 机体可以分开背负 。</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500" w:lineRule="exact"/>
              <w:ind w:left="0" w:right="0"/>
              <w:jc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44</w:t>
            </w:r>
          </w:p>
        </w:tc>
        <w:tc>
          <w:tcPr>
            <w:tcW w:w="8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500" w:lineRule="exact"/>
              <w:ind w:left="0" w:right="0"/>
              <w:jc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台</w:t>
            </w:r>
          </w:p>
        </w:tc>
      </w:tr>
      <w:tr>
        <w:tblPrEx>
          <w:tblCellMar>
            <w:top w:w="0" w:type="dxa"/>
            <w:left w:w="108" w:type="dxa"/>
            <w:bottom w:w="0" w:type="dxa"/>
            <w:right w:w="108" w:type="dxa"/>
          </w:tblCellMar>
        </w:tblPrEx>
        <w:trPr>
          <w:trHeight w:val="325"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27</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500" w:lineRule="exact"/>
              <w:ind w:left="0" w:right="0"/>
              <w:jc w:val="left"/>
              <w:rPr>
                <w:rFonts w:hint="default" w:ascii="宋体" w:hAnsi="宋体" w:eastAsia="宋体" w:cs="宋体"/>
                <w:color w:val="000000"/>
                <w:kern w:val="0"/>
                <w:sz w:val="24"/>
                <w:szCs w:val="24"/>
              </w:rPr>
            </w:pPr>
            <w:r>
              <w:rPr>
                <w:rFonts w:hint="eastAsia" w:ascii="宋体" w:hAnsi="宋体" w:eastAsia="宋体" w:cs="宋体"/>
                <w:color w:val="000000"/>
                <w:kern w:val="0"/>
                <w:sz w:val="24"/>
                <w:szCs w:val="24"/>
                <w:lang w:bidi="ar"/>
              </w:rPr>
              <w:t>灭火弹</w:t>
            </w:r>
          </w:p>
        </w:tc>
        <w:tc>
          <w:tcPr>
            <w:tcW w:w="62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500" w:lineRule="exact"/>
              <w:ind w:left="0" w:right="0" w:firstLine="480" w:firstLineChars="200"/>
              <w:rPr>
                <w:rFonts w:hint="default" w:ascii="宋体" w:hAnsi="宋体" w:eastAsia="宋体" w:cs="宋体"/>
                <w:color w:val="000000"/>
                <w:kern w:val="0"/>
                <w:sz w:val="24"/>
                <w:szCs w:val="24"/>
              </w:rPr>
            </w:pPr>
            <w:r>
              <w:rPr>
                <w:rFonts w:hint="eastAsia" w:ascii="宋体" w:hAnsi="宋体" w:eastAsia="宋体" w:cs="宋体"/>
                <w:color w:val="000000"/>
                <w:kern w:val="0"/>
                <w:sz w:val="24"/>
                <w:szCs w:val="24"/>
                <w:lang w:bidi="ar"/>
              </w:rPr>
              <w:t>两端分别装有两个引燃头，燃烧速度快。</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500" w:lineRule="exact"/>
              <w:ind w:left="0" w:right="0" w:firstLine="480" w:firstLineChars="200"/>
              <w:rPr>
                <w:rFonts w:hint="default" w:ascii="宋体" w:hAnsi="宋体" w:eastAsia="宋体" w:cs="宋体"/>
                <w:color w:val="000000"/>
                <w:kern w:val="0"/>
                <w:sz w:val="24"/>
                <w:szCs w:val="24"/>
              </w:rPr>
            </w:pPr>
            <w:r>
              <w:rPr>
                <w:rFonts w:hint="eastAsia" w:ascii="宋体" w:hAnsi="宋体" w:eastAsia="宋体" w:cs="宋体"/>
                <w:color w:val="000000"/>
                <w:kern w:val="0"/>
                <w:sz w:val="24"/>
                <w:szCs w:val="24"/>
                <w:lang w:bidi="ar"/>
              </w:rPr>
              <w:t>装有手柄、手投，悬挂均可。</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500" w:lineRule="exact"/>
              <w:ind w:left="0" w:right="0" w:firstLine="480" w:firstLineChars="200"/>
              <w:rPr>
                <w:rFonts w:hint="default" w:ascii="宋体" w:hAnsi="宋体" w:eastAsia="宋体" w:cs="宋体"/>
                <w:color w:val="000000"/>
                <w:kern w:val="0"/>
                <w:sz w:val="24"/>
                <w:szCs w:val="24"/>
              </w:rPr>
            </w:pPr>
            <w:r>
              <w:rPr>
                <w:rFonts w:hint="eastAsia" w:ascii="宋体" w:hAnsi="宋体" w:eastAsia="宋体" w:cs="宋体"/>
                <w:color w:val="000000"/>
                <w:kern w:val="0"/>
                <w:sz w:val="24"/>
                <w:szCs w:val="24"/>
                <w:lang w:bidi="ar"/>
              </w:rPr>
              <w:t>型号：外形尺寸（中92×130）+2</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500" w:lineRule="exact"/>
              <w:ind w:left="0" w:right="0" w:firstLine="480" w:firstLineChars="200"/>
              <w:rPr>
                <w:rFonts w:hint="default" w:ascii="宋体" w:hAnsi="宋体" w:eastAsia="宋体" w:cs="宋体"/>
                <w:color w:val="000000"/>
                <w:kern w:val="0"/>
                <w:sz w:val="24"/>
                <w:szCs w:val="24"/>
              </w:rPr>
            </w:pPr>
            <w:r>
              <w:rPr>
                <w:rFonts w:hint="eastAsia" w:ascii="宋体" w:hAnsi="宋体" w:eastAsia="宋体" w:cs="宋体"/>
                <w:color w:val="000000"/>
                <w:kern w:val="0"/>
                <w:sz w:val="24"/>
                <w:szCs w:val="24"/>
                <w:lang w:bidi="ar"/>
              </w:rPr>
              <w:t>灭火弹计量（kg）1.0±0.05</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500" w:lineRule="exact"/>
              <w:ind w:left="0" w:right="0" w:firstLine="480" w:firstLineChars="200"/>
              <w:rPr>
                <w:rFonts w:hint="default" w:ascii="宋体" w:hAnsi="宋体" w:eastAsia="宋体" w:cs="宋体"/>
                <w:color w:val="000000"/>
                <w:kern w:val="0"/>
                <w:sz w:val="24"/>
                <w:szCs w:val="24"/>
              </w:rPr>
            </w:pPr>
            <w:r>
              <w:rPr>
                <w:rFonts w:hint="eastAsia" w:ascii="宋体" w:hAnsi="宋体" w:eastAsia="宋体" w:cs="宋体"/>
                <w:color w:val="000000"/>
                <w:kern w:val="0"/>
                <w:sz w:val="24"/>
                <w:szCs w:val="24"/>
                <w:lang w:bidi="ar"/>
              </w:rPr>
              <w:t>产品规格（kg）1.0/1.5</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500" w:lineRule="exact"/>
              <w:ind w:left="0" w:right="0" w:firstLine="480" w:firstLineChars="200"/>
              <w:rPr>
                <w:rFonts w:hint="default" w:ascii="宋体" w:hAnsi="宋体" w:eastAsia="宋体" w:cs="宋体"/>
                <w:color w:val="000000"/>
                <w:kern w:val="0"/>
                <w:sz w:val="24"/>
                <w:szCs w:val="24"/>
              </w:rPr>
            </w:pPr>
            <w:r>
              <w:rPr>
                <w:rFonts w:hint="eastAsia" w:ascii="宋体" w:hAnsi="宋体" w:eastAsia="宋体" w:cs="宋体"/>
                <w:color w:val="000000"/>
                <w:kern w:val="0"/>
                <w:sz w:val="24"/>
                <w:szCs w:val="24"/>
                <w:lang w:bidi="ar"/>
              </w:rPr>
              <w:t>灭火面积：（㎡）3、4.5</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500" w:lineRule="exact"/>
              <w:ind w:left="0" w:right="0"/>
              <w:jc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44</w:t>
            </w:r>
          </w:p>
        </w:tc>
        <w:tc>
          <w:tcPr>
            <w:tcW w:w="8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500" w:lineRule="exact"/>
              <w:ind w:left="0" w:right="0"/>
              <w:jc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个</w:t>
            </w:r>
          </w:p>
        </w:tc>
      </w:tr>
      <w:tr>
        <w:tblPrEx>
          <w:tblCellMar>
            <w:top w:w="0" w:type="dxa"/>
            <w:left w:w="108" w:type="dxa"/>
            <w:bottom w:w="0" w:type="dxa"/>
            <w:right w:w="108" w:type="dxa"/>
          </w:tblCellMar>
        </w:tblPrEx>
        <w:trPr>
          <w:trHeight w:val="325"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28</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电话机</w:t>
            </w:r>
          </w:p>
        </w:tc>
        <w:tc>
          <w:tcPr>
            <w:tcW w:w="62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主叫号码显示电话机(统型)是一款以简单实用为主的电话机，属常用有线通信终端。主要用于装备 1事专网机关办公场所、家属院或者地方务专网。适用于各种制式的程控、自动、共电电话交换机，也适用于对安全保密要求较高的办公场合。该系列产品能兼容多种来电显示制式、具备去电、来电查看、可存贮记忆、智能背光，VIP 功能防删除等功能。具备话音传输质量好、可靠性高、防雷击、低电磁泄露等特点。</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1.兼容 FSK/DTMF 来电显示标准</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2.去电: 最大 16 组8 位，内部进行动态存储，最长可存储 32 位</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3.来电: 最大 52 组8 位，与单键、自动 P 进行全动态存储</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4.三组 32位直接存储记忆</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5.智能背光;</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6.来电可设置为 VIP 功能，防删除，来电响特殊铃声，</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7.24 首风格多样的铃声，铃声大小可选</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8.5 位区域码，1 位出局码，来电过滤</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9.32位预拨号以及改错</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10.来电、去电回拨:</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11.自动追拨功能</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12.免提音量大小调节</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13.音乐保持功能</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14.来电/去电号码可转存至直接存贮记忆</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15.日期、时钟和通话计时功能:</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16.LCD 亮度调节</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17.32 位最后号码重拨:</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18.发号暂停功能;</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19.闪断功能;</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20.电源: 3 节5号干电池</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21.外形尺寸: 212mmx190mmx88mm;</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22.重量:约 1100g.</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jc w:val="center"/>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10</w:t>
            </w:r>
          </w:p>
        </w:tc>
        <w:tc>
          <w:tcPr>
            <w:tcW w:w="8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jc w:val="center"/>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台</w:t>
            </w:r>
          </w:p>
        </w:tc>
      </w:tr>
      <w:tr>
        <w:tblPrEx>
          <w:tblCellMar>
            <w:top w:w="0" w:type="dxa"/>
            <w:left w:w="108" w:type="dxa"/>
            <w:bottom w:w="0" w:type="dxa"/>
            <w:right w:w="108" w:type="dxa"/>
          </w:tblCellMar>
        </w:tblPrEx>
        <w:trPr>
          <w:trHeight w:val="335"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29</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乡镇图</w:t>
            </w:r>
          </w:p>
        </w:tc>
        <w:tc>
          <w:tcPr>
            <w:tcW w:w="62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按指定区域绘制，按绘图比例缩放。</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firstLine="480" w:firstLineChars="200"/>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包括：河流、湖泊、高速、国道、省道、县道、乡道及一般道路，行政区划，市、乡（镇、街道、办事处）、行政村、主要自然村。</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jc w:val="center"/>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21</w:t>
            </w:r>
          </w:p>
        </w:tc>
        <w:tc>
          <w:tcPr>
            <w:tcW w:w="8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00" w:lineRule="exact"/>
              <w:ind w:left="0" w:right="0"/>
              <w:jc w:val="center"/>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副</w:t>
            </w:r>
          </w:p>
        </w:tc>
      </w:tr>
    </w:tbl>
    <w:p>
      <w:pPr>
        <w:bidi w:val="0"/>
        <w:ind w:firstLine="210" w:firstLineChars="100"/>
        <w:rPr>
          <w:rFonts w:hint="eastAsia" w:ascii="宋体" w:hAnsi="宋体" w:eastAsia="宋体" w:cs="宋体"/>
          <w:b/>
          <w:bCs/>
          <w:lang w:val="en-US" w:eastAsia="zh-CN"/>
        </w:rPr>
      </w:pPr>
    </w:p>
    <w:p>
      <w:pPr>
        <w:pStyle w:val="20"/>
        <w:rPr>
          <w:rFonts w:hint="eastAsia" w:ascii="宋体" w:hAnsi="宋体" w:eastAsia="宋体" w:cs="宋体"/>
          <w:b/>
          <w:bCs/>
          <w:lang w:val="en-US" w:eastAsia="zh-CN"/>
        </w:rPr>
      </w:pPr>
    </w:p>
    <w:p>
      <w:pPr>
        <w:pStyle w:val="20"/>
        <w:rPr>
          <w:rFonts w:hint="eastAsia" w:ascii="宋体" w:hAnsi="宋体" w:eastAsia="宋体" w:cs="宋体"/>
          <w:b/>
          <w:bCs/>
          <w:lang w:val="en-US" w:eastAsia="zh-CN"/>
        </w:rPr>
      </w:pPr>
    </w:p>
    <w:p>
      <w:pPr>
        <w:pStyle w:val="20"/>
        <w:rPr>
          <w:rFonts w:hint="eastAsia" w:ascii="宋体" w:hAnsi="宋体" w:eastAsia="宋体" w:cs="宋体"/>
          <w:b/>
          <w:bCs/>
          <w:lang w:val="en-US" w:eastAsia="zh-CN"/>
        </w:rPr>
      </w:pPr>
    </w:p>
    <w:p>
      <w:pPr>
        <w:pStyle w:val="21"/>
        <w:rPr>
          <w:rFonts w:hint="eastAsia" w:ascii="宋体" w:hAnsi="宋体" w:eastAsia="宋体" w:cs="宋体"/>
          <w:b/>
          <w:bCs/>
          <w:lang w:val="en-US" w:eastAsia="zh-CN"/>
        </w:rPr>
      </w:pPr>
    </w:p>
    <w:p>
      <w:pPr>
        <w:rPr>
          <w:rFonts w:hint="eastAsia" w:ascii="宋体" w:hAnsi="宋体" w:eastAsia="宋体" w:cs="宋体"/>
          <w:b/>
          <w:bCs/>
          <w:lang w:val="en-US" w:eastAsia="zh-CN"/>
        </w:rPr>
      </w:pPr>
    </w:p>
    <w:p>
      <w:pPr>
        <w:pStyle w:val="19"/>
        <w:rPr>
          <w:rFonts w:hint="eastAsia"/>
          <w:lang w:val="en-US" w:eastAsia="zh-CN"/>
        </w:rPr>
      </w:pPr>
    </w:p>
    <w:p>
      <w:pPr>
        <w:pStyle w:val="20"/>
        <w:rPr>
          <w:rFonts w:hint="eastAsia" w:ascii="宋体" w:hAnsi="宋体" w:eastAsia="宋体" w:cs="宋体"/>
          <w:b/>
          <w:bCs/>
          <w:lang w:val="en-US" w:eastAsia="zh-CN"/>
        </w:rPr>
      </w:pPr>
    </w:p>
    <w:p>
      <w:pPr>
        <w:pStyle w:val="20"/>
        <w:rPr>
          <w:rFonts w:hint="eastAsia" w:ascii="宋体" w:hAnsi="宋体" w:eastAsia="宋体" w:cs="宋体"/>
          <w:b/>
          <w:bCs/>
          <w:lang w:val="en-US" w:eastAsia="zh-CN"/>
        </w:rPr>
      </w:pPr>
    </w:p>
    <w:p>
      <w:pPr>
        <w:pStyle w:val="3"/>
        <w:jc w:val="center"/>
        <w:rPr>
          <w:rFonts w:hint="eastAsia" w:ascii="宋体" w:hAnsi="宋体" w:eastAsia="宋体" w:cs="宋体"/>
          <w:color w:val="auto"/>
          <w:sz w:val="40"/>
          <w:highlight w:val="none"/>
        </w:rPr>
      </w:pPr>
      <w:bookmarkStart w:id="56" w:name="_Toc22022"/>
      <w:r>
        <w:rPr>
          <w:rFonts w:hint="eastAsia" w:ascii="宋体" w:hAnsi="宋体" w:eastAsia="宋体" w:cs="宋体"/>
          <w:color w:val="auto"/>
          <w:sz w:val="40"/>
          <w:highlight w:val="none"/>
        </w:rPr>
        <w:t>第四章  合同条款及格式</w:t>
      </w:r>
      <w:bookmarkEnd w:id="56"/>
    </w:p>
    <w:p>
      <w:pPr>
        <w:pStyle w:val="21"/>
        <w:ind w:firstLine="522"/>
        <w:jc w:val="center"/>
        <w:rPr>
          <w:rFonts w:hint="eastAsia" w:ascii="宋体" w:hAnsi="宋体" w:eastAsia="宋体" w:cs="宋体"/>
          <w:b/>
          <w:color w:val="auto"/>
          <w:sz w:val="24"/>
          <w:szCs w:val="24"/>
          <w:highlight w:val="none"/>
        </w:rPr>
      </w:pPr>
      <w:bookmarkStart w:id="57" w:name="_Toc87235879"/>
      <w:bookmarkStart w:id="58" w:name="_Toc175480073"/>
      <w:bookmarkStart w:id="59" w:name="_Toc213387205"/>
      <w:r>
        <w:rPr>
          <w:rFonts w:hint="eastAsia" w:ascii="宋体" w:hAnsi="宋体" w:eastAsia="宋体" w:cs="宋体"/>
          <w:b/>
          <w:color w:val="auto"/>
          <w:sz w:val="24"/>
          <w:szCs w:val="24"/>
          <w:highlight w:val="none"/>
        </w:rPr>
        <w:t>货物采购合同</w:t>
      </w:r>
    </w:p>
    <w:p>
      <w:pPr>
        <w:pStyle w:val="21"/>
        <w:ind w:firstLine="522"/>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（参考格式，详细条款由招标人、中标人约定）</w:t>
      </w:r>
    </w:p>
    <w:p>
      <w:pPr>
        <w:pStyle w:val="21"/>
        <w:spacing w:line="300" w:lineRule="exact"/>
        <w:ind w:firstLine="52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甲方(需方):____________________</w:t>
      </w:r>
    </w:p>
    <w:p>
      <w:pPr>
        <w:pStyle w:val="21"/>
        <w:spacing w:line="300" w:lineRule="exact"/>
        <w:ind w:firstLine="52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乙方(供方):____________________</w:t>
      </w:r>
    </w:p>
    <w:p>
      <w:pPr>
        <w:pStyle w:val="21"/>
        <w:spacing w:line="300" w:lineRule="exact"/>
        <w:ind w:firstLine="52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经过双方友好协商,依据《中华人民共和国合同法》,双方同意签订以下合同条款,以便双方共同遵守,履行合同.</w:t>
      </w:r>
    </w:p>
    <w:p>
      <w:pPr>
        <w:pStyle w:val="21"/>
        <w:spacing w:line="300" w:lineRule="exact"/>
        <w:ind w:firstLine="52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一,产品清单及付款方式</w:t>
      </w:r>
    </w:p>
    <w:p>
      <w:pPr>
        <w:pStyle w:val="21"/>
        <w:spacing w:line="300" w:lineRule="exact"/>
        <w:ind w:firstLine="52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1.产品清单及价格(此表须与采购文件一致,可附后)</w:t>
      </w:r>
    </w:p>
    <w:p>
      <w:pPr>
        <w:pStyle w:val="21"/>
        <w:spacing w:line="300" w:lineRule="exact"/>
        <w:ind w:firstLine="52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设备名称 ____________________</w:t>
      </w:r>
    </w:p>
    <w:p>
      <w:pPr>
        <w:pStyle w:val="21"/>
        <w:spacing w:line="300" w:lineRule="exact"/>
        <w:ind w:firstLine="52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设备型号 ____________________</w:t>
      </w:r>
    </w:p>
    <w:p>
      <w:pPr>
        <w:pStyle w:val="21"/>
        <w:spacing w:line="300" w:lineRule="exact"/>
        <w:ind w:firstLine="52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数量 ____________________   </w:t>
      </w:r>
    </w:p>
    <w:p>
      <w:pPr>
        <w:pStyle w:val="21"/>
        <w:spacing w:line="300" w:lineRule="exact"/>
        <w:ind w:firstLine="52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单价 ____________________</w:t>
      </w:r>
    </w:p>
    <w:p>
      <w:pPr>
        <w:pStyle w:val="21"/>
        <w:spacing w:line="300" w:lineRule="exact"/>
        <w:ind w:firstLine="52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合计 ____________________</w:t>
      </w:r>
    </w:p>
    <w:p>
      <w:pPr>
        <w:pStyle w:val="21"/>
        <w:spacing w:line="300" w:lineRule="exact"/>
        <w:ind w:firstLine="52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中标总价格(大写)</w:t>
      </w:r>
    </w:p>
    <w:p>
      <w:pPr>
        <w:pStyle w:val="21"/>
        <w:spacing w:line="300" w:lineRule="exact"/>
        <w:ind w:firstLine="52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2.付款方式</w:t>
      </w:r>
    </w:p>
    <w:p>
      <w:pPr>
        <w:pStyle w:val="21"/>
        <w:spacing w:line="300" w:lineRule="exact"/>
        <w:ind w:firstLine="52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全部设备验收合格后的七日内,甲方向乙方支付合同总金额的</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元人民币整.若延期付款,甲方每天应向乙方缴纳延期额的千分之一作为罚金.</w:t>
      </w:r>
    </w:p>
    <w:p>
      <w:pPr>
        <w:pStyle w:val="21"/>
        <w:spacing w:line="300" w:lineRule="exact"/>
        <w:ind w:firstLine="52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二,交货时间及地点</w:t>
      </w:r>
    </w:p>
    <w:p>
      <w:pPr>
        <w:pStyle w:val="21"/>
        <w:spacing w:line="300" w:lineRule="exact"/>
        <w:ind w:firstLine="52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1.交货时间: (采购文件承诺时间).若延期交货,乙方每天应向甲方缴纳延期额的千分之一作为罚金.</w:t>
      </w:r>
    </w:p>
    <w:p>
      <w:pPr>
        <w:pStyle w:val="21"/>
        <w:spacing w:line="300" w:lineRule="exact"/>
        <w:ind w:firstLine="52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因不可抗拒力所导致的交货,服务及付款延迟等按照《中华人民共和国合同法》有关条文处理.</w:t>
      </w:r>
    </w:p>
    <w:p>
      <w:pPr>
        <w:pStyle w:val="21"/>
        <w:spacing w:line="300" w:lineRule="exact"/>
        <w:ind w:firstLine="52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2.交货地点:送货上门,安装调试.</w:t>
      </w:r>
    </w:p>
    <w:p>
      <w:pPr>
        <w:pStyle w:val="21"/>
        <w:spacing w:line="300" w:lineRule="exact"/>
        <w:ind w:firstLine="52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三,保修条款</w:t>
      </w:r>
    </w:p>
    <w:p>
      <w:pPr>
        <w:pStyle w:val="21"/>
        <w:spacing w:line="300" w:lineRule="exact"/>
        <w:ind w:firstLine="52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乙方针对本项目的售后服务保修措施详述(采购文件承诺内容).</w:t>
      </w:r>
    </w:p>
    <w:p>
      <w:pPr>
        <w:pStyle w:val="21"/>
        <w:spacing w:line="300" w:lineRule="exact"/>
        <w:ind w:firstLine="52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下例情况不属保修范围:</w:t>
      </w:r>
    </w:p>
    <w:p>
      <w:pPr>
        <w:pStyle w:val="21"/>
        <w:spacing w:line="300" w:lineRule="exact"/>
        <w:ind w:firstLine="52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1.不可抗力引起的损害;</w:t>
      </w:r>
    </w:p>
    <w:p>
      <w:pPr>
        <w:pStyle w:val="21"/>
        <w:spacing w:line="300" w:lineRule="exact"/>
        <w:ind w:firstLine="52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2.用户电力系统故障(如接地不良,电压超过规定范围等)引起的损坏;</w:t>
      </w:r>
    </w:p>
    <w:p>
      <w:pPr>
        <w:pStyle w:val="21"/>
        <w:spacing w:line="300" w:lineRule="exact"/>
        <w:ind w:firstLine="52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3.用户私自维修引起的损坏;</w:t>
      </w:r>
    </w:p>
    <w:p>
      <w:pPr>
        <w:pStyle w:val="21"/>
        <w:spacing w:line="300" w:lineRule="exact"/>
        <w:ind w:firstLine="52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4.用户自行造成的机械损坏(用户正常使用除外);</w:t>
      </w:r>
    </w:p>
    <w:p>
      <w:pPr>
        <w:pStyle w:val="21"/>
        <w:spacing w:line="300" w:lineRule="exact"/>
        <w:ind w:firstLine="52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5.其它不属于</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负担的保修事宜.</w:t>
      </w:r>
    </w:p>
    <w:p>
      <w:pPr>
        <w:pStyle w:val="21"/>
        <w:spacing w:line="300" w:lineRule="exact"/>
        <w:ind w:firstLine="52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四,相关权利及义务</w:t>
      </w:r>
    </w:p>
    <w:p>
      <w:pPr>
        <w:pStyle w:val="21"/>
        <w:spacing w:line="300" w:lineRule="exact"/>
        <w:ind w:firstLine="52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1.甲方收到乙方设备后,乙方应及时验收,验收时可对不符合合同要求及评标样本的设备或产品拒绝接收;</w:t>
      </w:r>
    </w:p>
    <w:p>
      <w:pPr>
        <w:pStyle w:val="21"/>
        <w:spacing w:line="300" w:lineRule="exact"/>
        <w:ind w:firstLine="52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2.甲方有权监督乙方对所交付设备进行安装调试,并督导完成;</w:t>
      </w:r>
    </w:p>
    <w:p>
      <w:pPr>
        <w:pStyle w:val="21"/>
        <w:spacing w:line="300" w:lineRule="exact"/>
        <w:ind w:firstLine="52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3.甲方有权监督乙方的售后服务,并对乙方的售后服务不符合合同要求时加以指出乃至追究合同责任;</w:t>
      </w:r>
    </w:p>
    <w:p>
      <w:pPr>
        <w:pStyle w:val="21"/>
        <w:spacing w:line="300" w:lineRule="exact"/>
        <w:ind w:firstLine="52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4.甲方在合同规定期限内履行付款责任;</w:t>
      </w:r>
    </w:p>
    <w:p>
      <w:pPr>
        <w:pStyle w:val="21"/>
        <w:spacing w:line="300" w:lineRule="exact"/>
        <w:ind w:firstLine="52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5.甲方在乙方进行安装调试时应给予协助和协调各方关系,乙方应及时提出需要甲方协助和协调的内容,以便保证合同的正常履行;</w:t>
      </w:r>
    </w:p>
    <w:p>
      <w:pPr>
        <w:pStyle w:val="21"/>
        <w:spacing w:line="300" w:lineRule="exact"/>
        <w:ind w:firstLine="52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6.甲方对乙方的技术及商业机密予以保密;</w:t>
      </w:r>
    </w:p>
    <w:p>
      <w:pPr>
        <w:pStyle w:val="21"/>
        <w:spacing w:line="300" w:lineRule="exact"/>
        <w:ind w:firstLine="52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7.乙方有权按照合同,要求甲方支付相应款项;</w:t>
      </w:r>
    </w:p>
    <w:p>
      <w:pPr>
        <w:pStyle w:val="21"/>
        <w:spacing w:line="300" w:lineRule="exact"/>
        <w:ind w:firstLine="52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8.乙方有权在实施安装调试时,提出合乎情理的协助要求;</w:t>
      </w:r>
    </w:p>
    <w:p>
      <w:pPr>
        <w:pStyle w:val="21"/>
        <w:spacing w:line="300" w:lineRule="exact"/>
        <w:ind w:firstLine="52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9.双方指定联系人,所有保修过程均应由双方经手人签字纪录.</w:t>
      </w:r>
    </w:p>
    <w:p>
      <w:pPr>
        <w:pStyle w:val="21"/>
        <w:spacing w:line="300" w:lineRule="exact"/>
        <w:ind w:firstLine="52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五,争议</w:t>
      </w:r>
    </w:p>
    <w:p>
      <w:pPr>
        <w:pStyle w:val="21"/>
        <w:spacing w:line="300" w:lineRule="exact"/>
        <w:ind w:firstLine="52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双方本着友好合作的态度,对合同履行过程中发生的违约行为进行及时的协商解决,如不能协商解决可通过法律诉讼解决.</w:t>
      </w:r>
    </w:p>
    <w:p>
      <w:pPr>
        <w:pStyle w:val="21"/>
        <w:spacing w:line="300" w:lineRule="exact"/>
        <w:ind w:firstLine="52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六,其它</w:t>
      </w:r>
    </w:p>
    <w:p>
      <w:pPr>
        <w:pStyle w:val="21"/>
        <w:spacing w:line="300" w:lineRule="exact"/>
        <w:ind w:firstLine="52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1.本合同一式四份,甲乙双方各执两份,;</w:t>
      </w:r>
    </w:p>
    <w:p>
      <w:pPr>
        <w:pStyle w:val="21"/>
        <w:spacing w:line="300" w:lineRule="exact"/>
        <w:ind w:firstLine="52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2.本合同自签订之日起生效;</w:t>
      </w:r>
    </w:p>
    <w:p>
      <w:pPr>
        <w:pStyle w:val="21"/>
        <w:spacing w:line="300" w:lineRule="exact"/>
        <w:ind w:firstLine="52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3.本项目的招标文件,采购文件,中标通知书是合同的附件,与合同具有同等的法律效力;</w:t>
      </w:r>
    </w:p>
    <w:p>
      <w:pPr>
        <w:pStyle w:val="21"/>
        <w:spacing w:line="300" w:lineRule="exact"/>
        <w:ind w:firstLine="52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4.其它未尽事宜,由双方友好协商解决,并参照《中华人民共和国合同法》有关条款执行.</w:t>
      </w:r>
    </w:p>
    <w:p>
      <w:pPr>
        <w:pStyle w:val="21"/>
        <w:spacing w:line="300" w:lineRule="exact"/>
        <w:ind w:firstLine="52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甲方(印章):                      乙方(印章):</w:t>
      </w:r>
    </w:p>
    <w:p>
      <w:pPr>
        <w:pStyle w:val="21"/>
        <w:spacing w:line="300" w:lineRule="exact"/>
        <w:ind w:firstLine="52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甲方代表(签字):                  乙方代表(签字):</w:t>
      </w:r>
    </w:p>
    <w:p>
      <w:pPr>
        <w:pStyle w:val="21"/>
        <w:spacing w:line="300" w:lineRule="exact"/>
        <w:ind w:firstLine="52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                               地址:</w:t>
      </w:r>
    </w:p>
    <w:p>
      <w:pPr>
        <w:pStyle w:val="21"/>
        <w:spacing w:line="300" w:lineRule="exact"/>
        <w:ind w:firstLine="52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电话:                               电话:</w:t>
      </w:r>
    </w:p>
    <w:p>
      <w:pPr>
        <w:pStyle w:val="21"/>
        <w:spacing w:line="300" w:lineRule="exact"/>
        <w:ind w:firstLine="52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日期:</w:t>
      </w:r>
    </w:p>
    <w:p>
      <w:pPr>
        <w:pStyle w:val="21"/>
        <w:spacing w:line="300" w:lineRule="exact"/>
        <w:ind w:firstLine="520"/>
        <w:rPr>
          <w:rFonts w:hint="eastAsia" w:ascii="宋体" w:hAnsi="宋体" w:eastAsia="宋体" w:cs="宋体"/>
          <w:color w:val="auto"/>
          <w:sz w:val="24"/>
          <w:szCs w:val="24"/>
          <w:highlight w:val="none"/>
        </w:rPr>
      </w:pPr>
    </w:p>
    <w:p>
      <w:pPr>
        <w:pStyle w:val="21"/>
        <w:ind w:firstLine="640"/>
        <w:rPr>
          <w:rFonts w:hint="eastAsia" w:ascii="宋体" w:hAnsi="宋体" w:eastAsia="宋体" w:cs="宋体"/>
          <w:color w:val="auto"/>
          <w:highlight w:val="none"/>
        </w:rPr>
        <w:sectPr>
          <w:footerReference r:id="rId3" w:type="default"/>
          <w:pgSz w:w="11907" w:h="16840"/>
          <w:pgMar w:top="1417" w:right="1417" w:bottom="1361" w:left="1417" w:header="737" w:footer="680" w:gutter="0"/>
          <w:pgBorders>
            <w:top w:val="none" w:sz="0" w:space="0"/>
            <w:left w:val="none" w:sz="0" w:space="0"/>
            <w:bottom w:val="none" w:sz="0" w:space="0"/>
            <w:right w:val="none" w:sz="0" w:space="0"/>
          </w:pgBorders>
          <w:pgNumType w:start="1"/>
          <w:cols w:space="720" w:num="1"/>
          <w:docGrid w:type="linesAndChars" w:linePitch="306" w:charSpace="-2"/>
        </w:sectPr>
      </w:pPr>
    </w:p>
    <w:bookmarkEnd w:id="57"/>
    <w:bookmarkEnd w:id="58"/>
    <w:bookmarkEnd w:id="59"/>
    <w:p>
      <w:pPr>
        <w:pStyle w:val="45"/>
        <w:rPr>
          <w:rFonts w:hint="eastAsia" w:ascii="宋体" w:hAnsi="宋体" w:eastAsia="宋体" w:cs="宋体"/>
          <w:color w:val="auto"/>
          <w:sz w:val="36"/>
          <w:highlight w:val="none"/>
        </w:rPr>
      </w:pPr>
      <w:bookmarkStart w:id="60" w:name="_Toc520389624"/>
      <w:bookmarkEnd w:id="60"/>
      <w:bookmarkStart w:id="61" w:name="_Toc10529"/>
      <w:r>
        <w:rPr>
          <w:rFonts w:hint="eastAsia" w:ascii="宋体" w:hAnsi="宋体" w:eastAsia="宋体" w:cs="宋体"/>
          <w:color w:val="auto"/>
          <w:sz w:val="36"/>
          <w:highlight w:val="none"/>
        </w:rPr>
        <w:t>第五章  投标文件格式</w:t>
      </w:r>
      <w:bookmarkEnd w:id="61"/>
    </w:p>
    <w:p>
      <w:pPr>
        <w:jc w:val="right"/>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pPr>
        <w:jc w:val="right"/>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pPr>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spacing w:line="360" w:lineRule="auto"/>
        <w:jc w:val="center"/>
        <w:rPr>
          <w:rFonts w:hint="eastAsia" w:ascii="宋体" w:hAnsi="宋体" w:eastAsia="宋体" w:cs="宋体"/>
          <w:b/>
          <w:bCs/>
          <w:color w:val="auto"/>
          <w:sz w:val="40"/>
          <w:szCs w:val="40"/>
          <w:highlight w:val="none"/>
        </w:rPr>
      </w:pPr>
      <w:bookmarkStart w:id="62" w:name="_Toc179632807"/>
      <w:bookmarkEnd w:id="62"/>
      <w:bookmarkStart w:id="63" w:name="_Toc152042576"/>
      <w:bookmarkEnd w:id="63"/>
      <w:bookmarkStart w:id="64" w:name="_Toc152045787"/>
      <w:bookmarkEnd w:id="64"/>
      <w:bookmarkStart w:id="65" w:name="_Toc144974856"/>
      <w:bookmarkEnd w:id="65"/>
      <w:r>
        <w:rPr>
          <w:rFonts w:hint="eastAsia" w:ascii="宋体" w:hAnsi="宋体" w:eastAsia="宋体" w:cs="宋体"/>
          <w:b/>
          <w:bCs/>
          <w:color w:val="auto"/>
          <w:sz w:val="28"/>
          <w:szCs w:val="21"/>
          <w:highlight w:val="none"/>
          <w:u w:val="single"/>
        </w:rPr>
        <w:t xml:space="preserve">           </w:t>
      </w:r>
      <w:r>
        <w:rPr>
          <w:rFonts w:hint="eastAsia" w:ascii="宋体" w:hAnsi="宋体" w:eastAsia="宋体" w:cs="宋体"/>
          <w:b/>
          <w:bCs/>
          <w:color w:val="auto"/>
          <w:sz w:val="28"/>
          <w:szCs w:val="21"/>
          <w:highlight w:val="none"/>
          <w:u w:val="single"/>
          <w:lang w:val="en-US" w:eastAsia="zh-CN"/>
        </w:rPr>
        <w:t xml:space="preserve">  </w:t>
      </w:r>
      <w:r>
        <w:rPr>
          <w:rFonts w:hint="eastAsia" w:ascii="宋体" w:hAnsi="宋体" w:eastAsia="宋体" w:cs="宋体"/>
          <w:b/>
          <w:bCs/>
          <w:color w:val="auto"/>
          <w:sz w:val="28"/>
          <w:szCs w:val="21"/>
          <w:highlight w:val="none"/>
          <w:u w:val="single"/>
        </w:rPr>
        <w:t xml:space="preserve">   （</w:t>
      </w:r>
      <w:r>
        <w:rPr>
          <w:rFonts w:hint="eastAsia" w:ascii="宋体" w:hAnsi="宋体" w:eastAsia="宋体" w:cs="宋体"/>
          <w:b/>
          <w:bCs/>
          <w:color w:val="auto"/>
          <w:sz w:val="28"/>
          <w:szCs w:val="21"/>
          <w:highlight w:val="none"/>
          <w:u w:val="single"/>
          <w:lang w:eastAsia="zh-CN"/>
        </w:rPr>
        <w:t>项目名称</w:t>
      </w:r>
      <w:r>
        <w:rPr>
          <w:rFonts w:hint="eastAsia" w:ascii="宋体" w:hAnsi="宋体" w:eastAsia="宋体" w:cs="宋体"/>
          <w:b/>
          <w:bCs/>
          <w:color w:val="auto"/>
          <w:sz w:val="28"/>
          <w:szCs w:val="21"/>
          <w:highlight w:val="none"/>
          <w:u w:val="single"/>
        </w:rPr>
        <w:t>）</w:t>
      </w:r>
    </w:p>
    <w:p>
      <w:pPr>
        <w:pStyle w:val="21"/>
        <w:ind w:firstLine="640"/>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pPr>
        <w:pStyle w:val="21"/>
        <w:ind w:firstLine="640"/>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pPr>
        <w:pStyle w:val="21"/>
        <w:ind w:firstLine="640"/>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pPr>
        <w:spacing w:line="360" w:lineRule="auto"/>
        <w:jc w:val="center"/>
        <w:rPr>
          <w:rFonts w:hint="eastAsia" w:ascii="宋体" w:hAnsi="宋体" w:eastAsia="宋体" w:cs="宋体"/>
          <w:b/>
          <w:color w:val="auto"/>
          <w:sz w:val="72"/>
          <w:szCs w:val="84"/>
          <w:highlight w:val="none"/>
        </w:rPr>
      </w:pPr>
      <w:r>
        <w:rPr>
          <w:rFonts w:hint="eastAsia" w:ascii="宋体" w:hAnsi="宋体" w:eastAsia="宋体" w:cs="宋体"/>
          <w:b/>
          <w:color w:val="auto"/>
          <w:sz w:val="72"/>
          <w:szCs w:val="84"/>
          <w:highlight w:val="none"/>
        </w:rPr>
        <w:t xml:space="preserve">投标文件 </w:t>
      </w:r>
    </w:p>
    <w:p>
      <w:pPr>
        <w:spacing w:line="360" w:lineRule="auto"/>
        <w:ind w:firstLine="2699" w:firstLineChars="896"/>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采购编号：</w:t>
      </w:r>
    </w:p>
    <w:p>
      <w:pPr>
        <w:spacing w:line="36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 xml:space="preserve"> </w:t>
      </w:r>
    </w:p>
    <w:p>
      <w:pPr>
        <w:spacing w:line="36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 xml:space="preserve"> </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adjustRightInd w:val="0"/>
        <w:snapToGrid w:val="0"/>
        <w:spacing w:line="360" w:lineRule="auto"/>
        <w:jc w:val="cente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电子签章</w:t>
      </w:r>
      <w:r>
        <w:rPr>
          <w:rFonts w:hint="eastAsia" w:ascii="宋体" w:hAnsi="宋体" w:eastAsia="宋体" w:cs="宋体"/>
          <w:color w:val="auto"/>
          <w:sz w:val="24"/>
          <w:szCs w:val="24"/>
          <w:highlight w:val="none"/>
        </w:rPr>
        <w:t>）</w:t>
      </w:r>
    </w:p>
    <w:p>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pPr>
        <w:adjustRightInd w:val="0"/>
        <w:snapToGrid w:val="0"/>
        <w:spacing w:line="360" w:lineRule="auto"/>
        <w:jc w:val="center"/>
        <w:rPr>
          <w:rFonts w:hint="eastAsia" w:ascii="宋体" w:hAnsi="宋体" w:eastAsia="宋体" w:cs="宋体"/>
          <w:color w:val="auto"/>
          <w:sz w:val="24"/>
          <w:szCs w:val="24"/>
          <w:highlight w:val="none"/>
          <w:u w:val="single"/>
        </w:rPr>
      </w:pPr>
    </w:p>
    <w:p>
      <w:pPr>
        <w:adjustRightInd w:val="0"/>
        <w:snapToGrid w:val="0"/>
        <w:spacing w:line="360" w:lineRule="auto"/>
        <w:jc w:val="cente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jc w:val="center"/>
        <w:rPr>
          <w:rFonts w:hint="eastAsia" w:ascii="宋体" w:hAnsi="宋体" w:eastAsia="宋体" w:cs="宋体"/>
          <w:b/>
          <w:color w:val="auto"/>
          <w:sz w:val="28"/>
          <w:highlight w:val="none"/>
        </w:rPr>
      </w:pPr>
      <w:r>
        <w:rPr>
          <w:rFonts w:hint="eastAsia" w:ascii="宋体" w:hAnsi="宋体" w:eastAsia="宋体" w:cs="宋体"/>
          <w:color w:val="auto"/>
          <w:highlight w:val="none"/>
        </w:rPr>
        <w:br w:type="page"/>
      </w:r>
      <w:bookmarkStart w:id="66" w:name="_Toc520389625"/>
      <w:bookmarkEnd w:id="66"/>
      <w:r>
        <w:rPr>
          <w:rFonts w:hint="eastAsia" w:ascii="宋体" w:hAnsi="宋体" w:eastAsia="宋体" w:cs="宋体"/>
          <w:b/>
          <w:color w:val="auto"/>
          <w:sz w:val="28"/>
          <w:highlight w:val="none"/>
        </w:rPr>
        <w:t>目    录</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一、投标函及投标函附录</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rPr>
        <w:t>、分项报价明细表</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三</w:t>
      </w:r>
      <w:r>
        <w:rPr>
          <w:rFonts w:hint="eastAsia" w:ascii="宋体" w:hAnsi="宋体" w:eastAsia="宋体" w:cs="宋体"/>
          <w:color w:val="auto"/>
          <w:sz w:val="24"/>
          <w:szCs w:val="24"/>
          <w:highlight w:val="none"/>
        </w:rPr>
        <w:t>、法定代表人身份证明</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四</w:t>
      </w:r>
      <w:r>
        <w:rPr>
          <w:rFonts w:hint="eastAsia" w:ascii="宋体" w:hAnsi="宋体" w:eastAsia="宋体" w:cs="宋体"/>
          <w:color w:val="auto"/>
          <w:sz w:val="24"/>
          <w:szCs w:val="24"/>
          <w:highlight w:val="none"/>
        </w:rPr>
        <w:t>、授权委托书</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五</w:t>
      </w:r>
      <w:r>
        <w:rPr>
          <w:rFonts w:hint="eastAsia" w:ascii="宋体" w:hAnsi="宋体" w:eastAsia="宋体" w:cs="宋体"/>
          <w:color w:val="auto"/>
          <w:sz w:val="24"/>
          <w:szCs w:val="24"/>
          <w:highlight w:val="none"/>
        </w:rPr>
        <w:t>、技术部分</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六、资格审查资料</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七、服务方案及承诺</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八、反商业贿赂承诺书</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九、投标诚信承诺</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认为需要提交的其他资料</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widowControl/>
        <w:spacing w:line="360" w:lineRule="auto"/>
        <w:jc w:val="left"/>
        <w:rPr>
          <w:rFonts w:hint="eastAsia" w:ascii="宋体" w:hAnsi="宋体" w:eastAsia="宋体" w:cs="宋体"/>
          <w:b/>
          <w:bCs/>
          <w:color w:val="auto"/>
          <w:sz w:val="24"/>
          <w:szCs w:val="24"/>
          <w:highlight w:val="none"/>
        </w:rPr>
        <w:sectPr>
          <w:pgSz w:w="11910" w:h="16840"/>
          <w:pgMar w:top="1580" w:right="1020" w:bottom="1240" w:left="1020" w:header="0" w:footer="964" w:gutter="0"/>
          <w:pgBorders>
            <w:top w:val="none" w:sz="0" w:space="0"/>
            <w:left w:val="none" w:sz="0" w:space="0"/>
            <w:bottom w:val="none" w:sz="0" w:space="0"/>
            <w:right w:val="none" w:sz="0" w:space="0"/>
          </w:pgBorders>
          <w:cols w:space="720" w:num="1"/>
        </w:sectPr>
      </w:pPr>
    </w:p>
    <w:p>
      <w:pPr>
        <w:pStyle w:val="5"/>
        <w:jc w:val="center"/>
        <w:rPr>
          <w:rFonts w:hint="eastAsia" w:ascii="宋体" w:hAnsi="宋体" w:eastAsia="宋体" w:cs="宋体"/>
          <w:color w:val="auto"/>
          <w:highlight w:val="none"/>
        </w:rPr>
      </w:pPr>
      <w:r>
        <w:rPr>
          <w:rFonts w:hint="eastAsia" w:ascii="宋体" w:hAnsi="宋体" w:eastAsia="宋体" w:cs="宋体"/>
          <w:color w:val="auto"/>
          <w:highlight w:val="none"/>
        </w:rPr>
        <w:t>一、投标函及投标函附录</w:t>
      </w:r>
    </w:p>
    <w:p>
      <w:pPr>
        <w:pStyle w:val="6"/>
        <w:jc w:val="center"/>
        <w:rPr>
          <w:rFonts w:hint="eastAsia" w:ascii="宋体" w:hAnsi="宋体" w:eastAsia="宋体" w:cs="宋体"/>
          <w:color w:val="auto"/>
          <w:highlight w:val="none"/>
        </w:rPr>
      </w:pPr>
      <w:bookmarkStart w:id="67" w:name="_Toc240364513"/>
      <w:bookmarkEnd w:id="67"/>
      <w:bookmarkStart w:id="68" w:name="_Toc202941540"/>
      <w:bookmarkEnd w:id="68"/>
      <w:bookmarkStart w:id="69" w:name="_Toc217565730"/>
      <w:bookmarkEnd w:id="69"/>
      <w:bookmarkStart w:id="70" w:name="_Toc391363047"/>
      <w:bookmarkEnd w:id="70"/>
      <w:bookmarkStart w:id="71" w:name="_Toc202941487"/>
      <w:bookmarkEnd w:id="71"/>
      <w:bookmarkStart w:id="72" w:name="_Toc239431944"/>
      <w:bookmarkEnd w:id="72"/>
      <w:bookmarkStart w:id="73" w:name="_Toc204047783"/>
      <w:bookmarkEnd w:id="73"/>
      <w:r>
        <w:rPr>
          <w:rFonts w:hint="eastAsia" w:ascii="宋体" w:hAnsi="宋体" w:eastAsia="宋体" w:cs="宋体"/>
          <w:color w:val="auto"/>
          <w:highlight w:val="none"/>
        </w:rPr>
        <w:t>1、投标函</w:t>
      </w:r>
    </w:p>
    <w:p>
      <w:pPr>
        <w:pStyle w:val="19"/>
        <w:kinsoku w:val="0"/>
        <w:overflowPunct w:val="0"/>
        <w:spacing w:before="4" w:beforeAutospacing="0"/>
        <w:ind w:firstLine="301"/>
        <w:rPr>
          <w:rFonts w:hint="eastAsia" w:ascii="宋体" w:hAnsi="宋体" w:eastAsia="宋体" w:cs="宋体"/>
          <w:b/>
          <w:bCs/>
          <w:color w:val="auto"/>
          <w:sz w:val="13"/>
          <w:szCs w:val="13"/>
          <w:highlight w:val="none"/>
        </w:rPr>
      </w:pPr>
      <w:r>
        <w:rPr>
          <w:rFonts w:hint="eastAsia" w:ascii="宋体" w:hAnsi="宋体" w:eastAsia="宋体" w:cs="宋体"/>
          <w:b/>
          <w:bCs/>
          <w:color w:val="auto"/>
          <w:sz w:val="13"/>
          <w:szCs w:val="13"/>
          <w:highlight w:val="none"/>
        </w:rPr>
        <w:t xml:space="preserve"> </w:t>
      </w:r>
    </w:p>
    <w:p>
      <w:pPr>
        <w:pStyle w:val="29"/>
        <w:spacing w:line="320" w:lineRule="exact"/>
        <w:ind w:left="0" w:leftChars="0"/>
        <w:rPr>
          <w:rFonts w:hint="eastAsia" w:ascii="宋体" w:hAnsi="宋体" w:eastAsia="宋体" w:cs="宋体"/>
          <w:bCs/>
          <w:color w:val="auto"/>
          <w:sz w:val="24"/>
          <w:highlight w:val="none"/>
          <w:u w:val="single"/>
        </w:rPr>
      </w:pPr>
      <w:r>
        <w:rPr>
          <w:rFonts w:hint="eastAsia" w:ascii="宋体" w:hAnsi="宋体" w:eastAsia="宋体" w:cs="宋体"/>
          <w:color w:val="auto"/>
          <w:sz w:val="24"/>
          <w:szCs w:val="20"/>
          <w:highlight w:val="none"/>
        </w:rPr>
        <w:t xml:space="preserve"> </w:t>
      </w:r>
      <w:r>
        <w:rPr>
          <w:rFonts w:hint="eastAsia" w:ascii="宋体" w:hAnsi="宋体" w:eastAsia="宋体" w:cs="宋体"/>
          <w:color w:val="auto"/>
          <w:sz w:val="24"/>
          <w:szCs w:val="20"/>
          <w:highlight w:val="none"/>
          <w:u w:val="single"/>
        </w:rPr>
        <w:t xml:space="preserve">                 </w:t>
      </w:r>
      <w:r>
        <w:rPr>
          <w:rFonts w:hint="eastAsia" w:ascii="宋体" w:hAnsi="宋体" w:eastAsia="宋体" w:cs="宋体"/>
          <w:bCs/>
          <w:color w:val="auto"/>
          <w:sz w:val="24"/>
          <w:highlight w:val="none"/>
        </w:rPr>
        <w:t>（采购人名称）：</w:t>
      </w:r>
    </w:p>
    <w:p>
      <w:pPr>
        <w:spacing w:line="360" w:lineRule="auto"/>
        <w:ind w:right="-153" w:rightChars="-73"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szCs w:val="20"/>
          <w:highlight w:val="none"/>
        </w:rPr>
        <w:t xml:space="preserve"> </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w:t>
      </w:r>
      <w:r>
        <w:rPr>
          <w:rFonts w:hint="eastAsia" w:ascii="宋体" w:hAnsi="宋体" w:eastAsia="宋体" w:cs="宋体"/>
          <w:color w:val="auto"/>
          <w:sz w:val="24"/>
          <w:szCs w:val="20"/>
          <w:highlight w:val="none"/>
          <w:lang w:eastAsia="zh-CN"/>
        </w:rPr>
        <w:t>供应商</w:t>
      </w:r>
      <w:r>
        <w:rPr>
          <w:rFonts w:hint="eastAsia" w:ascii="宋体" w:hAnsi="宋体" w:eastAsia="宋体" w:cs="宋体"/>
          <w:color w:val="auto"/>
          <w:sz w:val="24"/>
          <w:szCs w:val="20"/>
          <w:highlight w:val="none"/>
        </w:rPr>
        <w:t>全称)授权</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w:t>
      </w:r>
      <w:r>
        <w:rPr>
          <w:rFonts w:hint="eastAsia" w:ascii="宋体" w:hAnsi="宋体" w:eastAsia="宋体" w:cs="宋体"/>
          <w:color w:val="auto"/>
          <w:sz w:val="24"/>
          <w:szCs w:val="20"/>
          <w:highlight w:val="none"/>
          <w:lang w:eastAsia="zh-CN"/>
        </w:rPr>
        <w:t>供应商</w:t>
      </w:r>
      <w:r>
        <w:rPr>
          <w:rFonts w:hint="eastAsia" w:ascii="宋体" w:hAnsi="宋体" w:eastAsia="宋体" w:cs="宋体"/>
          <w:color w:val="auto"/>
          <w:sz w:val="24"/>
          <w:szCs w:val="20"/>
          <w:highlight w:val="none"/>
        </w:rPr>
        <w:t>代表姓名)为我方代表，参加贵方组织的</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u w:val="single"/>
          <w:lang w:eastAsia="zh-CN"/>
        </w:rPr>
        <w:t>项目名称</w:t>
      </w:r>
      <w:r>
        <w:rPr>
          <w:rFonts w:hint="eastAsia" w:ascii="宋体" w:hAnsi="宋体" w:eastAsia="宋体" w:cs="宋体"/>
          <w:color w:val="auto"/>
          <w:sz w:val="24"/>
          <w:szCs w:val="20"/>
          <w:highlight w:val="none"/>
          <w:u w:val="single"/>
        </w:rPr>
        <w:t>）</w:t>
      </w:r>
      <w:r>
        <w:rPr>
          <w:rFonts w:hint="eastAsia" w:ascii="宋体" w:hAnsi="宋体" w:eastAsia="宋体" w:cs="宋体"/>
          <w:color w:val="auto"/>
          <w:sz w:val="24"/>
          <w:szCs w:val="20"/>
          <w:highlight w:val="none"/>
        </w:rPr>
        <w:t>招标的有关活动，并愿意以人民币（大写）</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，（小写）</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元的投标报价，供货期</w:t>
      </w:r>
      <w:r>
        <w:rPr>
          <w:rFonts w:hint="eastAsia" w:ascii="宋体" w:hAnsi="宋体" w:eastAsia="宋体" w:cs="宋体"/>
          <w:color w:val="auto"/>
          <w:sz w:val="24"/>
          <w:szCs w:val="20"/>
          <w:highlight w:val="none"/>
          <w:u w:val="single"/>
        </w:rPr>
        <w:t xml:space="preserve">  </w:t>
      </w:r>
      <w:r>
        <w:rPr>
          <w:rFonts w:hint="eastAsia" w:ascii="宋体" w:hAnsi="宋体" w:cs="宋体"/>
          <w:color w:val="auto"/>
          <w:sz w:val="24"/>
          <w:szCs w:val="20"/>
          <w:highlight w:val="none"/>
          <w:u w:val="single"/>
          <w:lang w:val="en-US" w:eastAsia="zh-CN"/>
        </w:rPr>
        <w:t xml:space="preserve">  </w:t>
      </w:r>
      <w:bookmarkStart w:id="96" w:name="_GoBack"/>
      <w:bookmarkEnd w:id="96"/>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，质量标准</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 xml:space="preserve">，并按合同约定实施和完成项目全部内容及任何缺陷，实现项目目的。为此： </w:t>
      </w:r>
    </w:p>
    <w:p>
      <w:pPr>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 我方同意所提交的投标文件投标有效期为</w:t>
      </w:r>
      <w:r>
        <w:rPr>
          <w:rFonts w:hint="eastAsia" w:ascii="宋体" w:hAnsi="宋体" w:eastAsia="宋体" w:cs="宋体"/>
          <w:color w:val="auto"/>
          <w:sz w:val="24"/>
          <w:szCs w:val="20"/>
          <w:highlight w:val="none"/>
          <w:u w:val="single"/>
        </w:rPr>
        <w:t xml:space="preserve">  60  </w:t>
      </w:r>
      <w:r>
        <w:rPr>
          <w:rFonts w:hint="eastAsia" w:ascii="宋体" w:hAnsi="宋体" w:eastAsia="宋体" w:cs="宋体"/>
          <w:color w:val="auto"/>
          <w:sz w:val="24"/>
          <w:szCs w:val="20"/>
          <w:highlight w:val="none"/>
        </w:rPr>
        <w:t>日历天，在此期间内如果中标，我方将受此约束。</w:t>
      </w:r>
    </w:p>
    <w:p>
      <w:pPr>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 提供</w:t>
      </w:r>
      <w:r>
        <w:rPr>
          <w:rFonts w:hint="eastAsia" w:ascii="宋体" w:hAnsi="宋体" w:eastAsia="宋体" w:cs="宋体"/>
          <w:color w:val="auto"/>
          <w:sz w:val="24"/>
          <w:szCs w:val="20"/>
          <w:highlight w:val="none"/>
          <w:lang w:val="en-US" w:eastAsia="zh-CN"/>
        </w:rPr>
        <w:t>供应商</w:t>
      </w:r>
      <w:r>
        <w:rPr>
          <w:rFonts w:hint="eastAsia" w:ascii="宋体" w:hAnsi="宋体" w:eastAsia="宋体" w:cs="宋体"/>
          <w:color w:val="auto"/>
          <w:sz w:val="24"/>
          <w:szCs w:val="20"/>
          <w:highlight w:val="none"/>
        </w:rPr>
        <w:t>须知规定的全部投标文件，并对之负法律责任。</w:t>
      </w:r>
    </w:p>
    <w:p>
      <w:pPr>
        <w:spacing w:line="360" w:lineRule="auto"/>
        <w:ind w:firstLine="480" w:firstLineChars="200"/>
        <w:rPr>
          <w:rFonts w:hint="eastAsia" w:ascii="宋体" w:hAnsi="宋体" w:eastAsia="宋体" w:cs="宋体"/>
          <w:color w:val="auto"/>
          <w:sz w:val="24"/>
          <w:szCs w:val="20"/>
          <w:highlight w:val="none"/>
          <w:u w:val="single"/>
        </w:rPr>
      </w:pPr>
      <w:r>
        <w:rPr>
          <w:rFonts w:hint="eastAsia" w:ascii="宋体" w:hAnsi="宋体" w:eastAsia="宋体" w:cs="宋体"/>
          <w:color w:val="auto"/>
          <w:sz w:val="24"/>
          <w:szCs w:val="20"/>
          <w:highlight w:val="none"/>
        </w:rPr>
        <w:t>3. 保证遵守招标文件的规定，忠实地执行双方所签订的合同，并承担合同规定的责任和义务。</w:t>
      </w:r>
    </w:p>
    <w:p>
      <w:pPr>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4. 我方愿意向贵方提供任何与本项投标有关的数据、情况和技术资料。若贵方需要，我方愿意提供我方作出的一切承诺的证明材料。</w:t>
      </w:r>
    </w:p>
    <w:p>
      <w:pPr>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5. 我方已详细审核全部招标文件，包括投标文件修改书（如有的话）、参考资料及有关附件，确认无误。</w:t>
      </w:r>
    </w:p>
    <w:p>
      <w:pPr>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6. 我方承诺：采购人若需追加采购本项目招标文件相关服务的，在不改变合同其他实质性条款的前提下，按相同或更优惠的折扣率保证提供。</w:t>
      </w:r>
    </w:p>
    <w:p>
      <w:pPr>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 xml:space="preserve">7. 我方承诺接受招标文件中合同条款且无任何异议。  </w:t>
      </w:r>
    </w:p>
    <w:p>
      <w:pPr>
        <w:pStyle w:val="19"/>
        <w:kinsoku w:val="0"/>
        <w:overflowPunct w:val="0"/>
        <w:ind w:firstLine="560"/>
        <w:rPr>
          <w:rFonts w:hint="eastAsia" w:ascii="宋体" w:hAnsi="宋体" w:eastAsia="宋体" w:cs="宋体"/>
          <w:color w:val="auto"/>
          <w:sz w:val="26"/>
          <w:szCs w:val="26"/>
          <w:highlight w:val="none"/>
        </w:rPr>
      </w:pPr>
    </w:p>
    <w:p>
      <w:pPr>
        <w:pStyle w:val="29"/>
        <w:spacing w:line="400" w:lineRule="exact"/>
        <w:ind w:left="0" w:leftChars="0" w:firstLine="240" w:firstLineChars="100"/>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lang w:eastAsia="zh-CN"/>
        </w:rPr>
        <w:t>供应商</w:t>
      </w: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w:t>
      </w:r>
      <w:r>
        <w:rPr>
          <w:rFonts w:hint="eastAsia" w:ascii="宋体" w:hAnsi="宋体" w:eastAsia="宋体" w:cs="宋体"/>
          <w:color w:val="auto"/>
          <w:sz w:val="24"/>
          <w:highlight w:val="none"/>
          <w:lang w:eastAsia="zh-CN"/>
        </w:rPr>
        <w:t>电子签章</w:t>
      </w:r>
      <w:r>
        <w:rPr>
          <w:rFonts w:hint="eastAsia" w:ascii="宋体" w:hAnsi="宋体" w:eastAsia="宋体" w:cs="宋体"/>
          <w:bCs/>
          <w:color w:val="auto"/>
          <w:sz w:val="24"/>
          <w:highlight w:val="none"/>
        </w:rPr>
        <w:t>）</w:t>
      </w:r>
    </w:p>
    <w:p>
      <w:pPr>
        <w:pStyle w:val="29"/>
        <w:spacing w:line="400" w:lineRule="exact"/>
        <w:ind w:left="0" w:leftChars="0" w:firstLine="360" w:firstLineChars="1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法定代表人或</w:t>
      </w:r>
      <w:r>
        <w:rPr>
          <w:rFonts w:hint="eastAsia" w:ascii="宋体" w:hAnsi="宋体" w:eastAsia="宋体" w:cs="宋体"/>
          <w:color w:val="auto"/>
          <w:sz w:val="24"/>
          <w:highlight w:val="none"/>
        </w:rPr>
        <w:t>其</w:t>
      </w:r>
      <w:r>
        <w:rPr>
          <w:rFonts w:hint="eastAsia" w:ascii="宋体" w:hAnsi="宋体" w:eastAsia="宋体" w:cs="宋体"/>
          <w:bCs/>
          <w:color w:val="auto"/>
          <w:sz w:val="24"/>
          <w:highlight w:val="none"/>
        </w:rPr>
        <w:t>委托代理人：</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 xml:space="preserve"> （签字或盖章）</w:t>
      </w:r>
    </w:p>
    <w:p>
      <w:pPr>
        <w:pStyle w:val="29"/>
        <w:spacing w:line="400" w:lineRule="exact"/>
        <w:ind w:left="0" w:leftChars="0" w:firstLine="360" w:firstLineChars="150"/>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地址：</w:t>
      </w:r>
      <w:r>
        <w:rPr>
          <w:rFonts w:hint="eastAsia" w:ascii="宋体" w:hAnsi="宋体" w:eastAsia="宋体" w:cs="宋体"/>
          <w:bCs/>
          <w:color w:val="auto"/>
          <w:sz w:val="24"/>
          <w:highlight w:val="none"/>
          <w:u w:val="single"/>
        </w:rPr>
        <w:t xml:space="preserve">                         </w:t>
      </w:r>
    </w:p>
    <w:p>
      <w:pPr>
        <w:pStyle w:val="29"/>
        <w:spacing w:line="400" w:lineRule="exact"/>
        <w:ind w:left="0" w:leftChars="0" w:firstLine="360" w:firstLineChars="150"/>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电话：</w:t>
      </w:r>
      <w:r>
        <w:rPr>
          <w:rFonts w:hint="eastAsia" w:ascii="宋体" w:hAnsi="宋体" w:eastAsia="宋体" w:cs="宋体"/>
          <w:bCs/>
          <w:color w:val="auto"/>
          <w:sz w:val="24"/>
          <w:highlight w:val="none"/>
          <w:u w:val="single"/>
        </w:rPr>
        <w:t xml:space="preserve">                         </w:t>
      </w:r>
    </w:p>
    <w:p>
      <w:pPr>
        <w:pStyle w:val="29"/>
        <w:spacing w:line="400" w:lineRule="exact"/>
        <w:ind w:left="0" w:leftChars="0" w:firstLine="4" w:firstLineChars="2"/>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日  期：</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年</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月</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日</w:t>
      </w:r>
    </w:p>
    <w:p>
      <w:pPr>
        <w:pStyle w:val="19"/>
        <w:kinsoku w:val="0"/>
        <w:overflowPunct w:val="0"/>
        <w:ind w:firstLine="560"/>
        <w:rPr>
          <w:rFonts w:hint="eastAsia" w:ascii="宋体" w:hAnsi="宋体" w:eastAsia="宋体" w:cs="宋体"/>
          <w:b/>
          <w:bCs/>
          <w:color w:val="auto"/>
          <w:sz w:val="32"/>
          <w:szCs w:val="32"/>
          <w:highlight w:val="none"/>
        </w:rPr>
        <w:sectPr>
          <w:pgSz w:w="11910" w:h="16840"/>
          <w:pgMar w:top="1580" w:right="1020" w:bottom="1240" w:left="1020" w:header="0" w:footer="1044" w:gutter="0"/>
          <w:pgBorders>
            <w:top w:val="none" w:sz="0" w:space="0"/>
            <w:left w:val="none" w:sz="0" w:space="0"/>
            <w:bottom w:val="none" w:sz="0" w:space="0"/>
            <w:right w:val="none" w:sz="0" w:space="0"/>
          </w:pgBorders>
          <w:cols w:space="720" w:num="1"/>
        </w:sectPr>
      </w:pPr>
    </w:p>
    <w:p>
      <w:pPr>
        <w:pStyle w:val="6"/>
        <w:jc w:val="center"/>
        <w:rPr>
          <w:rFonts w:hint="eastAsia" w:ascii="宋体" w:hAnsi="宋体" w:eastAsia="宋体" w:cs="宋体"/>
          <w:color w:val="auto"/>
          <w:highlight w:val="none"/>
        </w:rPr>
      </w:pPr>
      <w:bookmarkStart w:id="74" w:name="二、法定代表人身份证明"/>
      <w:bookmarkEnd w:id="74"/>
      <w:r>
        <w:rPr>
          <w:rFonts w:hint="eastAsia" w:ascii="宋体" w:hAnsi="宋体" w:eastAsia="宋体" w:cs="宋体"/>
          <w:color w:val="auto"/>
          <w:highlight w:val="none"/>
        </w:rPr>
        <w:t>2、投标函附录</w:t>
      </w:r>
    </w:p>
    <w:p>
      <w:pPr>
        <w:pStyle w:val="19"/>
        <w:kinsoku w:val="0"/>
        <w:overflowPunct w:val="0"/>
        <w:spacing w:before="5" w:beforeAutospacing="0"/>
        <w:ind w:firstLine="241"/>
        <w:rPr>
          <w:rFonts w:hint="eastAsia" w:ascii="宋体" w:hAnsi="宋体" w:eastAsia="宋体" w:cs="宋体"/>
          <w:b/>
          <w:bCs/>
          <w:color w:val="auto"/>
          <w:sz w:val="10"/>
          <w:szCs w:val="10"/>
          <w:highlight w:val="none"/>
        </w:rPr>
      </w:pPr>
      <w:r>
        <w:rPr>
          <w:rFonts w:hint="eastAsia" w:ascii="宋体" w:hAnsi="宋体" w:eastAsia="宋体" w:cs="宋体"/>
          <w:b/>
          <w:bCs/>
          <w:color w:val="auto"/>
          <w:sz w:val="10"/>
          <w:szCs w:val="10"/>
          <w:highlight w:val="none"/>
        </w:rPr>
        <w:t xml:space="preserve"> </w:t>
      </w:r>
    </w:p>
    <w:tbl>
      <w:tblPr>
        <w:tblStyle w:val="46"/>
        <w:tblW w:w="8925" w:type="dxa"/>
        <w:tblInd w:w="403" w:type="dxa"/>
        <w:tblLayout w:type="fixed"/>
        <w:tblCellMar>
          <w:top w:w="0" w:type="dxa"/>
          <w:left w:w="0" w:type="dxa"/>
          <w:bottom w:w="0" w:type="dxa"/>
          <w:right w:w="0" w:type="dxa"/>
        </w:tblCellMar>
      </w:tblPr>
      <w:tblGrid>
        <w:gridCol w:w="3008"/>
        <w:gridCol w:w="5917"/>
      </w:tblGrid>
      <w:tr>
        <w:tblPrEx>
          <w:tblCellMar>
            <w:top w:w="0" w:type="dxa"/>
            <w:left w:w="0" w:type="dxa"/>
            <w:bottom w:w="0" w:type="dxa"/>
            <w:right w:w="0" w:type="dxa"/>
          </w:tblCellMar>
        </w:tblPrEx>
        <w:trPr>
          <w:trHeight w:val="939" w:hRule="atLeast"/>
        </w:trPr>
        <w:tc>
          <w:tcPr>
            <w:tcW w:w="3008" w:type="dxa"/>
            <w:tcBorders>
              <w:top w:val="single" w:color="000000" w:sz="4" w:space="0"/>
              <w:left w:val="single" w:color="000000" w:sz="4" w:space="0"/>
              <w:bottom w:val="single" w:color="000000" w:sz="4" w:space="0"/>
              <w:right w:val="single" w:color="000000" w:sz="4" w:space="0"/>
            </w:tcBorders>
            <w:vAlign w:val="center"/>
          </w:tcPr>
          <w:p>
            <w:pPr>
              <w:pStyle w:val="67"/>
              <w:keepNext w:val="0"/>
              <w:keepLines w:val="0"/>
              <w:suppressLineNumbers w:val="0"/>
              <w:kinsoku w:val="0"/>
              <w:overflowPunct w:val="0"/>
              <w:spacing w:before="0" w:beforeAutospacing="0" w:after="0" w:afterAutospacing="0"/>
              <w:ind w:left="884" w:right="873"/>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项目名称</w:t>
            </w:r>
          </w:p>
        </w:tc>
        <w:tc>
          <w:tcPr>
            <w:tcW w:w="5917" w:type="dxa"/>
            <w:tcBorders>
              <w:top w:val="single" w:color="000000" w:sz="4" w:space="0"/>
              <w:left w:val="nil"/>
              <w:bottom w:val="single" w:color="000000" w:sz="4" w:space="0"/>
              <w:right w:val="single" w:color="000000" w:sz="4" w:space="0"/>
            </w:tcBorders>
          </w:tcPr>
          <w:p>
            <w:pPr>
              <w:pStyle w:val="67"/>
              <w:keepNext w:val="0"/>
              <w:keepLines w:val="0"/>
              <w:suppressLineNumbers w:val="0"/>
              <w:kinsoku w:val="0"/>
              <w:overflowPunct w:val="0"/>
              <w:spacing w:before="0" w:beforeAutospacing="0" w:after="0" w:afterAutospacing="0"/>
              <w:ind w:left="0" w:right="0"/>
              <w:rPr>
                <w:rFonts w:hint="eastAsia" w:ascii="宋体" w:hAnsi="宋体" w:eastAsia="宋体" w:cs="宋体"/>
                <w:color w:val="auto"/>
                <w:highlight w:val="none"/>
              </w:rPr>
            </w:pPr>
          </w:p>
        </w:tc>
      </w:tr>
      <w:tr>
        <w:tblPrEx>
          <w:tblCellMar>
            <w:top w:w="0" w:type="dxa"/>
            <w:left w:w="0" w:type="dxa"/>
            <w:bottom w:w="0" w:type="dxa"/>
            <w:right w:w="0" w:type="dxa"/>
          </w:tblCellMar>
        </w:tblPrEx>
        <w:trPr>
          <w:trHeight w:val="938" w:hRule="atLeast"/>
        </w:trPr>
        <w:tc>
          <w:tcPr>
            <w:tcW w:w="3008" w:type="dxa"/>
            <w:tcBorders>
              <w:top w:val="single" w:color="000000" w:sz="4" w:space="0"/>
              <w:left w:val="single" w:color="000000" w:sz="4" w:space="0"/>
              <w:bottom w:val="single" w:color="000000" w:sz="4" w:space="0"/>
              <w:right w:val="single" w:color="000000" w:sz="4" w:space="0"/>
            </w:tcBorders>
            <w:vAlign w:val="center"/>
          </w:tcPr>
          <w:p>
            <w:pPr>
              <w:pStyle w:val="67"/>
              <w:keepNext w:val="0"/>
              <w:keepLines w:val="0"/>
              <w:suppressLineNumbers w:val="0"/>
              <w:kinsoku w:val="0"/>
              <w:overflowPunct w:val="0"/>
              <w:spacing w:before="0" w:beforeAutospacing="0" w:after="0" w:afterAutospacing="0"/>
              <w:ind w:left="884" w:right="873"/>
              <w:jc w:val="center"/>
              <w:rPr>
                <w:rFonts w:hint="eastAsia" w:ascii="宋体" w:hAnsi="宋体" w:eastAsia="宋体" w:cs="宋体"/>
                <w:color w:val="auto"/>
                <w:highlight w:val="none"/>
              </w:rPr>
            </w:pPr>
            <w:r>
              <w:rPr>
                <w:rFonts w:hint="eastAsia" w:ascii="宋体" w:hAnsi="宋体" w:eastAsia="宋体" w:cs="宋体"/>
                <w:color w:val="auto"/>
                <w:highlight w:val="none"/>
              </w:rPr>
              <w:t>投标范围</w:t>
            </w:r>
          </w:p>
        </w:tc>
        <w:tc>
          <w:tcPr>
            <w:tcW w:w="5917" w:type="dxa"/>
            <w:tcBorders>
              <w:top w:val="single" w:color="000000" w:sz="4" w:space="0"/>
              <w:left w:val="nil"/>
              <w:bottom w:val="single" w:color="000000" w:sz="4" w:space="0"/>
              <w:right w:val="single" w:color="000000" w:sz="4" w:space="0"/>
            </w:tcBorders>
          </w:tcPr>
          <w:p>
            <w:pPr>
              <w:pStyle w:val="67"/>
              <w:keepNext w:val="0"/>
              <w:keepLines w:val="0"/>
              <w:suppressLineNumbers w:val="0"/>
              <w:kinsoku w:val="0"/>
              <w:overflowPunct w:val="0"/>
              <w:spacing w:before="0" w:beforeAutospacing="0" w:after="0" w:afterAutospacing="0"/>
              <w:ind w:left="0" w:right="0"/>
              <w:rPr>
                <w:rFonts w:hint="eastAsia" w:ascii="宋体" w:hAnsi="宋体" w:eastAsia="宋体" w:cs="宋体"/>
                <w:color w:val="auto"/>
                <w:highlight w:val="none"/>
              </w:rPr>
            </w:pPr>
          </w:p>
        </w:tc>
      </w:tr>
      <w:tr>
        <w:tblPrEx>
          <w:tblCellMar>
            <w:top w:w="0" w:type="dxa"/>
            <w:left w:w="0" w:type="dxa"/>
            <w:bottom w:w="0" w:type="dxa"/>
            <w:right w:w="0" w:type="dxa"/>
          </w:tblCellMar>
        </w:tblPrEx>
        <w:trPr>
          <w:trHeight w:val="939" w:hRule="atLeast"/>
        </w:trPr>
        <w:tc>
          <w:tcPr>
            <w:tcW w:w="3008" w:type="dxa"/>
            <w:tcBorders>
              <w:top w:val="single" w:color="000000" w:sz="4" w:space="0"/>
              <w:left w:val="single" w:color="000000" w:sz="4" w:space="0"/>
              <w:bottom w:val="single" w:color="000000" w:sz="4" w:space="0"/>
              <w:right w:val="single" w:color="000000" w:sz="4" w:space="0"/>
            </w:tcBorders>
            <w:vAlign w:val="center"/>
          </w:tcPr>
          <w:p>
            <w:pPr>
              <w:pStyle w:val="67"/>
              <w:keepNext w:val="0"/>
              <w:keepLines w:val="0"/>
              <w:suppressLineNumbers w:val="0"/>
              <w:kinsoku w:val="0"/>
              <w:overflowPunct w:val="0"/>
              <w:spacing w:before="0" w:beforeAutospacing="0" w:after="0" w:afterAutospacing="0"/>
              <w:ind w:left="884" w:right="873"/>
              <w:jc w:val="center"/>
              <w:rPr>
                <w:rFonts w:hint="eastAsia" w:ascii="宋体" w:hAnsi="宋体" w:eastAsia="宋体" w:cs="宋体"/>
                <w:color w:val="auto"/>
                <w:highlight w:val="none"/>
              </w:rPr>
            </w:pPr>
            <w:r>
              <w:rPr>
                <w:rFonts w:hint="eastAsia" w:ascii="宋体" w:hAnsi="宋体" w:eastAsia="宋体" w:cs="宋体"/>
                <w:color w:val="auto"/>
                <w:highlight w:val="none"/>
              </w:rPr>
              <w:t>投标有效期</w:t>
            </w:r>
          </w:p>
        </w:tc>
        <w:tc>
          <w:tcPr>
            <w:tcW w:w="5917" w:type="dxa"/>
            <w:tcBorders>
              <w:top w:val="single" w:color="000000" w:sz="4" w:space="0"/>
              <w:left w:val="nil"/>
              <w:bottom w:val="single" w:color="000000" w:sz="4" w:space="0"/>
              <w:right w:val="single" w:color="000000" w:sz="4" w:space="0"/>
            </w:tcBorders>
          </w:tcPr>
          <w:p>
            <w:pPr>
              <w:pStyle w:val="67"/>
              <w:keepNext w:val="0"/>
              <w:keepLines w:val="0"/>
              <w:suppressLineNumbers w:val="0"/>
              <w:kinsoku w:val="0"/>
              <w:overflowPunct w:val="0"/>
              <w:spacing w:before="0" w:beforeAutospacing="0" w:after="0" w:afterAutospacing="0"/>
              <w:ind w:left="0" w:right="0"/>
              <w:rPr>
                <w:rFonts w:hint="eastAsia" w:ascii="宋体" w:hAnsi="宋体" w:eastAsia="宋体" w:cs="宋体"/>
                <w:color w:val="auto"/>
                <w:highlight w:val="none"/>
              </w:rPr>
            </w:pPr>
          </w:p>
        </w:tc>
      </w:tr>
      <w:tr>
        <w:tblPrEx>
          <w:tblCellMar>
            <w:top w:w="0" w:type="dxa"/>
            <w:left w:w="0" w:type="dxa"/>
            <w:bottom w:w="0" w:type="dxa"/>
            <w:right w:w="0" w:type="dxa"/>
          </w:tblCellMar>
        </w:tblPrEx>
        <w:trPr>
          <w:trHeight w:val="1345" w:hRule="atLeast"/>
        </w:trPr>
        <w:tc>
          <w:tcPr>
            <w:tcW w:w="3008" w:type="dxa"/>
            <w:tcBorders>
              <w:top w:val="single" w:color="000000" w:sz="4" w:space="0"/>
              <w:left w:val="single" w:color="000000" w:sz="4" w:space="0"/>
              <w:bottom w:val="single" w:color="000000" w:sz="4" w:space="0"/>
              <w:right w:val="single" w:color="000000" w:sz="4" w:space="0"/>
            </w:tcBorders>
            <w:vAlign w:val="center"/>
          </w:tcPr>
          <w:p>
            <w:pPr>
              <w:pStyle w:val="67"/>
              <w:keepNext w:val="0"/>
              <w:keepLines w:val="0"/>
              <w:suppressLineNumbers w:val="0"/>
              <w:kinsoku w:val="0"/>
              <w:overflowPunct w:val="0"/>
              <w:spacing w:before="0" w:beforeAutospacing="0" w:after="0" w:afterAutospacing="0"/>
              <w:ind w:left="884" w:right="873"/>
              <w:jc w:val="center"/>
              <w:rPr>
                <w:rFonts w:hint="eastAsia" w:ascii="宋体" w:hAnsi="宋体" w:eastAsia="宋体" w:cs="宋体"/>
                <w:color w:val="auto"/>
                <w:highlight w:val="none"/>
              </w:rPr>
            </w:pPr>
            <w:r>
              <w:rPr>
                <w:rFonts w:hint="eastAsia" w:ascii="宋体" w:hAnsi="宋体" w:eastAsia="宋体" w:cs="宋体"/>
                <w:color w:val="auto"/>
                <w:highlight w:val="none"/>
              </w:rPr>
              <w:t>投标报价</w:t>
            </w:r>
          </w:p>
        </w:tc>
        <w:tc>
          <w:tcPr>
            <w:tcW w:w="5917" w:type="dxa"/>
            <w:tcBorders>
              <w:top w:val="single" w:color="000000" w:sz="4" w:space="0"/>
              <w:left w:val="nil"/>
              <w:bottom w:val="single" w:color="000000" w:sz="4" w:space="0"/>
              <w:right w:val="single" w:color="000000" w:sz="4" w:space="0"/>
            </w:tcBorders>
            <w:vAlign w:val="center"/>
          </w:tcPr>
          <w:p>
            <w:pPr>
              <w:pStyle w:val="67"/>
              <w:keepNext w:val="0"/>
              <w:keepLines w:val="0"/>
              <w:suppressLineNumbers w:val="0"/>
              <w:kinsoku w:val="0"/>
              <w:overflowPunct w:val="0"/>
              <w:spacing w:before="1" w:beforeAutospacing="0" w:after="0" w:afterAutospacing="0"/>
              <w:ind w:left="107" w:right="0"/>
              <w:jc w:val="both"/>
              <w:rPr>
                <w:rFonts w:hint="eastAsia" w:ascii="宋体" w:hAnsi="宋体" w:eastAsia="宋体" w:cs="宋体"/>
                <w:color w:val="auto"/>
                <w:highlight w:val="none"/>
                <w:u w:val="single"/>
              </w:rPr>
            </w:pPr>
            <w:r>
              <w:rPr>
                <w:rFonts w:hint="eastAsia" w:ascii="宋体" w:hAnsi="宋体" w:eastAsia="宋体" w:cs="宋体"/>
                <w:color w:val="auto"/>
                <w:highlight w:val="none"/>
              </w:rPr>
              <w:t>大写：</w:t>
            </w:r>
            <w:r>
              <w:rPr>
                <w:rFonts w:hint="eastAsia" w:ascii="宋体" w:hAnsi="宋体" w:eastAsia="宋体" w:cs="宋体"/>
                <w:color w:val="auto"/>
                <w:highlight w:val="none"/>
                <w:u w:val="single"/>
              </w:rPr>
              <w:t xml:space="preserve">                   </w:t>
            </w:r>
          </w:p>
          <w:p>
            <w:pPr>
              <w:pStyle w:val="67"/>
              <w:keepNext w:val="0"/>
              <w:keepLines w:val="0"/>
              <w:suppressLineNumbers w:val="0"/>
              <w:kinsoku w:val="0"/>
              <w:overflowPunct w:val="0"/>
              <w:spacing w:before="153" w:beforeAutospacing="0" w:after="0" w:afterAutospacing="0"/>
              <w:ind w:left="107" w:right="0"/>
              <w:jc w:val="both"/>
              <w:rPr>
                <w:rFonts w:hint="eastAsia" w:ascii="宋体" w:hAnsi="宋体" w:eastAsia="宋体" w:cs="宋体"/>
                <w:color w:val="auto"/>
                <w:highlight w:val="none"/>
              </w:rPr>
            </w:pPr>
            <w:r>
              <w:rPr>
                <w:rFonts w:hint="eastAsia" w:ascii="宋体" w:hAnsi="宋体" w:eastAsia="宋体" w:cs="宋体"/>
                <w:color w:val="auto"/>
                <w:highlight w:val="none"/>
              </w:rPr>
              <w:t>小写:</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ab/>
            </w:r>
          </w:p>
        </w:tc>
      </w:tr>
      <w:tr>
        <w:tblPrEx>
          <w:tblCellMar>
            <w:top w:w="0" w:type="dxa"/>
            <w:left w:w="0" w:type="dxa"/>
            <w:bottom w:w="0" w:type="dxa"/>
            <w:right w:w="0" w:type="dxa"/>
          </w:tblCellMar>
        </w:tblPrEx>
        <w:trPr>
          <w:trHeight w:val="939" w:hRule="atLeast"/>
        </w:trPr>
        <w:tc>
          <w:tcPr>
            <w:tcW w:w="3008" w:type="dxa"/>
            <w:tcBorders>
              <w:top w:val="single" w:color="000000" w:sz="4" w:space="0"/>
              <w:left w:val="single" w:color="000000" w:sz="4" w:space="0"/>
              <w:bottom w:val="single" w:color="000000" w:sz="4" w:space="0"/>
              <w:right w:val="single" w:color="000000" w:sz="4" w:space="0"/>
            </w:tcBorders>
            <w:vAlign w:val="center"/>
          </w:tcPr>
          <w:p>
            <w:pPr>
              <w:pStyle w:val="67"/>
              <w:keepNext w:val="0"/>
              <w:keepLines w:val="0"/>
              <w:suppressLineNumbers w:val="0"/>
              <w:kinsoku w:val="0"/>
              <w:overflowPunct w:val="0"/>
              <w:spacing w:before="0" w:beforeAutospacing="0" w:after="0" w:afterAutospacing="0"/>
              <w:ind w:left="884" w:right="873"/>
              <w:jc w:val="center"/>
              <w:rPr>
                <w:rFonts w:hint="eastAsia" w:ascii="宋体" w:hAnsi="宋体" w:eastAsia="宋体" w:cs="宋体"/>
                <w:color w:val="auto"/>
                <w:highlight w:val="none"/>
              </w:rPr>
            </w:pPr>
            <w:r>
              <w:rPr>
                <w:rFonts w:hint="eastAsia" w:ascii="宋体" w:hAnsi="宋体" w:eastAsia="宋体" w:cs="宋体"/>
                <w:color w:val="auto"/>
                <w:highlight w:val="none"/>
              </w:rPr>
              <w:t>供货期</w:t>
            </w:r>
          </w:p>
        </w:tc>
        <w:tc>
          <w:tcPr>
            <w:tcW w:w="5917" w:type="dxa"/>
            <w:tcBorders>
              <w:top w:val="single" w:color="000000" w:sz="4" w:space="0"/>
              <w:left w:val="nil"/>
              <w:bottom w:val="single" w:color="000000" w:sz="4" w:space="0"/>
              <w:right w:val="single" w:color="000000" w:sz="4" w:space="0"/>
            </w:tcBorders>
          </w:tcPr>
          <w:p>
            <w:pPr>
              <w:pStyle w:val="67"/>
              <w:keepNext w:val="0"/>
              <w:keepLines w:val="0"/>
              <w:suppressLineNumbers w:val="0"/>
              <w:kinsoku w:val="0"/>
              <w:overflowPunct w:val="0"/>
              <w:spacing w:before="0" w:beforeAutospacing="0" w:after="0" w:afterAutospacing="0"/>
              <w:ind w:left="0" w:right="0"/>
              <w:rPr>
                <w:rFonts w:hint="eastAsia" w:ascii="宋体" w:hAnsi="宋体" w:eastAsia="宋体" w:cs="宋体"/>
                <w:color w:val="auto"/>
                <w:highlight w:val="none"/>
              </w:rPr>
            </w:pPr>
          </w:p>
        </w:tc>
      </w:tr>
      <w:tr>
        <w:tblPrEx>
          <w:tblCellMar>
            <w:top w:w="0" w:type="dxa"/>
            <w:left w:w="0" w:type="dxa"/>
            <w:bottom w:w="0" w:type="dxa"/>
            <w:right w:w="0" w:type="dxa"/>
          </w:tblCellMar>
        </w:tblPrEx>
        <w:trPr>
          <w:trHeight w:val="939" w:hRule="atLeast"/>
        </w:trPr>
        <w:tc>
          <w:tcPr>
            <w:tcW w:w="3008" w:type="dxa"/>
            <w:tcBorders>
              <w:top w:val="single" w:color="000000" w:sz="4" w:space="0"/>
              <w:left w:val="single" w:color="000000" w:sz="4" w:space="0"/>
              <w:bottom w:val="single" w:color="000000" w:sz="4" w:space="0"/>
              <w:right w:val="single" w:color="000000" w:sz="4" w:space="0"/>
            </w:tcBorders>
            <w:vAlign w:val="center"/>
          </w:tcPr>
          <w:p>
            <w:pPr>
              <w:pStyle w:val="67"/>
              <w:keepNext w:val="0"/>
              <w:keepLines w:val="0"/>
              <w:suppressLineNumbers w:val="0"/>
              <w:kinsoku w:val="0"/>
              <w:overflowPunct w:val="0"/>
              <w:spacing w:before="0" w:beforeAutospacing="0" w:after="0" w:afterAutospacing="0"/>
              <w:ind w:left="884" w:right="873"/>
              <w:jc w:val="center"/>
              <w:rPr>
                <w:rFonts w:hint="eastAsia" w:ascii="宋体" w:hAnsi="宋体" w:eastAsia="宋体" w:cs="宋体"/>
                <w:b/>
                <w:bCs/>
                <w:color w:val="auto"/>
                <w:highlight w:val="none"/>
              </w:rPr>
            </w:pPr>
            <w:r>
              <w:rPr>
                <w:rFonts w:hint="eastAsia" w:ascii="宋体" w:hAnsi="宋体" w:eastAsia="宋体" w:cs="宋体"/>
                <w:color w:val="auto"/>
                <w:highlight w:val="none"/>
              </w:rPr>
              <w:t>质保期</w:t>
            </w:r>
          </w:p>
        </w:tc>
        <w:tc>
          <w:tcPr>
            <w:tcW w:w="5917" w:type="dxa"/>
            <w:tcBorders>
              <w:top w:val="single" w:color="000000" w:sz="4" w:space="0"/>
              <w:left w:val="nil"/>
              <w:bottom w:val="single" w:color="000000" w:sz="4" w:space="0"/>
              <w:right w:val="single" w:color="000000" w:sz="4" w:space="0"/>
            </w:tcBorders>
          </w:tcPr>
          <w:p>
            <w:pPr>
              <w:pStyle w:val="67"/>
              <w:keepNext w:val="0"/>
              <w:keepLines w:val="0"/>
              <w:suppressLineNumbers w:val="0"/>
              <w:kinsoku w:val="0"/>
              <w:overflowPunct w:val="0"/>
              <w:spacing w:before="0" w:beforeAutospacing="0" w:after="0" w:afterAutospacing="0"/>
              <w:ind w:left="0" w:right="0"/>
              <w:rPr>
                <w:rFonts w:hint="eastAsia" w:ascii="宋体" w:hAnsi="宋体" w:eastAsia="宋体" w:cs="宋体"/>
                <w:color w:val="auto"/>
                <w:highlight w:val="none"/>
              </w:rPr>
            </w:pPr>
          </w:p>
        </w:tc>
      </w:tr>
      <w:tr>
        <w:tblPrEx>
          <w:tblCellMar>
            <w:top w:w="0" w:type="dxa"/>
            <w:left w:w="0" w:type="dxa"/>
            <w:bottom w:w="0" w:type="dxa"/>
            <w:right w:w="0" w:type="dxa"/>
          </w:tblCellMar>
        </w:tblPrEx>
        <w:trPr>
          <w:trHeight w:val="938" w:hRule="atLeast"/>
        </w:trPr>
        <w:tc>
          <w:tcPr>
            <w:tcW w:w="3008" w:type="dxa"/>
            <w:tcBorders>
              <w:top w:val="single" w:color="000000" w:sz="4" w:space="0"/>
              <w:left w:val="single" w:color="000000" w:sz="4" w:space="0"/>
              <w:bottom w:val="single" w:color="000000" w:sz="4" w:space="0"/>
              <w:right w:val="single" w:color="000000" w:sz="4" w:space="0"/>
            </w:tcBorders>
            <w:vAlign w:val="center"/>
          </w:tcPr>
          <w:p>
            <w:pPr>
              <w:pStyle w:val="67"/>
              <w:keepNext w:val="0"/>
              <w:keepLines w:val="0"/>
              <w:suppressLineNumbers w:val="0"/>
              <w:kinsoku w:val="0"/>
              <w:overflowPunct w:val="0"/>
              <w:spacing w:before="0" w:beforeAutospacing="0" w:after="0" w:afterAutospacing="0"/>
              <w:ind w:left="884" w:right="873"/>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rPr>
              <w:t>质量</w:t>
            </w:r>
            <w:r>
              <w:rPr>
                <w:rFonts w:hint="eastAsia" w:hAnsi="宋体" w:cs="宋体"/>
                <w:color w:val="auto"/>
                <w:highlight w:val="none"/>
                <w:lang w:val="en-US" w:eastAsia="zh-CN"/>
              </w:rPr>
              <w:t>要求</w:t>
            </w:r>
          </w:p>
        </w:tc>
        <w:tc>
          <w:tcPr>
            <w:tcW w:w="5917" w:type="dxa"/>
            <w:tcBorders>
              <w:top w:val="single" w:color="000000" w:sz="4" w:space="0"/>
              <w:left w:val="nil"/>
              <w:bottom w:val="single" w:color="000000" w:sz="4" w:space="0"/>
              <w:right w:val="single" w:color="000000" w:sz="4" w:space="0"/>
            </w:tcBorders>
          </w:tcPr>
          <w:p>
            <w:pPr>
              <w:pStyle w:val="67"/>
              <w:keepNext w:val="0"/>
              <w:keepLines w:val="0"/>
              <w:suppressLineNumbers w:val="0"/>
              <w:kinsoku w:val="0"/>
              <w:overflowPunct w:val="0"/>
              <w:spacing w:before="0" w:beforeAutospacing="0" w:after="0" w:afterAutospacing="0"/>
              <w:ind w:left="0" w:right="0"/>
              <w:rPr>
                <w:rFonts w:hint="eastAsia" w:ascii="宋体" w:hAnsi="宋体" w:eastAsia="宋体" w:cs="宋体"/>
                <w:color w:val="auto"/>
                <w:highlight w:val="none"/>
              </w:rPr>
            </w:pPr>
          </w:p>
        </w:tc>
      </w:tr>
      <w:tr>
        <w:tblPrEx>
          <w:tblCellMar>
            <w:top w:w="0" w:type="dxa"/>
            <w:left w:w="0" w:type="dxa"/>
            <w:bottom w:w="0" w:type="dxa"/>
            <w:right w:w="0" w:type="dxa"/>
          </w:tblCellMar>
        </w:tblPrEx>
        <w:trPr>
          <w:trHeight w:val="938" w:hRule="atLeast"/>
        </w:trPr>
        <w:tc>
          <w:tcPr>
            <w:tcW w:w="3008" w:type="dxa"/>
            <w:tcBorders>
              <w:top w:val="single" w:color="000000" w:sz="4" w:space="0"/>
              <w:left w:val="single" w:color="000000" w:sz="4" w:space="0"/>
              <w:bottom w:val="single" w:color="000000" w:sz="4" w:space="0"/>
              <w:right w:val="single" w:color="000000" w:sz="4" w:space="0"/>
            </w:tcBorders>
            <w:vAlign w:val="center"/>
          </w:tcPr>
          <w:p>
            <w:pPr>
              <w:pStyle w:val="67"/>
              <w:keepNext w:val="0"/>
              <w:keepLines w:val="0"/>
              <w:suppressLineNumbers w:val="0"/>
              <w:kinsoku w:val="0"/>
              <w:overflowPunct w:val="0"/>
              <w:spacing w:before="0" w:beforeAutospacing="0" w:after="0" w:afterAutospacing="0"/>
              <w:ind w:left="884" w:right="873"/>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c>
          <w:tcPr>
            <w:tcW w:w="5917" w:type="dxa"/>
            <w:tcBorders>
              <w:top w:val="single" w:color="000000" w:sz="4" w:space="0"/>
              <w:left w:val="nil"/>
              <w:bottom w:val="single" w:color="000000" w:sz="4" w:space="0"/>
              <w:right w:val="single" w:color="000000" w:sz="4" w:space="0"/>
            </w:tcBorders>
          </w:tcPr>
          <w:p>
            <w:pPr>
              <w:pStyle w:val="67"/>
              <w:keepNext w:val="0"/>
              <w:keepLines w:val="0"/>
              <w:suppressLineNumbers w:val="0"/>
              <w:kinsoku w:val="0"/>
              <w:overflowPunct w:val="0"/>
              <w:spacing w:before="0" w:beforeAutospacing="0" w:after="0" w:afterAutospacing="0"/>
              <w:ind w:left="0" w:right="0"/>
              <w:rPr>
                <w:rFonts w:hint="eastAsia" w:ascii="宋体" w:hAnsi="宋体" w:eastAsia="宋体" w:cs="宋体"/>
                <w:color w:val="auto"/>
                <w:highlight w:val="none"/>
              </w:rPr>
            </w:pPr>
          </w:p>
        </w:tc>
      </w:tr>
    </w:tbl>
    <w:p>
      <w:pPr>
        <w:pStyle w:val="19"/>
        <w:kinsoku w:val="0"/>
        <w:overflowPunct w:val="0"/>
        <w:ind w:firstLine="60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 xml:space="preserve"> </w:t>
      </w:r>
    </w:p>
    <w:p>
      <w:pPr>
        <w:pStyle w:val="19"/>
        <w:kinsoku w:val="0"/>
        <w:overflowPunct w:val="0"/>
        <w:spacing w:before="5" w:beforeAutospacing="0"/>
        <w:ind w:firstLine="46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 </w:t>
      </w:r>
    </w:p>
    <w:p>
      <w:pPr>
        <w:pStyle w:val="19"/>
        <w:kinsoku w:val="0"/>
        <w:overflowPunct w:val="0"/>
        <w:spacing w:line="420" w:lineRule="auto"/>
        <w:ind w:right="637" w:firstLine="2640" w:firstLineChars="1100"/>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 xml:space="preserve">：  </w:t>
      </w:r>
      <w:r>
        <w:rPr>
          <w:rFonts w:hint="eastAsia" w:ascii="宋体" w:hAnsi="宋体" w:eastAsia="宋体" w:cs="宋体"/>
          <w:color w:val="auto"/>
          <w:highlight w:val="none"/>
          <w:u w:val="single" w:color="000000"/>
        </w:rPr>
        <w:tab/>
      </w:r>
      <w:r>
        <w:rPr>
          <w:rFonts w:hint="eastAsia" w:ascii="宋体" w:hAnsi="宋体" w:eastAsia="宋体" w:cs="宋体"/>
          <w:color w:val="auto"/>
          <w:highlight w:val="none"/>
          <w:u w:val="single" w:color="000000"/>
        </w:rPr>
        <w:t xml:space="preserve">         </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电子签章</w:t>
      </w:r>
      <w:r>
        <w:rPr>
          <w:rFonts w:hint="eastAsia" w:ascii="宋体" w:hAnsi="宋体" w:eastAsia="宋体" w:cs="宋体"/>
          <w:color w:val="auto"/>
          <w:highlight w:val="none"/>
        </w:rPr>
        <w:t>）</w:t>
      </w:r>
    </w:p>
    <w:p>
      <w:pPr>
        <w:pStyle w:val="19"/>
        <w:kinsoku w:val="0"/>
        <w:overflowPunct w:val="0"/>
        <w:spacing w:line="420" w:lineRule="auto"/>
        <w:ind w:right="637" w:firstLine="2520" w:firstLineChars="1050"/>
        <w:rPr>
          <w:rFonts w:hint="eastAsia" w:ascii="宋体" w:hAnsi="宋体" w:eastAsia="宋体" w:cs="宋体"/>
          <w:color w:val="auto"/>
          <w:highlight w:val="none"/>
        </w:rPr>
      </w:pPr>
      <w:r>
        <w:rPr>
          <w:rFonts w:hint="eastAsia" w:ascii="宋体" w:hAnsi="宋体" w:eastAsia="宋体" w:cs="宋体"/>
          <w:color w:val="auto"/>
          <w:highlight w:val="none"/>
        </w:rPr>
        <w:t>法定代表人或其委托代理人：</w:t>
      </w:r>
      <w:r>
        <w:rPr>
          <w:rFonts w:hint="eastAsia" w:ascii="宋体" w:hAnsi="宋体" w:eastAsia="宋体" w:cs="宋体"/>
          <w:color w:val="auto"/>
          <w:highlight w:val="none"/>
          <w:u w:val="single" w:color="000000"/>
        </w:rPr>
        <w:t xml:space="preserve"> </w:t>
      </w:r>
      <w:r>
        <w:rPr>
          <w:rFonts w:hint="eastAsia" w:ascii="宋体" w:hAnsi="宋体" w:eastAsia="宋体" w:cs="宋体"/>
          <w:color w:val="auto"/>
          <w:highlight w:val="none"/>
          <w:u w:val="single" w:color="000000"/>
        </w:rPr>
        <w:tab/>
      </w:r>
      <w:r>
        <w:rPr>
          <w:rFonts w:hint="eastAsia" w:ascii="宋体" w:hAnsi="宋体" w:eastAsia="宋体" w:cs="宋体"/>
          <w:color w:val="auto"/>
          <w:highlight w:val="none"/>
          <w:u w:val="single" w:color="000000"/>
        </w:rPr>
        <w:tab/>
      </w:r>
      <w:r>
        <w:rPr>
          <w:rFonts w:hint="eastAsia" w:ascii="宋体" w:hAnsi="宋体" w:eastAsia="宋体" w:cs="宋体"/>
          <w:color w:val="auto"/>
          <w:highlight w:val="none"/>
          <w:u w:val="single" w:color="000000"/>
        </w:rPr>
        <w:tab/>
      </w:r>
      <w:r>
        <w:rPr>
          <w:rFonts w:hint="eastAsia" w:ascii="宋体" w:hAnsi="宋体" w:eastAsia="宋体" w:cs="宋体"/>
          <w:color w:val="auto"/>
          <w:highlight w:val="none"/>
        </w:rPr>
        <w:t>（</w:t>
      </w:r>
      <w:r>
        <w:rPr>
          <w:rFonts w:hint="eastAsia" w:ascii="宋体" w:hAnsi="宋体" w:eastAsia="宋体" w:cs="宋体"/>
          <w:bCs/>
          <w:color w:val="auto"/>
          <w:highlight w:val="none"/>
        </w:rPr>
        <w:t>签字或盖章</w:t>
      </w:r>
      <w:r>
        <w:rPr>
          <w:rFonts w:hint="eastAsia" w:ascii="宋体" w:hAnsi="宋体" w:eastAsia="宋体" w:cs="宋体"/>
          <w:color w:val="auto"/>
          <w:highlight w:val="none"/>
        </w:rPr>
        <w:t xml:space="preserve">） </w:t>
      </w:r>
    </w:p>
    <w:p>
      <w:pPr>
        <w:pStyle w:val="19"/>
        <w:kinsoku w:val="0"/>
        <w:overflowPunct w:val="0"/>
        <w:spacing w:line="420" w:lineRule="auto"/>
        <w:ind w:left="3708" w:right="637" w:firstLine="640"/>
        <w:rPr>
          <w:rFonts w:hint="eastAsia" w:ascii="宋体" w:hAnsi="宋体" w:eastAsia="宋体" w:cs="宋体"/>
          <w:color w:val="auto"/>
          <w:highlight w:val="none"/>
        </w:rPr>
      </w:pPr>
      <w:r>
        <w:rPr>
          <w:rFonts w:hint="eastAsia" w:ascii="宋体" w:hAnsi="宋体" w:eastAsia="宋体" w:cs="宋体"/>
          <w:color w:val="auto"/>
          <w:highlight w:val="none"/>
        </w:rPr>
        <w:t>日</w:t>
      </w:r>
      <w:r>
        <w:rPr>
          <w:rFonts w:hint="eastAsia" w:ascii="宋体" w:hAnsi="宋体" w:eastAsia="宋体" w:cs="宋体"/>
          <w:color w:val="auto"/>
          <w:highlight w:val="none"/>
        </w:rPr>
        <w:tab/>
      </w:r>
      <w:r>
        <w:rPr>
          <w:rFonts w:hint="eastAsia" w:ascii="宋体" w:hAnsi="宋体" w:eastAsia="宋体" w:cs="宋体"/>
          <w:color w:val="auto"/>
          <w:highlight w:val="none"/>
        </w:rPr>
        <w:t>期：</w:t>
      </w:r>
      <w:r>
        <w:rPr>
          <w:rFonts w:hint="eastAsia" w:ascii="宋体" w:hAnsi="宋体" w:eastAsia="宋体" w:cs="宋体"/>
          <w:color w:val="auto"/>
          <w:highlight w:val="none"/>
          <w:u w:val="single" w:color="000000"/>
        </w:rPr>
        <w:t xml:space="preserve">  </w:t>
      </w:r>
      <w:r>
        <w:rPr>
          <w:rFonts w:hint="eastAsia" w:ascii="宋体" w:hAnsi="宋体" w:eastAsia="宋体" w:cs="宋体"/>
          <w:color w:val="auto"/>
          <w:highlight w:val="none"/>
          <w:u w:val="single" w:color="000000"/>
        </w:rPr>
        <w:tab/>
      </w:r>
      <w:r>
        <w:rPr>
          <w:rFonts w:hint="eastAsia" w:ascii="宋体" w:hAnsi="宋体" w:eastAsia="宋体" w:cs="宋体"/>
          <w:color w:val="auto"/>
          <w:highlight w:val="none"/>
        </w:rPr>
        <w:t>年</w:t>
      </w:r>
      <w:r>
        <w:rPr>
          <w:rFonts w:hint="eastAsia" w:ascii="宋体" w:hAnsi="宋体" w:eastAsia="宋体" w:cs="宋体"/>
          <w:color w:val="auto"/>
          <w:highlight w:val="none"/>
          <w:u w:val="single" w:color="000000"/>
        </w:rPr>
        <w:t xml:space="preserve"> </w:t>
      </w:r>
      <w:r>
        <w:rPr>
          <w:rFonts w:hint="eastAsia" w:ascii="宋体" w:hAnsi="宋体" w:eastAsia="宋体" w:cs="宋体"/>
          <w:color w:val="auto"/>
          <w:highlight w:val="none"/>
          <w:u w:val="single" w:color="000000"/>
        </w:rPr>
        <w:tab/>
      </w:r>
      <w:r>
        <w:rPr>
          <w:rFonts w:hint="eastAsia" w:ascii="宋体" w:hAnsi="宋体" w:eastAsia="宋体" w:cs="宋体"/>
          <w:color w:val="auto"/>
          <w:highlight w:val="none"/>
        </w:rPr>
        <w:t>月</w:t>
      </w:r>
      <w:r>
        <w:rPr>
          <w:rFonts w:hint="eastAsia" w:ascii="宋体" w:hAnsi="宋体" w:eastAsia="宋体" w:cs="宋体"/>
          <w:color w:val="auto"/>
          <w:highlight w:val="none"/>
          <w:u w:val="single" w:color="000000"/>
        </w:rPr>
        <w:t xml:space="preserve"> </w:t>
      </w:r>
      <w:r>
        <w:rPr>
          <w:rFonts w:hint="eastAsia" w:ascii="宋体" w:hAnsi="宋体" w:eastAsia="宋体" w:cs="宋体"/>
          <w:color w:val="auto"/>
          <w:highlight w:val="none"/>
          <w:u w:val="single" w:color="000000"/>
        </w:rPr>
        <w:tab/>
      </w:r>
      <w:r>
        <w:rPr>
          <w:rFonts w:hint="eastAsia" w:ascii="宋体" w:hAnsi="宋体" w:eastAsia="宋体" w:cs="宋体"/>
          <w:color w:val="auto"/>
          <w:highlight w:val="none"/>
        </w:rPr>
        <w:t>日</w:t>
      </w:r>
    </w:p>
    <w:p>
      <w:pPr>
        <w:pStyle w:val="19"/>
        <w:kinsoku w:val="0"/>
        <w:overflowPunct w:val="0"/>
        <w:spacing w:line="420" w:lineRule="auto"/>
        <w:ind w:left="3708" w:right="637" w:firstLine="640"/>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pPr>
        <w:pStyle w:val="5"/>
        <w:jc w:val="center"/>
        <w:rPr>
          <w:rFonts w:hint="eastAsia" w:ascii="宋体" w:hAnsi="宋体" w:eastAsia="宋体" w:cs="宋体"/>
          <w:color w:val="auto"/>
          <w:highlight w:val="none"/>
        </w:rPr>
      </w:pPr>
      <w:bookmarkStart w:id="75" w:name="_Toc520389628"/>
      <w:bookmarkEnd w:id="75"/>
      <w:bookmarkStart w:id="76" w:name="_Toc391363049"/>
      <w:bookmarkEnd w:id="76"/>
      <w:r>
        <w:rPr>
          <w:rFonts w:hint="eastAsia" w:ascii="宋体" w:hAnsi="宋体" w:cs="宋体"/>
          <w:color w:val="auto"/>
          <w:highlight w:val="none"/>
          <w:lang w:val="en-US" w:eastAsia="zh-CN"/>
        </w:rPr>
        <w:t>二</w:t>
      </w:r>
      <w:r>
        <w:rPr>
          <w:rFonts w:hint="eastAsia" w:ascii="宋体" w:hAnsi="宋体" w:eastAsia="宋体" w:cs="宋体"/>
          <w:color w:val="auto"/>
          <w:highlight w:val="none"/>
        </w:rPr>
        <w:t>、分项报价明细表</w:t>
      </w:r>
    </w:p>
    <w:p>
      <w:pPr>
        <w:spacing w:line="460" w:lineRule="exact"/>
        <w:ind w:right="480" w:firstLine="330" w:firstLineChars="150"/>
        <w:jc w:val="right"/>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rPr>
        <w:t>金额单位：人民币元</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1318"/>
        <w:gridCol w:w="810"/>
        <w:gridCol w:w="1140"/>
        <w:gridCol w:w="692"/>
        <w:gridCol w:w="870"/>
        <w:gridCol w:w="840"/>
        <w:gridCol w:w="1350"/>
        <w:gridCol w:w="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6" w:hRule="exact"/>
          <w:jc w:val="center"/>
        </w:trPr>
        <w:tc>
          <w:tcPr>
            <w:tcW w:w="68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序号</w:t>
            </w: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货物名称</w:t>
            </w:r>
          </w:p>
        </w:tc>
        <w:tc>
          <w:tcPr>
            <w:tcW w:w="8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品牌</w:t>
            </w: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规格型号</w:t>
            </w:r>
          </w:p>
        </w:tc>
        <w:tc>
          <w:tcPr>
            <w:tcW w:w="6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单位</w:t>
            </w:r>
          </w:p>
        </w:tc>
        <w:tc>
          <w:tcPr>
            <w:tcW w:w="87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数量</w:t>
            </w:r>
          </w:p>
        </w:tc>
        <w:tc>
          <w:tcPr>
            <w:tcW w:w="8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单价</w:t>
            </w:r>
          </w:p>
        </w:tc>
        <w:tc>
          <w:tcPr>
            <w:tcW w:w="13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金额</w:t>
            </w:r>
          </w:p>
        </w:tc>
        <w:tc>
          <w:tcPr>
            <w:tcW w:w="83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firstLine="110" w:firstLineChars="5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8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6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87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8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13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83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8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6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87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8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13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83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8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6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87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8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13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83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8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6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87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8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13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83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8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6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87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8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13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83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0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总价</w:t>
            </w:r>
          </w:p>
        </w:tc>
        <w:tc>
          <w:tcPr>
            <w:tcW w:w="6539"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r>
    </w:tbl>
    <w:p>
      <w:pPr>
        <w:spacing w:line="400" w:lineRule="exact"/>
        <w:ind w:left="840" w:hanging="840" w:hangingChars="350"/>
        <w:rPr>
          <w:rFonts w:hint="eastAsia" w:ascii="宋体" w:hAnsi="宋体" w:eastAsia="宋体" w:cs="宋体"/>
          <w:color w:val="auto"/>
          <w:sz w:val="24"/>
          <w:highlight w:val="none"/>
        </w:rPr>
      </w:pPr>
    </w:p>
    <w:p>
      <w:pPr>
        <w:spacing w:line="400" w:lineRule="exact"/>
        <w:ind w:left="840" w:hanging="840" w:hangingChars="350"/>
        <w:rPr>
          <w:rFonts w:hint="eastAsia" w:ascii="宋体" w:hAnsi="宋体" w:eastAsia="宋体" w:cs="宋体"/>
          <w:color w:val="auto"/>
          <w:sz w:val="24"/>
          <w:highlight w:val="none"/>
        </w:rPr>
      </w:pPr>
    </w:p>
    <w:p>
      <w:pPr>
        <w:spacing w:line="400" w:lineRule="exact"/>
        <w:ind w:left="840" w:hanging="840" w:hangingChars="350"/>
        <w:rPr>
          <w:rFonts w:hint="eastAsia" w:ascii="宋体" w:hAnsi="宋体" w:eastAsia="宋体" w:cs="宋体"/>
          <w:color w:val="auto"/>
          <w:sz w:val="24"/>
          <w:highlight w:val="none"/>
        </w:rPr>
      </w:pPr>
    </w:p>
    <w:p>
      <w:pPr>
        <w:spacing w:line="400" w:lineRule="exact"/>
        <w:ind w:left="840" w:hanging="840" w:hangingChars="350"/>
        <w:rPr>
          <w:rFonts w:hint="eastAsia" w:ascii="宋体" w:hAnsi="宋体" w:eastAsia="宋体" w:cs="宋体"/>
          <w:color w:val="auto"/>
          <w:sz w:val="24"/>
          <w:highlight w:val="none"/>
        </w:rPr>
      </w:pPr>
    </w:p>
    <w:p>
      <w:pPr>
        <w:spacing w:line="400" w:lineRule="exact"/>
        <w:ind w:left="840" w:hanging="840" w:hangingChars="350"/>
        <w:rPr>
          <w:rFonts w:hint="eastAsia" w:ascii="宋体" w:hAnsi="宋体" w:eastAsia="宋体" w:cs="宋体"/>
          <w:bCs/>
          <w:color w:val="auto"/>
          <w:sz w:val="24"/>
          <w:highlight w:val="none"/>
        </w:rPr>
      </w:pPr>
      <w:r>
        <w:rPr>
          <w:rFonts w:hint="eastAsia" w:ascii="宋体" w:hAnsi="宋体" w:eastAsia="宋体" w:cs="宋体"/>
          <w:color w:val="auto"/>
          <w:sz w:val="24"/>
          <w:highlight w:val="none"/>
        </w:rPr>
        <w:t>注：1、</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必须按“</w:t>
      </w:r>
      <w:r>
        <w:rPr>
          <w:rFonts w:hint="eastAsia" w:ascii="宋体" w:hAnsi="宋体" w:eastAsia="宋体" w:cs="宋体"/>
          <w:bCs/>
          <w:color w:val="auto"/>
          <w:sz w:val="24"/>
          <w:highlight w:val="none"/>
        </w:rPr>
        <w:t>分项报价明细表”的格式</w:t>
      </w:r>
      <w:r>
        <w:rPr>
          <w:rFonts w:hint="eastAsia" w:ascii="宋体" w:hAnsi="宋体" w:eastAsia="宋体" w:cs="宋体"/>
          <w:color w:val="auto"/>
          <w:sz w:val="24"/>
          <w:highlight w:val="none"/>
        </w:rPr>
        <w:t>详细报出投标总价的各个组成部分的报价，否则作无效投标处理。</w:t>
      </w:r>
    </w:p>
    <w:p>
      <w:pPr>
        <w:spacing w:line="400" w:lineRule="exact"/>
        <w:jc w:val="left"/>
        <w:rPr>
          <w:rFonts w:hint="eastAsia" w:ascii="宋体" w:hAnsi="宋体" w:eastAsia="宋体" w:cs="宋体"/>
          <w:b/>
          <w:bCs/>
          <w:color w:val="auto"/>
          <w:sz w:val="24"/>
          <w:highlight w:val="none"/>
        </w:rPr>
      </w:pPr>
      <w:r>
        <w:rPr>
          <w:rFonts w:hint="eastAsia" w:ascii="宋体" w:hAnsi="宋体" w:eastAsia="宋体" w:cs="宋体"/>
          <w:bCs/>
          <w:color w:val="auto"/>
          <w:sz w:val="24"/>
          <w:highlight w:val="none"/>
        </w:rPr>
        <w:t xml:space="preserve">    2、</w:t>
      </w:r>
      <w:r>
        <w:rPr>
          <w:rFonts w:hint="eastAsia" w:ascii="宋体" w:hAnsi="宋体" w:eastAsia="宋体" w:cs="宋体"/>
          <w:color w:val="auto"/>
          <w:sz w:val="24"/>
          <w:highlight w:val="none"/>
        </w:rPr>
        <w:t>“</w:t>
      </w:r>
      <w:r>
        <w:rPr>
          <w:rFonts w:hint="eastAsia" w:ascii="宋体" w:hAnsi="宋体" w:eastAsia="宋体" w:cs="宋体"/>
          <w:bCs/>
          <w:color w:val="auto"/>
          <w:sz w:val="24"/>
          <w:highlight w:val="none"/>
        </w:rPr>
        <w:t>分项报价明细表”各分项报价合计应当与“投标函附录”报价合计相等。</w:t>
      </w:r>
    </w:p>
    <w:p>
      <w:pPr>
        <w:pStyle w:val="19"/>
        <w:kinsoku w:val="0"/>
        <w:wordWrap w:val="0"/>
        <w:overflowPunct w:val="0"/>
        <w:spacing w:line="420" w:lineRule="auto"/>
        <w:ind w:right="637"/>
        <w:jc w:val="right"/>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w:t>
      </w:r>
      <w:r>
        <w:rPr>
          <w:rFonts w:hint="eastAsia" w:ascii="宋体" w:hAnsi="宋体" w:eastAsia="宋体" w:cs="宋体"/>
          <w:color w:val="auto"/>
          <w:highlight w:val="none"/>
          <w:u w:val="single" w:color="000000"/>
        </w:rPr>
        <w:t xml:space="preserve">              </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电子签章</w:t>
      </w:r>
      <w:r>
        <w:rPr>
          <w:rFonts w:hint="eastAsia" w:ascii="宋体" w:hAnsi="宋体" w:eastAsia="宋体" w:cs="宋体"/>
          <w:color w:val="auto"/>
          <w:highlight w:val="none"/>
        </w:rPr>
        <w:t xml:space="preserve">） </w:t>
      </w:r>
    </w:p>
    <w:p>
      <w:pPr>
        <w:pStyle w:val="19"/>
        <w:kinsoku w:val="0"/>
        <w:overflowPunct w:val="0"/>
        <w:spacing w:line="420" w:lineRule="auto"/>
        <w:ind w:right="637"/>
        <w:jc w:val="right"/>
        <w:rPr>
          <w:rFonts w:hint="eastAsia" w:ascii="宋体" w:hAnsi="宋体" w:eastAsia="宋体" w:cs="宋体"/>
          <w:color w:val="auto"/>
          <w:highlight w:val="none"/>
        </w:rPr>
      </w:pPr>
      <w:r>
        <w:rPr>
          <w:rFonts w:hint="eastAsia" w:ascii="宋体" w:hAnsi="宋体" w:eastAsia="宋体" w:cs="宋体"/>
          <w:color w:val="auto"/>
          <w:highlight w:val="none"/>
        </w:rPr>
        <w:t>法定代表人或其委托代理人：</w:t>
      </w:r>
      <w:r>
        <w:rPr>
          <w:rFonts w:hint="eastAsia" w:ascii="宋体" w:hAnsi="宋体" w:eastAsia="宋体" w:cs="宋体"/>
          <w:color w:val="auto"/>
          <w:highlight w:val="none"/>
          <w:u w:val="single" w:color="000000"/>
        </w:rPr>
        <w:t xml:space="preserve">  </w:t>
      </w:r>
      <w:r>
        <w:rPr>
          <w:rFonts w:hint="eastAsia" w:ascii="宋体" w:hAnsi="宋体" w:eastAsia="宋体" w:cs="宋体"/>
          <w:color w:val="auto"/>
          <w:highlight w:val="none"/>
          <w:u w:val="single" w:color="000000"/>
        </w:rPr>
        <w:tab/>
      </w:r>
      <w:r>
        <w:rPr>
          <w:rFonts w:hint="eastAsia" w:ascii="宋体" w:hAnsi="宋体" w:eastAsia="宋体" w:cs="宋体"/>
          <w:color w:val="auto"/>
          <w:highlight w:val="none"/>
        </w:rPr>
        <w:t>（</w:t>
      </w:r>
      <w:r>
        <w:rPr>
          <w:rFonts w:hint="eastAsia" w:ascii="宋体" w:hAnsi="宋体" w:eastAsia="宋体" w:cs="宋体"/>
          <w:bCs/>
          <w:color w:val="auto"/>
          <w:highlight w:val="none"/>
        </w:rPr>
        <w:t>签字或盖章</w:t>
      </w:r>
      <w:r>
        <w:rPr>
          <w:rFonts w:hint="eastAsia" w:ascii="宋体" w:hAnsi="宋体" w:eastAsia="宋体" w:cs="宋体"/>
          <w:color w:val="auto"/>
          <w:highlight w:val="none"/>
        </w:rPr>
        <w:t xml:space="preserve">） </w:t>
      </w:r>
    </w:p>
    <w:p>
      <w:pPr>
        <w:pStyle w:val="19"/>
        <w:kinsoku w:val="0"/>
        <w:overflowPunct w:val="0"/>
        <w:spacing w:line="420" w:lineRule="auto"/>
        <w:ind w:left="3708" w:right="637" w:firstLine="1447" w:firstLineChars="603"/>
        <w:rPr>
          <w:rFonts w:hint="eastAsia" w:ascii="宋体" w:hAnsi="宋体" w:eastAsia="宋体" w:cs="宋体"/>
          <w:color w:val="auto"/>
          <w:highlight w:val="none"/>
        </w:rPr>
      </w:pPr>
      <w:r>
        <w:rPr>
          <w:rFonts w:hint="eastAsia" w:ascii="宋体" w:hAnsi="宋体" w:eastAsia="宋体" w:cs="宋体"/>
          <w:color w:val="auto"/>
          <w:highlight w:val="none"/>
        </w:rPr>
        <w:t>日</w:t>
      </w:r>
      <w:r>
        <w:rPr>
          <w:rFonts w:hint="eastAsia" w:ascii="宋体" w:hAnsi="宋体" w:eastAsia="宋体" w:cs="宋体"/>
          <w:color w:val="auto"/>
          <w:highlight w:val="none"/>
        </w:rPr>
        <w:tab/>
      </w:r>
      <w:r>
        <w:rPr>
          <w:rFonts w:hint="eastAsia" w:ascii="宋体" w:hAnsi="宋体" w:eastAsia="宋体" w:cs="宋体"/>
          <w:color w:val="auto"/>
          <w:highlight w:val="none"/>
        </w:rPr>
        <w:t>期：</w:t>
      </w:r>
      <w:r>
        <w:rPr>
          <w:rFonts w:hint="eastAsia" w:ascii="宋体" w:hAnsi="宋体" w:eastAsia="宋体" w:cs="宋体"/>
          <w:color w:val="auto"/>
          <w:highlight w:val="none"/>
          <w:u w:val="single" w:color="000000"/>
        </w:rPr>
        <w:t xml:space="preserve">  </w:t>
      </w:r>
      <w:r>
        <w:rPr>
          <w:rFonts w:hint="eastAsia" w:ascii="宋体" w:hAnsi="宋体" w:eastAsia="宋体" w:cs="宋体"/>
          <w:color w:val="auto"/>
          <w:highlight w:val="none"/>
          <w:u w:val="single" w:color="000000"/>
        </w:rPr>
        <w:tab/>
      </w:r>
      <w:r>
        <w:rPr>
          <w:rFonts w:hint="eastAsia" w:ascii="宋体" w:hAnsi="宋体" w:eastAsia="宋体" w:cs="宋体"/>
          <w:color w:val="auto"/>
          <w:highlight w:val="none"/>
        </w:rPr>
        <w:t>年</w:t>
      </w:r>
      <w:r>
        <w:rPr>
          <w:rFonts w:hint="eastAsia" w:ascii="宋体" w:hAnsi="宋体" w:eastAsia="宋体" w:cs="宋体"/>
          <w:color w:val="auto"/>
          <w:highlight w:val="none"/>
          <w:u w:val="single" w:color="000000"/>
        </w:rPr>
        <w:t xml:space="preserve"> </w:t>
      </w:r>
      <w:r>
        <w:rPr>
          <w:rFonts w:hint="eastAsia" w:ascii="宋体" w:hAnsi="宋体" w:eastAsia="宋体" w:cs="宋体"/>
          <w:color w:val="auto"/>
          <w:highlight w:val="none"/>
          <w:u w:val="single" w:color="000000"/>
        </w:rPr>
        <w:tab/>
      </w:r>
      <w:r>
        <w:rPr>
          <w:rFonts w:hint="eastAsia" w:ascii="宋体" w:hAnsi="宋体" w:eastAsia="宋体" w:cs="宋体"/>
          <w:color w:val="auto"/>
          <w:highlight w:val="none"/>
        </w:rPr>
        <w:t>月</w:t>
      </w:r>
      <w:r>
        <w:rPr>
          <w:rFonts w:hint="eastAsia" w:ascii="宋体" w:hAnsi="宋体" w:eastAsia="宋体" w:cs="宋体"/>
          <w:color w:val="auto"/>
          <w:highlight w:val="none"/>
          <w:u w:val="single" w:color="000000"/>
        </w:rPr>
        <w:t xml:space="preserve"> </w:t>
      </w:r>
      <w:r>
        <w:rPr>
          <w:rFonts w:hint="eastAsia" w:ascii="宋体" w:hAnsi="宋体" w:eastAsia="宋体" w:cs="宋体"/>
          <w:color w:val="auto"/>
          <w:highlight w:val="none"/>
          <w:u w:val="single" w:color="000000"/>
        </w:rPr>
        <w:tab/>
      </w:r>
      <w:r>
        <w:rPr>
          <w:rFonts w:hint="eastAsia" w:ascii="宋体" w:hAnsi="宋体" w:eastAsia="宋体" w:cs="宋体"/>
          <w:color w:val="auto"/>
          <w:highlight w:val="none"/>
        </w:rPr>
        <w:t>日</w:t>
      </w:r>
    </w:p>
    <w:p>
      <w:pPr>
        <w:pStyle w:val="19"/>
        <w:kinsoku w:val="0"/>
        <w:overflowPunct w:val="0"/>
        <w:spacing w:line="420" w:lineRule="auto"/>
        <w:ind w:left="3708" w:right="637" w:firstLine="640"/>
        <w:rPr>
          <w:rFonts w:hint="eastAsia" w:ascii="宋体" w:hAnsi="宋体" w:eastAsia="宋体" w:cs="宋体"/>
          <w:color w:val="auto"/>
          <w:highlight w:val="none"/>
        </w:rPr>
      </w:pPr>
    </w:p>
    <w:p>
      <w:pPr>
        <w:pStyle w:val="19"/>
        <w:kinsoku w:val="0"/>
        <w:overflowPunct w:val="0"/>
        <w:spacing w:line="420" w:lineRule="auto"/>
        <w:ind w:left="3708" w:right="637" w:firstLine="640"/>
        <w:rPr>
          <w:rFonts w:hint="eastAsia" w:ascii="宋体" w:hAnsi="宋体" w:eastAsia="宋体" w:cs="宋体"/>
          <w:color w:val="auto"/>
          <w:highlight w:val="none"/>
        </w:rPr>
      </w:pPr>
    </w:p>
    <w:p>
      <w:pPr>
        <w:pStyle w:val="5"/>
        <w:numPr>
          <w:ilvl w:val="0"/>
          <w:numId w:val="0"/>
        </w:numPr>
        <w:jc w:val="center"/>
        <w:rPr>
          <w:rFonts w:hint="eastAsia" w:ascii="宋体" w:hAnsi="宋体" w:eastAsia="宋体" w:cs="宋体"/>
          <w:color w:val="auto"/>
          <w:highlight w:val="none"/>
        </w:rPr>
      </w:pPr>
      <w:r>
        <w:rPr>
          <w:rFonts w:hint="eastAsia" w:ascii="宋体" w:hAnsi="宋体" w:cs="宋体"/>
          <w:color w:val="auto"/>
          <w:highlight w:val="none"/>
          <w:lang w:val="en-US" w:eastAsia="zh-CN"/>
        </w:rPr>
        <w:t>三、</w:t>
      </w:r>
      <w:r>
        <w:rPr>
          <w:rFonts w:hint="eastAsia" w:ascii="宋体" w:hAnsi="宋体" w:eastAsia="宋体" w:cs="宋体"/>
          <w:color w:val="auto"/>
          <w:highlight w:val="none"/>
        </w:rPr>
        <w:t>法定代表人身份证明</w:t>
      </w:r>
    </w:p>
    <w:p>
      <w:pPr>
        <w:bidi w:val="0"/>
        <w:jc w:val="right"/>
        <w:rPr>
          <w:rFonts w:hint="eastAsia" w:ascii="宋体" w:hAnsi="宋体" w:eastAsia="宋体" w:cs="宋体"/>
          <w:color w:val="auto"/>
          <w:sz w:val="24"/>
          <w:szCs w:val="24"/>
          <w:highlight w:val="none"/>
          <w:lang w:eastAsia="zh-CN"/>
        </w:rPr>
      </w:pPr>
    </w:p>
    <w:p>
      <w:pPr>
        <w:pStyle w:val="20"/>
        <w:rPr>
          <w:rFonts w:hint="eastAsia" w:ascii="宋体" w:hAnsi="宋体" w:eastAsia="宋体" w:cs="宋体"/>
          <w:color w:val="auto"/>
          <w:sz w:val="24"/>
          <w:szCs w:val="24"/>
          <w:highlight w:val="none"/>
          <w:lang w:eastAsia="zh-CN"/>
        </w:rPr>
      </w:pPr>
    </w:p>
    <w:p>
      <w:pPr>
        <w:rPr>
          <w:rFonts w:hint="eastAsia" w:ascii="宋体" w:hAnsi="宋体" w:eastAsia="宋体" w:cs="宋体"/>
          <w:color w:val="auto"/>
          <w:sz w:val="24"/>
          <w:szCs w:val="24"/>
          <w:highlight w:val="none"/>
          <w:lang w:eastAsia="zh-CN"/>
        </w:rPr>
      </w:pPr>
    </w:p>
    <w:p>
      <w:pPr>
        <w:pStyle w:val="20"/>
        <w:rPr>
          <w:rFonts w:hint="eastAsia" w:ascii="宋体" w:hAnsi="宋体" w:eastAsia="宋体" w:cs="宋体"/>
          <w:color w:val="auto"/>
          <w:highlight w:val="none"/>
          <w:lang w:eastAsia="zh-CN"/>
        </w:rPr>
      </w:pPr>
    </w:p>
    <w:p>
      <w:pPr>
        <w:adjustRightInd w:val="0"/>
        <w:snapToGrid w:val="0"/>
        <w:spacing w:line="360" w:lineRule="auto"/>
        <w:ind w:firstLine="523" w:firstLineChars="218"/>
        <w:rPr>
          <w:rFonts w:hint="eastAsia" w:ascii="宋体" w:hAnsi="宋体" w:eastAsia="宋体" w:cs="宋体"/>
          <w:color w:val="auto"/>
          <w:sz w:val="24"/>
          <w:szCs w:val="24"/>
          <w:highlight w:val="none"/>
        </w:rPr>
      </w:pPr>
      <w:bookmarkStart w:id="77" w:name="_Toc520389629"/>
      <w:bookmarkEnd w:id="77"/>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u w:val="single"/>
        </w:rPr>
        <w:t xml:space="preserve">                                </w:t>
      </w:r>
    </w:p>
    <w:p>
      <w:pPr>
        <w:adjustRightInd w:val="0"/>
        <w:snapToGrid w:val="0"/>
        <w:spacing w:line="360" w:lineRule="auto"/>
        <w:ind w:firstLine="523" w:firstLineChars="21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单位性质：</w:t>
      </w:r>
      <w:r>
        <w:rPr>
          <w:rFonts w:hint="eastAsia" w:ascii="宋体" w:hAnsi="宋体" w:eastAsia="宋体" w:cs="宋体"/>
          <w:color w:val="auto"/>
          <w:sz w:val="24"/>
          <w:szCs w:val="24"/>
          <w:highlight w:val="none"/>
          <w:u w:val="single"/>
        </w:rPr>
        <w:t xml:space="preserve">                                  </w:t>
      </w:r>
    </w:p>
    <w:p>
      <w:pPr>
        <w:adjustRightInd w:val="0"/>
        <w:snapToGrid w:val="0"/>
        <w:spacing w:line="360" w:lineRule="auto"/>
        <w:ind w:firstLine="523" w:firstLineChars="21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p>
    <w:p>
      <w:pPr>
        <w:adjustRightInd w:val="0"/>
        <w:snapToGrid w:val="0"/>
        <w:spacing w:line="360" w:lineRule="auto"/>
        <w:ind w:firstLine="523" w:firstLineChars="21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adjustRightInd w:val="0"/>
        <w:snapToGrid w:val="0"/>
        <w:spacing w:line="360" w:lineRule="auto"/>
        <w:ind w:firstLine="523" w:firstLineChars="218"/>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经营期限：</w:t>
      </w:r>
      <w:r>
        <w:rPr>
          <w:rFonts w:hint="eastAsia" w:ascii="宋体" w:hAnsi="宋体" w:eastAsia="宋体" w:cs="宋体"/>
          <w:color w:val="auto"/>
          <w:sz w:val="24"/>
          <w:szCs w:val="24"/>
          <w:highlight w:val="none"/>
          <w:u w:val="single"/>
        </w:rPr>
        <w:t xml:space="preserve">                                  </w:t>
      </w:r>
    </w:p>
    <w:p>
      <w:pPr>
        <w:adjustRightInd w:val="0"/>
        <w:snapToGrid w:val="0"/>
        <w:spacing w:line="360" w:lineRule="auto"/>
        <w:ind w:firstLine="523" w:firstLineChars="21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p>
    <w:p>
      <w:pPr>
        <w:adjustRightInd w:val="0"/>
        <w:snapToGrid w:val="0"/>
        <w:spacing w:line="360" w:lineRule="auto"/>
        <w:ind w:firstLine="523" w:firstLineChars="21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名称）的法定代表人。</w:t>
      </w:r>
    </w:p>
    <w:p>
      <w:pPr>
        <w:adjustRightInd w:val="0"/>
        <w:snapToGrid w:val="0"/>
        <w:spacing w:line="360" w:lineRule="auto"/>
        <w:ind w:firstLine="523" w:firstLineChars="21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adjustRightInd w:val="0"/>
        <w:snapToGrid w:val="0"/>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电子签章</w:t>
      </w:r>
      <w:r>
        <w:rPr>
          <w:rFonts w:hint="eastAsia" w:ascii="宋体" w:hAnsi="宋体" w:eastAsia="宋体" w:cs="宋体"/>
          <w:color w:val="auto"/>
          <w:sz w:val="24"/>
          <w:szCs w:val="24"/>
          <w:highlight w:val="none"/>
        </w:rPr>
        <w:t>）</w:t>
      </w:r>
    </w:p>
    <w:p>
      <w:pPr>
        <w:adjustRightInd w:val="0"/>
        <w:snapToGrid w:val="0"/>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adjustRightInd w:val="0"/>
        <w:snapToGrid w:val="0"/>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widowControl/>
        <w:jc w:val="left"/>
        <w:rPr>
          <w:rFonts w:hint="eastAsia" w:ascii="宋体" w:hAnsi="宋体" w:eastAsia="宋体" w:cs="宋体"/>
          <w:b/>
          <w:bCs/>
          <w:color w:val="auto"/>
          <w:kern w:val="0"/>
          <w:sz w:val="24"/>
          <w:szCs w:val="24"/>
          <w:highlight w:val="none"/>
        </w:rPr>
        <w:sectPr>
          <w:pgSz w:w="11906" w:h="16838"/>
          <w:pgMar w:top="1418" w:right="1247" w:bottom="1361" w:left="1418" w:header="720" w:footer="720" w:gutter="0"/>
          <w:pgBorders>
            <w:top w:val="none" w:sz="0" w:space="0"/>
            <w:left w:val="none" w:sz="0" w:space="0"/>
            <w:bottom w:val="none" w:sz="0" w:space="0"/>
            <w:right w:val="none" w:sz="0" w:space="0"/>
          </w:pgBorders>
          <w:cols w:space="720" w:num="1"/>
          <w:docGrid w:type="lines" w:linePitch="312" w:charSpace="0"/>
        </w:sectPr>
      </w:pPr>
    </w:p>
    <w:p>
      <w:pPr>
        <w:pStyle w:val="5"/>
        <w:jc w:val="center"/>
        <w:rPr>
          <w:rFonts w:hint="eastAsia" w:ascii="宋体" w:hAnsi="宋体" w:eastAsia="宋体" w:cs="宋体"/>
          <w:color w:val="auto"/>
          <w:highlight w:val="none"/>
        </w:rPr>
      </w:pPr>
      <w:bookmarkStart w:id="78" w:name="_Toc202941490"/>
      <w:bookmarkEnd w:id="78"/>
      <w:bookmarkStart w:id="79" w:name="_Toc391363051"/>
      <w:bookmarkEnd w:id="79"/>
      <w:r>
        <w:rPr>
          <w:rFonts w:hint="eastAsia" w:ascii="宋体" w:hAnsi="宋体" w:cs="宋体"/>
          <w:color w:val="auto"/>
          <w:highlight w:val="none"/>
          <w:lang w:val="en-US" w:eastAsia="zh-CN"/>
        </w:rPr>
        <w:t>四</w:t>
      </w:r>
      <w:r>
        <w:rPr>
          <w:rFonts w:hint="eastAsia" w:ascii="宋体" w:hAnsi="宋体" w:eastAsia="宋体" w:cs="宋体"/>
          <w:color w:val="auto"/>
          <w:highlight w:val="none"/>
        </w:rPr>
        <w:t>、授权委托书</w:t>
      </w:r>
    </w:p>
    <w:p>
      <w:pPr>
        <w:bidi w:val="0"/>
        <w:jc w:val="right"/>
        <w:rPr>
          <w:rFonts w:hint="eastAsia" w:ascii="宋体" w:hAnsi="宋体" w:eastAsia="宋体" w:cs="宋体"/>
          <w:color w:val="auto"/>
          <w:sz w:val="24"/>
          <w:szCs w:val="24"/>
          <w:highlight w:val="none"/>
          <w:lang w:eastAsia="zh-CN"/>
        </w:rPr>
      </w:pPr>
    </w:p>
    <w:p>
      <w:pPr>
        <w:adjustRightInd w:val="0"/>
        <w:snapToGrid w:val="0"/>
        <w:spacing w:line="360" w:lineRule="auto"/>
        <w:ind w:firstLine="480" w:firstLineChars="200"/>
        <w:rPr>
          <w:rFonts w:hint="eastAsia" w:ascii="宋体" w:hAnsi="宋体" w:eastAsia="宋体" w:cs="宋体"/>
          <w:color w:val="auto"/>
          <w:sz w:val="24"/>
          <w:szCs w:val="24"/>
          <w:highlight w:val="none"/>
        </w:rPr>
      </w:pP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（姓名）系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名称）的法定代表人，现委托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（姓名）为我方代理人。代理人根据授权，以我方名义签署、澄清、说明、补正、递交、撤回、 修改</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项目名称</w:t>
      </w:r>
      <w:r>
        <w:rPr>
          <w:rFonts w:hint="eastAsia" w:ascii="宋体" w:hAnsi="宋体" w:eastAsia="宋体" w:cs="宋体"/>
          <w:color w:val="auto"/>
          <w:sz w:val="24"/>
          <w:szCs w:val="24"/>
          <w:highlight w:val="none"/>
        </w:rPr>
        <w:t>）投标文件、签订合同和处理有关事宜，其法律后果由我方承担。</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代理人无转委托权。 </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附：法定代表人身份证和授权委托人身份证</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adjustRightInd w:val="0"/>
        <w:snapToGrid w:val="0"/>
        <w:spacing w:line="360" w:lineRule="auto"/>
        <w:ind w:firstLine="628" w:firstLineChars="26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adjustRightInd w:val="0"/>
        <w:snapToGrid w:val="0"/>
        <w:spacing w:line="360" w:lineRule="auto"/>
        <w:ind w:firstLine="628" w:firstLineChars="26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电子签章</w:t>
      </w:r>
      <w:r>
        <w:rPr>
          <w:rFonts w:hint="eastAsia" w:ascii="宋体" w:hAnsi="宋体" w:eastAsia="宋体" w:cs="宋体"/>
          <w:color w:val="auto"/>
          <w:sz w:val="24"/>
          <w:szCs w:val="24"/>
          <w:highlight w:val="none"/>
        </w:rPr>
        <w:t>）</w:t>
      </w:r>
    </w:p>
    <w:p>
      <w:pPr>
        <w:adjustRightInd w:val="0"/>
        <w:snapToGrid w:val="0"/>
        <w:spacing w:line="360" w:lineRule="auto"/>
        <w:ind w:firstLine="628" w:firstLineChars="26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pPr>
        <w:adjustRightInd w:val="0"/>
        <w:snapToGrid w:val="0"/>
        <w:spacing w:line="360" w:lineRule="auto"/>
        <w:ind w:firstLine="628" w:firstLineChars="26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p>
    <w:p>
      <w:pPr>
        <w:adjustRightInd w:val="0"/>
        <w:snapToGrid w:val="0"/>
        <w:spacing w:line="360" w:lineRule="auto"/>
        <w:ind w:firstLine="628" w:firstLineChars="26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pPr>
        <w:adjustRightInd w:val="0"/>
        <w:snapToGrid w:val="0"/>
        <w:spacing w:line="360" w:lineRule="auto"/>
        <w:ind w:firstLine="628" w:firstLineChars="26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p>
    <w:p>
      <w:pPr>
        <w:adjustRightInd w:val="0"/>
        <w:snapToGrid w:val="0"/>
        <w:spacing w:line="360" w:lineRule="auto"/>
        <w:ind w:firstLine="628" w:firstLineChars="26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pStyle w:val="5"/>
        <w:jc w:val="center"/>
        <w:rPr>
          <w:rFonts w:hint="eastAsia" w:ascii="宋体" w:hAnsi="宋体" w:eastAsia="宋体" w:cs="宋体"/>
          <w:color w:val="auto"/>
          <w:highlight w:val="none"/>
        </w:rPr>
      </w:pPr>
      <w:bookmarkStart w:id="80" w:name="_Toc391363052"/>
      <w:bookmarkEnd w:id="80"/>
      <w:r>
        <w:rPr>
          <w:rFonts w:hint="eastAsia" w:ascii="宋体" w:hAnsi="宋体" w:eastAsia="宋体" w:cs="宋体"/>
          <w:b w:val="0"/>
          <w:bCs w:val="0"/>
          <w:i/>
          <w:iCs/>
          <w:color w:val="auto"/>
          <w:sz w:val="24"/>
          <w:szCs w:val="24"/>
          <w:highlight w:val="none"/>
        </w:rPr>
        <w:br w:type="page"/>
      </w:r>
      <w:bookmarkStart w:id="81" w:name="_Toc520389631"/>
      <w:bookmarkEnd w:id="81"/>
      <w:r>
        <w:rPr>
          <w:rFonts w:hint="eastAsia" w:ascii="宋体" w:hAnsi="宋体" w:cs="宋体"/>
          <w:color w:val="auto"/>
          <w:highlight w:val="none"/>
          <w:lang w:val="en-US" w:eastAsia="zh-CN"/>
        </w:rPr>
        <w:t>五</w:t>
      </w:r>
      <w:r>
        <w:rPr>
          <w:rFonts w:hint="eastAsia" w:ascii="宋体" w:hAnsi="宋体" w:eastAsia="宋体" w:cs="宋体"/>
          <w:color w:val="auto"/>
          <w:highlight w:val="none"/>
        </w:rPr>
        <w:t>、技术部分</w:t>
      </w:r>
    </w:p>
    <w:p>
      <w:pPr>
        <w:pStyle w:val="6"/>
        <w:jc w:val="center"/>
        <w:rPr>
          <w:rFonts w:hint="eastAsia" w:ascii="宋体" w:hAnsi="宋体" w:eastAsia="宋体" w:cs="宋体"/>
          <w:color w:val="auto"/>
          <w:highlight w:val="none"/>
        </w:rPr>
      </w:pPr>
      <w:r>
        <w:rPr>
          <w:rFonts w:hint="eastAsia" w:ascii="宋体" w:hAnsi="宋体" w:eastAsia="宋体" w:cs="宋体"/>
          <w:color w:val="auto"/>
          <w:highlight w:val="none"/>
        </w:rPr>
        <w:t>技术规格响应/偏离表</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1635"/>
        <w:gridCol w:w="1634"/>
        <w:gridCol w:w="1635"/>
        <w:gridCol w:w="2180"/>
        <w:gridCol w:w="1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92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32"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635"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432"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货物名称</w:t>
            </w:r>
          </w:p>
        </w:tc>
        <w:tc>
          <w:tcPr>
            <w:tcW w:w="1634"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432"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招标规格</w:t>
            </w:r>
          </w:p>
        </w:tc>
        <w:tc>
          <w:tcPr>
            <w:tcW w:w="1635"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432"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投标规格</w:t>
            </w:r>
          </w:p>
        </w:tc>
        <w:tc>
          <w:tcPr>
            <w:tcW w:w="218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432"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偏离情况说明</w:t>
            </w:r>
          </w:p>
        </w:tc>
        <w:tc>
          <w:tcPr>
            <w:tcW w:w="127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432" w:lineRule="auto"/>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92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32" w:lineRule="auto"/>
              <w:ind w:left="0" w:right="0"/>
              <w:jc w:val="center"/>
              <w:rPr>
                <w:rFonts w:hint="eastAsia" w:ascii="宋体" w:hAnsi="宋体" w:eastAsia="宋体" w:cs="宋体"/>
                <w:color w:val="auto"/>
                <w:sz w:val="24"/>
                <w:szCs w:val="24"/>
                <w:highlight w:val="none"/>
              </w:rPr>
            </w:pPr>
          </w:p>
        </w:tc>
        <w:tc>
          <w:tcPr>
            <w:tcW w:w="1635"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432" w:lineRule="auto"/>
              <w:ind w:left="0" w:right="0"/>
              <w:jc w:val="center"/>
              <w:rPr>
                <w:rFonts w:hint="eastAsia" w:ascii="宋体" w:hAnsi="宋体" w:eastAsia="宋体" w:cs="宋体"/>
                <w:color w:val="auto"/>
                <w:sz w:val="24"/>
                <w:szCs w:val="24"/>
                <w:highlight w:val="none"/>
              </w:rPr>
            </w:pPr>
          </w:p>
        </w:tc>
        <w:tc>
          <w:tcPr>
            <w:tcW w:w="1634"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432" w:lineRule="auto"/>
              <w:ind w:left="0" w:right="0"/>
              <w:jc w:val="center"/>
              <w:rPr>
                <w:rFonts w:hint="eastAsia" w:ascii="宋体" w:hAnsi="宋体" w:eastAsia="宋体" w:cs="宋体"/>
                <w:color w:val="auto"/>
                <w:sz w:val="24"/>
                <w:szCs w:val="24"/>
                <w:highlight w:val="none"/>
              </w:rPr>
            </w:pPr>
          </w:p>
        </w:tc>
        <w:tc>
          <w:tcPr>
            <w:tcW w:w="1635"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432" w:lineRule="auto"/>
              <w:ind w:left="0" w:right="0"/>
              <w:jc w:val="center"/>
              <w:rPr>
                <w:rFonts w:hint="eastAsia" w:ascii="宋体" w:hAnsi="宋体" w:eastAsia="宋体" w:cs="宋体"/>
                <w:color w:val="auto"/>
                <w:sz w:val="24"/>
                <w:szCs w:val="24"/>
                <w:highlight w:val="none"/>
              </w:rPr>
            </w:pPr>
          </w:p>
        </w:tc>
        <w:tc>
          <w:tcPr>
            <w:tcW w:w="218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432" w:lineRule="auto"/>
              <w:ind w:left="0" w:right="0"/>
              <w:jc w:val="center"/>
              <w:rPr>
                <w:rFonts w:hint="eastAsia" w:ascii="宋体" w:hAnsi="宋体" w:eastAsia="宋体" w:cs="宋体"/>
                <w:color w:val="auto"/>
                <w:sz w:val="24"/>
                <w:szCs w:val="24"/>
                <w:highlight w:val="none"/>
              </w:rPr>
            </w:pPr>
          </w:p>
        </w:tc>
        <w:tc>
          <w:tcPr>
            <w:tcW w:w="127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432" w:lineRule="auto"/>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92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32" w:lineRule="auto"/>
              <w:ind w:left="0" w:right="0"/>
              <w:jc w:val="center"/>
              <w:rPr>
                <w:rFonts w:hint="eastAsia" w:ascii="宋体" w:hAnsi="宋体" w:eastAsia="宋体" w:cs="宋体"/>
                <w:color w:val="auto"/>
                <w:sz w:val="24"/>
                <w:szCs w:val="24"/>
                <w:highlight w:val="none"/>
              </w:rPr>
            </w:pPr>
          </w:p>
        </w:tc>
        <w:tc>
          <w:tcPr>
            <w:tcW w:w="1635"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432" w:lineRule="auto"/>
              <w:ind w:left="0" w:right="0"/>
              <w:jc w:val="center"/>
              <w:rPr>
                <w:rFonts w:hint="eastAsia" w:ascii="宋体" w:hAnsi="宋体" w:eastAsia="宋体" w:cs="宋体"/>
                <w:color w:val="auto"/>
                <w:sz w:val="24"/>
                <w:szCs w:val="24"/>
                <w:highlight w:val="none"/>
              </w:rPr>
            </w:pPr>
          </w:p>
        </w:tc>
        <w:tc>
          <w:tcPr>
            <w:tcW w:w="1634"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432" w:lineRule="auto"/>
              <w:ind w:left="0" w:right="0"/>
              <w:jc w:val="center"/>
              <w:rPr>
                <w:rFonts w:hint="eastAsia" w:ascii="宋体" w:hAnsi="宋体" w:eastAsia="宋体" w:cs="宋体"/>
                <w:color w:val="auto"/>
                <w:sz w:val="24"/>
                <w:szCs w:val="24"/>
                <w:highlight w:val="none"/>
              </w:rPr>
            </w:pPr>
          </w:p>
        </w:tc>
        <w:tc>
          <w:tcPr>
            <w:tcW w:w="1635"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432" w:lineRule="auto"/>
              <w:ind w:left="0" w:right="0"/>
              <w:jc w:val="center"/>
              <w:rPr>
                <w:rFonts w:hint="eastAsia" w:ascii="宋体" w:hAnsi="宋体" w:eastAsia="宋体" w:cs="宋体"/>
                <w:color w:val="auto"/>
                <w:sz w:val="24"/>
                <w:szCs w:val="24"/>
                <w:highlight w:val="none"/>
              </w:rPr>
            </w:pPr>
          </w:p>
        </w:tc>
        <w:tc>
          <w:tcPr>
            <w:tcW w:w="218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432" w:lineRule="auto"/>
              <w:ind w:left="0" w:right="0"/>
              <w:jc w:val="center"/>
              <w:rPr>
                <w:rFonts w:hint="eastAsia" w:ascii="宋体" w:hAnsi="宋体" w:eastAsia="宋体" w:cs="宋体"/>
                <w:color w:val="auto"/>
                <w:sz w:val="24"/>
                <w:szCs w:val="24"/>
                <w:highlight w:val="none"/>
              </w:rPr>
            </w:pPr>
          </w:p>
        </w:tc>
        <w:tc>
          <w:tcPr>
            <w:tcW w:w="127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432" w:lineRule="auto"/>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92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32" w:lineRule="auto"/>
              <w:ind w:left="0" w:right="0"/>
              <w:jc w:val="center"/>
              <w:rPr>
                <w:rFonts w:hint="eastAsia" w:ascii="宋体" w:hAnsi="宋体" w:eastAsia="宋体" w:cs="宋体"/>
                <w:color w:val="auto"/>
                <w:sz w:val="24"/>
                <w:szCs w:val="24"/>
                <w:highlight w:val="none"/>
              </w:rPr>
            </w:pPr>
          </w:p>
        </w:tc>
        <w:tc>
          <w:tcPr>
            <w:tcW w:w="1635"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432" w:lineRule="auto"/>
              <w:ind w:left="0" w:right="0"/>
              <w:jc w:val="center"/>
              <w:rPr>
                <w:rFonts w:hint="eastAsia" w:ascii="宋体" w:hAnsi="宋体" w:eastAsia="宋体" w:cs="宋体"/>
                <w:color w:val="auto"/>
                <w:sz w:val="24"/>
                <w:szCs w:val="24"/>
                <w:highlight w:val="none"/>
              </w:rPr>
            </w:pPr>
          </w:p>
        </w:tc>
        <w:tc>
          <w:tcPr>
            <w:tcW w:w="1634"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432" w:lineRule="auto"/>
              <w:ind w:left="0" w:right="0"/>
              <w:jc w:val="center"/>
              <w:rPr>
                <w:rFonts w:hint="eastAsia" w:ascii="宋体" w:hAnsi="宋体" w:eastAsia="宋体" w:cs="宋体"/>
                <w:color w:val="auto"/>
                <w:sz w:val="24"/>
                <w:szCs w:val="24"/>
                <w:highlight w:val="none"/>
              </w:rPr>
            </w:pPr>
          </w:p>
        </w:tc>
        <w:tc>
          <w:tcPr>
            <w:tcW w:w="1635"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432" w:lineRule="auto"/>
              <w:ind w:left="0" w:right="0"/>
              <w:jc w:val="center"/>
              <w:rPr>
                <w:rFonts w:hint="eastAsia" w:ascii="宋体" w:hAnsi="宋体" w:eastAsia="宋体" w:cs="宋体"/>
                <w:color w:val="auto"/>
                <w:sz w:val="24"/>
                <w:szCs w:val="24"/>
                <w:highlight w:val="none"/>
              </w:rPr>
            </w:pPr>
          </w:p>
        </w:tc>
        <w:tc>
          <w:tcPr>
            <w:tcW w:w="218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432" w:lineRule="auto"/>
              <w:ind w:left="0" w:right="0"/>
              <w:jc w:val="center"/>
              <w:rPr>
                <w:rFonts w:hint="eastAsia" w:ascii="宋体" w:hAnsi="宋体" w:eastAsia="宋体" w:cs="宋体"/>
                <w:color w:val="auto"/>
                <w:sz w:val="24"/>
                <w:szCs w:val="24"/>
                <w:highlight w:val="none"/>
              </w:rPr>
            </w:pPr>
          </w:p>
        </w:tc>
        <w:tc>
          <w:tcPr>
            <w:tcW w:w="127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432" w:lineRule="auto"/>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92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32" w:lineRule="auto"/>
              <w:ind w:left="0" w:right="0"/>
              <w:jc w:val="center"/>
              <w:rPr>
                <w:rFonts w:hint="eastAsia" w:ascii="宋体" w:hAnsi="宋体" w:eastAsia="宋体" w:cs="宋体"/>
                <w:color w:val="auto"/>
                <w:sz w:val="24"/>
                <w:szCs w:val="24"/>
                <w:highlight w:val="none"/>
              </w:rPr>
            </w:pPr>
          </w:p>
        </w:tc>
        <w:tc>
          <w:tcPr>
            <w:tcW w:w="1635"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432" w:lineRule="auto"/>
              <w:ind w:left="0" w:right="0"/>
              <w:jc w:val="center"/>
              <w:rPr>
                <w:rFonts w:hint="eastAsia" w:ascii="宋体" w:hAnsi="宋体" w:eastAsia="宋体" w:cs="宋体"/>
                <w:color w:val="auto"/>
                <w:sz w:val="24"/>
                <w:szCs w:val="24"/>
                <w:highlight w:val="none"/>
              </w:rPr>
            </w:pPr>
          </w:p>
        </w:tc>
        <w:tc>
          <w:tcPr>
            <w:tcW w:w="1634"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432" w:lineRule="auto"/>
              <w:ind w:left="0" w:right="0"/>
              <w:jc w:val="center"/>
              <w:rPr>
                <w:rFonts w:hint="eastAsia" w:ascii="宋体" w:hAnsi="宋体" w:eastAsia="宋体" w:cs="宋体"/>
                <w:color w:val="auto"/>
                <w:sz w:val="24"/>
                <w:szCs w:val="24"/>
                <w:highlight w:val="none"/>
              </w:rPr>
            </w:pPr>
          </w:p>
        </w:tc>
        <w:tc>
          <w:tcPr>
            <w:tcW w:w="1635"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432" w:lineRule="auto"/>
              <w:ind w:left="0" w:right="0"/>
              <w:jc w:val="center"/>
              <w:rPr>
                <w:rFonts w:hint="eastAsia" w:ascii="宋体" w:hAnsi="宋体" w:eastAsia="宋体" w:cs="宋体"/>
                <w:color w:val="auto"/>
                <w:sz w:val="24"/>
                <w:szCs w:val="24"/>
                <w:highlight w:val="none"/>
              </w:rPr>
            </w:pPr>
          </w:p>
        </w:tc>
        <w:tc>
          <w:tcPr>
            <w:tcW w:w="218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432" w:lineRule="auto"/>
              <w:ind w:left="0" w:right="0"/>
              <w:jc w:val="center"/>
              <w:rPr>
                <w:rFonts w:hint="eastAsia" w:ascii="宋体" w:hAnsi="宋体" w:eastAsia="宋体" w:cs="宋体"/>
                <w:color w:val="auto"/>
                <w:sz w:val="24"/>
                <w:szCs w:val="24"/>
                <w:highlight w:val="none"/>
              </w:rPr>
            </w:pPr>
          </w:p>
        </w:tc>
        <w:tc>
          <w:tcPr>
            <w:tcW w:w="127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432" w:lineRule="auto"/>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92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32" w:lineRule="auto"/>
              <w:ind w:left="0" w:right="0"/>
              <w:jc w:val="center"/>
              <w:rPr>
                <w:rFonts w:hint="eastAsia" w:ascii="宋体" w:hAnsi="宋体" w:eastAsia="宋体" w:cs="宋体"/>
                <w:color w:val="auto"/>
                <w:sz w:val="24"/>
                <w:szCs w:val="24"/>
                <w:highlight w:val="none"/>
              </w:rPr>
            </w:pPr>
          </w:p>
        </w:tc>
        <w:tc>
          <w:tcPr>
            <w:tcW w:w="1635"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432" w:lineRule="auto"/>
              <w:ind w:left="0" w:right="0"/>
              <w:jc w:val="center"/>
              <w:rPr>
                <w:rFonts w:hint="eastAsia" w:ascii="宋体" w:hAnsi="宋体" w:eastAsia="宋体" w:cs="宋体"/>
                <w:color w:val="auto"/>
                <w:sz w:val="24"/>
                <w:szCs w:val="24"/>
                <w:highlight w:val="none"/>
              </w:rPr>
            </w:pPr>
          </w:p>
        </w:tc>
        <w:tc>
          <w:tcPr>
            <w:tcW w:w="1634"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432" w:lineRule="auto"/>
              <w:ind w:left="0" w:right="0"/>
              <w:jc w:val="center"/>
              <w:rPr>
                <w:rFonts w:hint="eastAsia" w:ascii="宋体" w:hAnsi="宋体" w:eastAsia="宋体" w:cs="宋体"/>
                <w:color w:val="auto"/>
                <w:sz w:val="24"/>
                <w:szCs w:val="24"/>
                <w:highlight w:val="none"/>
              </w:rPr>
            </w:pPr>
          </w:p>
        </w:tc>
        <w:tc>
          <w:tcPr>
            <w:tcW w:w="1635"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432" w:lineRule="auto"/>
              <w:ind w:left="0" w:right="0"/>
              <w:jc w:val="center"/>
              <w:rPr>
                <w:rFonts w:hint="eastAsia" w:ascii="宋体" w:hAnsi="宋体" w:eastAsia="宋体" w:cs="宋体"/>
                <w:color w:val="auto"/>
                <w:sz w:val="24"/>
                <w:szCs w:val="24"/>
                <w:highlight w:val="none"/>
              </w:rPr>
            </w:pPr>
          </w:p>
        </w:tc>
        <w:tc>
          <w:tcPr>
            <w:tcW w:w="218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432" w:lineRule="auto"/>
              <w:ind w:left="0" w:right="0"/>
              <w:jc w:val="center"/>
              <w:rPr>
                <w:rFonts w:hint="eastAsia" w:ascii="宋体" w:hAnsi="宋体" w:eastAsia="宋体" w:cs="宋体"/>
                <w:color w:val="auto"/>
                <w:sz w:val="24"/>
                <w:szCs w:val="24"/>
                <w:highlight w:val="none"/>
              </w:rPr>
            </w:pPr>
          </w:p>
        </w:tc>
        <w:tc>
          <w:tcPr>
            <w:tcW w:w="127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432" w:lineRule="auto"/>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92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32" w:lineRule="auto"/>
              <w:ind w:left="0" w:right="0"/>
              <w:jc w:val="center"/>
              <w:rPr>
                <w:rFonts w:hint="eastAsia" w:ascii="宋体" w:hAnsi="宋体" w:eastAsia="宋体" w:cs="宋体"/>
                <w:color w:val="auto"/>
                <w:sz w:val="24"/>
                <w:szCs w:val="24"/>
                <w:highlight w:val="none"/>
              </w:rPr>
            </w:pPr>
          </w:p>
        </w:tc>
        <w:tc>
          <w:tcPr>
            <w:tcW w:w="1635"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432" w:lineRule="auto"/>
              <w:ind w:left="0" w:right="0"/>
              <w:jc w:val="center"/>
              <w:rPr>
                <w:rFonts w:hint="eastAsia" w:ascii="宋体" w:hAnsi="宋体" w:eastAsia="宋体" w:cs="宋体"/>
                <w:color w:val="auto"/>
                <w:sz w:val="24"/>
                <w:szCs w:val="24"/>
                <w:highlight w:val="none"/>
              </w:rPr>
            </w:pPr>
          </w:p>
        </w:tc>
        <w:tc>
          <w:tcPr>
            <w:tcW w:w="1634"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432" w:lineRule="auto"/>
              <w:ind w:left="0" w:right="0"/>
              <w:jc w:val="center"/>
              <w:rPr>
                <w:rFonts w:hint="eastAsia" w:ascii="宋体" w:hAnsi="宋体" w:eastAsia="宋体" w:cs="宋体"/>
                <w:color w:val="auto"/>
                <w:sz w:val="24"/>
                <w:szCs w:val="24"/>
                <w:highlight w:val="none"/>
              </w:rPr>
            </w:pPr>
          </w:p>
        </w:tc>
        <w:tc>
          <w:tcPr>
            <w:tcW w:w="1635"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432" w:lineRule="auto"/>
              <w:ind w:left="0" w:right="0"/>
              <w:jc w:val="center"/>
              <w:rPr>
                <w:rFonts w:hint="eastAsia" w:ascii="宋体" w:hAnsi="宋体" w:eastAsia="宋体" w:cs="宋体"/>
                <w:color w:val="auto"/>
                <w:sz w:val="24"/>
                <w:szCs w:val="24"/>
                <w:highlight w:val="none"/>
              </w:rPr>
            </w:pPr>
          </w:p>
        </w:tc>
        <w:tc>
          <w:tcPr>
            <w:tcW w:w="218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432" w:lineRule="auto"/>
              <w:ind w:left="0" w:right="0"/>
              <w:jc w:val="center"/>
              <w:rPr>
                <w:rFonts w:hint="eastAsia" w:ascii="宋体" w:hAnsi="宋体" w:eastAsia="宋体" w:cs="宋体"/>
                <w:color w:val="auto"/>
                <w:sz w:val="24"/>
                <w:szCs w:val="24"/>
                <w:highlight w:val="none"/>
              </w:rPr>
            </w:pPr>
          </w:p>
        </w:tc>
        <w:tc>
          <w:tcPr>
            <w:tcW w:w="127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432" w:lineRule="auto"/>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92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32" w:lineRule="auto"/>
              <w:ind w:left="0" w:right="0"/>
              <w:jc w:val="center"/>
              <w:rPr>
                <w:rFonts w:hint="eastAsia" w:ascii="宋体" w:hAnsi="宋体" w:eastAsia="宋体" w:cs="宋体"/>
                <w:color w:val="auto"/>
                <w:sz w:val="24"/>
                <w:szCs w:val="24"/>
                <w:highlight w:val="none"/>
              </w:rPr>
            </w:pPr>
          </w:p>
        </w:tc>
        <w:tc>
          <w:tcPr>
            <w:tcW w:w="1635"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432" w:lineRule="auto"/>
              <w:ind w:left="0" w:right="0"/>
              <w:jc w:val="center"/>
              <w:rPr>
                <w:rFonts w:hint="eastAsia" w:ascii="宋体" w:hAnsi="宋体" w:eastAsia="宋体" w:cs="宋体"/>
                <w:color w:val="auto"/>
                <w:sz w:val="24"/>
                <w:szCs w:val="24"/>
                <w:highlight w:val="none"/>
              </w:rPr>
            </w:pPr>
          </w:p>
        </w:tc>
        <w:tc>
          <w:tcPr>
            <w:tcW w:w="1634"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432" w:lineRule="auto"/>
              <w:ind w:left="0" w:right="0"/>
              <w:jc w:val="center"/>
              <w:rPr>
                <w:rFonts w:hint="eastAsia" w:ascii="宋体" w:hAnsi="宋体" w:eastAsia="宋体" w:cs="宋体"/>
                <w:color w:val="auto"/>
                <w:sz w:val="24"/>
                <w:szCs w:val="24"/>
                <w:highlight w:val="none"/>
              </w:rPr>
            </w:pPr>
          </w:p>
        </w:tc>
        <w:tc>
          <w:tcPr>
            <w:tcW w:w="1635"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432" w:lineRule="auto"/>
              <w:ind w:left="0" w:right="0"/>
              <w:jc w:val="center"/>
              <w:rPr>
                <w:rFonts w:hint="eastAsia" w:ascii="宋体" w:hAnsi="宋体" w:eastAsia="宋体" w:cs="宋体"/>
                <w:color w:val="auto"/>
                <w:sz w:val="24"/>
                <w:szCs w:val="24"/>
                <w:highlight w:val="none"/>
              </w:rPr>
            </w:pPr>
          </w:p>
        </w:tc>
        <w:tc>
          <w:tcPr>
            <w:tcW w:w="218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432" w:lineRule="auto"/>
              <w:ind w:left="0" w:right="0"/>
              <w:jc w:val="center"/>
              <w:rPr>
                <w:rFonts w:hint="eastAsia" w:ascii="宋体" w:hAnsi="宋体" w:eastAsia="宋体" w:cs="宋体"/>
                <w:color w:val="auto"/>
                <w:sz w:val="24"/>
                <w:szCs w:val="24"/>
                <w:highlight w:val="none"/>
              </w:rPr>
            </w:pPr>
          </w:p>
        </w:tc>
        <w:tc>
          <w:tcPr>
            <w:tcW w:w="127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432" w:lineRule="auto"/>
              <w:ind w:left="0" w:right="0"/>
              <w:jc w:val="center"/>
              <w:rPr>
                <w:rFonts w:hint="eastAsia" w:ascii="宋体" w:hAnsi="宋体" w:eastAsia="宋体" w:cs="宋体"/>
                <w:color w:val="auto"/>
                <w:sz w:val="24"/>
                <w:szCs w:val="24"/>
                <w:highlight w:val="none"/>
              </w:rPr>
            </w:pPr>
          </w:p>
        </w:tc>
      </w:tr>
    </w:tbl>
    <w:p>
      <w:pPr>
        <w:spacing w:line="580" w:lineRule="exact"/>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lang w:eastAsia="zh-CN"/>
        </w:rPr>
        <w:t>供应商</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w:t>
      </w:r>
      <w:r>
        <w:rPr>
          <w:rFonts w:hint="eastAsia" w:ascii="宋体" w:hAnsi="宋体" w:eastAsia="宋体" w:cs="宋体"/>
          <w:color w:val="auto"/>
          <w:sz w:val="24"/>
          <w:szCs w:val="24"/>
          <w:highlight w:val="none"/>
          <w:lang w:eastAsia="zh-CN"/>
        </w:rPr>
        <w:t>电子签章</w:t>
      </w:r>
      <w:r>
        <w:rPr>
          <w:rFonts w:hint="eastAsia" w:ascii="宋体" w:hAnsi="宋体" w:eastAsia="宋体" w:cs="宋体"/>
          <w:color w:val="auto"/>
          <w:spacing w:val="-4"/>
          <w:sz w:val="24"/>
          <w:szCs w:val="24"/>
          <w:highlight w:val="none"/>
        </w:rPr>
        <w:t>）</w:t>
      </w:r>
    </w:p>
    <w:p>
      <w:pPr>
        <w:spacing w:line="580" w:lineRule="exact"/>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法定代表人或其委托代理人：</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（签字或盖章）</w:t>
      </w:r>
    </w:p>
    <w:p>
      <w:pPr>
        <w:spacing w:line="580" w:lineRule="exact"/>
        <w:ind w:firstLine="4176" w:firstLineChars="1800"/>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highlight w:val="none"/>
          <w:u w:val="single" w:color="000000"/>
        </w:rPr>
        <w:t xml:space="preserve">  </w:t>
      </w:r>
      <w:r>
        <w:rPr>
          <w:rFonts w:hint="eastAsia" w:ascii="宋体" w:hAnsi="宋体" w:eastAsia="宋体" w:cs="宋体"/>
          <w:color w:val="auto"/>
          <w:highlight w:val="none"/>
          <w:u w:val="single" w:color="000000"/>
        </w:rPr>
        <w:tab/>
      </w:r>
      <w:r>
        <w:rPr>
          <w:rFonts w:hint="eastAsia" w:ascii="宋体" w:hAnsi="宋体" w:eastAsia="宋体" w:cs="宋体"/>
          <w:color w:val="auto"/>
          <w:highlight w:val="none"/>
        </w:rPr>
        <w:t>年</w:t>
      </w:r>
      <w:r>
        <w:rPr>
          <w:rFonts w:hint="eastAsia" w:ascii="宋体" w:hAnsi="宋体" w:eastAsia="宋体" w:cs="宋体"/>
          <w:color w:val="auto"/>
          <w:highlight w:val="none"/>
          <w:u w:val="single" w:color="000000"/>
        </w:rPr>
        <w:t xml:space="preserve"> </w:t>
      </w:r>
      <w:r>
        <w:rPr>
          <w:rFonts w:hint="eastAsia" w:ascii="宋体" w:hAnsi="宋体" w:eastAsia="宋体" w:cs="宋体"/>
          <w:color w:val="auto"/>
          <w:highlight w:val="none"/>
          <w:u w:val="single" w:color="000000"/>
          <w:lang w:val="en-US" w:eastAsia="zh-CN"/>
        </w:rPr>
        <w:t xml:space="preserve"> </w:t>
      </w:r>
      <w:r>
        <w:rPr>
          <w:rFonts w:hint="eastAsia" w:ascii="宋体" w:hAnsi="宋体" w:eastAsia="宋体" w:cs="宋体"/>
          <w:color w:val="auto"/>
          <w:highlight w:val="none"/>
          <w:u w:val="single" w:color="000000"/>
        </w:rPr>
        <w:tab/>
      </w:r>
      <w:r>
        <w:rPr>
          <w:rFonts w:hint="eastAsia" w:ascii="宋体" w:hAnsi="宋体" w:eastAsia="宋体" w:cs="宋体"/>
          <w:color w:val="auto"/>
          <w:highlight w:val="none"/>
        </w:rPr>
        <w:t>月</w:t>
      </w:r>
      <w:r>
        <w:rPr>
          <w:rFonts w:hint="eastAsia" w:ascii="宋体" w:hAnsi="宋体" w:eastAsia="宋体" w:cs="宋体"/>
          <w:color w:val="auto"/>
          <w:highlight w:val="none"/>
          <w:u w:val="single" w:color="000000"/>
        </w:rPr>
        <w:t xml:space="preserve"> </w:t>
      </w:r>
      <w:r>
        <w:rPr>
          <w:rFonts w:hint="eastAsia" w:ascii="宋体" w:hAnsi="宋体" w:eastAsia="宋体" w:cs="宋体"/>
          <w:color w:val="auto"/>
          <w:highlight w:val="none"/>
          <w:u w:val="single" w:color="000000"/>
          <w:lang w:val="en-US" w:eastAsia="zh-CN"/>
        </w:rPr>
        <w:t xml:space="preserve"> </w:t>
      </w:r>
      <w:r>
        <w:rPr>
          <w:rFonts w:hint="eastAsia" w:ascii="宋体" w:hAnsi="宋体" w:eastAsia="宋体" w:cs="宋体"/>
          <w:color w:val="auto"/>
          <w:highlight w:val="none"/>
          <w:u w:val="single" w:color="000000"/>
        </w:rPr>
        <w:tab/>
      </w:r>
      <w:r>
        <w:rPr>
          <w:rFonts w:hint="eastAsia" w:ascii="宋体" w:hAnsi="宋体" w:eastAsia="宋体" w:cs="宋体"/>
          <w:color w:val="auto"/>
          <w:highlight w:val="none"/>
        </w:rPr>
        <w:t>日</w:t>
      </w:r>
    </w:p>
    <w:p>
      <w:pPr>
        <w:spacing w:line="43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注：1.响应/偏离内容应根据招标文件中的技术规格条款逐条对应填写。</w:t>
      </w:r>
    </w:p>
    <w:p>
      <w:pPr>
        <w:pStyle w:val="19"/>
        <w:kinsoku w:val="0"/>
        <w:overflowPunct w:val="0"/>
        <w:ind w:firstLine="60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 xml:space="preserve"> </w:t>
      </w:r>
    </w:p>
    <w:p>
      <w:pPr>
        <w:pStyle w:val="19"/>
        <w:kinsoku w:val="0"/>
        <w:overflowPunct w:val="0"/>
        <w:ind w:firstLine="60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 xml:space="preserve"> </w:t>
      </w:r>
    </w:p>
    <w:p>
      <w:pPr>
        <w:pStyle w:val="19"/>
        <w:kinsoku w:val="0"/>
        <w:overflowPunct w:val="0"/>
        <w:ind w:firstLine="60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 xml:space="preserve"> </w:t>
      </w:r>
    </w:p>
    <w:p>
      <w:pPr>
        <w:pStyle w:val="19"/>
        <w:kinsoku w:val="0"/>
        <w:overflowPunct w:val="0"/>
        <w:ind w:firstLine="60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 xml:space="preserve"> </w:t>
      </w:r>
    </w:p>
    <w:p>
      <w:pPr>
        <w:widowControl/>
        <w:jc w:val="left"/>
        <w:rPr>
          <w:rFonts w:hint="eastAsia" w:ascii="宋体" w:hAnsi="宋体" w:eastAsia="宋体" w:cs="宋体"/>
          <w:b/>
          <w:bCs/>
          <w:color w:val="auto"/>
          <w:kern w:val="0"/>
          <w:sz w:val="32"/>
          <w:szCs w:val="32"/>
          <w:highlight w:val="none"/>
        </w:rPr>
      </w:pPr>
    </w:p>
    <w:p>
      <w:pPr>
        <w:pStyle w:val="5"/>
        <w:jc w:val="center"/>
        <w:rPr>
          <w:rFonts w:hint="eastAsia" w:ascii="宋体" w:hAnsi="宋体" w:eastAsia="宋体" w:cs="宋体"/>
          <w:color w:val="auto"/>
          <w:highlight w:val="none"/>
        </w:rPr>
      </w:pPr>
      <w:r>
        <w:rPr>
          <w:rFonts w:hint="eastAsia" w:ascii="宋体" w:hAnsi="宋体" w:eastAsia="宋体" w:cs="宋体"/>
          <w:color w:val="auto"/>
          <w:highlight w:val="none"/>
        </w:rPr>
        <w:t>六、资格审查资料</w:t>
      </w:r>
    </w:p>
    <w:p>
      <w:pPr>
        <w:pageBreakBefore w:val="0"/>
        <w:widowControl/>
        <w:tabs>
          <w:tab w:val="left" w:pos="1155"/>
        </w:tabs>
        <w:kinsoku/>
        <w:wordWrap w:val="0"/>
        <w:overflowPunct/>
        <w:topLinePunct w:val="0"/>
        <w:bidi w:val="0"/>
        <w:spacing w:line="360" w:lineRule="auto"/>
        <w:ind w:left="2168" w:hanging="2168" w:hangingChars="900"/>
        <w:rPr>
          <w:rFonts w:hint="eastAsia" w:ascii="宋体" w:hAnsi="宋体" w:eastAsia="宋体" w:cs="宋体"/>
          <w:color w:val="auto"/>
          <w:sz w:val="24"/>
          <w:szCs w:val="24"/>
        </w:rPr>
      </w:pPr>
      <w:bookmarkStart w:id="82" w:name="七、服务方案"/>
      <w:bookmarkEnd w:id="82"/>
      <w:bookmarkStart w:id="83" w:name="_bookmark11"/>
      <w:bookmarkEnd w:id="83"/>
      <w:bookmarkStart w:id="84" w:name="八、资格审查资料"/>
      <w:bookmarkEnd w:id="84"/>
      <w:r>
        <w:rPr>
          <w:rFonts w:ascii="宋体" w:hAnsi="宋体" w:eastAsia="宋体" w:cs="宋体"/>
          <w:b/>
          <w:bCs/>
          <w:color w:val="auto"/>
          <w:sz w:val="24"/>
          <w:szCs w:val="24"/>
        </w:rPr>
        <w:t>附件:</w:t>
      </w:r>
      <w:r>
        <w:rPr>
          <w:rFonts w:ascii="宋体" w:hAnsi="宋体" w:eastAsia="宋体" w:cs="宋体"/>
          <w:color w:val="auto"/>
          <w:sz w:val="24"/>
          <w:szCs w:val="24"/>
        </w:rPr>
        <w:br w:type="textWrapping"/>
      </w:r>
      <w:r>
        <w:rPr>
          <w:rFonts w:hint="eastAsia" w:ascii="宋体" w:hAnsi="宋体" w:eastAsia="宋体" w:cs="宋体"/>
          <w:b/>
          <w:bCs/>
          <w:color w:val="auto"/>
          <w:sz w:val="30"/>
          <w:szCs w:val="30"/>
        </w:rPr>
        <w:t>汝州市政府采购供应商信用承诺函</w:t>
      </w:r>
    </w:p>
    <w:p>
      <w:pPr>
        <w:pageBreakBefore w:val="0"/>
        <w:widowControl/>
        <w:kinsoku/>
        <w:wordWrap w:val="0"/>
        <w:overflowPunct/>
        <w:topLinePunct w:val="0"/>
        <w:bidi w:val="0"/>
        <w:spacing w:line="360" w:lineRule="auto"/>
        <w:rPr>
          <w:rFonts w:hint="eastAsia" w:ascii="宋体" w:hAnsi="宋体" w:eastAsia="宋体" w:cs="宋体"/>
          <w:bCs/>
          <w:color w:val="auto"/>
          <w:sz w:val="24"/>
          <w:szCs w:val="24"/>
          <w:u w:val="single"/>
          <w:lang w:eastAsia="zh-CN"/>
        </w:rPr>
      </w:pPr>
      <w:r>
        <w:rPr>
          <w:rFonts w:hint="eastAsia" w:ascii="宋体" w:hAnsi="宋体" w:eastAsia="宋体" w:cs="宋体"/>
          <w:bCs/>
          <w:color w:val="auto"/>
          <w:sz w:val="24"/>
          <w:szCs w:val="24"/>
        </w:rPr>
        <w:t xml:space="preserve">致(采购人): </w:t>
      </w:r>
      <w:r>
        <w:rPr>
          <w:rFonts w:hint="eastAsia" w:ascii="宋体" w:hAnsi="宋体" w:eastAsia="宋体" w:cs="宋体"/>
          <w:bCs/>
          <w:color w:val="auto"/>
          <w:sz w:val="24"/>
          <w:szCs w:val="24"/>
          <w:u w:val="single"/>
        </w:rPr>
        <w:t xml:space="preserve">                               </w:t>
      </w:r>
    </w:p>
    <w:p>
      <w:pPr>
        <w:pageBreakBefore w:val="0"/>
        <w:widowControl/>
        <w:kinsoku/>
        <w:wordWrap w:val="0"/>
        <w:overflowPunct/>
        <w:topLinePunct w:val="0"/>
        <w:bidi w:val="0"/>
        <w:spacing w:line="360" w:lineRule="auto"/>
        <w:rPr>
          <w:rFonts w:hint="eastAsia" w:ascii="宋体" w:hAnsi="宋体" w:eastAsia="宋体" w:cs="宋体"/>
          <w:bCs/>
          <w:color w:val="auto"/>
          <w:sz w:val="24"/>
          <w:szCs w:val="24"/>
          <w:u w:val="single"/>
          <w:lang w:eastAsia="zh-CN"/>
        </w:rPr>
      </w:pPr>
      <w:r>
        <w:rPr>
          <w:rFonts w:hint="eastAsia" w:ascii="宋体" w:hAnsi="宋体" w:eastAsia="宋体" w:cs="宋体"/>
          <w:bCs/>
          <w:color w:val="auto"/>
          <w:sz w:val="24"/>
          <w:szCs w:val="24"/>
        </w:rPr>
        <w:t xml:space="preserve">单位名称: </w:t>
      </w:r>
      <w:r>
        <w:rPr>
          <w:rFonts w:hint="eastAsia" w:ascii="宋体" w:hAnsi="宋体" w:eastAsia="宋体" w:cs="宋体"/>
          <w:bCs/>
          <w:color w:val="auto"/>
          <w:sz w:val="24"/>
          <w:szCs w:val="24"/>
          <w:u w:val="single"/>
        </w:rPr>
        <w:t xml:space="preserve">                                 </w:t>
      </w:r>
    </w:p>
    <w:p>
      <w:pPr>
        <w:pageBreakBefore w:val="0"/>
        <w:widowControl/>
        <w:kinsoku/>
        <w:wordWrap w:val="0"/>
        <w:overflowPunct/>
        <w:topLinePunct w:val="0"/>
        <w:bidi w:val="0"/>
        <w:spacing w:line="360" w:lineRule="auto"/>
        <w:rPr>
          <w:rFonts w:hint="eastAsia" w:ascii="宋体" w:hAnsi="宋体" w:eastAsia="宋体" w:cs="宋体"/>
          <w:bCs/>
          <w:color w:val="auto"/>
          <w:sz w:val="24"/>
          <w:szCs w:val="24"/>
          <w:u w:val="single"/>
          <w:lang w:eastAsia="zh-CN"/>
        </w:rPr>
      </w:pPr>
      <w:r>
        <w:rPr>
          <w:rFonts w:hint="eastAsia" w:ascii="宋体" w:hAnsi="宋体" w:eastAsia="宋体" w:cs="宋体"/>
          <w:bCs/>
          <w:color w:val="auto"/>
          <w:sz w:val="24"/>
          <w:szCs w:val="24"/>
        </w:rPr>
        <w:t xml:space="preserve">统一社会信用代码: </w:t>
      </w:r>
      <w:r>
        <w:rPr>
          <w:rFonts w:hint="eastAsia" w:ascii="宋体" w:hAnsi="宋体" w:eastAsia="宋体" w:cs="宋体"/>
          <w:bCs/>
          <w:color w:val="auto"/>
          <w:sz w:val="24"/>
          <w:szCs w:val="24"/>
          <w:u w:val="single"/>
        </w:rPr>
        <w:t xml:space="preserve">                         </w:t>
      </w:r>
    </w:p>
    <w:p>
      <w:pPr>
        <w:pageBreakBefore w:val="0"/>
        <w:widowControl/>
        <w:kinsoku/>
        <w:wordWrap w:val="0"/>
        <w:overflowPunct/>
        <w:topLinePunct w:val="0"/>
        <w:bidi w:val="0"/>
        <w:spacing w:line="360" w:lineRule="auto"/>
        <w:rPr>
          <w:rFonts w:hint="eastAsia" w:ascii="宋体" w:hAnsi="宋体" w:eastAsia="宋体" w:cs="宋体"/>
          <w:bCs/>
          <w:color w:val="auto"/>
          <w:sz w:val="24"/>
          <w:szCs w:val="24"/>
          <w:u w:val="single"/>
          <w:lang w:eastAsia="zh-CN"/>
        </w:rPr>
      </w:pPr>
      <w:r>
        <w:rPr>
          <w:rFonts w:hint="eastAsia" w:ascii="宋体" w:hAnsi="宋体" w:eastAsia="宋体" w:cs="宋体"/>
          <w:bCs/>
          <w:color w:val="auto"/>
          <w:sz w:val="24"/>
          <w:szCs w:val="24"/>
        </w:rPr>
        <w:t xml:space="preserve">法定代表人: </w:t>
      </w:r>
      <w:r>
        <w:rPr>
          <w:rFonts w:hint="eastAsia" w:ascii="宋体" w:hAnsi="宋体" w:eastAsia="宋体" w:cs="宋体"/>
          <w:bCs/>
          <w:color w:val="auto"/>
          <w:sz w:val="24"/>
          <w:szCs w:val="24"/>
          <w:u w:val="single"/>
        </w:rPr>
        <w:t xml:space="preserve">                               </w:t>
      </w:r>
    </w:p>
    <w:p>
      <w:pPr>
        <w:pageBreakBefore w:val="0"/>
        <w:widowControl/>
        <w:kinsoku/>
        <w:wordWrap w:val="0"/>
        <w:overflowPunct/>
        <w:topLinePunct w:val="0"/>
        <w:bidi w:val="0"/>
        <w:spacing w:line="360" w:lineRule="auto"/>
        <w:rPr>
          <w:rFonts w:hint="eastAsia" w:ascii="宋体" w:hAnsi="宋体" w:eastAsia="宋体" w:cs="宋体"/>
          <w:bCs/>
          <w:color w:val="auto"/>
          <w:sz w:val="24"/>
          <w:szCs w:val="24"/>
          <w:u w:val="single"/>
          <w:lang w:eastAsia="zh-CN"/>
        </w:rPr>
      </w:pPr>
      <w:r>
        <w:rPr>
          <w:rFonts w:hint="eastAsia" w:ascii="宋体" w:hAnsi="宋体" w:eastAsia="宋体" w:cs="宋体"/>
          <w:bCs/>
          <w:color w:val="auto"/>
          <w:sz w:val="24"/>
          <w:szCs w:val="24"/>
        </w:rPr>
        <w:t xml:space="preserve">联系地址和电话: </w:t>
      </w:r>
      <w:r>
        <w:rPr>
          <w:rFonts w:hint="eastAsia" w:ascii="宋体" w:hAnsi="宋体" w:eastAsia="宋体" w:cs="宋体"/>
          <w:bCs/>
          <w:color w:val="auto"/>
          <w:sz w:val="24"/>
          <w:szCs w:val="24"/>
          <w:u w:val="single"/>
        </w:rPr>
        <w:t xml:space="preserve">                           </w:t>
      </w:r>
    </w:p>
    <w:p>
      <w:pPr>
        <w:pageBreakBefore w:val="0"/>
        <w:widowControl/>
        <w:kinsoku/>
        <w:wordWrap w:val="0"/>
        <w:overflowPunct/>
        <w:topLinePunct w:val="0"/>
        <w:bidi w:val="0"/>
        <w:spacing w:line="36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    我单位自愿参加本次政府采购活动，严格遵守《中华人民共和国政府采购法》及相关法律法规，坚守公开、公平、公正和诚实信用的原则，依法诚信经营，无条件遵守本次政府采购活动的各项规定。并且郑重承诺，本单位符合《中华人民共和国政府采购法》第二十二条规定的条件:</w:t>
      </w:r>
    </w:p>
    <w:p>
      <w:pPr>
        <w:pageBreakBefore w:val="0"/>
        <w:widowControl/>
        <w:kinsoku/>
        <w:wordWrap w:val="0"/>
        <w:overflowPunct/>
        <w:topLinePunct w:val="0"/>
        <w:bidi w:val="0"/>
        <w:spacing w:line="360" w:lineRule="auto"/>
        <w:ind w:firstLine="566" w:firstLineChars="236"/>
        <w:rPr>
          <w:rFonts w:hint="eastAsia" w:ascii="宋体" w:hAnsi="宋体" w:eastAsia="宋体" w:cs="宋体"/>
          <w:bCs/>
          <w:color w:val="auto"/>
          <w:sz w:val="24"/>
          <w:szCs w:val="24"/>
        </w:rPr>
      </w:pPr>
      <w:r>
        <w:rPr>
          <w:rFonts w:hint="eastAsia" w:ascii="宋体" w:hAnsi="宋体" w:eastAsia="宋体" w:cs="宋体"/>
          <w:bCs/>
          <w:color w:val="auto"/>
          <w:sz w:val="24"/>
          <w:szCs w:val="24"/>
        </w:rPr>
        <w:t>(一)具有独立承担民事责任的能力；</w:t>
      </w:r>
    </w:p>
    <w:p>
      <w:pPr>
        <w:pageBreakBefore w:val="0"/>
        <w:widowControl/>
        <w:kinsoku/>
        <w:wordWrap w:val="0"/>
        <w:overflowPunct/>
        <w:topLinePunct w:val="0"/>
        <w:bidi w:val="0"/>
        <w:spacing w:line="360" w:lineRule="auto"/>
        <w:ind w:firstLine="566" w:firstLineChars="236"/>
        <w:rPr>
          <w:rFonts w:hint="eastAsia" w:ascii="宋体" w:hAnsi="宋体" w:eastAsia="宋体" w:cs="宋体"/>
          <w:bCs/>
          <w:color w:val="auto"/>
          <w:sz w:val="24"/>
          <w:szCs w:val="24"/>
        </w:rPr>
      </w:pPr>
      <w:r>
        <w:rPr>
          <w:rFonts w:hint="eastAsia" w:ascii="宋体" w:hAnsi="宋体" w:eastAsia="宋体" w:cs="宋体"/>
          <w:bCs/>
          <w:color w:val="auto"/>
          <w:sz w:val="24"/>
          <w:szCs w:val="24"/>
        </w:rPr>
        <w:t>(二)具有良好的商业信誉和健全的财务会计制度；</w:t>
      </w:r>
    </w:p>
    <w:p>
      <w:pPr>
        <w:pageBreakBefore w:val="0"/>
        <w:widowControl/>
        <w:kinsoku/>
        <w:wordWrap w:val="0"/>
        <w:overflowPunct/>
        <w:topLinePunct w:val="0"/>
        <w:bidi w:val="0"/>
        <w:spacing w:line="360" w:lineRule="auto"/>
        <w:ind w:firstLine="566" w:firstLineChars="236"/>
        <w:rPr>
          <w:rFonts w:hint="eastAsia" w:ascii="宋体" w:hAnsi="宋体" w:eastAsia="宋体" w:cs="宋体"/>
          <w:bCs/>
          <w:color w:val="auto"/>
          <w:sz w:val="24"/>
          <w:szCs w:val="24"/>
        </w:rPr>
      </w:pPr>
      <w:r>
        <w:rPr>
          <w:rFonts w:hint="eastAsia" w:ascii="宋体" w:hAnsi="宋体" w:eastAsia="宋体" w:cs="宋体"/>
          <w:bCs/>
          <w:color w:val="auto"/>
          <w:sz w:val="24"/>
          <w:szCs w:val="24"/>
        </w:rPr>
        <w:t>(三)具有履行合同所必需的设备和专业技术能力；</w:t>
      </w:r>
    </w:p>
    <w:p>
      <w:pPr>
        <w:pageBreakBefore w:val="0"/>
        <w:widowControl/>
        <w:kinsoku/>
        <w:wordWrap w:val="0"/>
        <w:overflowPunct/>
        <w:topLinePunct w:val="0"/>
        <w:bidi w:val="0"/>
        <w:spacing w:line="360" w:lineRule="auto"/>
        <w:ind w:firstLine="566" w:firstLineChars="236"/>
        <w:rPr>
          <w:rFonts w:hint="eastAsia" w:ascii="宋体" w:hAnsi="宋体" w:eastAsia="宋体" w:cs="宋体"/>
          <w:bCs/>
          <w:color w:val="auto"/>
          <w:sz w:val="24"/>
          <w:szCs w:val="24"/>
        </w:rPr>
      </w:pPr>
      <w:r>
        <w:rPr>
          <w:rFonts w:hint="eastAsia" w:ascii="宋体" w:hAnsi="宋体" w:eastAsia="宋体" w:cs="宋体"/>
          <w:bCs/>
          <w:color w:val="auto"/>
          <w:sz w:val="24"/>
          <w:szCs w:val="24"/>
        </w:rPr>
        <w:t>(四)有依法缴纳税收和社会保障资金的良好记录；</w:t>
      </w:r>
    </w:p>
    <w:p>
      <w:pPr>
        <w:pageBreakBefore w:val="0"/>
        <w:widowControl/>
        <w:kinsoku/>
        <w:wordWrap w:val="0"/>
        <w:overflowPunct/>
        <w:topLinePunct w:val="0"/>
        <w:bidi w:val="0"/>
        <w:spacing w:line="360" w:lineRule="auto"/>
        <w:ind w:firstLine="566" w:firstLineChars="236"/>
        <w:rPr>
          <w:rFonts w:hint="eastAsia" w:ascii="宋体" w:hAnsi="宋体" w:eastAsia="宋体" w:cs="宋体"/>
          <w:bCs/>
          <w:color w:val="auto"/>
          <w:sz w:val="24"/>
          <w:szCs w:val="24"/>
        </w:rPr>
      </w:pPr>
      <w:r>
        <w:rPr>
          <w:rFonts w:hint="eastAsia" w:ascii="宋体" w:hAnsi="宋体" w:eastAsia="宋体" w:cs="宋体"/>
          <w:bCs/>
          <w:color w:val="auto"/>
          <w:sz w:val="24"/>
          <w:szCs w:val="24"/>
        </w:rPr>
        <w:t>(五)参加政府采购活动前三年内，在经营活动中没有重大违法记录；</w:t>
      </w:r>
    </w:p>
    <w:p>
      <w:pPr>
        <w:pageBreakBefore w:val="0"/>
        <w:widowControl/>
        <w:kinsoku/>
        <w:wordWrap w:val="0"/>
        <w:overflowPunct/>
        <w:topLinePunct w:val="0"/>
        <w:bidi w:val="0"/>
        <w:spacing w:line="360" w:lineRule="auto"/>
        <w:ind w:firstLine="566" w:firstLineChars="236"/>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(六)法律、行政法规规定的其他条件。    </w:t>
      </w:r>
    </w:p>
    <w:p>
      <w:pPr>
        <w:pageBreakBefore w:val="0"/>
        <w:widowControl/>
        <w:kinsoku/>
        <w:wordWrap w:val="0"/>
        <w:overflowPunct/>
        <w:topLinePunct w:val="0"/>
        <w:bidi w:val="0"/>
        <w:spacing w:line="360" w:lineRule="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 xml:space="preserve">     我单位保证上述承诺事项的真实性，如有弄虚作假或其他违法违规行为，愿意承担一切法律责任，并承担因此所造成的一切损失。</w:t>
      </w:r>
    </w:p>
    <w:p>
      <w:pPr>
        <w:pStyle w:val="300"/>
        <w:pageBreakBefore w:val="0"/>
        <w:kinsoku/>
        <w:wordWrap w:val="0"/>
        <w:overflowPunct/>
        <w:topLinePunct w:val="0"/>
        <w:bidi w:val="0"/>
        <w:rPr>
          <w:rFonts w:hint="eastAsia" w:ascii="宋体" w:hAnsi="宋体" w:eastAsia="宋体" w:cs="宋体"/>
          <w:color w:val="auto"/>
          <w:lang w:eastAsia="zh-CN"/>
        </w:rPr>
      </w:pPr>
    </w:p>
    <w:p>
      <w:pPr>
        <w:pageBreakBefore w:val="0"/>
        <w:widowControl/>
        <w:kinsoku/>
        <w:wordWrap w:val="0"/>
        <w:overflowPunct/>
        <w:topLinePunct w:val="0"/>
        <w:bidi w:val="0"/>
        <w:spacing w:line="360" w:lineRule="auto"/>
        <w:ind w:firstLine="566" w:firstLineChars="236"/>
        <w:rPr>
          <w:rFonts w:hint="eastAsia" w:ascii="宋体" w:hAnsi="宋体" w:eastAsia="宋体" w:cs="宋体"/>
          <w:bCs/>
          <w:color w:val="auto"/>
          <w:sz w:val="24"/>
          <w:szCs w:val="24"/>
          <w:u w:val="single"/>
        </w:rPr>
      </w:pPr>
      <w:r>
        <w:rPr>
          <w:rFonts w:hint="eastAsia" w:ascii="宋体" w:hAnsi="宋体" w:eastAsia="宋体" w:cs="宋体"/>
          <w:bCs/>
          <w:color w:val="auto"/>
          <w:sz w:val="24"/>
          <w:szCs w:val="24"/>
        </w:rPr>
        <w:t xml:space="preserve">投标人(企业电子章): </w:t>
      </w:r>
      <w:r>
        <w:rPr>
          <w:rFonts w:hint="eastAsia" w:ascii="宋体" w:hAnsi="宋体" w:eastAsia="宋体" w:cs="宋体"/>
          <w:bCs/>
          <w:color w:val="auto"/>
          <w:sz w:val="24"/>
          <w:szCs w:val="24"/>
          <w:u w:val="single"/>
        </w:rPr>
        <w:t xml:space="preserve">                         </w:t>
      </w:r>
    </w:p>
    <w:p>
      <w:pPr>
        <w:pageBreakBefore w:val="0"/>
        <w:widowControl/>
        <w:kinsoku/>
        <w:wordWrap w:val="0"/>
        <w:overflowPunct/>
        <w:topLinePunct w:val="0"/>
        <w:bidi w:val="0"/>
        <w:spacing w:line="360" w:lineRule="auto"/>
        <w:ind w:firstLine="566" w:firstLineChars="236"/>
        <w:rPr>
          <w:rFonts w:hint="eastAsia" w:ascii="宋体" w:hAnsi="宋体" w:eastAsia="宋体" w:cs="宋体"/>
          <w:bCs/>
          <w:color w:val="auto"/>
          <w:sz w:val="24"/>
          <w:szCs w:val="24"/>
          <w:u w:val="single"/>
        </w:rPr>
      </w:pPr>
      <w:r>
        <w:rPr>
          <w:rFonts w:hint="eastAsia" w:ascii="宋体" w:hAnsi="宋体" w:eastAsia="宋体" w:cs="宋体"/>
          <w:bCs/>
          <w:color w:val="auto"/>
          <w:sz w:val="24"/>
          <w:szCs w:val="24"/>
        </w:rPr>
        <w:t xml:space="preserve">法定代表人或授权代表(签字或电子印章): </w:t>
      </w:r>
      <w:r>
        <w:rPr>
          <w:rFonts w:hint="eastAsia" w:ascii="宋体" w:hAnsi="宋体" w:eastAsia="宋体" w:cs="宋体"/>
          <w:bCs/>
          <w:color w:val="auto"/>
          <w:sz w:val="24"/>
          <w:szCs w:val="24"/>
          <w:u w:val="single"/>
        </w:rPr>
        <w:t xml:space="preserve">                         </w:t>
      </w:r>
    </w:p>
    <w:p>
      <w:pPr>
        <w:pageBreakBefore w:val="0"/>
        <w:widowControl/>
        <w:kinsoku/>
        <w:wordWrap w:val="0"/>
        <w:overflowPunct/>
        <w:topLinePunct w:val="0"/>
        <w:bidi w:val="0"/>
        <w:spacing w:line="360" w:lineRule="auto"/>
        <w:ind w:firstLine="566" w:firstLineChars="236"/>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 xml:space="preserve">日期: </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年</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 xml:space="preserve"> 月</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 xml:space="preserve"> 日</w:t>
      </w:r>
    </w:p>
    <w:p>
      <w:pPr>
        <w:pStyle w:val="300"/>
        <w:pageBreakBefore w:val="0"/>
        <w:kinsoku/>
        <w:wordWrap w:val="0"/>
        <w:overflowPunct/>
        <w:topLinePunct w:val="0"/>
        <w:bidi w:val="0"/>
        <w:rPr>
          <w:rFonts w:hint="eastAsia" w:ascii="宋体" w:hAnsi="宋体" w:eastAsia="宋体" w:cs="宋体"/>
          <w:color w:val="auto"/>
          <w:lang w:eastAsia="zh-CN"/>
        </w:rPr>
      </w:pPr>
    </w:p>
    <w:p>
      <w:pPr>
        <w:pageBreakBefore w:val="0"/>
        <w:widowControl/>
        <w:kinsoku/>
        <w:wordWrap w:val="0"/>
        <w:overflowPunct/>
        <w:topLinePunct w:val="0"/>
        <w:bidi w:val="0"/>
        <w:spacing w:line="360" w:lineRule="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注:</w:t>
      </w:r>
    </w:p>
    <w:p>
      <w:pPr>
        <w:pageBreakBefore w:val="0"/>
        <w:widowControl/>
        <w:kinsoku/>
        <w:wordWrap w:val="0"/>
        <w:overflowPunct/>
        <w:topLinePunct w:val="0"/>
        <w:bidi w:val="0"/>
        <w:spacing w:line="360" w:lineRule="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 xml:space="preserve">    1、投标人须在投标文件中按此模板提供承诺函，未提供视为未实质性响应招标文件要求，按无效投标处理。</w:t>
      </w:r>
    </w:p>
    <w:p>
      <w:pPr>
        <w:pageBreakBefore w:val="0"/>
        <w:widowControl/>
        <w:kinsoku/>
        <w:wordWrap w:val="0"/>
        <w:overflowPunct/>
        <w:topLinePunct w:val="0"/>
        <w:bidi w:val="0"/>
        <w:spacing w:line="36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    2、投标人的法定代表人或者授权代表的签字或盖章应真实、有效，如由授权代表签字或盖章的，应提供“法定代表人授权书”。</w:t>
      </w:r>
    </w:p>
    <w:p>
      <w:pPr>
        <w:pStyle w:val="19"/>
        <w:kinsoku w:val="0"/>
        <w:overflowPunct w:val="0"/>
        <w:ind w:firstLine="602"/>
        <w:rPr>
          <w:rFonts w:hint="eastAsia" w:ascii="宋体" w:hAnsi="宋体" w:eastAsia="宋体" w:cs="宋体"/>
          <w:b/>
          <w:bCs/>
          <w:color w:val="auto"/>
          <w:sz w:val="28"/>
          <w:szCs w:val="28"/>
          <w:highlight w:val="none"/>
        </w:rPr>
      </w:pPr>
      <w:r>
        <w:rPr>
          <w:rFonts w:hint="eastAsia" w:ascii="宋体" w:hAnsi="宋体" w:eastAsia="宋体" w:cs="宋体"/>
          <w:bCs/>
          <w:color w:val="auto"/>
          <w:sz w:val="24"/>
          <w:szCs w:val="24"/>
        </w:rPr>
        <w:t>3、采购人有权在签订合同前要求供应商提供相关证明材料以核实成交供应商承诺事项的真实性。（</w:t>
      </w:r>
      <w:r>
        <w:rPr>
          <w:rFonts w:hint="eastAsia" w:ascii="宋体" w:hAnsi="宋体" w:eastAsia="宋体" w:cs="宋体"/>
          <w:color w:val="auto"/>
          <w:sz w:val="24"/>
          <w:szCs w:val="24"/>
        </w:rPr>
        <w:t>提供</w:t>
      </w:r>
      <w:r>
        <w:rPr>
          <w:rFonts w:hint="eastAsia" w:ascii="宋体" w:hAnsi="宋体" w:eastAsia="宋体" w:cs="宋体"/>
          <w:bCs/>
          <w:color w:val="auto"/>
          <w:sz w:val="24"/>
          <w:szCs w:val="24"/>
        </w:rPr>
        <w:t>营业执照，</w:t>
      </w: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年经审计合格的财务审计报告（若为新成立企业，则以企业成立年月份向后推算，提供相应年月份的经审计合格的财务审计报告或财务报表）；202</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月以来任意</w:t>
      </w:r>
      <w:r>
        <w:rPr>
          <w:rFonts w:hint="eastAsia" w:ascii="宋体" w:hAnsi="宋体" w:eastAsia="宋体" w:cs="宋体"/>
          <w:color w:val="auto"/>
          <w:sz w:val="24"/>
          <w:szCs w:val="24"/>
          <w:lang w:val="en-US" w:eastAsia="zh-CN"/>
        </w:rPr>
        <w:t>一</w:t>
      </w:r>
      <w:r>
        <w:rPr>
          <w:rFonts w:hint="eastAsia" w:ascii="宋体" w:hAnsi="宋体" w:eastAsia="宋体" w:cs="宋体"/>
          <w:color w:val="auto"/>
          <w:sz w:val="24"/>
          <w:szCs w:val="24"/>
        </w:rPr>
        <w:t>个月依法纳税证明和社保缴纳证明；“提供“中国执行信息公开网”网站的“失信被执行人”、“信用中国”网站的“重大税收违法失信主体”、“中国政府采购”网站的“政府采购严重违法失信行为记录名单”（执行财库【2016】125 号文）”查询结果页面截图）</w:t>
      </w:r>
    </w:p>
    <w:p>
      <w:pPr>
        <w:widowControl w:val="0"/>
        <w:kinsoku w:val="0"/>
        <w:overflowPunct w:val="0"/>
        <w:spacing w:before="100" w:beforeAutospacing="1" w:after="120"/>
        <w:ind w:firstLine="602"/>
        <w:jc w:val="both"/>
        <w:rPr>
          <w:rFonts w:hint="eastAsia" w:ascii="宋体" w:hAnsi="宋体" w:eastAsia="宋体" w:cs="宋体"/>
          <w:b/>
          <w:bCs/>
          <w:color w:val="auto"/>
          <w:kern w:val="0"/>
          <w:sz w:val="28"/>
          <w:szCs w:val="28"/>
          <w:highlight w:val="none"/>
          <w:lang w:val="en-US" w:eastAsia="zh-CN" w:bidi="ar-SA"/>
        </w:rPr>
      </w:pPr>
    </w:p>
    <w:p>
      <w:pPr>
        <w:widowControl w:val="0"/>
        <w:kinsoku w:val="0"/>
        <w:overflowPunct w:val="0"/>
        <w:spacing w:before="100" w:beforeAutospacing="1" w:after="120"/>
        <w:ind w:firstLine="602"/>
        <w:jc w:val="both"/>
        <w:rPr>
          <w:rFonts w:hint="eastAsia" w:ascii="宋体" w:hAnsi="宋体" w:eastAsia="宋体" w:cs="宋体"/>
          <w:b/>
          <w:bCs/>
          <w:color w:val="auto"/>
          <w:kern w:val="0"/>
          <w:sz w:val="28"/>
          <w:szCs w:val="28"/>
          <w:highlight w:val="none"/>
          <w:lang w:val="en-US" w:eastAsia="zh-CN" w:bidi="ar-SA"/>
        </w:rPr>
      </w:pPr>
    </w:p>
    <w:p>
      <w:pPr>
        <w:widowControl w:val="0"/>
        <w:kinsoku w:val="0"/>
        <w:overflowPunct w:val="0"/>
        <w:spacing w:before="100" w:beforeAutospacing="1" w:after="120"/>
        <w:ind w:firstLine="602"/>
        <w:jc w:val="both"/>
        <w:rPr>
          <w:rFonts w:hint="eastAsia" w:ascii="宋体" w:hAnsi="宋体" w:eastAsia="宋体" w:cs="宋体"/>
          <w:b/>
          <w:bCs/>
          <w:color w:val="auto"/>
          <w:kern w:val="0"/>
          <w:sz w:val="28"/>
          <w:szCs w:val="28"/>
          <w:highlight w:val="none"/>
          <w:lang w:val="en-US" w:eastAsia="zh-CN" w:bidi="ar-SA"/>
        </w:rPr>
      </w:pPr>
    </w:p>
    <w:p>
      <w:pPr>
        <w:widowControl w:val="0"/>
        <w:kinsoku w:val="0"/>
        <w:overflowPunct w:val="0"/>
        <w:spacing w:before="100" w:beforeAutospacing="1" w:after="120"/>
        <w:ind w:firstLine="602"/>
        <w:jc w:val="both"/>
        <w:rPr>
          <w:rFonts w:hint="eastAsia" w:ascii="宋体" w:hAnsi="宋体" w:eastAsia="宋体" w:cs="宋体"/>
          <w:b/>
          <w:bCs/>
          <w:color w:val="auto"/>
          <w:kern w:val="0"/>
          <w:sz w:val="28"/>
          <w:szCs w:val="28"/>
          <w:highlight w:val="none"/>
          <w:lang w:val="en-US" w:eastAsia="zh-CN" w:bidi="ar-SA"/>
        </w:rPr>
      </w:pPr>
    </w:p>
    <w:p>
      <w:pPr>
        <w:widowControl w:val="0"/>
        <w:kinsoku w:val="0"/>
        <w:overflowPunct w:val="0"/>
        <w:spacing w:before="100" w:beforeAutospacing="1" w:after="120"/>
        <w:ind w:firstLine="602"/>
        <w:jc w:val="both"/>
        <w:rPr>
          <w:rFonts w:hint="eastAsia" w:ascii="宋体" w:hAnsi="宋体" w:eastAsia="宋体" w:cs="宋体"/>
          <w:b/>
          <w:bCs/>
          <w:color w:val="auto"/>
          <w:kern w:val="0"/>
          <w:sz w:val="28"/>
          <w:szCs w:val="28"/>
          <w:highlight w:val="none"/>
          <w:lang w:val="en-US" w:eastAsia="zh-CN" w:bidi="ar-SA"/>
        </w:rPr>
      </w:pPr>
    </w:p>
    <w:p>
      <w:pPr>
        <w:widowControl w:val="0"/>
        <w:kinsoku w:val="0"/>
        <w:overflowPunct w:val="0"/>
        <w:spacing w:before="100" w:beforeAutospacing="1" w:after="120"/>
        <w:ind w:firstLine="602"/>
        <w:jc w:val="both"/>
        <w:rPr>
          <w:rFonts w:hint="eastAsia" w:ascii="宋体" w:hAnsi="宋体" w:eastAsia="宋体" w:cs="宋体"/>
          <w:b/>
          <w:bCs/>
          <w:color w:val="auto"/>
          <w:kern w:val="0"/>
          <w:sz w:val="28"/>
          <w:szCs w:val="28"/>
          <w:highlight w:val="none"/>
          <w:lang w:val="en-US" w:eastAsia="zh-CN" w:bidi="ar-SA"/>
        </w:rPr>
      </w:pPr>
    </w:p>
    <w:p>
      <w:pPr>
        <w:widowControl w:val="0"/>
        <w:kinsoku w:val="0"/>
        <w:overflowPunct w:val="0"/>
        <w:spacing w:before="100" w:beforeAutospacing="1" w:after="120"/>
        <w:ind w:firstLine="602"/>
        <w:jc w:val="both"/>
        <w:rPr>
          <w:rFonts w:hint="eastAsia" w:ascii="宋体" w:hAnsi="宋体" w:eastAsia="宋体" w:cs="宋体"/>
          <w:b/>
          <w:bCs/>
          <w:color w:val="auto"/>
          <w:kern w:val="0"/>
          <w:sz w:val="28"/>
          <w:szCs w:val="28"/>
          <w:highlight w:val="none"/>
          <w:lang w:val="en-US" w:eastAsia="zh-CN" w:bidi="ar-SA"/>
        </w:rPr>
      </w:pPr>
    </w:p>
    <w:p>
      <w:pPr>
        <w:widowControl w:val="0"/>
        <w:kinsoku w:val="0"/>
        <w:overflowPunct w:val="0"/>
        <w:spacing w:before="100" w:beforeAutospacing="1" w:after="120"/>
        <w:ind w:firstLine="602"/>
        <w:jc w:val="both"/>
        <w:rPr>
          <w:rFonts w:hint="eastAsia" w:ascii="宋体" w:hAnsi="宋体" w:eastAsia="宋体" w:cs="宋体"/>
          <w:b/>
          <w:bCs/>
          <w:color w:val="auto"/>
          <w:kern w:val="0"/>
          <w:sz w:val="28"/>
          <w:szCs w:val="28"/>
          <w:highlight w:val="none"/>
          <w:lang w:val="en-US" w:eastAsia="zh-CN" w:bidi="ar-SA"/>
        </w:rPr>
      </w:pPr>
    </w:p>
    <w:p>
      <w:pPr>
        <w:widowControl w:val="0"/>
        <w:kinsoku w:val="0"/>
        <w:overflowPunct w:val="0"/>
        <w:spacing w:before="100" w:beforeAutospacing="1" w:after="120"/>
        <w:ind w:firstLine="602"/>
        <w:jc w:val="both"/>
        <w:rPr>
          <w:rFonts w:hint="eastAsia" w:ascii="宋体" w:hAnsi="宋体" w:eastAsia="宋体" w:cs="宋体"/>
          <w:b/>
          <w:bCs/>
          <w:color w:val="auto"/>
          <w:kern w:val="0"/>
          <w:sz w:val="28"/>
          <w:szCs w:val="28"/>
          <w:highlight w:val="none"/>
          <w:lang w:val="en-US" w:eastAsia="zh-CN" w:bidi="ar-SA"/>
        </w:rPr>
      </w:pPr>
    </w:p>
    <w:p>
      <w:pPr>
        <w:widowControl w:val="0"/>
        <w:kinsoku w:val="0"/>
        <w:overflowPunct w:val="0"/>
        <w:spacing w:before="100" w:beforeAutospacing="1" w:after="120"/>
        <w:ind w:firstLine="602"/>
        <w:jc w:val="both"/>
        <w:rPr>
          <w:rFonts w:hint="eastAsia" w:ascii="宋体" w:hAnsi="宋体" w:eastAsia="宋体" w:cs="宋体"/>
          <w:b/>
          <w:bCs/>
          <w:color w:val="auto"/>
          <w:kern w:val="0"/>
          <w:sz w:val="28"/>
          <w:szCs w:val="28"/>
          <w:highlight w:val="none"/>
          <w:lang w:val="en-US" w:eastAsia="zh-CN" w:bidi="ar-SA"/>
        </w:rPr>
      </w:pPr>
    </w:p>
    <w:p>
      <w:pPr>
        <w:widowControl w:val="0"/>
        <w:kinsoku w:val="0"/>
        <w:overflowPunct w:val="0"/>
        <w:spacing w:before="100" w:beforeAutospacing="1" w:after="120"/>
        <w:ind w:firstLine="602"/>
        <w:jc w:val="both"/>
        <w:rPr>
          <w:rFonts w:hint="eastAsia" w:ascii="宋体" w:hAnsi="宋体" w:eastAsia="宋体" w:cs="宋体"/>
          <w:b/>
          <w:bCs/>
          <w:color w:val="auto"/>
          <w:kern w:val="0"/>
          <w:sz w:val="28"/>
          <w:szCs w:val="28"/>
          <w:highlight w:val="none"/>
          <w:lang w:val="en-US" w:eastAsia="zh-CN" w:bidi="ar-SA"/>
        </w:rPr>
      </w:pPr>
    </w:p>
    <w:p>
      <w:pPr>
        <w:widowControl w:val="0"/>
        <w:kinsoku w:val="0"/>
        <w:overflowPunct w:val="0"/>
        <w:spacing w:before="100" w:beforeAutospacing="1" w:after="120"/>
        <w:ind w:firstLine="602"/>
        <w:jc w:val="both"/>
        <w:rPr>
          <w:rFonts w:hint="eastAsia" w:ascii="宋体" w:hAnsi="宋体" w:eastAsia="宋体" w:cs="宋体"/>
          <w:b/>
          <w:bCs/>
          <w:color w:val="auto"/>
          <w:kern w:val="0"/>
          <w:sz w:val="28"/>
          <w:szCs w:val="28"/>
          <w:highlight w:val="none"/>
          <w:lang w:val="en-US" w:eastAsia="zh-CN" w:bidi="ar-SA"/>
        </w:rPr>
      </w:pPr>
    </w:p>
    <w:p>
      <w:pPr>
        <w:widowControl w:val="0"/>
        <w:kinsoku w:val="0"/>
        <w:overflowPunct w:val="0"/>
        <w:spacing w:before="100" w:beforeAutospacing="1" w:after="120"/>
        <w:ind w:firstLine="602"/>
        <w:jc w:val="both"/>
        <w:rPr>
          <w:rFonts w:hint="eastAsia" w:ascii="宋体" w:hAnsi="宋体" w:eastAsia="宋体" w:cs="宋体"/>
          <w:b/>
          <w:bCs/>
          <w:color w:val="auto"/>
          <w:kern w:val="0"/>
          <w:sz w:val="28"/>
          <w:szCs w:val="28"/>
          <w:highlight w:val="none"/>
          <w:lang w:val="en-US" w:eastAsia="zh-CN" w:bidi="ar-SA"/>
        </w:rPr>
      </w:pPr>
    </w:p>
    <w:p>
      <w:pPr>
        <w:widowControl w:val="0"/>
        <w:kinsoku w:val="0"/>
        <w:overflowPunct w:val="0"/>
        <w:spacing w:before="100" w:beforeAutospacing="1" w:after="120"/>
        <w:ind w:firstLine="602"/>
        <w:jc w:val="both"/>
        <w:rPr>
          <w:rFonts w:hint="eastAsia" w:ascii="宋体" w:hAnsi="宋体" w:eastAsia="宋体" w:cs="宋体"/>
          <w:b/>
          <w:bCs/>
          <w:color w:val="auto"/>
          <w:kern w:val="0"/>
          <w:sz w:val="28"/>
          <w:szCs w:val="28"/>
          <w:highlight w:val="none"/>
          <w:lang w:val="en-US" w:eastAsia="zh-CN" w:bidi="ar-SA"/>
        </w:rPr>
      </w:pPr>
    </w:p>
    <w:p>
      <w:pPr>
        <w:widowControl w:val="0"/>
        <w:kinsoku w:val="0"/>
        <w:overflowPunct w:val="0"/>
        <w:spacing w:before="100" w:beforeAutospacing="1" w:after="120"/>
        <w:ind w:firstLine="602"/>
        <w:jc w:val="both"/>
        <w:rPr>
          <w:rFonts w:hint="eastAsia" w:ascii="宋体" w:hAnsi="宋体" w:eastAsia="宋体" w:cs="宋体"/>
          <w:b/>
          <w:bCs/>
          <w:color w:val="auto"/>
          <w:kern w:val="0"/>
          <w:sz w:val="28"/>
          <w:szCs w:val="28"/>
          <w:highlight w:val="none"/>
          <w:lang w:val="en-US" w:eastAsia="zh-CN" w:bidi="ar-SA"/>
        </w:rPr>
      </w:pPr>
    </w:p>
    <w:p>
      <w:pPr>
        <w:widowControl w:val="0"/>
        <w:kinsoku w:val="0"/>
        <w:overflowPunct w:val="0"/>
        <w:spacing w:before="100" w:beforeAutospacing="1" w:after="120"/>
        <w:ind w:firstLine="602"/>
        <w:jc w:val="both"/>
        <w:rPr>
          <w:rFonts w:hint="eastAsia" w:ascii="宋体" w:hAnsi="宋体" w:eastAsia="宋体" w:cs="宋体"/>
          <w:b/>
          <w:bCs/>
          <w:color w:val="auto"/>
          <w:kern w:val="0"/>
          <w:sz w:val="28"/>
          <w:szCs w:val="28"/>
          <w:highlight w:val="none"/>
          <w:lang w:val="en-US" w:eastAsia="zh-CN" w:bidi="ar-SA"/>
        </w:rPr>
      </w:pPr>
    </w:p>
    <w:p>
      <w:pPr>
        <w:widowControl w:val="0"/>
        <w:kinsoku w:val="0"/>
        <w:overflowPunct w:val="0"/>
        <w:spacing w:before="100" w:beforeAutospacing="1" w:after="120"/>
        <w:ind w:firstLine="602"/>
        <w:jc w:val="both"/>
        <w:rPr>
          <w:rFonts w:hint="eastAsia" w:ascii="宋体" w:hAnsi="宋体" w:eastAsia="宋体" w:cs="宋体"/>
          <w:b/>
          <w:bCs/>
          <w:color w:val="auto"/>
          <w:kern w:val="0"/>
          <w:sz w:val="28"/>
          <w:szCs w:val="28"/>
          <w:highlight w:val="none"/>
          <w:lang w:val="en-US" w:eastAsia="zh-CN" w:bidi="ar-SA"/>
        </w:rPr>
      </w:pPr>
    </w:p>
    <w:p>
      <w:pPr>
        <w:widowControl w:val="0"/>
        <w:kinsoku w:val="0"/>
        <w:overflowPunct w:val="0"/>
        <w:spacing w:before="100" w:beforeAutospacing="1" w:after="120"/>
        <w:ind w:firstLine="602"/>
        <w:jc w:val="both"/>
        <w:rPr>
          <w:rFonts w:hint="eastAsia" w:ascii="宋体" w:hAnsi="宋体" w:eastAsia="宋体" w:cs="宋体"/>
          <w:b/>
          <w:bCs/>
          <w:color w:val="auto"/>
          <w:kern w:val="0"/>
          <w:sz w:val="28"/>
          <w:szCs w:val="28"/>
          <w:highlight w:val="none"/>
          <w:lang w:val="en-US" w:eastAsia="zh-CN" w:bidi="ar-SA"/>
        </w:rPr>
      </w:pPr>
    </w:p>
    <w:p>
      <w:pPr>
        <w:widowControl w:val="0"/>
        <w:kinsoku w:val="0"/>
        <w:overflowPunct w:val="0"/>
        <w:spacing w:before="100" w:beforeAutospacing="1" w:after="120"/>
        <w:ind w:firstLine="602"/>
        <w:jc w:val="both"/>
        <w:rPr>
          <w:rFonts w:hint="eastAsia" w:ascii="宋体" w:hAnsi="宋体" w:eastAsia="宋体" w:cs="宋体"/>
          <w:b/>
          <w:bCs/>
          <w:color w:val="auto"/>
          <w:kern w:val="0"/>
          <w:sz w:val="28"/>
          <w:szCs w:val="28"/>
          <w:highlight w:val="none"/>
          <w:lang w:val="en-US" w:eastAsia="zh-CN" w:bidi="ar-SA"/>
        </w:rPr>
      </w:pPr>
    </w:p>
    <w:p>
      <w:pPr>
        <w:pStyle w:val="5"/>
        <w:jc w:val="center"/>
        <w:rPr>
          <w:rFonts w:hint="eastAsia" w:ascii="宋体" w:hAnsi="宋体" w:eastAsia="宋体" w:cs="宋体"/>
          <w:color w:val="auto"/>
          <w:highlight w:val="none"/>
        </w:rPr>
      </w:pPr>
      <w:r>
        <w:rPr>
          <w:rFonts w:hint="eastAsia" w:ascii="宋体" w:hAnsi="宋体" w:eastAsia="宋体" w:cs="宋体"/>
          <w:color w:val="auto"/>
          <w:highlight w:val="none"/>
        </w:rPr>
        <w:t>七、服务方案及承诺</w:t>
      </w: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1"/>
        <w:ind w:firstLine="640"/>
        <w:rPr>
          <w:rFonts w:hint="eastAsia" w:ascii="宋体" w:hAnsi="宋体" w:eastAsia="宋体" w:cs="宋体"/>
          <w:color w:val="auto"/>
          <w:highlight w:val="none"/>
        </w:rPr>
      </w:pPr>
    </w:p>
    <w:p>
      <w:pPr>
        <w:pStyle w:val="21"/>
        <w:ind w:firstLine="640"/>
        <w:rPr>
          <w:rFonts w:hint="eastAsia" w:ascii="宋体" w:hAnsi="宋体" w:eastAsia="宋体" w:cs="宋体"/>
          <w:color w:val="auto"/>
          <w:highlight w:val="none"/>
        </w:rPr>
      </w:pPr>
    </w:p>
    <w:p>
      <w:pPr>
        <w:pStyle w:val="21"/>
        <w:ind w:firstLine="640"/>
        <w:rPr>
          <w:rFonts w:hint="eastAsia" w:ascii="宋体" w:hAnsi="宋体" w:eastAsia="宋体" w:cs="宋体"/>
          <w:color w:val="auto"/>
          <w:highlight w:val="none"/>
        </w:rPr>
      </w:pPr>
    </w:p>
    <w:p>
      <w:pPr>
        <w:pStyle w:val="21"/>
        <w:ind w:firstLine="640"/>
        <w:rPr>
          <w:rFonts w:hint="eastAsia" w:ascii="宋体" w:hAnsi="宋体" w:eastAsia="宋体" w:cs="宋体"/>
          <w:color w:val="auto"/>
          <w:highlight w:val="none"/>
        </w:rPr>
      </w:pPr>
    </w:p>
    <w:p>
      <w:pPr>
        <w:pStyle w:val="21"/>
        <w:ind w:firstLine="640"/>
        <w:rPr>
          <w:rFonts w:hint="eastAsia" w:ascii="宋体" w:hAnsi="宋体" w:eastAsia="宋体" w:cs="宋体"/>
          <w:color w:val="auto"/>
          <w:highlight w:val="none"/>
        </w:rPr>
      </w:pPr>
    </w:p>
    <w:p>
      <w:pPr>
        <w:pStyle w:val="21"/>
        <w:ind w:firstLine="640"/>
        <w:rPr>
          <w:rFonts w:hint="eastAsia" w:ascii="宋体" w:hAnsi="宋体" w:eastAsia="宋体" w:cs="宋体"/>
          <w:color w:val="auto"/>
          <w:highlight w:val="none"/>
        </w:rPr>
      </w:pPr>
    </w:p>
    <w:p>
      <w:pPr>
        <w:pStyle w:val="21"/>
        <w:ind w:firstLine="640"/>
        <w:rPr>
          <w:rFonts w:hint="eastAsia" w:ascii="宋体" w:hAnsi="宋体" w:eastAsia="宋体" w:cs="宋体"/>
          <w:color w:val="auto"/>
          <w:highlight w:val="none"/>
        </w:rPr>
      </w:pPr>
    </w:p>
    <w:p>
      <w:pPr>
        <w:pStyle w:val="21"/>
        <w:ind w:firstLine="640"/>
        <w:rPr>
          <w:rFonts w:hint="eastAsia" w:ascii="宋体" w:hAnsi="宋体" w:eastAsia="宋体" w:cs="宋体"/>
          <w:color w:val="auto"/>
          <w:highlight w:val="none"/>
        </w:rPr>
      </w:pPr>
    </w:p>
    <w:p>
      <w:pPr>
        <w:pStyle w:val="21"/>
        <w:ind w:firstLine="640"/>
        <w:rPr>
          <w:rFonts w:hint="eastAsia" w:ascii="宋体" w:hAnsi="宋体" w:eastAsia="宋体" w:cs="宋体"/>
          <w:color w:val="auto"/>
          <w:highlight w:val="none"/>
        </w:rPr>
      </w:pPr>
    </w:p>
    <w:p>
      <w:pPr>
        <w:pStyle w:val="21"/>
        <w:ind w:firstLine="640"/>
        <w:rPr>
          <w:rFonts w:hint="eastAsia" w:ascii="宋体" w:hAnsi="宋体" w:eastAsia="宋体" w:cs="宋体"/>
          <w:color w:val="auto"/>
          <w:highlight w:val="none"/>
        </w:rPr>
      </w:pPr>
    </w:p>
    <w:p>
      <w:pPr>
        <w:pStyle w:val="21"/>
        <w:ind w:firstLine="640"/>
        <w:rPr>
          <w:rFonts w:hint="eastAsia" w:ascii="宋体" w:hAnsi="宋体" w:eastAsia="宋体" w:cs="宋体"/>
          <w:color w:val="auto"/>
          <w:highlight w:val="none"/>
        </w:rPr>
      </w:pPr>
    </w:p>
    <w:p>
      <w:pPr>
        <w:pStyle w:val="21"/>
        <w:ind w:firstLine="640"/>
        <w:rPr>
          <w:rFonts w:hint="eastAsia" w:ascii="宋体" w:hAnsi="宋体" w:eastAsia="宋体" w:cs="宋体"/>
          <w:color w:val="auto"/>
          <w:highlight w:val="none"/>
        </w:rPr>
      </w:pPr>
    </w:p>
    <w:p>
      <w:pPr>
        <w:pStyle w:val="21"/>
        <w:ind w:firstLine="640"/>
        <w:rPr>
          <w:rFonts w:hint="eastAsia" w:ascii="宋体" w:hAnsi="宋体" w:eastAsia="宋体" w:cs="宋体"/>
          <w:color w:val="auto"/>
          <w:highlight w:val="none"/>
        </w:rPr>
      </w:pPr>
    </w:p>
    <w:p>
      <w:pPr>
        <w:widowControl/>
        <w:jc w:val="left"/>
        <w:rPr>
          <w:rFonts w:hint="eastAsia" w:ascii="宋体" w:hAnsi="宋体" w:eastAsia="宋体" w:cs="宋体"/>
          <w:b/>
          <w:bCs/>
          <w:color w:val="auto"/>
          <w:kern w:val="0"/>
          <w:sz w:val="32"/>
          <w:szCs w:val="32"/>
          <w:highlight w:val="none"/>
        </w:rPr>
        <w:sectPr>
          <w:pgSz w:w="11910" w:h="16840"/>
          <w:pgMar w:top="1320" w:right="1020" w:bottom="1380" w:left="1020" w:header="0" w:footer="1200" w:gutter="0"/>
          <w:pgBorders>
            <w:top w:val="none" w:sz="0" w:space="0"/>
            <w:left w:val="none" w:sz="0" w:space="0"/>
            <w:bottom w:val="none" w:sz="0" w:space="0"/>
            <w:right w:val="none" w:sz="0" w:space="0"/>
          </w:pgBorders>
          <w:cols w:space="720" w:num="1"/>
        </w:sectPr>
      </w:pPr>
      <w:bookmarkStart w:id="85" w:name="_bookmark12"/>
      <w:bookmarkEnd w:id="85"/>
      <w:bookmarkStart w:id="86" w:name="_bookmark13"/>
      <w:bookmarkEnd w:id="86"/>
    </w:p>
    <w:p>
      <w:pPr>
        <w:pStyle w:val="5"/>
        <w:jc w:val="center"/>
        <w:rPr>
          <w:rFonts w:hint="eastAsia" w:ascii="宋体" w:hAnsi="宋体" w:eastAsia="宋体" w:cs="宋体"/>
          <w:color w:val="auto"/>
          <w:highlight w:val="none"/>
        </w:rPr>
      </w:pPr>
      <w:bookmarkStart w:id="87" w:name="十一、投标承诺函"/>
      <w:bookmarkEnd w:id="87"/>
      <w:bookmarkStart w:id="88" w:name="_bookmark16"/>
      <w:bookmarkEnd w:id="88"/>
      <w:bookmarkStart w:id="89" w:name="_Toc404096944"/>
      <w:r>
        <w:rPr>
          <w:rFonts w:hint="eastAsia" w:ascii="宋体" w:hAnsi="宋体" w:eastAsia="宋体" w:cs="宋体"/>
          <w:color w:val="auto"/>
          <w:highlight w:val="none"/>
        </w:rPr>
        <w:t>八、反商业贿赂承诺书</w:t>
      </w:r>
      <w:bookmarkEnd w:id="89"/>
    </w:p>
    <w:p>
      <w:pPr>
        <w:rPr>
          <w:rFonts w:hint="eastAsia" w:ascii="宋体" w:hAnsi="宋体" w:eastAsia="宋体" w:cs="宋体"/>
          <w:color w:val="auto"/>
          <w:highlight w:val="none"/>
        </w:rPr>
      </w:pPr>
    </w:p>
    <w:p>
      <w:pPr>
        <w:spacing w:line="48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我公司承诺：</w:t>
      </w:r>
    </w:p>
    <w:p>
      <w:pPr>
        <w:spacing w:line="48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招标活动中，我公司保证做到：</w:t>
      </w:r>
    </w:p>
    <w:p>
      <w:pPr>
        <w:spacing w:line="48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一、公平竞争参加本次招标活动。</w:t>
      </w:r>
    </w:p>
    <w:p>
      <w:pPr>
        <w:spacing w:line="48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杜绝任何形式的商业贿赂行为。不向国家工作人员、政府采购代理机构工作人员、评审专家及亲属提供礼品礼金、有价证券、购物券、回扣、佣金、咨询费、劳务费、资助费、宣传费、宴请；不为其报销各种消费凭证，不支付其旅游、娱乐等费用。</w:t>
      </w:r>
    </w:p>
    <w:p>
      <w:pPr>
        <w:spacing w:line="48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三、若出现上述行为，我公司及参与投标的工作人员愿意接受按照国家法律法规等有关规定给予的处罚。</w:t>
      </w:r>
    </w:p>
    <w:p>
      <w:pPr>
        <w:spacing w:line="480" w:lineRule="auto"/>
        <w:ind w:firstLine="480" w:firstLineChars="200"/>
        <w:rPr>
          <w:rFonts w:hint="eastAsia" w:ascii="宋体" w:hAnsi="宋体" w:eastAsia="宋体" w:cs="宋体"/>
          <w:color w:val="auto"/>
          <w:sz w:val="24"/>
          <w:highlight w:val="none"/>
        </w:rPr>
      </w:pPr>
    </w:p>
    <w:p>
      <w:pPr>
        <w:spacing w:line="360" w:lineRule="auto"/>
        <w:ind w:firstLine="480" w:firstLineChars="200"/>
        <w:rPr>
          <w:rFonts w:hint="eastAsia" w:ascii="宋体" w:hAnsi="宋体" w:eastAsia="宋体" w:cs="宋体"/>
          <w:color w:val="auto"/>
          <w:sz w:val="24"/>
          <w:highlight w:val="none"/>
        </w:rPr>
      </w:pPr>
    </w:p>
    <w:p>
      <w:pPr>
        <w:spacing w:line="360" w:lineRule="auto"/>
        <w:ind w:firstLine="480" w:firstLineChars="200"/>
        <w:rPr>
          <w:rFonts w:hint="eastAsia" w:ascii="宋体" w:hAnsi="宋体" w:eastAsia="宋体" w:cs="宋体"/>
          <w:color w:val="auto"/>
          <w:sz w:val="24"/>
          <w:highlight w:val="none"/>
        </w:rPr>
      </w:pPr>
    </w:p>
    <w:p>
      <w:pPr>
        <w:spacing w:line="360" w:lineRule="auto"/>
        <w:ind w:firstLine="480" w:firstLineChars="200"/>
        <w:rPr>
          <w:rFonts w:hint="eastAsia" w:ascii="宋体" w:hAnsi="宋体" w:eastAsia="宋体" w:cs="宋体"/>
          <w:color w:val="auto"/>
          <w:sz w:val="24"/>
          <w:highlight w:val="none"/>
        </w:rPr>
      </w:pPr>
    </w:p>
    <w:p>
      <w:pPr>
        <w:spacing w:line="360" w:lineRule="auto"/>
        <w:ind w:firstLine="3312" w:firstLineChars="138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名称（</w:t>
      </w:r>
      <w:r>
        <w:rPr>
          <w:rFonts w:hint="eastAsia" w:ascii="宋体" w:hAnsi="宋体" w:eastAsia="宋体" w:cs="宋体"/>
          <w:color w:val="auto"/>
          <w:sz w:val="24"/>
          <w:szCs w:val="24"/>
          <w:highlight w:val="none"/>
          <w:lang w:eastAsia="zh-CN"/>
        </w:rPr>
        <w:t>电子签章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pPr>
        <w:spacing w:line="360" w:lineRule="auto"/>
        <w:ind w:firstLine="3312" w:firstLineChars="138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法定代表人（签字或盖章） :</w:t>
      </w:r>
      <w:r>
        <w:rPr>
          <w:rFonts w:hint="eastAsia" w:ascii="宋体" w:hAnsi="宋体" w:eastAsia="宋体" w:cs="宋体"/>
          <w:color w:val="auto"/>
          <w:sz w:val="24"/>
          <w:highlight w:val="none"/>
          <w:u w:val="single"/>
        </w:rPr>
        <w:t xml:space="preserve">                        </w:t>
      </w:r>
    </w:p>
    <w:p>
      <w:pPr>
        <w:spacing w:line="360" w:lineRule="auto"/>
        <w:ind w:firstLine="3360" w:firstLineChars="14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委托代理人（签字或盖章）:</w:t>
      </w:r>
      <w:r>
        <w:rPr>
          <w:rFonts w:hint="eastAsia" w:ascii="宋体" w:hAnsi="宋体" w:eastAsia="宋体" w:cs="宋体"/>
          <w:color w:val="auto"/>
          <w:sz w:val="24"/>
          <w:highlight w:val="none"/>
          <w:u w:val="single"/>
        </w:rPr>
        <w:t xml:space="preserve">                       </w:t>
      </w:r>
    </w:p>
    <w:p>
      <w:pPr>
        <w:spacing w:line="360" w:lineRule="auto"/>
        <w:ind w:firstLine="3360" w:firstLineChars="1400"/>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pPr>
        <w:pStyle w:val="21"/>
        <w:ind w:firstLine="640"/>
        <w:rPr>
          <w:rFonts w:hint="eastAsia" w:ascii="宋体" w:hAnsi="宋体" w:eastAsia="宋体" w:cs="宋体"/>
          <w:color w:val="auto"/>
          <w:highlight w:val="none"/>
        </w:rPr>
      </w:pPr>
    </w:p>
    <w:p>
      <w:pPr>
        <w:pStyle w:val="21"/>
        <w:ind w:firstLine="640"/>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1"/>
        <w:ind w:firstLine="640"/>
        <w:rPr>
          <w:rFonts w:hint="eastAsia" w:ascii="宋体" w:hAnsi="宋体" w:eastAsia="宋体" w:cs="宋体"/>
          <w:color w:val="auto"/>
          <w:highlight w:val="none"/>
        </w:rPr>
      </w:pPr>
    </w:p>
    <w:p>
      <w:pPr>
        <w:pStyle w:val="5"/>
        <w:jc w:val="center"/>
        <w:rPr>
          <w:rFonts w:hint="eastAsia" w:ascii="宋体" w:hAnsi="宋体" w:eastAsia="宋体" w:cs="宋体"/>
          <w:color w:val="auto"/>
          <w:highlight w:val="none"/>
        </w:rPr>
      </w:pPr>
      <w:r>
        <w:rPr>
          <w:rFonts w:hint="eastAsia" w:ascii="宋体" w:hAnsi="宋体" w:eastAsia="宋体" w:cs="宋体"/>
          <w:color w:val="auto"/>
          <w:highlight w:val="none"/>
        </w:rPr>
        <w:t>九、投标诚信承诺</w:t>
      </w:r>
    </w:p>
    <w:p>
      <w:pPr>
        <w:spacing w:line="400" w:lineRule="exac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（采购人）      </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本着认真、诚信、严谨的态度，我公司决定参加贵单位关于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的投标。我公司承诺如下：</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一、在投标过程中，我公司将严格遵守国家相关法律法规及省、市规定，遵循招标文件的要求。</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二、在报名及投标过程中，我公司保证按招标公告和招标文件要求提供的所有备审资料合法、真实、有效。</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三、报名通过后，我公司将认真组织参与本次招标活动。除不可抗力或法定情形外，保证不放弃本次投标,按招标文件要求参加开标会议。如若放弃投标，我公司愿意弥补招标活动损失，并接受相关部门处罚。</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四、在投标过程中，我公司保证公平竞争，不与采购人、其它</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、代理机构、评标专家等就本项目串通投标。</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五、我公司如被确定为中标候选人，保证不出现违法放弃中标行为，违法放弃中标行为包括但不限于以下情形：</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  除不可抗力因素和采购人的责任等免责条件外，中标候选人拒绝按规定接受中标的；</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   除不可抗力因素和采购人的责任等免责条件外，中标人拒绝依据招标文件、投标文件和中标通知书与采购人签订书面合同的；</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  建设行政主管部门认定的其他违法放弃中标行为。</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六、我公司如有第五条所述行为，愿意接受被认定为违法放弃中标，并接受以下处罚：违法放弃中标的，交纳其投标报价与依序递补中标候选人投标报价差额作为对招标活动损失的补偿，并按《中华人民共和国招标投标法》第六十条及相关法律法规和规章的规定，取消2至5年参加必须招标项目的投标资格。</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七、我公司愿意配合相关部门关于本项目的调查，如有违法违规行为愿意接受处罚。</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八、如果我公司对招标工作有询问、质疑、投诉，保证按法律法规相关规定进行，决不恶意投诉。</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以上承诺为我公司真实意愿。</w:t>
      </w:r>
    </w:p>
    <w:p>
      <w:pPr>
        <w:spacing w:line="360" w:lineRule="auto"/>
        <w:rPr>
          <w:rFonts w:hint="eastAsia" w:ascii="宋体" w:hAnsi="宋体" w:eastAsia="宋体" w:cs="宋体"/>
          <w:color w:val="auto"/>
          <w:sz w:val="24"/>
          <w:highlight w:val="none"/>
        </w:rPr>
      </w:pPr>
    </w:p>
    <w:p>
      <w:pPr>
        <w:spacing w:line="360" w:lineRule="auto"/>
        <w:ind w:firstLine="2160" w:firstLineChars="9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szCs w:val="24"/>
          <w:highlight w:val="none"/>
          <w:lang w:eastAsia="zh-CN"/>
        </w:rPr>
        <w:t>电子签章</w:t>
      </w:r>
      <w:r>
        <w:rPr>
          <w:rFonts w:hint="eastAsia" w:ascii="宋体" w:hAnsi="宋体" w:eastAsia="宋体" w:cs="宋体"/>
          <w:color w:val="auto"/>
          <w:sz w:val="24"/>
          <w:highlight w:val="none"/>
        </w:rPr>
        <w:t xml:space="preserve">）  </w:t>
      </w:r>
    </w:p>
    <w:p>
      <w:pPr>
        <w:spacing w:line="360" w:lineRule="auto"/>
        <w:ind w:firstLine="1680" w:firstLineChars="7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法定代表人或</w:t>
      </w:r>
      <w:r>
        <w:rPr>
          <w:rFonts w:hint="eastAsia" w:ascii="宋体" w:hAnsi="宋体" w:eastAsia="宋体" w:cs="宋体"/>
          <w:color w:val="auto"/>
          <w:sz w:val="24"/>
          <w:szCs w:val="24"/>
          <w:highlight w:val="none"/>
        </w:rPr>
        <w:t>其</w:t>
      </w:r>
      <w:r>
        <w:rPr>
          <w:rFonts w:hint="eastAsia" w:ascii="宋体" w:hAnsi="宋体" w:eastAsia="宋体" w:cs="宋体"/>
          <w:color w:val="auto"/>
          <w:sz w:val="24"/>
          <w:highlight w:val="none"/>
        </w:rPr>
        <w:t>委托代理人：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pPr>
        <w:spacing w:line="360" w:lineRule="auto"/>
        <w:ind w:firstLine="4080" w:firstLineChars="1700"/>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pPr>
        <w:pStyle w:val="5"/>
        <w:jc w:val="center"/>
        <w:rPr>
          <w:rFonts w:hint="eastAsia" w:ascii="宋体" w:hAnsi="宋体" w:eastAsia="宋体" w:cs="宋体"/>
          <w:color w:val="auto"/>
          <w:highlight w:val="none"/>
        </w:rPr>
      </w:pPr>
      <w:r>
        <w:rPr>
          <w:rFonts w:hint="eastAsia" w:ascii="宋体" w:hAnsi="宋体" w:eastAsia="宋体" w:cs="宋体"/>
          <w:color w:val="auto"/>
          <w:highlight w:val="none"/>
        </w:rPr>
        <w:t>十、</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 xml:space="preserve">认为需要提交的其他资料 </w:t>
      </w:r>
    </w:p>
    <w:p>
      <w:pPr>
        <w:pStyle w:val="21"/>
        <w:ind w:firstLine="640"/>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pPr>
        <w:pStyle w:val="21"/>
        <w:ind w:firstLine="640"/>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pPr>
        <w:pStyle w:val="21"/>
        <w:ind w:firstLine="640"/>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pPr>
        <w:pStyle w:val="21"/>
        <w:ind w:firstLine="640"/>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pPr>
        <w:pStyle w:val="21"/>
        <w:ind w:firstLine="640"/>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pPr>
        <w:pStyle w:val="21"/>
        <w:ind w:firstLine="640"/>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pPr>
        <w:pStyle w:val="21"/>
        <w:ind w:firstLine="640"/>
        <w:rPr>
          <w:rFonts w:hint="eastAsia" w:ascii="宋体" w:hAnsi="宋体" w:eastAsia="宋体" w:cs="宋体"/>
          <w:color w:val="auto"/>
          <w:highlight w:val="none"/>
        </w:rPr>
      </w:pPr>
    </w:p>
    <w:p>
      <w:pPr>
        <w:pStyle w:val="21"/>
        <w:ind w:firstLine="640"/>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pPr>
        <w:pStyle w:val="21"/>
        <w:ind w:firstLine="640"/>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pPr>
        <w:pStyle w:val="21"/>
        <w:ind w:firstLine="640"/>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pPr>
        <w:pStyle w:val="21"/>
        <w:ind w:firstLine="640"/>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pPr>
        <w:pStyle w:val="21"/>
        <w:ind w:firstLine="640"/>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1"/>
        <w:ind w:firstLine="640"/>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9"/>
        <w:spacing w:before="59"/>
        <w:ind w:right="189"/>
        <w:jc w:val="both"/>
        <w:rPr>
          <w:rFonts w:hint="eastAsia" w:ascii="宋体" w:hAnsi="宋体" w:eastAsia="宋体" w:cs="宋体"/>
          <w:b/>
          <w:bCs/>
          <w:color w:val="auto"/>
          <w:sz w:val="24"/>
          <w:szCs w:val="24"/>
          <w:highlight w:val="none"/>
        </w:rPr>
      </w:pPr>
      <w:bookmarkStart w:id="90" w:name="_Toc6326_WPSOffice_Level2"/>
    </w:p>
    <w:p>
      <w:pPr>
        <w:pStyle w:val="19"/>
        <w:spacing w:before="59"/>
        <w:ind w:right="189"/>
        <w:jc w:val="center"/>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rPr>
        <w:t>中小微企业声明函</w:t>
      </w:r>
      <w:bookmarkEnd w:id="90"/>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货物）</w:t>
      </w:r>
    </w:p>
    <w:p>
      <w:pPr>
        <w:pStyle w:val="19"/>
        <w:spacing w:before="1"/>
        <w:ind w:right="189"/>
        <w:jc w:val="center"/>
        <w:rPr>
          <w:rFonts w:hint="eastAsia" w:ascii="宋体" w:hAnsi="宋体" w:eastAsia="宋体" w:cs="宋体"/>
          <w:b/>
          <w:color w:val="auto"/>
          <w:highlight w:val="none"/>
        </w:rPr>
      </w:pPr>
      <w:r>
        <w:rPr>
          <w:rFonts w:hint="eastAsia" w:ascii="宋体" w:hAnsi="宋体" w:eastAsia="宋体" w:cs="宋体"/>
          <w:color w:val="auto"/>
          <w:highlight w:val="none"/>
        </w:rPr>
        <w:t>（属于中小微企业的填写，不属于的无需填写此项内容）</w:t>
      </w:r>
      <w:bookmarkStart w:id="91" w:name="OLE_LINK14"/>
      <w:bookmarkStart w:id="92" w:name="OLE_LINK13"/>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本公司(联合体)郑重声明，根据《财政部关于进一步加大政府采购支持中小企业力度的通知》(财库(</w:t>
      </w:r>
      <w:r>
        <w:rPr>
          <w:rFonts w:hint="eastAsia" w:ascii="宋体" w:hAnsi="宋体" w:eastAsia="宋体" w:cs="宋体"/>
          <w:color w:val="auto"/>
          <w:sz w:val="24"/>
          <w:highlight w:val="none"/>
          <w:lang w:val="en-US" w:eastAsia="zh-CN"/>
        </w:rPr>
        <w:t>2022</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19</w:t>
      </w:r>
      <w:r>
        <w:rPr>
          <w:rFonts w:hint="eastAsia" w:ascii="宋体" w:hAnsi="宋体" w:eastAsia="宋体" w:cs="宋体"/>
          <w:color w:val="auto"/>
          <w:sz w:val="24"/>
          <w:highlight w:val="none"/>
        </w:rPr>
        <w:t>号)的规定，本公司参加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(单位名称)的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(项目名称)采购活动，提供的货物全部由符合政策要求的中小企业制造。相关企业(含联合体中的中小企业、签订分包意向协议的中小企业)的具体情况如下：</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1.(标的名称)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，属于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（采购文件中明确的所属行业）行业；制造商为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(企业名称)，从业人员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万元，属于（中型企业、小型企业、微型企业)：</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2.(标的名称）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，属于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（采购文件中明确的所属行业)行业；制造商为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(企业名称），从业人员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万元，属于《中型企业、小型企业、微型企业）；</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以上企业，不属于大企业的分支机构，不存在控股股东为大企业的情形，也不存在与大企业的负责人为同一人的情形。</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本企业对上述声明内容的真实性负责。如有虚假，将依法承担相应责任。</w:t>
      </w:r>
    </w:p>
    <w:p>
      <w:pPr>
        <w:spacing w:line="440" w:lineRule="exact"/>
        <w:rPr>
          <w:rFonts w:hint="eastAsia" w:ascii="宋体" w:hAnsi="宋体" w:eastAsia="宋体" w:cs="宋体"/>
          <w:color w:val="auto"/>
          <w:sz w:val="24"/>
          <w:highlight w:val="none"/>
        </w:rPr>
      </w:pPr>
    </w:p>
    <w:p>
      <w:pPr>
        <w:pStyle w:val="5"/>
        <w:numPr>
          <w:ilvl w:val="0"/>
          <w:numId w:val="0"/>
        </w:numPr>
        <w:rPr>
          <w:rFonts w:hint="eastAsia" w:ascii="宋体" w:hAnsi="宋体" w:eastAsia="宋体" w:cs="宋体"/>
          <w:color w:val="auto"/>
          <w:highlight w:val="none"/>
        </w:rPr>
      </w:pPr>
    </w:p>
    <w:p>
      <w:pPr>
        <w:rPr>
          <w:rFonts w:hint="eastAsia" w:ascii="宋体" w:hAnsi="宋体" w:eastAsia="宋体" w:cs="宋体"/>
          <w:color w:val="auto"/>
          <w:highlight w:val="none"/>
        </w:rPr>
      </w:pPr>
    </w:p>
    <w:p>
      <w:pPr>
        <w:spacing w:line="440" w:lineRule="exact"/>
        <w:ind w:firstLine="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w:t>
      </w:r>
      <w:r>
        <w:rPr>
          <w:rFonts w:hint="eastAsia" w:ascii="宋体" w:hAnsi="宋体" w:eastAsia="宋体" w:cs="宋体"/>
          <w:color w:val="auto"/>
          <w:sz w:val="24"/>
          <w:szCs w:val="24"/>
          <w:highlight w:val="none"/>
        </w:rPr>
        <w:t>公章</w:t>
      </w:r>
      <w:r>
        <w:rPr>
          <w:rFonts w:hint="eastAsia" w:ascii="宋体" w:hAnsi="宋体" w:eastAsia="宋体" w:cs="宋体"/>
          <w:color w:val="auto"/>
          <w:sz w:val="24"/>
          <w:highlight w:val="none"/>
        </w:rPr>
        <w:t>)：</w:t>
      </w:r>
    </w:p>
    <w:p>
      <w:pPr>
        <w:spacing w:line="440" w:lineRule="exact"/>
        <w:ind w:firstLine="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日   期：</w:t>
      </w:r>
    </w:p>
    <w:p>
      <w:pPr>
        <w:pStyle w:val="7"/>
        <w:ind w:left="0" w:firstLine="0"/>
        <w:rPr>
          <w:rFonts w:hint="eastAsia" w:ascii="宋体" w:hAnsi="宋体" w:eastAsia="宋体" w:cs="宋体"/>
          <w:color w:val="auto"/>
          <w:sz w:val="24"/>
          <w:highlight w:val="none"/>
        </w:rPr>
      </w:pPr>
    </w:p>
    <w:p>
      <w:pPr>
        <w:pStyle w:val="19"/>
        <w:rPr>
          <w:rFonts w:hint="eastAsia" w:ascii="宋体" w:hAnsi="宋体" w:eastAsia="宋体" w:cs="宋体"/>
          <w:b/>
          <w:bCs/>
          <w:color w:val="auto"/>
          <w:highlight w:val="none"/>
        </w:rPr>
      </w:pPr>
    </w:p>
    <w:p>
      <w:pPr>
        <w:pStyle w:val="19"/>
        <w:ind w:firstLine="0"/>
        <w:rPr>
          <w:rFonts w:hint="eastAsia" w:ascii="宋体" w:hAnsi="宋体" w:eastAsia="宋体" w:cs="宋体"/>
          <w:b/>
          <w:bCs/>
          <w:color w:val="auto"/>
          <w:highlight w:val="none"/>
        </w:rPr>
      </w:pPr>
      <w:r>
        <w:rPr>
          <w:rFonts w:hint="eastAsia" w:ascii="宋体" w:hAnsi="宋体" w:eastAsia="宋体" w:cs="宋体"/>
          <w:b/>
          <w:bCs/>
          <w:color w:val="auto"/>
          <w:highlight w:val="none"/>
        </w:rPr>
        <w:t>附注：从业人员、营业收入、资产总额填报上一年度数据，无上一年度数据的新成立企业可不填报。</w:t>
      </w:r>
    </w:p>
    <w:p>
      <w:pPr>
        <w:pStyle w:val="2"/>
        <w:numPr>
          <w:ilvl w:val="0"/>
          <w:numId w:val="0"/>
        </w:num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bookmarkStart w:id="93" w:name="_Toc14325"/>
      <w:bookmarkStart w:id="94" w:name="_Toc8980_WPSOffice_Level2"/>
      <w:bookmarkStart w:id="95" w:name="_Toc21965"/>
    </w:p>
    <w:bookmarkEnd w:id="91"/>
    <w:bookmarkEnd w:id="92"/>
    <w:bookmarkEnd w:id="93"/>
    <w:bookmarkEnd w:id="94"/>
    <w:bookmarkEnd w:id="95"/>
    <w:p>
      <w:pPr>
        <w:widowControl/>
        <w:spacing w:line="360" w:lineRule="auto"/>
        <w:ind w:firstLine="562" w:firstLineChars="200"/>
        <w:jc w:val="center"/>
        <w:rPr>
          <w:rFonts w:hint="eastAsia" w:ascii="宋体" w:hAnsi="宋体" w:eastAsia="宋体" w:cs="宋体"/>
          <w:color w:val="auto"/>
          <w:szCs w:val="24"/>
        </w:rPr>
      </w:pPr>
      <w:r>
        <w:rPr>
          <w:rFonts w:hint="eastAsia" w:ascii="宋体" w:hAnsi="宋体" w:eastAsia="宋体" w:cs="宋体"/>
          <w:b/>
          <w:bCs/>
          <w:color w:val="auto"/>
          <w:kern w:val="0"/>
          <w:sz w:val="28"/>
          <w:szCs w:val="28"/>
          <w:lang w:bidi="ar"/>
        </w:rPr>
        <w:t>二、关于监狱企业（如有）</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b/>
          <w:bCs/>
          <w:color w:val="auto"/>
          <w:kern w:val="0"/>
          <w:sz w:val="24"/>
          <w:szCs w:val="24"/>
          <w:lang w:bidi="ar"/>
        </w:rPr>
        <w:t xml:space="preserve">1、政府采购政策 </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 xml:space="preserve">财政部、司法部关于政府采购支持监狱企业发展有关问题的通知（财库【2014】68号） </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b/>
          <w:bCs/>
          <w:color w:val="auto"/>
          <w:kern w:val="0"/>
          <w:sz w:val="24"/>
          <w:szCs w:val="24"/>
          <w:lang w:bidi="ar"/>
        </w:rPr>
        <w:t xml:space="preserve">2、附证明材料 </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 xml:space="preserve">提供由省级以上监狱管理局、戒毒管理局（含新疆生产建设兵团）出具的属于监狱企业的证明文件，否则投标报价评审时不予价格扣除优惠。 </w:t>
      </w:r>
    </w:p>
    <w:p>
      <w:pPr>
        <w:jc w:val="both"/>
        <w:rPr>
          <w:rFonts w:hint="eastAsia" w:ascii="宋体" w:hAnsi="宋体" w:eastAsia="宋体" w:cs="宋体"/>
          <w:b/>
          <w:bCs/>
          <w:color w:val="auto"/>
          <w:kern w:val="0"/>
          <w:sz w:val="28"/>
          <w:szCs w:val="28"/>
          <w:lang w:bidi="ar"/>
        </w:rPr>
      </w:pPr>
    </w:p>
    <w:p>
      <w:pPr>
        <w:jc w:val="center"/>
        <w:rPr>
          <w:rFonts w:hint="eastAsia" w:ascii="宋体" w:hAnsi="宋体" w:eastAsia="宋体" w:cs="宋体"/>
          <w:color w:val="auto"/>
          <w:szCs w:val="24"/>
        </w:rPr>
      </w:pPr>
      <w:r>
        <w:rPr>
          <w:rFonts w:hint="eastAsia" w:ascii="宋体" w:hAnsi="宋体" w:eastAsia="宋体" w:cs="宋体"/>
          <w:b/>
          <w:bCs/>
          <w:color w:val="auto"/>
          <w:kern w:val="0"/>
          <w:sz w:val="28"/>
          <w:szCs w:val="28"/>
          <w:lang w:bidi="ar"/>
        </w:rPr>
        <w:t>三、关于促进残疾人就业的政府采购政策（如有）</w:t>
      </w:r>
    </w:p>
    <w:p>
      <w:pPr>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kern w:val="0"/>
          <w:sz w:val="24"/>
          <w:szCs w:val="24"/>
          <w:lang w:val="en-US" w:eastAsia="zh-CN" w:bidi="ar"/>
        </w:rPr>
      </w:pPr>
    </w:p>
    <w:p>
      <w:pPr>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1</w:t>
      </w:r>
      <w:r>
        <w:rPr>
          <w:rFonts w:hint="eastAsia" w:ascii="宋体" w:hAnsi="宋体" w:eastAsia="宋体" w:cs="宋体"/>
          <w:b/>
          <w:bCs/>
          <w:color w:val="auto"/>
          <w:kern w:val="0"/>
          <w:sz w:val="24"/>
          <w:szCs w:val="24"/>
          <w:lang w:bidi="ar"/>
        </w:rPr>
        <w:t xml:space="preserve">、 政府采购政策 </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 xml:space="preserve">关于促进残疾人就业政府采购政策的通知（财库〔2017〕141 号） </w:t>
      </w:r>
    </w:p>
    <w:p>
      <w:pPr>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kern w:val="0"/>
          <w:sz w:val="24"/>
          <w:szCs w:val="24"/>
          <w:lang w:bidi="ar"/>
        </w:rPr>
      </w:pPr>
    </w:p>
    <w:p>
      <w:pPr>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b/>
          <w:bCs/>
          <w:color w:val="auto"/>
          <w:kern w:val="0"/>
          <w:sz w:val="24"/>
          <w:szCs w:val="24"/>
          <w:lang w:bidi="ar"/>
        </w:rPr>
        <w:t xml:space="preserve">2、附声明函 </w:t>
      </w:r>
    </w:p>
    <w:p>
      <w:pPr>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kern w:val="0"/>
          <w:sz w:val="24"/>
          <w:szCs w:val="24"/>
          <w:lang w:bidi="ar"/>
        </w:rPr>
      </w:pPr>
    </w:p>
    <w:p>
      <w:pPr>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b/>
          <w:bCs/>
          <w:color w:val="auto"/>
          <w:kern w:val="0"/>
          <w:sz w:val="24"/>
          <w:szCs w:val="24"/>
          <w:lang w:bidi="ar"/>
        </w:rPr>
        <w:t>残疾人福利性单位声明函</w:t>
      </w:r>
    </w:p>
    <w:p>
      <w:pPr>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lang w:bidi="ar"/>
        </w:rPr>
      </w:pPr>
    </w:p>
    <w:p>
      <w:pPr>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 xml:space="preserve">本单位郑重声明，根据《财政部 民政部 中国残疾人联合会关于促进残疾人就业政府采购政策的通知》（财库〔2017〕141 号）的规定，本单位为符合条件的残疾人福利性单位，且本单位参加__________________单位的______________项目采购活动提供本单位制造的货物（由本单位承担工程/提供服务），或者提供其他残疾人福利性单位制造的货物（不包括使用非残疾人福利性单位注册商标的货物）。 </w:t>
      </w:r>
    </w:p>
    <w:p>
      <w:pPr>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 xml:space="preserve">本单位对上述声明的真实性负责。如有虚假，将依法承担相应责任。 </w:t>
      </w:r>
    </w:p>
    <w:p>
      <w:pPr>
        <w:pageBreakBefore w:val="0"/>
        <w:widowControl/>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auto"/>
          <w:kern w:val="0"/>
          <w:sz w:val="24"/>
          <w:szCs w:val="24"/>
          <w:lang w:bidi="ar"/>
        </w:rPr>
      </w:pPr>
    </w:p>
    <w:p>
      <w:pPr>
        <w:pageBreakBefore w:val="0"/>
        <w:widowControl/>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auto"/>
          <w:sz w:val="24"/>
          <w:szCs w:val="24"/>
        </w:rPr>
      </w:pPr>
      <w:r>
        <w:rPr>
          <w:rFonts w:hint="eastAsia" w:ascii="宋体" w:hAnsi="宋体" w:cs="宋体"/>
          <w:color w:val="auto"/>
          <w:kern w:val="0"/>
          <w:sz w:val="24"/>
          <w:szCs w:val="24"/>
          <w:lang w:val="en-US" w:eastAsia="zh-CN" w:bidi="ar"/>
        </w:rPr>
        <w:t>供应商</w:t>
      </w:r>
      <w:r>
        <w:rPr>
          <w:rFonts w:hint="eastAsia" w:ascii="宋体" w:hAnsi="宋体" w:eastAsia="宋体" w:cs="宋体"/>
          <w:color w:val="auto"/>
          <w:kern w:val="0"/>
          <w:sz w:val="24"/>
          <w:szCs w:val="24"/>
          <w:lang w:bidi="ar"/>
        </w:rPr>
        <w:t xml:space="preserve">：  （盖单位公章） </w:t>
      </w:r>
    </w:p>
    <w:p>
      <w:pPr>
        <w:bidi w:val="0"/>
        <w:jc w:val="right"/>
        <w:rPr>
          <w:rFonts w:hint="eastAsia" w:ascii="宋体" w:hAnsi="宋体" w:eastAsia="宋体" w:cs="宋体"/>
          <w:color w:val="auto"/>
          <w:szCs w:val="24"/>
          <w:lang w:val="en-US" w:eastAsia="zh-CN"/>
        </w:rPr>
      </w:pPr>
    </w:p>
    <w:p>
      <w:pPr>
        <w:ind w:firstLine="6090" w:firstLineChars="2900"/>
        <w:rPr>
          <w:rFonts w:hint="eastAsia" w:ascii="宋体" w:hAnsi="宋体" w:eastAsia="宋体" w:cs="宋体"/>
          <w:b/>
          <w:color w:val="auto"/>
          <w:sz w:val="21"/>
          <w:szCs w:val="21"/>
          <w:highlight w:val="none"/>
        </w:rPr>
      </w:pPr>
      <w:r>
        <w:rPr>
          <w:rFonts w:hint="eastAsia" w:ascii="宋体" w:hAnsi="宋体" w:eastAsia="宋体" w:cs="宋体"/>
          <w:color w:val="auto"/>
          <w:szCs w:val="24"/>
          <w:lang w:val="en-US" w:eastAsia="zh-CN"/>
        </w:rPr>
        <w:t>年  月  日</w:t>
      </w:r>
    </w:p>
    <w:p>
      <w:pPr>
        <w:jc w:val="center"/>
        <w:rPr>
          <w:rFonts w:hint="eastAsia" w:ascii="宋体" w:hAnsi="宋体" w:eastAsia="宋体" w:cs="宋体"/>
          <w:color w:val="auto"/>
          <w:highlight w:val="none"/>
        </w:rPr>
      </w:pPr>
    </w:p>
    <w:sectPr>
      <w:headerReference r:id="rId4" w:type="default"/>
      <w:footerReference r:id="rId5" w:type="default"/>
      <w:footerReference r:id="rId6" w:type="even"/>
      <w:pgSz w:w="11906" w:h="16838"/>
      <w:pgMar w:top="1440" w:right="1800" w:bottom="1440" w:left="1800" w:header="851" w:footer="839" w:gutter="0"/>
      <w:pgBorders>
        <w:top w:val="none" w:sz="0" w:space="0"/>
        <w:left w:val="none" w:sz="0" w:space="0"/>
        <w:bottom w:val="none" w:sz="0" w:space="0"/>
        <w:right w:val="none" w:sz="0" w:space="0"/>
      </w:pgBorders>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6" w:usb3="00000000" w:csb0="00040001" w:csb1="00000000"/>
  </w:font>
  <w:font w:name="ˎ̥">
    <w:altName w:val="Times New Roman"/>
    <w:panose1 w:val="00000000000000000000"/>
    <w:charset w:val="00"/>
    <w:family w:val="auto"/>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PMingLiU">
    <w:altName w:val="Microsoft JhengHei"/>
    <w:panose1 w:val="02010601000101010101"/>
    <w:charset w:val="88"/>
    <w:family w:val="auto"/>
    <w:pitch w:val="default"/>
    <w:sig w:usb0="00000000" w:usb1="00000000" w:usb2="00000010" w:usb3="00000000" w:csb0="00100000" w:csb1="00000000"/>
  </w:font>
  <w:font w:name="Tahoma">
    <w:panose1 w:val="020B0604030504040204"/>
    <w:charset w:val="00"/>
    <w:family w:val="auto"/>
    <w:pitch w:val="default"/>
    <w:sig w:usb0="E1002EFF" w:usb1="C000605B" w:usb2="00000029" w:usb3="00000000" w:csb0="200101FF" w:csb1="2028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6" w:usb3="00000000" w:csb0="00040001" w:csb1="00000000"/>
  </w:font>
  <w:font w:name="Verdana">
    <w:panose1 w:val="020B0604030504040204"/>
    <w:charset w:val="00"/>
    <w:family w:val="swiss"/>
    <w:pitch w:val="default"/>
    <w:sig w:usb0="A00006FF" w:usb1="4000205B" w:usb2="00000010" w:usb3="00000000" w:csb0="2000019F" w:csb1="00000000"/>
  </w:font>
  <w:font w:name="Garamond">
    <w:panose1 w:val="02020404030301010803"/>
    <w:charset w:val="00"/>
    <w:family w:val="roman"/>
    <w:pitch w:val="default"/>
    <w:sig w:usb0="00000287" w:usb1="00000000" w:usb2="00000000" w:usb3="00000000" w:csb0="0000009F" w:csb1="DFD7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1"/>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wrap="none" lIns="0" tIns="0" rIns="0" bIns="0" upright="1">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6vHQyQEAAJkDAAAOAAAAAAAAAAEAIAAAAB4BAABkcnMvZTJvRG9j&#10;LnhtbFBLBQYAAAAABgAGAFkBAABZBQAAAAA=&#10;">
              <v:fill on="f" focussize="0,0"/>
              <v:stroke on="f"/>
              <v:imagedata o:title=""/>
              <o:lock v:ext="edit" aspectratio="f"/>
              <v:textbox inset="0mm,0mm,0mm,0mm" style="mso-fit-shape-to-text:t;">
                <w:txbxContent>
                  <w:p>
                    <w:pPr>
                      <w:pStyle w:val="31"/>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center" w:y="1"/>
      <w:tabs>
        <w:tab w:val="center" w:pos="4153"/>
        <w:tab w:val="right" w:pos="8306"/>
      </w:tabs>
      <w:rPr>
        <w:rStyle w:val="50"/>
      </w:rPr>
    </w:pPr>
    <w:r>
      <w:fldChar w:fldCharType="begin"/>
    </w:r>
    <w:r>
      <w:rPr>
        <w:rStyle w:val="50"/>
      </w:rPr>
      <w:instrText xml:space="preserve">PAGE  </w:instrText>
    </w:r>
    <w:r>
      <w:fldChar w:fldCharType="separate"/>
    </w:r>
    <w:r>
      <w:rPr>
        <w:rStyle w:val="50"/>
      </w:rPr>
      <w:t>69</w:t>
    </w:r>
    <w:r>
      <w:fldChar w:fldCharType="end"/>
    </w:r>
  </w:p>
  <w:p>
    <w:pPr>
      <w:pStyle w:val="31"/>
      <w:tabs>
        <w:tab w:val="center" w:pos="4153"/>
        <w:tab w:val="right" w:pos="8306"/>
      </w:tabs>
      <w:rPr>
        <w:sz w:val="21"/>
        <w:szCs w:val="21"/>
      </w:rPr>
    </w:pPr>
    <w:r>
      <w:rPr>
        <w:rFonts w:hint="eastAsia"/>
        <w:sz w:val="21"/>
        <w:szCs w:val="21"/>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center" w:y="1"/>
      <w:tabs>
        <w:tab w:val="center" w:pos="4153"/>
        <w:tab w:val="right" w:pos="8306"/>
      </w:tabs>
      <w:rPr>
        <w:rStyle w:val="50"/>
      </w:rPr>
    </w:pPr>
    <w:r>
      <w:fldChar w:fldCharType="begin"/>
    </w:r>
    <w:r>
      <w:rPr>
        <w:rStyle w:val="50"/>
      </w:rPr>
      <w:instrText xml:space="preserve">PAGE  </w:instrText>
    </w:r>
    <w:r>
      <w:fldChar w:fldCharType="end"/>
    </w:r>
  </w:p>
  <w:p>
    <w:pPr>
      <w:pStyle w:val="31"/>
      <w:tabs>
        <w:tab w:val="center" w:pos="4153"/>
        <w:tab w:val="right"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tabs>
        <w:tab w:val="center" w:pos="4153"/>
        <w:tab w:val="right" w:pos="8306"/>
      </w:tabs>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413AB2"/>
    <w:multiLevelType w:val="singleLevel"/>
    <w:tmpl w:val="C0413AB2"/>
    <w:lvl w:ilvl="0" w:tentative="0">
      <w:start w:val="3"/>
      <w:numFmt w:val="chineseCounting"/>
      <w:suff w:val="space"/>
      <w:lvlText w:val="第%1章"/>
      <w:lvlJc w:val="left"/>
      <w:rPr>
        <w:rFonts w:hint="eastAsia"/>
      </w:rPr>
    </w:lvl>
  </w:abstractNum>
  <w:abstractNum w:abstractNumId="1">
    <w:nsid w:val="00000007"/>
    <w:multiLevelType w:val="multilevel"/>
    <w:tmpl w:val="00000007"/>
    <w:lvl w:ilvl="0" w:tentative="0">
      <w:start w:val="8"/>
      <w:numFmt w:val="decimal"/>
      <w:pStyle w:val="262"/>
      <w:lvlText w:val="%1）"/>
      <w:lvlJc w:val="left"/>
      <w:pPr>
        <w:tabs>
          <w:tab w:val="left" w:pos="904"/>
        </w:tabs>
        <w:ind w:left="904" w:hanging="360"/>
      </w:pPr>
      <w:rPr>
        <w:rFonts w:hint="default"/>
        <w:color w:val="auto"/>
      </w:rPr>
    </w:lvl>
    <w:lvl w:ilvl="1" w:tentative="0">
      <w:start w:val="1"/>
      <w:numFmt w:val="lowerLetter"/>
      <w:lvlText w:val="%2)"/>
      <w:lvlJc w:val="left"/>
      <w:pPr>
        <w:tabs>
          <w:tab w:val="left" w:pos="1384"/>
        </w:tabs>
        <w:ind w:left="1384" w:hanging="420"/>
      </w:pPr>
    </w:lvl>
    <w:lvl w:ilvl="2" w:tentative="0">
      <w:start w:val="1"/>
      <w:numFmt w:val="lowerRoman"/>
      <w:lvlText w:val="%3."/>
      <w:lvlJc w:val="right"/>
      <w:pPr>
        <w:tabs>
          <w:tab w:val="left" w:pos="1804"/>
        </w:tabs>
        <w:ind w:left="1804" w:hanging="420"/>
      </w:pPr>
    </w:lvl>
    <w:lvl w:ilvl="3" w:tentative="0">
      <w:start w:val="1"/>
      <w:numFmt w:val="decimal"/>
      <w:lvlText w:val="%4."/>
      <w:lvlJc w:val="left"/>
      <w:pPr>
        <w:tabs>
          <w:tab w:val="left" w:pos="2224"/>
        </w:tabs>
        <w:ind w:left="2224" w:hanging="420"/>
      </w:pPr>
    </w:lvl>
    <w:lvl w:ilvl="4" w:tentative="0">
      <w:start w:val="1"/>
      <w:numFmt w:val="lowerLetter"/>
      <w:lvlText w:val="%5)"/>
      <w:lvlJc w:val="left"/>
      <w:pPr>
        <w:tabs>
          <w:tab w:val="left" w:pos="2644"/>
        </w:tabs>
        <w:ind w:left="2644" w:hanging="420"/>
      </w:pPr>
    </w:lvl>
    <w:lvl w:ilvl="5" w:tentative="0">
      <w:start w:val="1"/>
      <w:numFmt w:val="lowerRoman"/>
      <w:lvlText w:val="%6."/>
      <w:lvlJc w:val="right"/>
      <w:pPr>
        <w:tabs>
          <w:tab w:val="left" w:pos="3064"/>
        </w:tabs>
        <w:ind w:left="3064" w:hanging="420"/>
      </w:pPr>
    </w:lvl>
    <w:lvl w:ilvl="6" w:tentative="0">
      <w:start w:val="1"/>
      <w:numFmt w:val="decimal"/>
      <w:lvlText w:val="%7."/>
      <w:lvlJc w:val="left"/>
      <w:pPr>
        <w:tabs>
          <w:tab w:val="left" w:pos="3484"/>
        </w:tabs>
        <w:ind w:left="3484" w:hanging="420"/>
      </w:pPr>
    </w:lvl>
    <w:lvl w:ilvl="7" w:tentative="0">
      <w:start w:val="1"/>
      <w:numFmt w:val="lowerLetter"/>
      <w:lvlText w:val="%8)"/>
      <w:lvlJc w:val="left"/>
      <w:pPr>
        <w:tabs>
          <w:tab w:val="left" w:pos="3904"/>
        </w:tabs>
        <w:ind w:left="3904" w:hanging="420"/>
      </w:pPr>
    </w:lvl>
    <w:lvl w:ilvl="8" w:tentative="0">
      <w:start w:val="1"/>
      <w:numFmt w:val="lowerRoman"/>
      <w:lvlText w:val="%9."/>
      <w:lvlJc w:val="right"/>
      <w:pPr>
        <w:tabs>
          <w:tab w:val="left" w:pos="4324"/>
        </w:tabs>
        <w:ind w:left="4324" w:hanging="420"/>
      </w:pPr>
    </w:lvl>
  </w:abstractNum>
  <w:abstractNum w:abstractNumId="2">
    <w:nsid w:val="0000000F"/>
    <w:multiLevelType w:val="multilevel"/>
    <w:tmpl w:val="0000000F"/>
    <w:lvl w:ilvl="0" w:tentative="0">
      <w:start w:val="1"/>
      <w:numFmt w:val="decimal"/>
      <w:pStyle w:val="261"/>
      <w:lvlText w:val="（%1）"/>
      <w:lvlJc w:val="left"/>
      <w:pPr>
        <w:tabs>
          <w:tab w:val="left" w:pos="720"/>
        </w:tabs>
        <w:ind w:left="720" w:hanging="720"/>
      </w:pPr>
      <w:rPr>
        <w:rFonts w:ascii="Times New Roman" w:hAnsi="Times New Roman" w:eastAsia="Times New Roman"/>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2615314E"/>
    <w:multiLevelType w:val="multilevel"/>
    <w:tmpl w:val="2615314E"/>
    <w:lvl w:ilvl="0" w:tentative="0">
      <w:start w:val="1"/>
      <w:numFmt w:val="decimal"/>
      <w:pStyle w:val="255"/>
      <w:lvlText w:val="表%1"/>
      <w:lvlJc w:val="left"/>
      <w:pPr>
        <w:tabs>
          <w:tab w:val="left" w:pos="624"/>
        </w:tabs>
        <w:ind w:left="624" w:hanging="624"/>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2E20337C"/>
    <w:multiLevelType w:val="multilevel"/>
    <w:tmpl w:val="2E20337C"/>
    <w:lvl w:ilvl="0" w:tentative="0">
      <w:start w:val="1"/>
      <w:numFmt w:val="decimal"/>
      <w:lvlText w:val="%1"/>
      <w:lvlJc w:val="left"/>
      <w:pPr>
        <w:ind w:left="840" w:hanging="360"/>
      </w:pPr>
      <w:rPr>
        <w:rFonts w:hint="default" w:ascii="Times New Roman" w:hAnsi="Times New Roman" w:cs="Times New Roman"/>
      </w:rPr>
    </w:lvl>
    <w:lvl w:ilvl="1" w:tentative="0">
      <w:start w:val="1"/>
      <w:numFmt w:val="lowerLetter"/>
      <w:lvlText w:val="%2)"/>
      <w:lvlJc w:val="left"/>
      <w:pPr>
        <w:ind w:left="1320" w:hanging="420"/>
      </w:pPr>
      <w:rPr>
        <w:rFonts w:hint="default" w:ascii="Times New Roman" w:hAnsi="Times New Roman" w:cs="Times New Roman"/>
      </w:rPr>
    </w:lvl>
    <w:lvl w:ilvl="2" w:tentative="0">
      <w:start w:val="1"/>
      <w:numFmt w:val="lowerRoman"/>
      <w:lvlText w:val="%3."/>
      <w:lvlJc w:val="right"/>
      <w:pPr>
        <w:ind w:left="1740" w:hanging="420"/>
      </w:pPr>
      <w:rPr>
        <w:rFonts w:hint="default" w:ascii="Times New Roman" w:hAnsi="Times New Roman" w:cs="Times New Roman"/>
      </w:rPr>
    </w:lvl>
    <w:lvl w:ilvl="3" w:tentative="0">
      <w:start w:val="1"/>
      <w:numFmt w:val="decimal"/>
      <w:lvlText w:val="%4."/>
      <w:lvlJc w:val="left"/>
      <w:pPr>
        <w:ind w:left="2160" w:hanging="420"/>
      </w:pPr>
      <w:rPr>
        <w:rFonts w:hint="default" w:ascii="Times New Roman" w:hAnsi="Times New Roman" w:cs="Times New Roman"/>
      </w:rPr>
    </w:lvl>
    <w:lvl w:ilvl="4" w:tentative="0">
      <w:start w:val="1"/>
      <w:numFmt w:val="lowerLetter"/>
      <w:lvlText w:val="%5)"/>
      <w:lvlJc w:val="left"/>
      <w:pPr>
        <w:ind w:left="2580" w:hanging="420"/>
      </w:pPr>
      <w:rPr>
        <w:rFonts w:hint="default" w:ascii="Times New Roman" w:hAnsi="Times New Roman" w:cs="Times New Roman"/>
      </w:rPr>
    </w:lvl>
    <w:lvl w:ilvl="5" w:tentative="0">
      <w:start w:val="1"/>
      <w:numFmt w:val="lowerRoman"/>
      <w:lvlText w:val="%6."/>
      <w:lvlJc w:val="right"/>
      <w:pPr>
        <w:ind w:left="3000" w:hanging="420"/>
      </w:pPr>
      <w:rPr>
        <w:rFonts w:hint="default" w:ascii="Times New Roman" w:hAnsi="Times New Roman" w:cs="Times New Roman"/>
      </w:rPr>
    </w:lvl>
    <w:lvl w:ilvl="6" w:tentative="0">
      <w:start w:val="1"/>
      <w:numFmt w:val="decimal"/>
      <w:lvlText w:val="%7."/>
      <w:lvlJc w:val="left"/>
      <w:pPr>
        <w:ind w:left="3420" w:hanging="420"/>
      </w:pPr>
      <w:rPr>
        <w:rFonts w:hint="default" w:ascii="Times New Roman" w:hAnsi="Times New Roman" w:cs="Times New Roman"/>
      </w:rPr>
    </w:lvl>
    <w:lvl w:ilvl="7" w:tentative="0">
      <w:start w:val="1"/>
      <w:numFmt w:val="lowerLetter"/>
      <w:lvlText w:val="%8)"/>
      <w:lvlJc w:val="left"/>
      <w:pPr>
        <w:ind w:left="3840" w:hanging="420"/>
      </w:pPr>
      <w:rPr>
        <w:rFonts w:hint="default" w:ascii="Times New Roman" w:hAnsi="Times New Roman" w:cs="Times New Roman"/>
      </w:rPr>
    </w:lvl>
    <w:lvl w:ilvl="8" w:tentative="0">
      <w:start w:val="1"/>
      <w:numFmt w:val="lowerRoman"/>
      <w:lvlText w:val="%9."/>
      <w:lvlJc w:val="right"/>
      <w:pPr>
        <w:ind w:left="4260" w:hanging="420"/>
      </w:pPr>
      <w:rPr>
        <w:rFonts w:hint="default" w:ascii="Times New Roman" w:hAnsi="Times New Roman" w:cs="Times New Roman"/>
      </w:rPr>
    </w:lvl>
  </w:abstractNum>
  <w:abstractNum w:abstractNumId="5">
    <w:nsid w:val="535778F6"/>
    <w:multiLevelType w:val="multilevel"/>
    <w:tmpl w:val="535778F6"/>
    <w:lvl w:ilvl="0" w:tentative="0">
      <w:start w:val="1"/>
      <w:numFmt w:val="chineseCountingThousand"/>
      <w:suff w:val="nothing"/>
      <w:lvlText w:val="%1、"/>
      <w:lvlJc w:val="left"/>
      <w:pPr>
        <w:ind w:left="0" w:firstLine="0"/>
      </w:pPr>
      <w:rPr>
        <w:b/>
        <w:i w:val="0"/>
        <w:sz w:val="24"/>
      </w:rPr>
    </w:lvl>
    <w:lvl w:ilvl="1" w:tentative="0">
      <w:start w:val="1"/>
      <w:numFmt w:val="decimal"/>
      <w:suff w:val="nothing"/>
      <w:lvlText w:val="%2. "/>
      <w:lvlJc w:val="left"/>
      <w:pPr>
        <w:ind w:left="0" w:firstLine="0"/>
      </w:pPr>
      <w:rPr>
        <w:b w:val="0"/>
        <w:i w:val="0"/>
        <w:sz w:val="24"/>
      </w:r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pStyle w:val="9"/>
      <w:suff w:val="nothing"/>
      <w:lvlText w:val=""/>
      <w:lvlJc w:val="left"/>
      <w:pPr>
        <w:ind w:left="0" w:firstLine="0"/>
      </w:pPr>
    </w:lvl>
    <w:lvl w:ilvl="6" w:tentative="0">
      <w:start w:val="1"/>
      <w:numFmt w:val="none"/>
      <w:pStyle w:val="10"/>
      <w:suff w:val="nothing"/>
      <w:lvlText w:val=""/>
      <w:lvlJc w:val="left"/>
      <w:pPr>
        <w:ind w:left="0" w:firstLine="0"/>
      </w:pPr>
    </w:lvl>
    <w:lvl w:ilvl="7" w:tentative="0">
      <w:start w:val="1"/>
      <w:numFmt w:val="none"/>
      <w:pStyle w:val="11"/>
      <w:suff w:val="nothing"/>
      <w:lvlText w:val=""/>
      <w:lvlJc w:val="left"/>
      <w:pPr>
        <w:ind w:left="0" w:firstLine="0"/>
      </w:pPr>
    </w:lvl>
    <w:lvl w:ilvl="8" w:tentative="0">
      <w:start w:val="1"/>
      <w:numFmt w:val="none"/>
      <w:pStyle w:val="12"/>
      <w:suff w:val="nothing"/>
      <w:lvlText w:val=""/>
      <w:lvlJc w:val="left"/>
      <w:pPr>
        <w:ind w:left="0" w:firstLine="0"/>
      </w:pPr>
    </w:lvl>
  </w:abstractNum>
  <w:abstractNum w:abstractNumId="6">
    <w:nsid w:val="5EF7F649"/>
    <w:multiLevelType w:val="singleLevel"/>
    <w:tmpl w:val="5EF7F649"/>
    <w:lvl w:ilvl="0" w:tentative="0">
      <w:start w:val="6"/>
      <w:numFmt w:val="decimal"/>
      <w:suff w:val="nothing"/>
      <w:lvlText w:val="%1、"/>
      <w:lvlJc w:val="left"/>
    </w:lvl>
  </w:abstractNum>
  <w:num w:numId="1">
    <w:abstractNumId w:val="5"/>
  </w:num>
  <w:num w:numId="2">
    <w:abstractNumId w:val="3"/>
  </w:num>
  <w:num w:numId="3">
    <w:abstractNumId w:val="2"/>
  </w:num>
  <w:num w:numId="4">
    <w:abstractNumId w:val="1"/>
  </w:num>
  <w:num w:numId="5">
    <w:abstractNumId w:val="6"/>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mYmY5MjVlZWNhZDQ3NGQzMDdmN2JmNGFjY2I5OGYifQ=="/>
  </w:docVars>
  <w:rsids>
    <w:rsidRoot w:val="00E45E61"/>
    <w:rsid w:val="00016B47"/>
    <w:rsid w:val="0002058D"/>
    <w:rsid w:val="00023AE7"/>
    <w:rsid w:val="00023B5C"/>
    <w:rsid w:val="000257AA"/>
    <w:rsid w:val="0003341B"/>
    <w:rsid w:val="00033B0B"/>
    <w:rsid w:val="00035EB3"/>
    <w:rsid w:val="00035ECC"/>
    <w:rsid w:val="00043979"/>
    <w:rsid w:val="0005059A"/>
    <w:rsid w:val="000536E4"/>
    <w:rsid w:val="00053769"/>
    <w:rsid w:val="00060F1E"/>
    <w:rsid w:val="00061D4C"/>
    <w:rsid w:val="00064317"/>
    <w:rsid w:val="0006608E"/>
    <w:rsid w:val="00071E35"/>
    <w:rsid w:val="000764A7"/>
    <w:rsid w:val="000901F1"/>
    <w:rsid w:val="00093249"/>
    <w:rsid w:val="00093950"/>
    <w:rsid w:val="000A1A9C"/>
    <w:rsid w:val="000A4317"/>
    <w:rsid w:val="000A4553"/>
    <w:rsid w:val="000A5406"/>
    <w:rsid w:val="000A6F93"/>
    <w:rsid w:val="000A7E5D"/>
    <w:rsid w:val="000B0C8E"/>
    <w:rsid w:val="000B603E"/>
    <w:rsid w:val="000B6146"/>
    <w:rsid w:val="000B7251"/>
    <w:rsid w:val="000C361C"/>
    <w:rsid w:val="000C53ED"/>
    <w:rsid w:val="000C5ECB"/>
    <w:rsid w:val="000C72C2"/>
    <w:rsid w:val="000D1013"/>
    <w:rsid w:val="000D4287"/>
    <w:rsid w:val="000E0869"/>
    <w:rsid w:val="000E12FD"/>
    <w:rsid w:val="000E4A73"/>
    <w:rsid w:val="000F01E7"/>
    <w:rsid w:val="000F206A"/>
    <w:rsid w:val="000F2595"/>
    <w:rsid w:val="000F5C39"/>
    <w:rsid w:val="0011051D"/>
    <w:rsid w:val="001147DD"/>
    <w:rsid w:val="001165B5"/>
    <w:rsid w:val="00122F11"/>
    <w:rsid w:val="00126EB2"/>
    <w:rsid w:val="00127B4A"/>
    <w:rsid w:val="00132BA7"/>
    <w:rsid w:val="00137C9F"/>
    <w:rsid w:val="00150FF5"/>
    <w:rsid w:val="00157172"/>
    <w:rsid w:val="001634B9"/>
    <w:rsid w:val="001643F4"/>
    <w:rsid w:val="00171586"/>
    <w:rsid w:val="00174982"/>
    <w:rsid w:val="001813B4"/>
    <w:rsid w:val="00183159"/>
    <w:rsid w:val="001846C4"/>
    <w:rsid w:val="00193DAB"/>
    <w:rsid w:val="00194927"/>
    <w:rsid w:val="00197158"/>
    <w:rsid w:val="00197852"/>
    <w:rsid w:val="001B52F1"/>
    <w:rsid w:val="001C1BCF"/>
    <w:rsid w:val="001C3485"/>
    <w:rsid w:val="001C3776"/>
    <w:rsid w:val="001C3EED"/>
    <w:rsid w:val="001C4C47"/>
    <w:rsid w:val="001C66E0"/>
    <w:rsid w:val="001C7540"/>
    <w:rsid w:val="001D240D"/>
    <w:rsid w:val="001D5DB8"/>
    <w:rsid w:val="001E0709"/>
    <w:rsid w:val="001E31EA"/>
    <w:rsid w:val="001E4476"/>
    <w:rsid w:val="001E4A9D"/>
    <w:rsid w:val="001E6284"/>
    <w:rsid w:val="00201A1B"/>
    <w:rsid w:val="00204E77"/>
    <w:rsid w:val="002052F7"/>
    <w:rsid w:val="00206469"/>
    <w:rsid w:val="00210737"/>
    <w:rsid w:val="00215FB6"/>
    <w:rsid w:val="0021710E"/>
    <w:rsid w:val="0022065C"/>
    <w:rsid w:val="002244CF"/>
    <w:rsid w:val="00227522"/>
    <w:rsid w:val="0022766C"/>
    <w:rsid w:val="002363BB"/>
    <w:rsid w:val="00253316"/>
    <w:rsid w:val="002628A8"/>
    <w:rsid w:val="00262C1B"/>
    <w:rsid w:val="00270397"/>
    <w:rsid w:val="00271DB2"/>
    <w:rsid w:val="00275808"/>
    <w:rsid w:val="00276060"/>
    <w:rsid w:val="00276F14"/>
    <w:rsid w:val="00280195"/>
    <w:rsid w:val="00280609"/>
    <w:rsid w:val="0028117F"/>
    <w:rsid w:val="0028354C"/>
    <w:rsid w:val="002853C5"/>
    <w:rsid w:val="00286075"/>
    <w:rsid w:val="00287FAB"/>
    <w:rsid w:val="00297599"/>
    <w:rsid w:val="002A2355"/>
    <w:rsid w:val="002A710C"/>
    <w:rsid w:val="002B0E2A"/>
    <w:rsid w:val="002B3905"/>
    <w:rsid w:val="002B792A"/>
    <w:rsid w:val="002C0EE4"/>
    <w:rsid w:val="002C1CF0"/>
    <w:rsid w:val="002C616B"/>
    <w:rsid w:val="002D6AFA"/>
    <w:rsid w:val="002E0969"/>
    <w:rsid w:val="00300CAE"/>
    <w:rsid w:val="00301BC3"/>
    <w:rsid w:val="0030562B"/>
    <w:rsid w:val="003066CB"/>
    <w:rsid w:val="00312008"/>
    <w:rsid w:val="0031469A"/>
    <w:rsid w:val="003152F0"/>
    <w:rsid w:val="00317B87"/>
    <w:rsid w:val="00321DC7"/>
    <w:rsid w:val="003228C9"/>
    <w:rsid w:val="00322FB0"/>
    <w:rsid w:val="00332CB2"/>
    <w:rsid w:val="00333D26"/>
    <w:rsid w:val="00340611"/>
    <w:rsid w:val="00345C59"/>
    <w:rsid w:val="0035178C"/>
    <w:rsid w:val="003533E7"/>
    <w:rsid w:val="00353D79"/>
    <w:rsid w:val="00354A47"/>
    <w:rsid w:val="00357119"/>
    <w:rsid w:val="00360A25"/>
    <w:rsid w:val="00371EFD"/>
    <w:rsid w:val="0037593E"/>
    <w:rsid w:val="00377B29"/>
    <w:rsid w:val="003823C4"/>
    <w:rsid w:val="003838E6"/>
    <w:rsid w:val="0039028F"/>
    <w:rsid w:val="003910B2"/>
    <w:rsid w:val="003930E8"/>
    <w:rsid w:val="00393638"/>
    <w:rsid w:val="00394F5D"/>
    <w:rsid w:val="00397568"/>
    <w:rsid w:val="003A53D5"/>
    <w:rsid w:val="003A5FE9"/>
    <w:rsid w:val="003B2F7F"/>
    <w:rsid w:val="003B47C0"/>
    <w:rsid w:val="003B4FF7"/>
    <w:rsid w:val="003B5F3B"/>
    <w:rsid w:val="003B6543"/>
    <w:rsid w:val="003C4DBA"/>
    <w:rsid w:val="003D2DE9"/>
    <w:rsid w:val="003D68DA"/>
    <w:rsid w:val="003D6CC0"/>
    <w:rsid w:val="003E2CE9"/>
    <w:rsid w:val="003E5A9B"/>
    <w:rsid w:val="003F09CF"/>
    <w:rsid w:val="00404033"/>
    <w:rsid w:val="004055B8"/>
    <w:rsid w:val="0040634C"/>
    <w:rsid w:val="00414D6E"/>
    <w:rsid w:val="004232B9"/>
    <w:rsid w:val="004364D7"/>
    <w:rsid w:val="00436710"/>
    <w:rsid w:val="00436A8D"/>
    <w:rsid w:val="00436C4B"/>
    <w:rsid w:val="00440562"/>
    <w:rsid w:val="004571A1"/>
    <w:rsid w:val="004612D0"/>
    <w:rsid w:val="0047144A"/>
    <w:rsid w:val="00475C0C"/>
    <w:rsid w:val="004768CF"/>
    <w:rsid w:val="004829FD"/>
    <w:rsid w:val="00486683"/>
    <w:rsid w:val="004A34D5"/>
    <w:rsid w:val="004A7A49"/>
    <w:rsid w:val="004B035E"/>
    <w:rsid w:val="004D3EE6"/>
    <w:rsid w:val="004E0A13"/>
    <w:rsid w:val="004E3158"/>
    <w:rsid w:val="004E4602"/>
    <w:rsid w:val="004F05D5"/>
    <w:rsid w:val="005053A5"/>
    <w:rsid w:val="005157C7"/>
    <w:rsid w:val="00516367"/>
    <w:rsid w:val="00520F72"/>
    <w:rsid w:val="0052235C"/>
    <w:rsid w:val="00522A11"/>
    <w:rsid w:val="00530617"/>
    <w:rsid w:val="00540B09"/>
    <w:rsid w:val="00544841"/>
    <w:rsid w:val="00547590"/>
    <w:rsid w:val="00551A8C"/>
    <w:rsid w:val="00561220"/>
    <w:rsid w:val="005655E8"/>
    <w:rsid w:val="00572146"/>
    <w:rsid w:val="00573B38"/>
    <w:rsid w:val="00576918"/>
    <w:rsid w:val="0058575B"/>
    <w:rsid w:val="00585DE4"/>
    <w:rsid w:val="0059450A"/>
    <w:rsid w:val="00595680"/>
    <w:rsid w:val="005B6480"/>
    <w:rsid w:val="005C10B3"/>
    <w:rsid w:val="005C7AD5"/>
    <w:rsid w:val="005D4E34"/>
    <w:rsid w:val="005F1D5E"/>
    <w:rsid w:val="005F308B"/>
    <w:rsid w:val="005F3436"/>
    <w:rsid w:val="005F3C81"/>
    <w:rsid w:val="005F713C"/>
    <w:rsid w:val="00600E3A"/>
    <w:rsid w:val="00606A06"/>
    <w:rsid w:val="00620619"/>
    <w:rsid w:val="0062194E"/>
    <w:rsid w:val="0062416F"/>
    <w:rsid w:val="00624440"/>
    <w:rsid w:val="00633A09"/>
    <w:rsid w:val="00640AFD"/>
    <w:rsid w:val="006424A2"/>
    <w:rsid w:val="00644738"/>
    <w:rsid w:val="006459D4"/>
    <w:rsid w:val="00645DC6"/>
    <w:rsid w:val="00646F2B"/>
    <w:rsid w:val="00652DCF"/>
    <w:rsid w:val="00655A6D"/>
    <w:rsid w:val="006565DC"/>
    <w:rsid w:val="006642A0"/>
    <w:rsid w:val="00673C03"/>
    <w:rsid w:val="006751C3"/>
    <w:rsid w:val="0067624A"/>
    <w:rsid w:val="006762CA"/>
    <w:rsid w:val="00683B4A"/>
    <w:rsid w:val="006911F9"/>
    <w:rsid w:val="00692769"/>
    <w:rsid w:val="00692CEB"/>
    <w:rsid w:val="006955F9"/>
    <w:rsid w:val="00696402"/>
    <w:rsid w:val="006B0535"/>
    <w:rsid w:val="006B0716"/>
    <w:rsid w:val="006B0D35"/>
    <w:rsid w:val="006B2D9C"/>
    <w:rsid w:val="006B2F93"/>
    <w:rsid w:val="006B482E"/>
    <w:rsid w:val="006C5829"/>
    <w:rsid w:val="006D0114"/>
    <w:rsid w:val="006D502D"/>
    <w:rsid w:val="006D60CF"/>
    <w:rsid w:val="006D644E"/>
    <w:rsid w:val="006E4C92"/>
    <w:rsid w:val="006F05FB"/>
    <w:rsid w:val="006F4682"/>
    <w:rsid w:val="006F5694"/>
    <w:rsid w:val="007060FB"/>
    <w:rsid w:val="007114AA"/>
    <w:rsid w:val="00711936"/>
    <w:rsid w:val="007144DE"/>
    <w:rsid w:val="00714B70"/>
    <w:rsid w:val="00716D15"/>
    <w:rsid w:val="00722ACB"/>
    <w:rsid w:val="00723AEE"/>
    <w:rsid w:val="00725B6C"/>
    <w:rsid w:val="00726AED"/>
    <w:rsid w:val="007348C7"/>
    <w:rsid w:val="00744753"/>
    <w:rsid w:val="0075206A"/>
    <w:rsid w:val="007544FD"/>
    <w:rsid w:val="00762319"/>
    <w:rsid w:val="007644E4"/>
    <w:rsid w:val="00765CB3"/>
    <w:rsid w:val="007662EB"/>
    <w:rsid w:val="00772435"/>
    <w:rsid w:val="00773A81"/>
    <w:rsid w:val="0077577F"/>
    <w:rsid w:val="007774F7"/>
    <w:rsid w:val="00783344"/>
    <w:rsid w:val="00783648"/>
    <w:rsid w:val="00785657"/>
    <w:rsid w:val="00786C2A"/>
    <w:rsid w:val="00790661"/>
    <w:rsid w:val="00790A12"/>
    <w:rsid w:val="00790DF3"/>
    <w:rsid w:val="007A417C"/>
    <w:rsid w:val="007A627F"/>
    <w:rsid w:val="007A67E2"/>
    <w:rsid w:val="007A70AC"/>
    <w:rsid w:val="007B24D0"/>
    <w:rsid w:val="007B51E1"/>
    <w:rsid w:val="007B558B"/>
    <w:rsid w:val="007B6452"/>
    <w:rsid w:val="007D146D"/>
    <w:rsid w:val="007D4BAB"/>
    <w:rsid w:val="007E1E1B"/>
    <w:rsid w:val="00802AA5"/>
    <w:rsid w:val="00805AFF"/>
    <w:rsid w:val="008068B8"/>
    <w:rsid w:val="0081114C"/>
    <w:rsid w:val="00811B58"/>
    <w:rsid w:val="008223E4"/>
    <w:rsid w:val="00824A90"/>
    <w:rsid w:val="008265B8"/>
    <w:rsid w:val="00827E5B"/>
    <w:rsid w:val="00834DE8"/>
    <w:rsid w:val="00841816"/>
    <w:rsid w:val="00842F2E"/>
    <w:rsid w:val="0084769F"/>
    <w:rsid w:val="00852575"/>
    <w:rsid w:val="00856D0D"/>
    <w:rsid w:val="00856E53"/>
    <w:rsid w:val="0086030A"/>
    <w:rsid w:val="008612DA"/>
    <w:rsid w:val="00867ECC"/>
    <w:rsid w:val="00871806"/>
    <w:rsid w:val="00874D61"/>
    <w:rsid w:val="00875136"/>
    <w:rsid w:val="00875FFB"/>
    <w:rsid w:val="00877394"/>
    <w:rsid w:val="0088042A"/>
    <w:rsid w:val="008836C6"/>
    <w:rsid w:val="00886785"/>
    <w:rsid w:val="0089001F"/>
    <w:rsid w:val="0089275F"/>
    <w:rsid w:val="00892D9A"/>
    <w:rsid w:val="00897B7E"/>
    <w:rsid w:val="008A3950"/>
    <w:rsid w:val="008A5E1B"/>
    <w:rsid w:val="008A699B"/>
    <w:rsid w:val="008A7F91"/>
    <w:rsid w:val="008B1F19"/>
    <w:rsid w:val="008B64C8"/>
    <w:rsid w:val="008B7F80"/>
    <w:rsid w:val="008C2CA3"/>
    <w:rsid w:val="008C45F6"/>
    <w:rsid w:val="008C4E5B"/>
    <w:rsid w:val="008C5671"/>
    <w:rsid w:val="008C6F2D"/>
    <w:rsid w:val="008D0051"/>
    <w:rsid w:val="008D01D6"/>
    <w:rsid w:val="008D0263"/>
    <w:rsid w:val="008D2B40"/>
    <w:rsid w:val="008D3DF5"/>
    <w:rsid w:val="008D4DD9"/>
    <w:rsid w:val="008E051D"/>
    <w:rsid w:val="008E3FBD"/>
    <w:rsid w:val="008E5C68"/>
    <w:rsid w:val="008F423A"/>
    <w:rsid w:val="008F427C"/>
    <w:rsid w:val="009052E5"/>
    <w:rsid w:val="009069D8"/>
    <w:rsid w:val="009112B0"/>
    <w:rsid w:val="00914458"/>
    <w:rsid w:val="00921A6B"/>
    <w:rsid w:val="009243A6"/>
    <w:rsid w:val="0094401B"/>
    <w:rsid w:val="00957589"/>
    <w:rsid w:val="00962849"/>
    <w:rsid w:val="009655E6"/>
    <w:rsid w:val="0096657F"/>
    <w:rsid w:val="009677A0"/>
    <w:rsid w:val="00973795"/>
    <w:rsid w:val="009751A8"/>
    <w:rsid w:val="00977A4A"/>
    <w:rsid w:val="00993A5E"/>
    <w:rsid w:val="009A2933"/>
    <w:rsid w:val="009A2B35"/>
    <w:rsid w:val="009A6F00"/>
    <w:rsid w:val="009B19C6"/>
    <w:rsid w:val="009B5E48"/>
    <w:rsid w:val="009C1795"/>
    <w:rsid w:val="009D6BF8"/>
    <w:rsid w:val="009E53EF"/>
    <w:rsid w:val="009F17AF"/>
    <w:rsid w:val="009F303E"/>
    <w:rsid w:val="009F489C"/>
    <w:rsid w:val="009F60BC"/>
    <w:rsid w:val="00A04C26"/>
    <w:rsid w:val="00A0598E"/>
    <w:rsid w:val="00A1072A"/>
    <w:rsid w:val="00A11904"/>
    <w:rsid w:val="00A20208"/>
    <w:rsid w:val="00A20736"/>
    <w:rsid w:val="00A27444"/>
    <w:rsid w:val="00A412BA"/>
    <w:rsid w:val="00A4589C"/>
    <w:rsid w:val="00A51276"/>
    <w:rsid w:val="00A63AAC"/>
    <w:rsid w:val="00A72CD5"/>
    <w:rsid w:val="00A7410E"/>
    <w:rsid w:val="00A76DDF"/>
    <w:rsid w:val="00A80E75"/>
    <w:rsid w:val="00AA3303"/>
    <w:rsid w:val="00AA3CEC"/>
    <w:rsid w:val="00AB0448"/>
    <w:rsid w:val="00AB453C"/>
    <w:rsid w:val="00AC380E"/>
    <w:rsid w:val="00AC4B7D"/>
    <w:rsid w:val="00AC4CB5"/>
    <w:rsid w:val="00AD20D1"/>
    <w:rsid w:val="00AD25BD"/>
    <w:rsid w:val="00AD78C9"/>
    <w:rsid w:val="00AE6A68"/>
    <w:rsid w:val="00AF59B4"/>
    <w:rsid w:val="00AF68ED"/>
    <w:rsid w:val="00B0265C"/>
    <w:rsid w:val="00B03B76"/>
    <w:rsid w:val="00B06E46"/>
    <w:rsid w:val="00B13A74"/>
    <w:rsid w:val="00B1694A"/>
    <w:rsid w:val="00B21DCC"/>
    <w:rsid w:val="00B23638"/>
    <w:rsid w:val="00B30B78"/>
    <w:rsid w:val="00B31831"/>
    <w:rsid w:val="00B40A0D"/>
    <w:rsid w:val="00B426B3"/>
    <w:rsid w:val="00B5063F"/>
    <w:rsid w:val="00B50F3E"/>
    <w:rsid w:val="00B54B2C"/>
    <w:rsid w:val="00B71302"/>
    <w:rsid w:val="00B71FCD"/>
    <w:rsid w:val="00B7376B"/>
    <w:rsid w:val="00B81673"/>
    <w:rsid w:val="00B878D8"/>
    <w:rsid w:val="00B901CA"/>
    <w:rsid w:val="00B91A94"/>
    <w:rsid w:val="00B923C1"/>
    <w:rsid w:val="00B924DA"/>
    <w:rsid w:val="00B92926"/>
    <w:rsid w:val="00B96EA5"/>
    <w:rsid w:val="00BA0739"/>
    <w:rsid w:val="00BA3D5F"/>
    <w:rsid w:val="00BA457E"/>
    <w:rsid w:val="00BA6481"/>
    <w:rsid w:val="00BB0058"/>
    <w:rsid w:val="00BB306D"/>
    <w:rsid w:val="00BB61E0"/>
    <w:rsid w:val="00BC027A"/>
    <w:rsid w:val="00BC553A"/>
    <w:rsid w:val="00BC63E9"/>
    <w:rsid w:val="00BD6F52"/>
    <w:rsid w:val="00BD710E"/>
    <w:rsid w:val="00BE4021"/>
    <w:rsid w:val="00BE739F"/>
    <w:rsid w:val="00BF4325"/>
    <w:rsid w:val="00BF4543"/>
    <w:rsid w:val="00BF52BD"/>
    <w:rsid w:val="00BF6FD7"/>
    <w:rsid w:val="00BF702F"/>
    <w:rsid w:val="00BF73DB"/>
    <w:rsid w:val="00C009C0"/>
    <w:rsid w:val="00C03015"/>
    <w:rsid w:val="00C053A0"/>
    <w:rsid w:val="00C11101"/>
    <w:rsid w:val="00C13AC4"/>
    <w:rsid w:val="00C1495F"/>
    <w:rsid w:val="00C1773E"/>
    <w:rsid w:val="00C24213"/>
    <w:rsid w:val="00C270EF"/>
    <w:rsid w:val="00C27609"/>
    <w:rsid w:val="00C31B28"/>
    <w:rsid w:val="00C36E5D"/>
    <w:rsid w:val="00C40864"/>
    <w:rsid w:val="00C40DB4"/>
    <w:rsid w:val="00C42444"/>
    <w:rsid w:val="00C46705"/>
    <w:rsid w:val="00C5180A"/>
    <w:rsid w:val="00C520C8"/>
    <w:rsid w:val="00C549B5"/>
    <w:rsid w:val="00C57BF6"/>
    <w:rsid w:val="00C60023"/>
    <w:rsid w:val="00C609B4"/>
    <w:rsid w:val="00C6679D"/>
    <w:rsid w:val="00C73458"/>
    <w:rsid w:val="00C73AA0"/>
    <w:rsid w:val="00C75B9F"/>
    <w:rsid w:val="00C81CE2"/>
    <w:rsid w:val="00C908C4"/>
    <w:rsid w:val="00C93573"/>
    <w:rsid w:val="00C93A39"/>
    <w:rsid w:val="00C96CB5"/>
    <w:rsid w:val="00CA0D65"/>
    <w:rsid w:val="00CA2581"/>
    <w:rsid w:val="00CB0987"/>
    <w:rsid w:val="00CB42A9"/>
    <w:rsid w:val="00CC2096"/>
    <w:rsid w:val="00CE412A"/>
    <w:rsid w:val="00CF2B49"/>
    <w:rsid w:val="00CF3844"/>
    <w:rsid w:val="00CF441E"/>
    <w:rsid w:val="00D06D0F"/>
    <w:rsid w:val="00D11438"/>
    <w:rsid w:val="00D11DC7"/>
    <w:rsid w:val="00D15546"/>
    <w:rsid w:val="00D24755"/>
    <w:rsid w:val="00D254A5"/>
    <w:rsid w:val="00D30D1B"/>
    <w:rsid w:val="00D323B5"/>
    <w:rsid w:val="00D3508A"/>
    <w:rsid w:val="00D3539C"/>
    <w:rsid w:val="00D36DE6"/>
    <w:rsid w:val="00D54340"/>
    <w:rsid w:val="00D569C9"/>
    <w:rsid w:val="00D60608"/>
    <w:rsid w:val="00D62999"/>
    <w:rsid w:val="00D70A38"/>
    <w:rsid w:val="00D7336D"/>
    <w:rsid w:val="00D747A8"/>
    <w:rsid w:val="00D75083"/>
    <w:rsid w:val="00D826F9"/>
    <w:rsid w:val="00D90934"/>
    <w:rsid w:val="00D94CF7"/>
    <w:rsid w:val="00D94EED"/>
    <w:rsid w:val="00DA0F5C"/>
    <w:rsid w:val="00DA405D"/>
    <w:rsid w:val="00DB33AB"/>
    <w:rsid w:val="00DB3C98"/>
    <w:rsid w:val="00DB519F"/>
    <w:rsid w:val="00DB5743"/>
    <w:rsid w:val="00DC00F8"/>
    <w:rsid w:val="00DC10A7"/>
    <w:rsid w:val="00DC2012"/>
    <w:rsid w:val="00DC5AE5"/>
    <w:rsid w:val="00DC5B8B"/>
    <w:rsid w:val="00DC62E9"/>
    <w:rsid w:val="00DD41B2"/>
    <w:rsid w:val="00DE5365"/>
    <w:rsid w:val="00DE743B"/>
    <w:rsid w:val="00DF3084"/>
    <w:rsid w:val="00E00660"/>
    <w:rsid w:val="00E03624"/>
    <w:rsid w:val="00E05D1C"/>
    <w:rsid w:val="00E1074A"/>
    <w:rsid w:val="00E13897"/>
    <w:rsid w:val="00E176DE"/>
    <w:rsid w:val="00E17CC2"/>
    <w:rsid w:val="00E21B97"/>
    <w:rsid w:val="00E2516A"/>
    <w:rsid w:val="00E26005"/>
    <w:rsid w:val="00E30046"/>
    <w:rsid w:val="00E3462B"/>
    <w:rsid w:val="00E36DAC"/>
    <w:rsid w:val="00E37F67"/>
    <w:rsid w:val="00E41DA7"/>
    <w:rsid w:val="00E439BC"/>
    <w:rsid w:val="00E45E61"/>
    <w:rsid w:val="00E462BD"/>
    <w:rsid w:val="00E46996"/>
    <w:rsid w:val="00E51EAB"/>
    <w:rsid w:val="00E53FAF"/>
    <w:rsid w:val="00E558EC"/>
    <w:rsid w:val="00E56889"/>
    <w:rsid w:val="00E65A21"/>
    <w:rsid w:val="00E71FDC"/>
    <w:rsid w:val="00E81227"/>
    <w:rsid w:val="00E8251A"/>
    <w:rsid w:val="00E837B2"/>
    <w:rsid w:val="00E93ABB"/>
    <w:rsid w:val="00E953B6"/>
    <w:rsid w:val="00E962B0"/>
    <w:rsid w:val="00EB67E2"/>
    <w:rsid w:val="00EC22E4"/>
    <w:rsid w:val="00EC5542"/>
    <w:rsid w:val="00EC60BD"/>
    <w:rsid w:val="00ED0208"/>
    <w:rsid w:val="00ED6B53"/>
    <w:rsid w:val="00ED6B63"/>
    <w:rsid w:val="00ED7919"/>
    <w:rsid w:val="00EE1B81"/>
    <w:rsid w:val="00EE7079"/>
    <w:rsid w:val="00EF0C58"/>
    <w:rsid w:val="00EF1179"/>
    <w:rsid w:val="00EF4F9C"/>
    <w:rsid w:val="00EF57E0"/>
    <w:rsid w:val="00EF7977"/>
    <w:rsid w:val="00F02667"/>
    <w:rsid w:val="00F03199"/>
    <w:rsid w:val="00F0512A"/>
    <w:rsid w:val="00F14C71"/>
    <w:rsid w:val="00F22F2E"/>
    <w:rsid w:val="00F232DB"/>
    <w:rsid w:val="00F24FA4"/>
    <w:rsid w:val="00F26839"/>
    <w:rsid w:val="00F36A1A"/>
    <w:rsid w:val="00F426A9"/>
    <w:rsid w:val="00F44835"/>
    <w:rsid w:val="00F5139E"/>
    <w:rsid w:val="00F52002"/>
    <w:rsid w:val="00F6114E"/>
    <w:rsid w:val="00F63754"/>
    <w:rsid w:val="00F70973"/>
    <w:rsid w:val="00F76DC7"/>
    <w:rsid w:val="00F80FA3"/>
    <w:rsid w:val="00F83EC2"/>
    <w:rsid w:val="00F94A58"/>
    <w:rsid w:val="00F95B65"/>
    <w:rsid w:val="00FA5791"/>
    <w:rsid w:val="00FA6F99"/>
    <w:rsid w:val="00FA738D"/>
    <w:rsid w:val="00FB16D3"/>
    <w:rsid w:val="00FB2123"/>
    <w:rsid w:val="00FB35AA"/>
    <w:rsid w:val="00FB4F58"/>
    <w:rsid w:val="00FB68FA"/>
    <w:rsid w:val="00FC0957"/>
    <w:rsid w:val="00FC0BC0"/>
    <w:rsid w:val="00FC1B96"/>
    <w:rsid w:val="00FC258F"/>
    <w:rsid w:val="00FC48D3"/>
    <w:rsid w:val="00FD2D2E"/>
    <w:rsid w:val="00FD7E18"/>
    <w:rsid w:val="00FE01EC"/>
    <w:rsid w:val="00FE182A"/>
    <w:rsid w:val="00FF1C21"/>
    <w:rsid w:val="00FF2D56"/>
    <w:rsid w:val="00FF480F"/>
    <w:rsid w:val="00FF5A8E"/>
    <w:rsid w:val="00FF660A"/>
    <w:rsid w:val="010F3B4F"/>
    <w:rsid w:val="01565C22"/>
    <w:rsid w:val="0192652E"/>
    <w:rsid w:val="021C29C7"/>
    <w:rsid w:val="02225B04"/>
    <w:rsid w:val="02344013"/>
    <w:rsid w:val="02405F8A"/>
    <w:rsid w:val="02493090"/>
    <w:rsid w:val="027A5940"/>
    <w:rsid w:val="02936A01"/>
    <w:rsid w:val="02C40969"/>
    <w:rsid w:val="02DA63DE"/>
    <w:rsid w:val="03214544"/>
    <w:rsid w:val="034C1775"/>
    <w:rsid w:val="049C1B9D"/>
    <w:rsid w:val="049F51EA"/>
    <w:rsid w:val="04C80BE4"/>
    <w:rsid w:val="04DA26C6"/>
    <w:rsid w:val="05290F57"/>
    <w:rsid w:val="05410997"/>
    <w:rsid w:val="054B711F"/>
    <w:rsid w:val="056149BE"/>
    <w:rsid w:val="05997E8B"/>
    <w:rsid w:val="05DD06BF"/>
    <w:rsid w:val="05F72E03"/>
    <w:rsid w:val="05F81055"/>
    <w:rsid w:val="062F6A41"/>
    <w:rsid w:val="068B5349"/>
    <w:rsid w:val="06915931"/>
    <w:rsid w:val="06930D7E"/>
    <w:rsid w:val="071C0D73"/>
    <w:rsid w:val="07362613"/>
    <w:rsid w:val="0764271A"/>
    <w:rsid w:val="078A6CF9"/>
    <w:rsid w:val="07A07BF6"/>
    <w:rsid w:val="07CB4548"/>
    <w:rsid w:val="07E850FA"/>
    <w:rsid w:val="07FC0BA5"/>
    <w:rsid w:val="087370B9"/>
    <w:rsid w:val="08C43471"/>
    <w:rsid w:val="08D51B22"/>
    <w:rsid w:val="08D94E38"/>
    <w:rsid w:val="090441B5"/>
    <w:rsid w:val="09114527"/>
    <w:rsid w:val="091C14FF"/>
    <w:rsid w:val="092D370C"/>
    <w:rsid w:val="09502444"/>
    <w:rsid w:val="098613B1"/>
    <w:rsid w:val="09EF6C13"/>
    <w:rsid w:val="0A371F08"/>
    <w:rsid w:val="0A486323"/>
    <w:rsid w:val="0A5D3B7D"/>
    <w:rsid w:val="0A7E7CF6"/>
    <w:rsid w:val="0A9F23E7"/>
    <w:rsid w:val="0ADE56B6"/>
    <w:rsid w:val="0B0C7351"/>
    <w:rsid w:val="0B65388C"/>
    <w:rsid w:val="0B7D1FFD"/>
    <w:rsid w:val="0B93537C"/>
    <w:rsid w:val="0BE8391A"/>
    <w:rsid w:val="0BEB340A"/>
    <w:rsid w:val="0C3721AC"/>
    <w:rsid w:val="0C7B478E"/>
    <w:rsid w:val="0D054058"/>
    <w:rsid w:val="0D166265"/>
    <w:rsid w:val="0D1C5FB0"/>
    <w:rsid w:val="0D240982"/>
    <w:rsid w:val="0D244E26"/>
    <w:rsid w:val="0D8458C4"/>
    <w:rsid w:val="0D847672"/>
    <w:rsid w:val="0DC10DA5"/>
    <w:rsid w:val="0DED5218"/>
    <w:rsid w:val="0E1C5AFD"/>
    <w:rsid w:val="0E7B0A75"/>
    <w:rsid w:val="0E932BB5"/>
    <w:rsid w:val="0EAF6971"/>
    <w:rsid w:val="0ECC307F"/>
    <w:rsid w:val="0EE13E99"/>
    <w:rsid w:val="0EEC1973"/>
    <w:rsid w:val="0EEE56EB"/>
    <w:rsid w:val="0F256838"/>
    <w:rsid w:val="0F815762"/>
    <w:rsid w:val="0FD04DF1"/>
    <w:rsid w:val="0FF11196"/>
    <w:rsid w:val="10AF2C58"/>
    <w:rsid w:val="10C83D1A"/>
    <w:rsid w:val="10D17073"/>
    <w:rsid w:val="10EC5C5A"/>
    <w:rsid w:val="10FE598E"/>
    <w:rsid w:val="11036B00"/>
    <w:rsid w:val="112D5E97"/>
    <w:rsid w:val="116220BD"/>
    <w:rsid w:val="117874EE"/>
    <w:rsid w:val="11A622AD"/>
    <w:rsid w:val="11FE3E97"/>
    <w:rsid w:val="12745F08"/>
    <w:rsid w:val="12A06CFD"/>
    <w:rsid w:val="12AB744F"/>
    <w:rsid w:val="12B5207C"/>
    <w:rsid w:val="12B91B6C"/>
    <w:rsid w:val="12DB3791"/>
    <w:rsid w:val="130059ED"/>
    <w:rsid w:val="13182D37"/>
    <w:rsid w:val="134358DA"/>
    <w:rsid w:val="1347361C"/>
    <w:rsid w:val="134A4EBA"/>
    <w:rsid w:val="13510472"/>
    <w:rsid w:val="138E2FF9"/>
    <w:rsid w:val="13912AE9"/>
    <w:rsid w:val="13A24CF6"/>
    <w:rsid w:val="13CE5AEB"/>
    <w:rsid w:val="13E64BE3"/>
    <w:rsid w:val="13F70440"/>
    <w:rsid w:val="14055F2A"/>
    <w:rsid w:val="140C03C2"/>
    <w:rsid w:val="141B2636"/>
    <w:rsid w:val="144B2C98"/>
    <w:rsid w:val="149C34F4"/>
    <w:rsid w:val="14CF4595"/>
    <w:rsid w:val="1534372C"/>
    <w:rsid w:val="155D7127"/>
    <w:rsid w:val="15610EE2"/>
    <w:rsid w:val="15747FCD"/>
    <w:rsid w:val="15B8610B"/>
    <w:rsid w:val="15C70A44"/>
    <w:rsid w:val="15CC7E09"/>
    <w:rsid w:val="15F5735F"/>
    <w:rsid w:val="161E0A1B"/>
    <w:rsid w:val="16490A3E"/>
    <w:rsid w:val="164B3423"/>
    <w:rsid w:val="16A3500D"/>
    <w:rsid w:val="16B17A67"/>
    <w:rsid w:val="16F615E1"/>
    <w:rsid w:val="16FE0496"/>
    <w:rsid w:val="17141A67"/>
    <w:rsid w:val="17253C74"/>
    <w:rsid w:val="17614581"/>
    <w:rsid w:val="17732C32"/>
    <w:rsid w:val="17780248"/>
    <w:rsid w:val="18055854"/>
    <w:rsid w:val="181066D2"/>
    <w:rsid w:val="182F105B"/>
    <w:rsid w:val="18616F2E"/>
    <w:rsid w:val="18784278"/>
    <w:rsid w:val="18C82B09"/>
    <w:rsid w:val="192B4E46"/>
    <w:rsid w:val="192C753C"/>
    <w:rsid w:val="193F08F1"/>
    <w:rsid w:val="19406B43"/>
    <w:rsid w:val="19434886"/>
    <w:rsid w:val="19781B17"/>
    <w:rsid w:val="19E46292"/>
    <w:rsid w:val="1A277D03"/>
    <w:rsid w:val="1A55661F"/>
    <w:rsid w:val="1A606D71"/>
    <w:rsid w:val="1A6A7BF0"/>
    <w:rsid w:val="1A9F789A"/>
    <w:rsid w:val="1AAC24AA"/>
    <w:rsid w:val="1ACF5E81"/>
    <w:rsid w:val="1B245FF1"/>
    <w:rsid w:val="1BA3160C"/>
    <w:rsid w:val="1C580648"/>
    <w:rsid w:val="1C84080D"/>
    <w:rsid w:val="1C8B457A"/>
    <w:rsid w:val="1D2A05D5"/>
    <w:rsid w:val="1DAB29F9"/>
    <w:rsid w:val="1DCE22F6"/>
    <w:rsid w:val="1DD67A76"/>
    <w:rsid w:val="1DFC3255"/>
    <w:rsid w:val="1E234C86"/>
    <w:rsid w:val="1E803E86"/>
    <w:rsid w:val="1E870D71"/>
    <w:rsid w:val="1EC57AEB"/>
    <w:rsid w:val="1EEF687A"/>
    <w:rsid w:val="1F15637C"/>
    <w:rsid w:val="1F227FC8"/>
    <w:rsid w:val="1F95570F"/>
    <w:rsid w:val="20846AAF"/>
    <w:rsid w:val="208C6B12"/>
    <w:rsid w:val="20913F51"/>
    <w:rsid w:val="209C7AB4"/>
    <w:rsid w:val="20DD2ECA"/>
    <w:rsid w:val="211663DC"/>
    <w:rsid w:val="214B42D7"/>
    <w:rsid w:val="21621621"/>
    <w:rsid w:val="218B1E7E"/>
    <w:rsid w:val="21A47E8B"/>
    <w:rsid w:val="21C127EB"/>
    <w:rsid w:val="223E3E3C"/>
    <w:rsid w:val="228C104B"/>
    <w:rsid w:val="22B3482A"/>
    <w:rsid w:val="22BB36DF"/>
    <w:rsid w:val="22C2681B"/>
    <w:rsid w:val="22D30A28"/>
    <w:rsid w:val="22DE117B"/>
    <w:rsid w:val="22E36792"/>
    <w:rsid w:val="22F0758F"/>
    <w:rsid w:val="22F8223D"/>
    <w:rsid w:val="23B5012E"/>
    <w:rsid w:val="23DC1B5F"/>
    <w:rsid w:val="23ED3D6C"/>
    <w:rsid w:val="23F24EDE"/>
    <w:rsid w:val="24084702"/>
    <w:rsid w:val="244E2C4F"/>
    <w:rsid w:val="245711E5"/>
    <w:rsid w:val="247B3126"/>
    <w:rsid w:val="24AB32DF"/>
    <w:rsid w:val="250644AC"/>
    <w:rsid w:val="257858B7"/>
    <w:rsid w:val="25A43F22"/>
    <w:rsid w:val="25E35426"/>
    <w:rsid w:val="25ED0053"/>
    <w:rsid w:val="25F474FE"/>
    <w:rsid w:val="266F0A68"/>
    <w:rsid w:val="26AF5308"/>
    <w:rsid w:val="26B141F8"/>
    <w:rsid w:val="26B50445"/>
    <w:rsid w:val="26B506EE"/>
    <w:rsid w:val="26F96584"/>
    <w:rsid w:val="26FE003E"/>
    <w:rsid w:val="2714160F"/>
    <w:rsid w:val="27A52717"/>
    <w:rsid w:val="27A6495D"/>
    <w:rsid w:val="27D019DA"/>
    <w:rsid w:val="27EB6814"/>
    <w:rsid w:val="285C6DCA"/>
    <w:rsid w:val="288602EB"/>
    <w:rsid w:val="289C7B0E"/>
    <w:rsid w:val="28B430AA"/>
    <w:rsid w:val="28EA2628"/>
    <w:rsid w:val="28F11C08"/>
    <w:rsid w:val="291E49C7"/>
    <w:rsid w:val="29324AA6"/>
    <w:rsid w:val="294837F2"/>
    <w:rsid w:val="29546EC8"/>
    <w:rsid w:val="29D532D8"/>
    <w:rsid w:val="2A293624"/>
    <w:rsid w:val="2A2B114A"/>
    <w:rsid w:val="2A623483"/>
    <w:rsid w:val="2A950CB9"/>
    <w:rsid w:val="2A9E34CC"/>
    <w:rsid w:val="2AF21C68"/>
    <w:rsid w:val="2B0379D1"/>
    <w:rsid w:val="2B430715"/>
    <w:rsid w:val="2B481888"/>
    <w:rsid w:val="2B966A97"/>
    <w:rsid w:val="2BAC62BA"/>
    <w:rsid w:val="2BD31324"/>
    <w:rsid w:val="2C300910"/>
    <w:rsid w:val="2CAD5E46"/>
    <w:rsid w:val="2CDC2BCF"/>
    <w:rsid w:val="2D510EC7"/>
    <w:rsid w:val="2DB41456"/>
    <w:rsid w:val="2DB56DA0"/>
    <w:rsid w:val="2DC21DC5"/>
    <w:rsid w:val="2DEA30CA"/>
    <w:rsid w:val="2E1A575D"/>
    <w:rsid w:val="2E4E5407"/>
    <w:rsid w:val="2E813A2E"/>
    <w:rsid w:val="2E8452CD"/>
    <w:rsid w:val="2EE95130"/>
    <w:rsid w:val="2F1403FE"/>
    <w:rsid w:val="2F511653"/>
    <w:rsid w:val="2F907713"/>
    <w:rsid w:val="2FA554FB"/>
    <w:rsid w:val="2FF95846"/>
    <w:rsid w:val="303B5E5F"/>
    <w:rsid w:val="3045283A"/>
    <w:rsid w:val="304940D8"/>
    <w:rsid w:val="307355F9"/>
    <w:rsid w:val="30BF4FE5"/>
    <w:rsid w:val="30CE2AF3"/>
    <w:rsid w:val="313A125C"/>
    <w:rsid w:val="31462D0D"/>
    <w:rsid w:val="31AB491E"/>
    <w:rsid w:val="32132BEF"/>
    <w:rsid w:val="3257675E"/>
    <w:rsid w:val="328A08CF"/>
    <w:rsid w:val="32935ADE"/>
    <w:rsid w:val="32D54349"/>
    <w:rsid w:val="32D61E6F"/>
    <w:rsid w:val="32D903DA"/>
    <w:rsid w:val="330C5891"/>
    <w:rsid w:val="3344502A"/>
    <w:rsid w:val="33631954"/>
    <w:rsid w:val="33784CD4"/>
    <w:rsid w:val="33FE78CF"/>
    <w:rsid w:val="34207846"/>
    <w:rsid w:val="34360E17"/>
    <w:rsid w:val="343E6181"/>
    <w:rsid w:val="346516FC"/>
    <w:rsid w:val="346A6D13"/>
    <w:rsid w:val="34F30AB6"/>
    <w:rsid w:val="35150A2C"/>
    <w:rsid w:val="351C6CA1"/>
    <w:rsid w:val="35616AE7"/>
    <w:rsid w:val="3589578A"/>
    <w:rsid w:val="35A06C85"/>
    <w:rsid w:val="35D42696"/>
    <w:rsid w:val="3600792F"/>
    <w:rsid w:val="36113D91"/>
    <w:rsid w:val="36D2388E"/>
    <w:rsid w:val="370C65DF"/>
    <w:rsid w:val="37353608"/>
    <w:rsid w:val="379512A7"/>
    <w:rsid w:val="37B02C8E"/>
    <w:rsid w:val="37DC1CD5"/>
    <w:rsid w:val="37E64902"/>
    <w:rsid w:val="380A4A95"/>
    <w:rsid w:val="38134226"/>
    <w:rsid w:val="38BA76F8"/>
    <w:rsid w:val="391536CC"/>
    <w:rsid w:val="39284E12"/>
    <w:rsid w:val="392F4087"/>
    <w:rsid w:val="39677CC5"/>
    <w:rsid w:val="39F74BA5"/>
    <w:rsid w:val="3A7C32FC"/>
    <w:rsid w:val="3A8C79E3"/>
    <w:rsid w:val="3B1D688D"/>
    <w:rsid w:val="3B2D45F6"/>
    <w:rsid w:val="3B675D5A"/>
    <w:rsid w:val="3BB014AF"/>
    <w:rsid w:val="3C101F4E"/>
    <w:rsid w:val="3C123F18"/>
    <w:rsid w:val="3C2E6878"/>
    <w:rsid w:val="3C340332"/>
    <w:rsid w:val="3C427929"/>
    <w:rsid w:val="3C8F5568"/>
    <w:rsid w:val="3CD26389"/>
    <w:rsid w:val="3CD825B8"/>
    <w:rsid w:val="3D001BF6"/>
    <w:rsid w:val="3D2739F3"/>
    <w:rsid w:val="3D7F55DD"/>
    <w:rsid w:val="3DA6700D"/>
    <w:rsid w:val="3DF064DB"/>
    <w:rsid w:val="3E646581"/>
    <w:rsid w:val="3E6F5651"/>
    <w:rsid w:val="3ED61844"/>
    <w:rsid w:val="3F765294"/>
    <w:rsid w:val="3F9B2476"/>
    <w:rsid w:val="3FEB6F5A"/>
    <w:rsid w:val="40384169"/>
    <w:rsid w:val="406C796F"/>
    <w:rsid w:val="40E51BFB"/>
    <w:rsid w:val="413E130B"/>
    <w:rsid w:val="41764F49"/>
    <w:rsid w:val="41874A60"/>
    <w:rsid w:val="41886A2A"/>
    <w:rsid w:val="41A53138"/>
    <w:rsid w:val="41BE244C"/>
    <w:rsid w:val="41C55588"/>
    <w:rsid w:val="41FF6CEC"/>
    <w:rsid w:val="423A5F76"/>
    <w:rsid w:val="4251506E"/>
    <w:rsid w:val="4258464E"/>
    <w:rsid w:val="427F1BDB"/>
    <w:rsid w:val="42A054DF"/>
    <w:rsid w:val="42EB101F"/>
    <w:rsid w:val="430F7596"/>
    <w:rsid w:val="43106CD7"/>
    <w:rsid w:val="432D1637"/>
    <w:rsid w:val="437454B8"/>
    <w:rsid w:val="438356FB"/>
    <w:rsid w:val="43A15B81"/>
    <w:rsid w:val="43B363C9"/>
    <w:rsid w:val="43D45F57"/>
    <w:rsid w:val="43EC14F2"/>
    <w:rsid w:val="43FA3C0F"/>
    <w:rsid w:val="44222F08"/>
    <w:rsid w:val="44507CD3"/>
    <w:rsid w:val="449A0F4E"/>
    <w:rsid w:val="44BA6EFA"/>
    <w:rsid w:val="45246A6A"/>
    <w:rsid w:val="45684BA8"/>
    <w:rsid w:val="45A517D0"/>
    <w:rsid w:val="45B46BAC"/>
    <w:rsid w:val="45C543A0"/>
    <w:rsid w:val="45D73ADC"/>
    <w:rsid w:val="45DB537A"/>
    <w:rsid w:val="45E36925"/>
    <w:rsid w:val="462E61DA"/>
    <w:rsid w:val="46492C2C"/>
    <w:rsid w:val="46565349"/>
    <w:rsid w:val="465675C4"/>
    <w:rsid w:val="468477C0"/>
    <w:rsid w:val="474D4056"/>
    <w:rsid w:val="47785BF2"/>
    <w:rsid w:val="47D209FF"/>
    <w:rsid w:val="47EC35F3"/>
    <w:rsid w:val="480678A1"/>
    <w:rsid w:val="481E6D74"/>
    <w:rsid w:val="48653621"/>
    <w:rsid w:val="488C32A4"/>
    <w:rsid w:val="489932CB"/>
    <w:rsid w:val="48A91760"/>
    <w:rsid w:val="48CD6222"/>
    <w:rsid w:val="493C4382"/>
    <w:rsid w:val="49427EF5"/>
    <w:rsid w:val="495825DA"/>
    <w:rsid w:val="49695393"/>
    <w:rsid w:val="49A308A5"/>
    <w:rsid w:val="49DE4242"/>
    <w:rsid w:val="4A712751"/>
    <w:rsid w:val="4AA70AFF"/>
    <w:rsid w:val="4AB34B18"/>
    <w:rsid w:val="4AD8632C"/>
    <w:rsid w:val="4AF62C56"/>
    <w:rsid w:val="4B661B8A"/>
    <w:rsid w:val="4BBA3C84"/>
    <w:rsid w:val="4BF52F0E"/>
    <w:rsid w:val="4C392DFB"/>
    <w:rsid w:val="4C5C2F8D"/>
    <w:rsid w:val="4C6562E6"/>
    <w:rsid w:val="4C7C5524"/>
    <w:rsid w:val="4C982217"/>
    <w:rsid w:val="4CAA1F4A"/>
    <w:rsid w:val="4CDF1BF4"/>
    <w:rsid w:val="4CF47705"/>
    <w:rsid w:val="4D041435"/>
    <w:rsid w:val="4D1F46E6"/>
    <w:rsid w:val="4D534390"/>
    <w:rsid w:val="4D73233C"/>
    <w:rsid w:val="4DE1199C"/>
    <w:rsid w:val="4E235B10"/>
    <w:rsid w:val="4E2F6BAB"/>
    <w:rsid w:val="4E5B79A0"/>
    <w:rsid w:val="4E600B13"/>
    <w:rsid w:val="4E797E26"/>
    <w:rsid w:val="4E9E163B"/>
    <w:rsid w:val="4F3D6B35"/>
    <w:rsid w:val="4F710AFD"/>
    <w:rsid w:val="4FC84338"/>
    <w:rsid w:val="4FDC68BF"/>
    <w:rsid w:val="4FF57980"/>
    <w:rsid w:val="503F29AA"/>
    <w:rsid w:val="50776DF5"/>
    <w:rsid w:val="50C23D07"/>
    <w:rsid w:val="50DD4F19"/>
    <w:rsid w:val="50EE53D4"/>
    <w:rsid w:val="50EE6549"/>
    <w:rsid w:val="514F30C0"/>
    <w:rsid w:val="515C58D1"/>
    <w:rsid w:val="5184720E"/>
    <w:rsid w:val="51EB79F7"/>
    <w:rsid w:val="521C002A"/>
    <w:rsid w:val="521C11F4"/>
    <w:rsid w:val="523A5B1F"/>
    <w:rsid w:val="5248023B"/>
    <w:rsid w:val="52903990"/>
    <w:rsid w:val="52A35472"/>
    <w:rsid w:val="52B21B59"/>
    <w:rsid w:val="52CD0741"/>
    <w:rsid w:val="535D3873"/>
    <w:rsid w:val="537E1A3B"/>
    <w:rsid w:val="539969CD"/>
    <w:rsid w:val="53B042EA"/>
    <w:rsid w:val="53B4545D"/>
    <w:rsid w:val="53BB67EB"/>
    <w:rsid w:val="53C47D96"/>
    <w:rsid w:val="54CD67D6"/>
    <w:rsid w:val="54FE4BE1"/>
    <w:rsid w:val="55324C86"/>
    <w:rsid w:val="557650C0"/>
    <w:rsid w:val="557856C0"/>
    <w:rsid w:val="5587107B"/>
    <w:rsid w:val="55911EF9"/>
    <w:rsid w:val="55CB540B"/>
    <w:rsid w:val="55D1679A"/>
    <w:rsid w:val="55F23CEB"/>
    <w:rsid w:val="55F869F5"/>
    <w:rsid w:val="5634450C"/>
    <w:rsid w:val="564442DB"/>
    <w:rsid w:val="564F1095"/>
    <w:rsid w:val="56755377"/>
    <w:rsid w:val="567D422C"/>
    <w:rsid w:val="56847368"/>
    <w:rsid w:val="56D007FF"/>
    <w:rsid w:val="56EA18C1"/>
    <w:rsid w:val="570D1A54"/>
    <w:rsid w:val="572648C3"/>
    <w:rsid w:val="572F3778"/>
    <w:rsid w:val="576E65C3"/>
    <w:rsid w:val="577D2735"/>
    <w:rsid w:val="57CC7219"/>
    <w:rsid w:val="57DC2A49"/>
    <w:rsid w:val="57DD1426"/>
    <w:rsid w:val="580A5CA9"/>
    <w:rsid w:val="584A6390"/>
    <w:rsid w:val="585C1FC3"/>
    <w:rsid w:val="58A12453"/>
    <w:rsid w:val="58A41F44"/>
    <w:rsid w:val="58A91308"/>
    <w:rsid w:val="58D72319"/>
    <w:rsid w:val="58FA1B64"/>
    <w:rsid w:val="590E560F"/>
    <w:rsid w:val="59396B30"/>
    <w:rsid w:val="5954396A"/>
    <w:rsid w:val="596D0588"/>
    <w:rsid w:val="598A2EE8"/>
    <w:rsid w:val="59EC76FE"/>
    <w:rsid w:val="5A0802B0"/>
    <w:rsid w:val="5A3D43FE"/>
    <w:rsid w:val="5A902780"/>
    <w:rsid w:val="5AA955EF"/>
    <w:rsid w:val="5ADD34EB"/>
    <w:rsid w:val="5B8027F4"/>
    <w:rsid w:val="5BA04C44"/>
    <w:rsid w:val="5BB24978"/>
    <w:rsid w:val="5BCF1086"/>
    <w:rsid w:val="5C20470A"/>
    <w:rsid w:val="5C41241A"/>
    <w:rsid w:val="5C82259C"/>
    <w:rsid w:val="5C8F4C17"/>
    <w:rsid w:val="5CAD7D38"/>
    <w:rsid w:val="5CCB7A9F"/>
    <w:rsid w:val="5CE46DB3"/>
    <w:rsid w:val="5CFF1E3E"/>
    <w:rsid w:val="5DEF1EB3"/>
    <w:rsid w:val="5E2E29DB"/>
    <w:rsid w:val="5E316D13"/>
    <w:rsid w:val="5E563CE0"/>
    <w:rsid w:val="5EC552E8"/>
    <w:rsid w:val="5EE25574"/>
    <w:rsid w:val="5EFC6636"/>
    <w:rsid w:val="5F1A4D0E"/>
    <w:rsid w:val="5F30008D"/>
    <w:rsid w:val="5F750196"/>
    <w:rsid w:val="5F996471"/>
    <w:rsid w:val="5FA24193"/>
    <w:rsid w:val="5FC403E3"/>
    <w:rsid w:val="5FE35DB1"/>
    <w:rsid w:val="605032A2"/>
    <w:rsid w:val="60714E01"/>
    <w:rsid w:val="609F196E"/>
    <w:rsid w:val="60DD2497"/>
    <w:rsid w:val="60E750C3"/>
    <w:rsid w:val="60FD6695"/>
    <w:rsid w:val="615C33BC"/>
    <w:rsid w:val="615E35D8"/>
    <w:rsid w:val="615F4C5A"/>
    <w:rsid w:val="61A3723C"/>
    <w:rsid w:val="61A94127"/>
    <w:rsid w:val="61DE022A"/>
    <w:rsid w:val="62B64D4D"/>
    <w:rsid w:val="62C71B5D"/>
    <w:rsid w:val="62E278F0"/>
    <w:rsid w:val="63400728"/>
    <w:rsid w:val="635B58F5"/>
    <w:rsid w:val="638141B0"/>
    <w:rsid w:val="63936E3D"/>
    <w:rsid w:val="63950E07"/>
    <w:rsid w:val="63A34842"/>
    <w:rsid w:val="64055F8C"/>
    <w:rsid w:val="64095351"/>
    <w:rsid w:val="644F5459"/>
    <w:rsid w:val="64684FBF"/>
    <w:rsid w:val="64BB664B"/>
    <w:rsid w:val="65343FB0"/>
    <w:rsid w:val="65A36856"/>
    <w:rsid w:val="65A73AE4"/>
    <w:rsid w:val="65C37EAD"/>
    <w:rsid w:val="65D976D1"/>
    <w:rsid w:val="65EE2A50"/>
    <w:rsid w:val="66546D57"/>
    <w:rsid w:val="66E142AB"/>
    <w:rsid w:val="67185FD7"/>
    <w:rsid w:val="672D0E56"/>
    <w:rsid w:val="676905E0"/>
    <w:rsid w:val="678C2521"/>
    <w:rsid w:val="679D7DAB"/>
    <w:rsid w:val="67BC17A3"/>
    <w:rsid w:val="67F51E74"/>
    <w:rsid w:val="68183DB4"/>
    <w:rsid w:val="6835615A"/>
    <w:rsid w:val="68923B67"/>
    <w:rsid w:val="68DE6DAC"/>
    <w:rsid w:val="69045356"/>
    <w:rsid w:val="691722BE"/>
    <w:rsid w:val="694E3F32"/>
    <w:rsid w:val="69A717FF"/>
    <w:rsid w:val="69A75E71"/>
    <w:rsid w:val="69A94AF3"/>
    <w:rsid w:val="69BA15C7"/>
    <w:rsid w:val="69E06B54"/>
    <w:rsid w:val="6A2611D7"/>
    <w:rsid w:val="6A883473"/>
    <w:rsid w:val="6A9A00F6"/>
    <w:rsid w:val="6AB853DB"/>
    <w:rsid w:val="6B3B6738"/>
    <w:rsid w:val="6B607F4C"/>
    <w:rsid w:val="6B767770"/>
    <w:rsid w:val="6B7C465A"/>
    <w:rsid w:val="6BDC307A"/>
    <w:rsid w:val="6BDE6F83"/>
    <w:rsid w:val="6C474C68"/>
    <w:rsid w:val="6C4B29AA"/>
    <w:rsid w:val="6C613F7C"/>
    <w:rsid w:val="6C7D78FE"/>
    <w:rsid w:val="6C855B90"/>
    <w:rsid w:val="6CDF0FCC"/>
    <w:rsid w:val="6D2356D5"/>
    <w:rsid w:val="6D851EEC"/>
    <w:rsid w:val="6D9143ED"/>
    <w:rsid w:val="6DD662A4"/>
    <w:rsid w:val="6DDD5884"/>
    <w:rsid w:val="6E4F7FF6"/>
    <w:rsid w:val="6E510020"/>
    <w:rsid w:val="6E6B5CFD"/>
    <w:rsid w:val="6E775CD9"/>
    <w:rsid w:val="6E970129"/>
    <w:rsid w:val="6EBF31DC"/>
    <w:rsid w:val="6EEE586F"/>
    <w:rsid w:val="6F481423"/>
    <w:rsid w:val="6F524050"/>
    <w:rsid w:val="6F6D43E1"/>
    <w:rsid w:val="6F6D70DC"/>
    <w:rsid w:val="6F80296B"/>
    <w:rsid w:val="6FE0340A"/>
    <w:rsid w:val="70451ADA"/>
    <w:rsid w:val="707029DF"/>
    <w:rsid w:val="70826CD4"/>
    <w:rsid w:val="70B34FC2"/>
    <w:rsid w:val="70C525FF"/>
    <w:rsid w:val="70CC1BE0"/>
    <w:rsid w:val="71267542"/>
    <w:rsid w:val="71357785"/>
    <w:rsid w:val="713F0604"/>
    <w:rsid w:val="717B788E"/>
    <w:rsid w:val="71CF7BDA"/>
    <w:rsid w:val="71DE340F"/>
    <w:rsid w:val="71F118FE"/>
    <w:rsid w:val="72020FBC"/>
    <w:rsid w:val="72253FA6"/>
    <w:rsid w:val="72E43211"/>
    <w:rsid w:val="72E476B5"/>
    <w:rsid w:val="73310FF5"/>
    <w:rsid w:val="739764D5"/>
    <w:rsid w:val="73E334C8"/>
    <w:rsid w:val="73F93254"/>
    <w:rsid w:val="744F0B5E"/>
    <w:rsid w:val="744F6DB0"/>
    <w:rsid w:val="74987F0D"/>
    <w:rsid w:val="750951B1"/>
    <w:rsid w:val="75104791"/>
    <w:rsid w:val="751A73BE"/>
    <w:rsid w:val="75287D2D"/>
    <w:rsid w:val="75614FED"/>
    <w:rsid w:val="75722D56"/>
    <w:rsid w:val="75897603"/>
    <w:rsid w:val="75A82C1C"/>
    <w:rsid w:val="75D44E39"/>
    <w:rsid w:val="76285B0A"/>
    <w:rsid w:val="76500BBD"/>
    <w:rsid w:val="76530DD9"/>
    <w:rsid w:val="76607052"/>
    <w:rsid w:val="770025E3"/>
    <w:rsid w:val="774009E0"/>
    <w:rsid w:val="775748F9"/>
    <w:rsid w:val="77876861"/>
    <w:rsid w:val="77903967"/>
    <w:rsid w:val="78972AD3"/>
    <w:rsid w:val="78A771BA"/>
    <w:rsid w:val="78B476F9"/>
    <w:rsid w:val="79615DEF"/>
    <w:rsid w:val="79752E15"/>
    <w:rsid w:val="797A667D"/>
    <w:rsid w:val="7A0E5017"/>
    <w:rsid w:val="7A715CD2"/>
    <w:rsid w:val="7A8C4E76"/>
    <w:rsid w:val="7AAF05A8"/>
    <w:rsid w:val="7AD149C3"/>
    <w:rsid w:val="7AD61FD9"/>
    <w:rsid w:val="7ADD3367"/>
    <w:rsid w:val="7B160627"/>
    <w:rsid w:val="7B6C0247"/>
    <w:rsid w:val="7BCE2CB0"/>
    <w:rsid w:val="7BE97AEA"/>
    <w:rsid w:val="7BF85F7F"/>
    <w:rsid w:val="7C0E7550"/>
    <w:rsid w:val="7C507B69"/>
    <w:rsid w:val="7D142945"/>
    <w:rsid w:val="7D26685C"/>
    <w:rsid w:val="7D62010B"/>
    <w:rsid w:val="7D657644"/>
    <w:rsid w:val="7DA939D5"/>
    <w:rsid w:val="7DAC7021"/>
    <w:rsid w:val="7E024E93"/>
    <w:rsid w:val="7E2766A8"/>
    <w:rsid w:val="7E3C03A5"/>
    <w:rsid w:val="7EB268B9"/>
    <w:rsid w:val="7F052E8D"/>
    <w:rsid w:val="7F5434CC"/>
    <w:rsid w:val="7F6776A3"/>
    <w:rsid w:val="7FC655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iPriority="99" w:name="index 2"/>
    <w:lsdException w:uiPriority="99" w:name="index 3"/>
    <w:lsdException w:uiPriority="99" w:name="index 4"/>
    <w:lsdException w:uiPriority="99" w:name="index 5"/>
    <w:lsdException w:qFormat="1" w:unhideWhenUsed="0" w:uiPriority="0" w:semiHidden="0" w:name="index 6"/>
    <w:lsdException w:uiPriority="99" w:name="index 7"/>
    <w:lsdException w:uiPriority="99" w:name="index 8"/>
    <w:lsdException w:uiPriority="99" w:name="index 9"/>
    <w:lsdException w:qFormat="1"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iPriority="0" w:name="Normal Indent"/>
    <w:lsdException w:qFormat="1" w:unhideWhenUsed="0" w:uiPriority="0" w:semiHidden="0" w:name="footnote text"/>
    <w:lsdException w:uiPriority="99" w:name="annotation text"/>
    <w:lsdException w:qFormat="1" w:uiPriority="0" w:name="header"/>
    <w:lsdException w:qFormat="1" w:uiPriority="0" w:name="footer"/>
    <w:lsdException w:uiPriority="99" w:name="index heading"/>
    <w:lsdException w:qFormat="1" w:unhideWhenUsed="0" w:uiPriority="0" w:semiHidden="0" w:name="caption"/>
    <w:lsdException w:uiPriority="99" w:name="table of figures"/>
    <w:lsdException w:uiPriority="99" w:name="envelope address"/>
    <w:lsdException w:qFormat="1" w:uiPriority="99" w:semiHidden="0" w:name="envelope return"/>
    <w:lsdException w:qFormat="1" w:unhideWhenUsed="0" w:uiPriority="0" w:semiHidden="0" w:name="footnote reference"/>
    <w:lsdException w:uiPriority="99" w:name="annotation reference"/>
    <w:lsdException w:uiPriority="99" w:name="line number"/>
    <w:lsdException w:qFormat="1"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qFormat="1" w:unhideWhenUsed="0" w:uiPriority="0" w:semiHidden="0" w:name="Closing"/>
    <w:lsdException w:uiPriority="99" w:name="Signature"/>
    <w:lsdException w:qFormat="1" w:uiPriority="1" w:name="Default Paragraph Font"/>
    <w:lsdException w:qFormat="1" w:uiPriority="0"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99" w:name="Body Text First Indent 2"/>
    <w:lsdException w:uiPriority="99" w:name="Note Heading"/>
    <w:lsdException w:qFormat="1" w:uiPriority="0" w:name="Body Text 2"/>
    <w:lsdException w:qFormat="1" w:unhideWhenUsed="0" w:uiPriority="0" w:semiHidden="0" w:name="Body Text 3"/>
    <w:lsdException w:qFormat="1" w:uiPriority="0" w:name="Body Text Indent 2"/>
    <w:lsdException w:qFormat="1" w:unhideWhenUsed="0" w:uiPriority="0" w:semiHidden="0" w:name="Body Text Indent 3"/>
    <w:lsdException w:uiPriority="99" w:name="Block Text"/>
    <w:lsdException w:qFormat="1" w:uiPriority="0" w:name="Hyperlink"/>
    <w:lsdException w:qFormat="1" w:uiPriority="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193"/>
    <w:autoRedefine/>
    <w:qFormat/>
    <w:uiPriority w:val="0"/>
    <w:pPr>
      <w:keepNext/>
      <w:keepLines/>
      <w:spacing w:line="360" w:lineRule="auto"/>
      <w:outlineLvl w:val="0"/>
    </w:pPr>
    <w:rPr>
      <w:b/>
      <w:bCs/>
      <w:kern w:val="44"/>
      <w:sz w:val="44"/>
      <w:szCs w:val="44"/>
    </w:rPr>
  </w:style>
  <w:style w:type="paragraph" w:styleId="2">
    <w:name w:val="heading 2"/>
    <w:basedOn w:val="1"/>
    <w:next w:val="1"/>
    <w:link w:val="194"/>
    <w:autoRedefine/>
    <w:semiHidden/>
    <w:unhideWhenUsed/>
    <w:qFormat/>
    <w:uiPriority w:val="0"/>
    <w:pPr>
      <w:keepNext/>
      <w:keepLines/>
      <w:spacing w:before="260" w:after="260" w:line="412" w:lineRule="auto"/>
      <w:outlineLvl w:val="1"/>
    </w:pPr>
    <w:rPr>
      <w:rFonts w:ascii="Arial" w:hAnsi="Arial" w:eastAsia="黑体" w:cs="Arial"/>
      <w:b/>
      <w:bCs/>
      <w:kern w:val="0"/>
      <w:sz w:val="32"/>
      <w:szCs w:val="32"/>
    </w:rPr>
  </w:style>
  <w:style w:type="paragraph" w:styleId="4">
    <w:name w:val="heading 3"/>
    <w:basedOn w:val="1"/>
    <w:next w:val="1"/>
    <w:link w:val="195"/>
    <w:autoRedefine/>
    <w:unhideWhenUsed/>
    <w:qFormat/>
    <w:uiPriority w:val="0"/>
    <w:pPr>
      <w:keepNext/>
      <w:keepLines/>
      <w:spacing w:line="360" w:lineRule="auto"/>
      <w:outlineLvl w:val="2"/>
    </w:pPr>
    <w:rPr>
      <w:b/>
      <w:bCs/>
      <w:kern w:val="0"/>
      <w:sz w:val="32"/>
      <w:szCs w:val="32"/>
    </w:rPr>
  </w:style>
  <w:style w:type="paragraph" w:styleId="5">
    <w:name w:val="heading 4"/>
    <w:basedOn w:val="1"/>
    <w:next w:val="1"/>
    <w:link w:val="183"/>
    <w:autoRedefine/>
    <w:semiHidden/>
    <w:unhideWhenUsed/>
    <w:qFormat/>
    <w:uiPriority w:val="0"/>
    <w:pPr>
      <w:keepNext/>
      <w:keepLines/>
      <w:spacing w:line="360" w:lineRule="auto"/>
      <w:outlineLvl w:val="3"/>
    </w:pPr>
    <w:rPr>
      <w:rFonts w:ascii="Arial" w:hAnsi="Arial" w:cs="Arial"/>
      <w:b/>
      <w:bCs/>
      <w:kern w:val="0"/>
      <w:sz w:val="28"/>
      <w:szCs w:val="28"/>
    </w:rPr>
  </w:style>
  <w:style w:type="paragraph" w:styleId="6">
    <w:name w:val="heading 5"/>
    <w:basedOn w:val="1"/>
    <w:next w:val="7"/>
    <w:link w:val="184"/>
    <w:autoRedefine/>
    <w:semiHidden/>
    <w:unhideWhenUsed/>
    <w:qFormat/>
    <w:uiPriority w:val="0"/>
    <w:pPr>
      <w:keepNext/>
      <w:keepLines/>
      <w:spacing w:before="280" w:after="290" w:line="376" w:lineRule="auto"/>
      <w:outlineLvl w:val="4"/>
    </w:pPr>
    <w:rPr>
      <w:b/>
      <w:bCs/>
      <w:sz w:val="28"/>
      <w:szCs w:val="28"/>
    </w:rPr>
  </w:style>
  <w:style w:type="paragraph" w:styleId="9">
    <w:name w:val="heading 6"/>
    <w:basedOn w:val="1"/>
    <w:next w:val="7"/>
    <w:link w:val="289"/>
    <w:autoRedefine/>
    <w:semiHidden/>
    <w:unhideWhenUsed/>
    <w:qFormat/>
    <w:uiPriority w:val="0"/>
    <w:pPr>
      <w:keepNext/>
      <w:keepLines/>
      <w:widowControl w:val="0"/>
      <w:numPr>
        <w:ilvl w:val="5"/>
        <w:numId w:val="1"/>
      </w:numPr>
      <w:spacing w:before="240" w:after="64" w:line="319" w:lineRule="auto"/>
      <w:jc w:val="both"/>
      <w:outlineLvl w:val="5"/>
    </w:pPr>
    <w:rPr>
      <w:rFonts w:ascii="Arial" w:hAnsi="Arial" w:eastAsia="黑体" w:cs="Times New Roman"/>
      <w:b/>
      <w:kern w:val="2"/>
      <w:sz w:val="24"/>
      <w:szCs w:val="20"/>
    </w:rPr>
  </w:style>
  <w:style w:type="paragraph" w:styleId="10">
    <w:name w:val="heading 7"/>
    <w:basedOn w:val="1"/>
    <w:next w:val="7"/>
    <w:link w:val="290"/>
    <w:autoRedefine/>
    <w:semiHidden/>
    <w:unhideWhenUsed/>
    <w:qFormat/>
    <w:uiPriority w:val="0"/>
    <w:pPr>
      <w:keepNext/>
      <w:keepLines/>
      <w:widowControl w:val="0"/>
      <w:numPr>
        <w:ilvl w:val="6"/>
        <w:numId w:val="1"/>
      </w:numPr>
      <w:spacing w:before="240" w:after="64" w:line="319" w:lineRule="auto"/>
      <w:jc w:val="both"/>
      <w:outlineLvl w:val="6"/>
    </w:pPr>
    <w:rPr>
      <w:rFonts w:ascii="Times New Roman" w:hAnsi="Times New Roman" w:eastAsia="宋体" w:cs="Times New Roman"/>
      <w:b/>
      <w:kern w:val="2"/>
      <w:sz w:val="24"/>
      <w:szCs w:val="20"/>
    </w:rPr>
  </w:style>
  <w:style w:type="paragraph" w:styleId="11">
    <w:name w:val="heading 8"/>
    <w:basedOn w:val="1"/>
    <w:next w:val="7"/>
    <w:link w:val="287"/>
    <w:autoRedefine/>
    <w:semiHidden/>
    <w:unhideWhenUsed/>
    <w:qFormat/>
    <w:uiPriority w:val="0"/>
    <w:pPr>
      <w:keepNext/>
      <w:keepLines/>
      <w:widowControl w:val="0"/>
      <w:numPr>
        <w:ilvl w:val="7"/>
        <w:numId w:val="1"/>
      </w:numPr>
      <w:spacing w:before="240" w:after="64" w:line="319" w:lineRule="auto"/>
      <w:jc w:val="both"/>
      <w:outlineLvl w:val="7"/>
    </w:pPr>
    <w:rPr>
      <w:rFonts w:ascii="Arial" w:hAnsi="Arial" w:eastAsia="黑体" w:cs="Times New Roman"/>
      <w:kern w:val="2"/>
      <w:sz w:val="24"/>
      <w:szCs w:val="20"/>
    </w:rPr>
  </w:style>
  <w:style w:type="paragraph" w:styleId="12">
    <w:name w:val="heading 9"/>
    <w:basedOn w:val="1"/>
    <w:next w:val="7"/>
    <w:link w:val="284"/>
    <w:autoRedefine/>
    <w:semiHidden/>
    <w:unhideWhenUsed/>
    <w:qFormat/>
    <w:uiPriority w:val="0"/>
    <w:pPr>
      <w:keepNext/>
      <w:keepLines/>
      <w:widowControl w:val="0"/>
      <w:numPr>
        <w:ilvl w:val="8"/>
        <w:numId w:val="1"/>
      </w:numPr>
      <w:spacing w:before="240" w:after="64" w:line="319" w:lineRule="auto"/>
      <w:jc w:val="both"/>
      <w:outlineLvl w:val="8"/>
    </w:pPr>
    <w:rPr>
      <w:rFonts w:ascii="Arial" w:hAnsi="Arial" w:eastAsia="黑体" w:cs="Times New Roman"/>
      <w:kern w:val="2"/>
      <w:sz w:val="21"/>
      <w:szCs w:val="20"/>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7">
    <w:name w:val="Normal Indent"/>
    <w:basedOn w:val="1"/>
    <w:next w:val="8"/>
    <w:link w:val="291"/>
    <w:autoRedefine/>
    <w:semiHidden/>
    <w:unhideWhenUsed/>
    <w:qFormat/>
    <w:uiPriority w:val="0"/>
    <w:pPr>
      <w:ind w:firstLine="420" w:firstLineChars="200"/>
    </w:pPr>
    <w:rPr>
      <w:kern w:val="0"/>
      <w:sz w:val="20"/>
      <w:szCs w:val="20"/>
    </w:rPr>
  </w:style>
  <w:style w:type="paragraph" w:styleId="8">
    <w:name w:val="Body Text 2"/>
    <w:basedOn w:val="1"/>
    <w:next w:val="1"/>
    <w:link w:val="298"/>
    <w:autoRedefine/>
    <w:semiHidden/>
    <w:unhideWhenUsed/>
    <w:qFormat/>
    <w:uiPriority w:val="0"/>
    <w:rPr>
      <w:rFonts w:ascii="ˎ̥" w:hAnsi="ˎ̥" w:cs="宋体"/>
      <w:b/>
      <w:sz w:val="32"/>
    </w:rPr>
  </w:style>
  <w:style w:type="paragraph" w:styleId="13">
    <w:name w:val="toc 7"/>
    <w:basedOn w:val="1"/>
    <w:next w:val="1"/>
    <w:autoRedefine/>
    <w:semiHidden/>
    <w:qFormat/>
    <w:uiPriority w:val="0"/>
    <w:pPr>
      <w:ind w:left="2520"/>
    </w:pPr>
    <w:rPr>
      <w:szCs w:val="20"/>
    </w:rPr>
  </w:style>
  <w:style w:type="paragraph" w:styleId="14">
    <w:name w:val="caption"/>
    <w:basedOn w:val="1"/>
    <w:next w:val="1"/>
    <w:autoRedefine/>
    <w:qFormat/>
    <w:uiPriority w:val="0"/>
    <w:pPr>
      <w:widowControl/>
      <w:spacing w:before="152" w:after="160"/>
      <w:jc w:val="left"/>
    </w:pPr>
    <w:rPr>
      <w:rFonts w:ascii="Arial" w:hAnsi="Arial" w:eastAsia="黑体"/>
      <w:kern w:val="0"/>
      <w:sz w:val="20"/>
      <w:szCs w:val="20"/>
    </w:rPr>
  </w:style>
  <w:style w:type="paragraph" w:styleId="15">
    <w:name w:val="index 6"/>
    <w:basedOn w:val="1"/>
    <w:next w:val="1"/>
    <w:autoRedefine/>
    <w:qFormat/>
    <w:uiPriority w:val="0"/>
    <w:pPr>
      <w:spacing w:line="240" w:lineRule="auto"/>
      <w:ind w:left="1260" w:hanging="210"/>
      <w:jc w:val="left"/>
    </w:pPr>
    <w:rPr>
      <w:rFonts w:ascii="Times New Roman" w:hAnsi="Times New Roman" w:eastAsia="宋体" w:cs="Times New Roman"/>
      <w:szCs w:val="24"/>
    </w:rPr>
  </w:style>
  <w:style w:type="paragraph" w:styleId="16">
    <w:name w:val="Salutation"/>
    <w:basedOn w:val="1"/>
    <w:next w:val="1"/>
    <w:link w:val="292"/>
    <w:autoRedefine/>
    <w:qFormat/>
    <w:uiPriority w:val="0"/>
    <w:rPr>
      <w:rFonts w:ascii="Calibri" w:hAnsi="Calibri" w:eastAsia="宋体" w:cs="Times New Roman"/>
      <w:kern w:val="0"/>
      <w:szCs w:val="22"/>
    </w:rPr>
  </w:style>
  <w:style w:type="paragraph" w:styleId="17">
    <w:name w:val="Body Text 3"/>
    <w:basedOn w:val="1"/>
    <w:link w:val="286"/>
    <w:autoRedefine/>
    <w:qFormat/>
    <w:uiPriority w:val="0"/>
    <w:pPr>
      <w:spacing w:after="120"/>
    </w:pPr>
    <w:rPr>
      <w:sz w:val="16"/>
      <w:szCs w:val="16"/>
    </w:rPr>
  </w:style>
  <w:style w:type="paragraph" w:styleId="18">
    <w:name w:val="Closing"/>
    <w:basedOn w:val="1"/>
    <w:next w:val="1"/>
    <w:link w:val="293"/>
    <w:autoRedefine/>
    <w:qFormat/>
    <w:uiPriority w:val="0"/>
    <w:pPr>
      <w:ind w:left="4320"/>
    </w:pPr>
    <w:rPr>
      <w:sz w:val="30"/>
      <w:szCs w:val="20"/>
    </w:rPr>
  </w:style>
  <w:style w:type="paragraph" w:styleId="19">
    <w:name w:val="Body Text"/>
    <w:basedOn w:val="1"/>
    <w:next w:val="20"/>
    <w:link w:val="210"/>
    <w:autoRedefine/>
    <w:semiHidden/>
    <w:unhideWhenUsed/>
    <w:qFormat/>
    <w:uiPriority w:val="0"/>
    <w:pPr>
      <w:spacing w:before="100" w:beforeAutospacing="1" w:after="120"/>
    </w:pPr>
    <w:rPr>
      <w:kern w:val="0"/>
      <w:sz w:val="24"/>
      <w:szCs w:val="24"/>
    </w:rPr>
  </w:style>
  <w:style w:type="paragraph" w:styleId="20">
    <w:name w:val="Body Text First Indent"/>
    <w:basedOn w:val="19"/>
    <w:next w:val="21"/>
    <w:link w:val="288"/>
    <w:autoRedefine/>
    <w:qFormat/>
    <w:uiPriority w:val="0"/>
    <w:pPr>
      <w:widowControl/>
      <w:spacing w:before="0" w:beforeAutospacing="0"/>
      <w:ind w:firstLine="420" w:firstLineChars="100"/>
      <w:jc w:val="left"/>
    </w:pPr>
    <w:rPr>
      <w:kern w:val="0"/>
      <w:sz w:val="24"/>
      <w:szCs w:val="24"/>
    </w:rPr>
  </w:style>
  <w:style w:type="paragraph" w:styleId="21">
    <w:name w:val="Body Text First Indent 2"/>
    <w:basedOn w:val="22"/>
    <w:next w:val="1"/>
    <w:link w:val="63"/>
    <w:autoRedefine/>
    <w:semiHidden/>
    <w:unhideWhenUsed/>
    <w:qFormat/>
    <w:uiPriority w:val="99"/>
    <w:pPr>
      <w:spacing w:after="0" w:line="660" w:lineRule="exact"/>
      <w:ind w:left="0" w:leftChars="0" w:firstLine="420" w:firstLineChars="200"/>
    </w:pPr>
    <w:rPr>
      <w:spacing w:val="10"/>
      <w:kern w:val="0"/>
      <w:sz w:val="30"/>
      <w:szCs w:val="30"/>
    </w:rPr>
  </w:style>
  <w:style w:type="paragraph" w:styleId="22">
    <w:name w:val="Body Text Indent"/>
    <w:basedOn w:val="1"/>
    <w:next w:val="23"/>
    <w:link w:val="191"/>
    <w:autoRedefine/>
    <w:semiHidden/>
    <w:unhideWhenUsed/>
    <w:qFormat/>
    <w:uiPriority w:val="0"/>
    <w:pPr>
      <w:spacing w:before="100" w:beforeAutospacing="1" w:after="120"/>
      <w:ind w:left="420" w:leftChars="200"/>
    </w:pPr>
  </w:style>
  <w:style w:type="paragraph" w:styleId="23">
    <w:name w:val="envelope return"/>
    <w:basedOn w:val="1"/>
    <w:autoRedefine/>
    <w:unhideWhenUsed/>
    <w:qFormat/>
    <w:uiPriority w:val="99"/>
    <w:pPr>
      <w:adjustRightInd w:val="0"/>
      <w:snapToGrid w:val="0"/>
      <w:spacing w:line="360" w:lineRule="auto"/>
      <w:ind w:firstLine="200" w:firstLineChars="200"/>
    </w:pPr>
    <w:rPr>
      <w:rFonts w:ascii="Arial" w:hAnsi="Arial" w:eastAsia="仿宋_GB2312" w:cs="Arial"/>
      <w:sz w:val="24"/>
    </w:rPr>
  </w:style>
  <w:style w:type="paragraph" w:styleId="24">
    <w:name w:val="toc 5"/>
    <w:basedOn w:val="1"/>
    <w:next w:val="1"/>
    <w:autoRedefine/>
    <w:semiHidden/>
    <w:qFormat/>
    <w:uiPriority w:val="0"/>
    <w:pPr>
      <w:ind w:left="1680"/>
    </w:pPr>
    <w:rPr>
      <w:szCs w:val="20"/>
    </w:rPr>
  </w:style>
  <w:style w:type="paragraph" w:styleId="25">
    <w:name w:val="toc 3"/>
    <w:basedOn w:val="1"/>
    <w:next w:val="1"/>
    <w:autoRedefine/>
    <w:semiHidden/>
    <w:qFormat/>
    <w:uiPriority w:val="0"/>
    <w:pPr>
      <w:ind w:left="840"/>
    </w:pPr>
    <w:rPr>
      <w:szCs w:val="20"/>
    </w:rPr>
  </w:style>
  <w:style w:type="paragraph" w:styleId="26">
    <w:name w:val="Plain Text"/>
    <w:basedOn w:val="1"/>
    <w:link w:val="294"/>
    <w:autoRedefine/>
    <w:qFormat/>
    <w:uiPriority w:val="0"/>
    <w:rPr>
      <w:rFonts w:ascii="宋体" w:hAnsi="Courier New"/>
      <w:szCs w:val="20"/>
    </w:rPr>
  </w:style>
  <w:style w:type="paragraph" w:styleId="27">
    <w:name w:val="toc 8"/>
    <w:basedOn w:val="1"/>
    <w:next w:val="1"/>
    <w:autoRedefine/>
    <w:semiHidden/>
    <w:qFormat/>
    <w:uiPriority w:val="0"/>
    <w:pPr>
      <w:ind w:left="2940"/>
    </w:pPr>
    <w:rPr>
      <w:szCs w:val="20"/>
    </w:rPr>
  </w:style>
  <w:style w:type="paragraph" w:styleId="28">
    <w:name w:val="Date"/>
    <w:basedOn w:val="1"/>
    <w:next w:val="1"/>
    <w:link w:val="285"/>
    <w:autoRedefine/>
    <w:qFormat/>
    <w:uiPriority w:val="0"/>
    <w:pPr>
      <w:widowControl/>
      <w:ind w:left="100"/>
      <w:jc w:val="left"/>
    </w:pPr>
    <w:rPr>
      <w:rFonts w:ascii="宋体" w:hAnsi="宋体"/>
      <w:kern w:val="0"/>
      <w:sz w:val="28"/>
      <w:szCs w:val="20"/>
    </w:rPr>
  </w:style>
  <w:style w:type="paragraph" w:styleId="29">
    <w:name w:val="Body Text Indent 2"/>
    <w:basedOn w:val="1"/>
    <w:link w:val="200"/>
    <w:autoRedefine/>
    <w:semiHidden/>
    <w:unhideWhenUsed/>
    <w:qFormat/>
    <w:uiPriority w:val="0"/>
    <w:pPr>
      <w:spacing w:after="120" w:line="480" w:lineRule="auto"/>
      <w:ind w:left="420" w:leftChars="200"/>
    </w:pPr>
    <w:rPr>
      <w:rFonts w:ascii="Calibri" w:hAnsi="Calibri"/>
      <w:szCs w:val="24"/>
    </w:rPr>
  </w:style>
  <w:style w:type="paragraph" w:styleId="30">
    <w:name w:val="Balloon Text"/>
    <w:basedOn w:val="1"/>
    <w:link w:val="192"/>
    <w:autoRedefine/>
    <w:semiHidden/>
    <w:unhideWhenUsed/>
    <w:qFormat/>
    <w:uiPriority w:val="0"/>
    <w:rPr>
      <w:sz w:val="18"/>
      <w:szCs w:val="18"/>
    </w:rPr>
  </w:style>
  <w:style w:type="paragraph" w:styleId="31">
    <w:name w:val="footer"/>
    <w:basedOn w:val="1"/>
    <w:link w:val="190"/>
    <w:autoRedefine/>
    <w:semiHidden/>
    <w:unhideWhenUsed/>
    <w:qFormat/>
    <w:uiPriority w:val="0"/>
    <w:pPr>
      <w:snapToGrid w:val="0"/>
      <w:jc w:val="left"/>
    </w:pPr>
    <w:rPr>
      <w:rFonts w:ascii="Calibri" w:hAnsi="Calibri"/>
      <w:sz w:val="18"/>
      <w:szCs w:val="18"/>
    </w:rPr>
  </w:style>
  <w:style w:type="paragraph" w:styleId="32">
    <w:name w:val="header"/>
    <w:basedOn w:val="1"/>
    <w:link w:val="189"/>
    <w:autoRedefine/>
    <w:semiHidden/>
    <w:unhideWhenUsed/>
    <w:qFormat/>
    <w:uiPriority w:val="0"/>
    <w:pPr>
      <w:pBdr>
        <w:bottom w:val="single" w:color="auto" w:sz="6" w:space="1"/>
      </w:pBdr>
      <w:snapToGrid w:val="0"/>
      <w:jc w:val="center"/>
    </w:pPr>
    <w:rPr>
      <w:rFonts w:ascii="Calibri" w:hAnsi="Calibri"/>
      <w:sz w:val="18"/>
      <w:szCs w:val="18"/>
    </w:rPr>
  </w:style>
  <w:style w:type="paragraph" w:styleId="33">
    <w:name w:val="toc 1"/>
    <w:basedOn w:val="1"/>
    <w:next w:val="1"/>
    <w:autoRedefine/>
    <w:semiHidden/>
    <w:unhideWhenUsed/>
    <w:qFormat/>
    <w:uiPriority w:val="0"/>
    <w:pPr>
      <w:tabs>
        <w:tab w:val="right" w:leader="dot" w:pos="9214"/>
      </w:tabs>
      <w:spacing w:line="600" w:lineRule="auto"/>
    </w:pPr>
  </w:style>
  <w:style w:type="paragraph" w:styleId="34">
    <w:name w:val="toc 4"/>
    <w:basedOn w:val="1"/>
    <w:next w:val="1"/>
    <w:autoRedefine/>
    <w:semiHidden/>
    <w:qFormat/>
    <w:uiPriority w:val="0"/>
    <w:pPr>
      <w:ind w:left="1260"/>
    </w:pPr>
    <w:rPr>
      <w:szCs w:val="20"/>
    </w:rPr>
  </w:style>
  <w:style w:type="paragraph" w:styleId="35">
    <w:name w:val="Subtitle"/>
    <w:basedOn w:val="1"/>
    <w:link w:val="295"/>
    <w:autoRedefine/>
    <w:qFormat/>
    <w:uiPriority w:val="0"/>
    <w:pPr>
      <w:adjustRightInd w:val="0"/>
      <w:spacing w:after="60" w:line="360" w:lineRule="atLeast"/>
      <w:jc w:val="center"/>
      <w:textAlignment w:val="baseline"/>
    </w:pPr>
    <w:rPr>
      <w:rFonts w:ascii="Arial" w:hAnsi="Arial" w:eastAsia="黑体"/>
      <w:i/>
      <w:kern w:val="0"/>
      <w:sz w:val="24"/>
      <w:szCs w:val="20"/>
    </w:rPr>
  </w:style>
  <w:style w:type="paragraph" w:styleId="36">
    <w:name w:val="footnote text"/>
    <w:basedOn w:val="1"/>
    <w:link w:val="296"/>
    <w:autoRedefine/>
    <w:qFormat/>
    <w:uiPriority w:val="0"/>
    <w:pPr>
      <w:snapToGrid w:val="0"/>
      <w:jc w:val="left"/>
    </w:pPr>
    <w:rPr>
      <w:sz w:val="18"/>
      <w:szCs w:val="20"/>
    </w:rPr>
  </w:style>
  <w:style w:type="paragraph" w:styleId="37">
    <w:name w:val="toc 6"/>
    <w:basedOn w:val="1"/>
    <w:next w:val="1"/>
    <w:autoRedefine/>
    <w:semiHidden/>
    <w:qFormat/>
    <w:uiPriority w:val="0"/>
    <w:pPr>
      <w:tabs>
        <w:tab w:val="right" w:leader="dot" w:pos="8302"/>
      </w:tabs>
      <w:spacing w:line="360" w:lineRule="auto"/>
      <w:ind w:left="480"/>
    </w:pPr>
    <w:rPr>
      <w:sz w:val="24"/>
      <w:szCs w:val="20"/>
    </w:rPr>
  </w:style>
  <w:style w:type="paragraph" w:styleId="38">
    <w:name w:val="Body Text Indent 3"/>
    <w:basedOn w:val="1"/>
    <w:link w:val="297"/>
    <w:autoRedefine/>
    <w:qFormat/>
    <w:uiPriority w:val="0"/>
    <w:pPr>
      <w:adjustRightInd w:val="0"/>
      <w:spacing w:line="360" w:lineRule="auto"/>
      <w:ind w:left="960"/>
      <w:jc w:val="left"/>
      <w:textAlignment w:val="baseline"/>
    </w:pPr>
    <w:rPr>
      <w:rFonts w:eastAsia="楷体"/>
      <w:kern w:val="0"/>
      <w:sz w:val="24"/>
      <w:szCs w:val="20"/>
    </w:rPr>
  </w:style>
  <w:style w:type="paragraph" w:styleId="39">
    <w:name w:val="toc 2"/>
    <w:basedOn w:val="1"/>
    <w:next w:val="1"/>
    <w:autoRedefine/>
    <w:semiHidden/>
    <w:qFormat/>
    <w:uiPriority w:val="0"/>
    <w:pPr>
      <w:ind w:left="420"/>
    </w:pPr>
    <w:rPr>
      <w:szCs w:val="20"/>
    </w:rPr>
  </w:style>
  <w:style w:type="paragraph" w:styleId="40">
    <w:name w:val="toc 9"/>
    <w:basedOn w:val="1"/>
    <w:next w:val="1"/>
    <w:autoRedefine/>
    <w:semiHidden/>
    <w:qFormat/>
    <w:uiPriority w:val="0"/>
    <w:pPr>
      <w:ind w:left="3360"/>
    </w:pPr>
    <w:rPr>
      <w:szCs w:val="20"/>
    </w:rPr>
  </w:style>
  <w:style w:type="paragraph" w:styleId="41">
    <w:name w:val="Message Header"/>
    <w:basedOn w:val="1"/>
    <w:next w:val="26"/>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Cambria"/>
    </w:rPr>
  </w:style>
  <w:style w:type="paragraph" w:styleId="42">
    <w:name w:val="HTML Preformatted"/>
    <w:basedOn w:val="1"/>
    <w:link w:val="299"/>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olor w:val="000000"/>
      <w:kern w:val="0"/>
      <w:szCs w:val="20"/>
    </w:rPr>
  </w:style>
  <w:style w:type="paragraph" w:styleId="43">
    <w:name w:val="Normal (Web)"/>
    <w:basedOn w:val="1"/>
    <w:autoRedefine/>
    <w:semiHidden/>
    <w:unhideWhenUsed/>
    <w:qFormat/>
    <w:uiPriority w:val="0"/>
    <w:pPr>
      <w:widowControl/>
      <w:spacing w:before="100" w:beforeAutospacing="1" w:after="100" w:afterAutospacing="1"/>
      <w:jc w:val="left"/>
    </w:pPr>
    <w:rPr>
      <w:rFonts w:ascii="宋体" w:hAnsi="宋体" w:cs="宋体"/>
      <w:kern w:val="0"/>
      <w:sz w:val="24"/>
      <w:szCs w:val="24"/>
    </w:rPr>
  </w:style>
  <w:style w:type="paragraph" w:styleId="44">
    <w:name w:val="index 1"/>
    <w:basedOn w:val="1"/>
    <w:next w:val="1"/>
    <w:autoRedefine/>
    <w:qFormat/>
    <w:uiPriority w:val="0"/>
    <w:pPr>
      <w:adjustRightInd w:val="0"/>
      <w:spacing w:line="312" w:lineRule="atLeast"/>
      <w:textAlignment w:val="baseline"/>
    </w:pPr>
    <w:rPr>
      <w:kern w:val="0"/>
      <w:szCs w:val="20"/>
    </w:rPr>
  </w:style>
  <w:style w:type="paragraph" w:styleId="45">
    <w:name w:val="Title"/>
    <w:basedOn w:val="1"/>
    <w:link w:val="212"/>
    <w:autoRedefine/>
    <w:qFormat/>
    <w:uiPriority w:val="0"/>
    <w:pPr>
      <w:spacing w:before="240" w:after="60"/>
      <w:jc w:val="center"/>
      <w:outlineLvl w:val="0"/>
    </w:pPr>
    <w:rPr>
      <w:rFonts w:ascii="等线 Light" w:hAnsi="等线 Light" w:cs="宋体"/>
      <w:b/>
      <w:bCs/>
      <w:kern w:val="0"/>
      <w:sz w:val="32"/>
      <w:szCs w:val="32"/>
    </w:rPr>
  </w:style>
  <w:style w:type="table" w:styleId="47">
    <w:name w:val="Table Grid"/>
    <w:basedOn w:val="46"/>
    <w:autoRedefine/>
    <w:qFormat/>
    <w:uiPriority w:val="0"/>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autoRedefine/>
    <w:qFormat/>
    <w:uiPriority w:val="0"/>
    <w:rPr>
      <w:rFonts w:ascii="Calibri" w:hAnsi="Calibri" w:eastAsia="宋体" w:cs="Times New Roman"/>
      <w:b/>
      <w:bCs/>
    </w:rPr>
  </w:style>
  <w:style w:type="character" w:styleId="50">
    <w:name w:val="page number"/>
    <w:basedOn w:val="48"/>
    <w:autoRedefine/>
    <w:semiHidden/>
    <w:unhideWhenUsed/>
    <w:qFormat/>
    <w:uiPriority w:val="0"/>
    <w:rPr>
      <w:rFonts w:cs="Times New Roman"/>
      <w:sz w:val="20"/>
      <w:szCs w:val="20"/>
    </w:rPr>
  </w:style>
  <w:style w:type="character" w:styleId="51">
    <w:name w:val="FollowedHyperlink"/>
    <w:basedOn w:val="48"/>
    <w:autoRedefine/>
    <w:semiHidden/>
    <w:unhideWhenUsed/>
    <w:qFormat/>
    <w:uiPriority w:val="0"/>
    <w:rPr>
      <w:color w:val="800080"/>
      <w:u w:val="single"/>
    </w:rPr>
  </w:style>
  <w:style w:type="character" w:styleId="52">
    <w:name w:val="Hyperlink"/>
    <w:autoRedefine/>
    <w:semiHidden/>
    <w:unhideWhenUsed/>
    <w:qFormat/>
    <w:uiPriority w:val="0"/>
    <w:rPr>
      <w:color w:val="0000FF"/>
      <w:u w:val="single"/>
    </w:rPr>
  </w:style>
  <w:style w:type="character" w:styleId="53">
    <w:name w:val="footnote reference"/>
    <w:autoRedefine/>
    <w:qFormat/>
    <w:uiPriority w:val="0"/>
    <w:rPr>
      <w:rFonts w:ascii="Calibri" w:hAnsi="Calibri" w:eastAsia="宋体" w:cs="Times New Roman"/>
      <w:vertAlign w:val="superscript"/>
    </w:rPr>
  </w:style>
  <w:style w:type="paragraph" w:customStyle="1" w:styleId="54">
    <w:name w:val="Default"/>
    <w:next w:val="36"/>
    <w:autoRedefine/>
    <w:qFormat/>
    <w:uiPriority w:val="0"/>
    <w:pPr>
      <w:widowControl w:val="0"/>
      <w:autoSpaceDE w:val="0"/>
      <w:autoSpaceDN w:val="0"/>
      <w:adjustRightInd w:val="0"/>
    </w:pPr>
    <w:rPr>
      <w:rFonts w:ascii="黑体" w:hAnsi="Times New Roman" w:eastAsia="黑体" w:cs="Times New Roman"/>
      <w:color w:val="000000"/>
      <w:sz w:val="24"/>
      <w:szCs w:val="24"/>
      <w:lang w:val="en-US" w:eastAsia="zh-CN" w:bidi="ar-SA"/>
    </w:rPr>
  </w:style>
  <w:style w:type="paragraph" w:customStyle="1" w:styleId="55">
    <w:name w:val="style4"/>
    <w:basedOn w:val="1"/>
    <w:next w:val="56"/>
    <w:autoRedefine/>
    <w:qFormat/>
    <w:uiPriority w:val="0"/>
    <w:pPr>
      <w:widowControl/>
      <w:autoSpaceDE/>
      <w:autoSpaceDN/>
      <w:spacing w:before="280" w:after="280" w:line="240" w:lineRule="auto"/>
      <w:ind w:left="0" w:firstLine="0"/>
      <w:jc w:val="both"/>
    </w:pPr>
    <w:rPr>
      <w:rFonts w:ascii="宋体" w:eastAsia="宋体"/>
      <w:sz w:val="18"/>
    </w:rPr>
  </w:style>
  <w:style w:type="paragraph" w:customStyle="1" w:styleId="56">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57">
    <w:name w:val="目录 51"/>
    <w:next w:val="1"/>
    <w:autoRedefine/>
    <w:qFormat/>
    <w:uiPriority w:val="0"/>
    <w:pPr>
      <w:wordWrap w:val="0"/>
      <w:ind w:left="1700"/>
      <w:jc w:val="both"/>
    </w:pPr>
    <w:rPr>
      <w:rFonts w:ascii="Times New Roman" w:hAnsi="Times New Roman" w:eastAsia="Calibri" w:cs="Times New Roman"/>
      <w:sz w:val="21"/>
      <w:lang w:val="en-US" w:eastAsia="zh-CN" w:bidi="ar-SA"/>
    </w:rPr>
  </w:style>
  <w:style w:type="character" w:customStyle="1" w:styleId="58">
    <w:name w:val="标题 1 Char"/>
    <w:link w:val="3"/>
    <w:autoRedefine/>
    <w:qFormat/>
    <w:uiPriority w:val="99"/>
    <w:rPr>
      <w:rFonts w:ascii="Times New Roman" w:hAnsi="Times New Roman" w:eastAsia="宋体" w:cs="Times New Roman"/>
      <w:b/>
      <w:bCs/>
      <w:kern w:val="44"/>
      <w:sz w:val="44"/>
      <w:szCs w:val="44"/>
    </w:rPr>
  </w:style>
  <w:style w:type="character" w:customStyle="1" w:styleId="59">
    <w:name w:val="标题 2 Char"/>
    <w:link w:val="2"/>
    <w:autoRedefine/>
    <w:qFormat/>
    <w:uiPriority w:val="99"/>
    <w:rPr>
      <w:rFonts w:ascii="Arial" w:hAnsi="Arial" w:eastAsia="黑体" w:cs="Arial"/>
      <w:b/>
      <w:bCs/>
      <w:kern w:val="0"/>
      <w:sz w:val="32"/>
      <w:szCs w:val="32"/>
    </w:rPr>
  </w:style>
  <w:style w:type="character" w:customStyle="1" w:styleId="60">
    <w:name w:val="标题 3 Char"/>
    <w:link w:val="4"/>
    <w:autoRedefine/>
    <w:qFormat/>
    <w:uiPriority w:val="99"/>
    <w:rPr>
      <w:rFonts w:ascii="Times New Roman" w:hAnsi="Times New Roman" w:eastAsia="宋体" w:cs="Times New Roman"/>
      <w:b/>
      <w:bCs/>
      <w:kern w:val="0"/>
      <w:sz w:val="32"/>
      <w:szCs w:val="32"/>
    </w:rPr>
  </w:style>
  <w:style w:type="character" w:customStyle="1" w:styleId="61">
    <w:name w:val="标题 4 Char"/>
    <w:link w:val="5"/>
    <w:autoRedefine/>
    <w:qFormat/>
    <w:uiPriority w:val="99"/>
    <w:rPr>
      <w:rFonts w:ascii="Arial" w:hAnsi="Arial" w:eastAsia="宋体" w:cs="Arial"/>
      <w:b/>
      <w:bCs/>
      <w:kern w:val="0"/>
      <w:sz w:val="28"/>
      <w:szCs w:val="28"/>
    </w:rPr>
  </w:style>
  <w:style w:type="character" w:customStyle="1" w:styleId="62">
    <w:name w:val="正文文本缩进 Char"/>
    <w:link w:val="22"/>
    <w:autoRedefine/>
    <w:qFormat/>
    <w:uiPriority w:val="99"/>
    <w:rPr>
      <w:rFonts w:ascii="Times New Roman" w:hAnsi="Times New Roman" w:eastAsia="宋体" w:cs="Times New Roman"/>
      <w:szCs w:val="21"/>
    </w:rPr>
  </w:style>
  <w:style w:type="character" w:customStyle="1" w:styleId="63">
    <w:name w:val="正文首行缩进 2 Char"/>
    <w:link w:val="21"/>
    <w:autoRedefine/>
    <w:qFormat/>
    <w:uiPriority w:val="99"/>
    <w:rPr>
      <w:rFonts w:ascii="Times New Roman" w:hAnsi="Times New Roman" w:eastAsia="宋体" w:cs="Times New Roman"/>
      <w:spacing w:val="10"/>
      <w:kern w:val="0"/>
      <w:sz w:val="30"/>
      <w:szCs w:val="30"/>
    </w:rPr>
  </w:style>
  <w:style w:type="paragraph" w:customStyle="1" w:styleId="64">
    <w:name w:val="标题3-1"/>
    <w:basedOn w:val="4"/>
    <w:autoRedefine/>
    <w:qFormat/>
    <w:uiPriority w:val="0"/>
    <w:pPr>
      <w:spacing w:before="260" w:after="260" w:line="410" w:lineRule="auto"/>
      <w:ind w:left="425" w:hanging="425"/>
    </w:pPr>
    <w:rPr>
      <w:sz w:val="24"/>
      <w:szCs w:val="24"/>
    </w:rPr>
  </w:style>
  <w:style w:type="paragraph" w:customStyle="1" w:styleId="65">
    <w:name w:val="1"/>
    <w:basedOn w:val="1"/>
    <w:next w:val="29"/>
    <w:autoRedefine/>
    <w:qFormat/>
    <w:uiPriority w:val="0"/>
    <w:pPr>
      <w:ind w:firstLine="420"/>
      <w:jc w:val="center"/>
    </w:pPr>
    <w:rPr>
      <w:b/>
      <w:sz w:val="36"/>
      <w:szCs w:val="36"/>
    </w:rPr>
  </w:style>
  <w:style w:type="paragraph" w:customStyle="1" w:styleId="66">
    <w:name w:val="p"/>
    <w:basedOn w:val="1"/>
    <w:autoRedefine/>
    <w:qFormat/>
    <w:uiPriority w:val="0"/>
    <w:pPr>
      <w:widowControl/>
      <w:spacing w:line="432" w:lineRule="auto"/>
      <w:jc w:val="left"/>
    </w:pPr>
    <w:rPr>
      <w:rFonts w:ascii="宋体" w:hAnsi="宋体" w:cs="宋体"/>
      <w:kern w:val="0"/>
      <w:sz w:val="24"/>
      <w:szCs w:val="24"/>
    </w:rPr>
  </w:style>
  <w:style w:type="paragraph" w:customStyle="1" w:styleId="67">
    <w:name w:val="Table Paragraph"/>
    <w:basedOn w:val="1"/>
    <w:autoRedefine/>
    <w:qFormat/>
    <w:uiPriority w:val="0"/>
    <w:pPr>
      <w:autoSpaceDE w:val="0"/>
      <w:autoSpaceDN w:val="0"/>
      <w:adjustRightInd w:val="0"/>
      <w:jc w:val="left"/>
    </w:pPr>
    <w:rPr>
      <w:rFonts w:ascii="宋体" w:cs="宋体"/>
      <w:kern w:val="0"/>
      <w:sz w:val="24"/>
      <w:szCs w:val="24"/>
    </w:rPr>
  </w:style>
  <w:style w:type="character" w:customStyle="1" w:styleId="68">
    <w:name w:val="标题 Char"/>
    <w:link w:val="45"/>
    <w:autoRedefine/>
    <w:qFormat/>
    <w:uiPriority w:val="99"/>
    <w:rPr>
      <w:rFonts w:ascii="等线 Light" w:hAnsi="等线 Light" w:eastAsia="宋体" w:cs="宋体"/>
      <w:b/>
      <w:bCs/>
      <w:kern w:val="0"/>
      <w:sz w:val="32"/>
      <w:szCs w:val="32"/>
    </w:rPr>
  </w:style>
  <w:style w:type="character" w:customStyle="1" w:styleId="69">
    <w:name w:val="正文文本 Char"/>
    <w:link w:val="19"/>
    <w:autoRedefine/>
    <w:qFormat/>
    <w:uiPriority w:val="99"/>
    <w:rPr>
      <w:rFonts w:ascii="Times New Roman" w:hAnsi="Times New Roman" w:eastAsia="宋体" w:cs="Times New Roman"/>
      <w:kern w:val="0"/>
      <w:sz w:val="24"/>
      <w:szCs w:val="24"/>
    </w:rPr>
  </w:style>
  <w:style w:type="paragraph" w:customStyle="1" w:styleId="70">
    <w:name w:val="样式 标题 2 + Times New Roman 四号 非加粗 段前: 5 磅 段后: 0 磅 行距: 固定值 20..."/>
    <w:basedOn w:val="2"/>
    <w:autoRedefine/>
    <w:qFormat/>
    <w:uiPriority w:val="0"/>
    <w:pPr>
      <w:keepLines w:val="0"/>
      <w:widowControl/>
      <w:spacing w:before="100" w:after="60" w:line="400" w:lineRule="exact"/>
      <w:ind w:left="576" w:hanging="576"/>
      <w:jc w:val="left"/>
    </w:pPr>
    <w:rPr>
      <w:rFonts w:ascii="Times New Roman" w:hAnsi="Times New Roman" w:cs="宋体"/>
      <w:b w:val="0"/>
      <w:bCs w:val="0"/>
      <w:i/>
      <w:iCs/>
      <w:sz w:val="28"/>
      <w:szCs w:val="28"/>
    </w:rPr>
  </w:style>
  <w:style w:type="paragraph" w:styleId="71">
    <w:name w:val="List Paragraph"/>
    <w:basedOn w:val="1"/>
    <w:autoRedefine/>
    <w:qFormat/>
    <w:uiPriority w:val="34"/>
    <w:pPr>
      <w:ind w:firstLine="420" w:firstLineChars="200"/>
    </w:pPr>
  </w:style>
  <w:style w:type="character" w:customStyle="1" w:styleId="72">
    <w:name w:val="页脚 Char"/>
    <w:link w:val="31"/>
    <w:autoRedefine/>
    <w:qFormat/>
    <w:uiPriority w:val="99"/>
    <w:rPr>
      <w:rFonts w:ascii="Calibri" w:hAnsi="Calibri" w:eastAsia="宋体" w:cs="Times New Roman"/>
      <w:sz w:val="18"/>
      <w:szCs w:val="18"/>
    </w:rPr>
  </w:style>
  <w:style w:type="character" w:customStyle="1" w:styleId="73">
    <w:name w:val="页眉 Char"/>
    <w:link w:val="32"/>
    <w:autoRedefine/>
    <w:semiHidden/>
    <w:qFormat/>
    <w:uiPriority w:val="99"/>
    <w:rPr>
      <w:rFonts w:ascii="Calibri" w:hAnsi="Calibri" w:eastAsia="宋体" w:cs="Times New Roman"/>
      <w:sz w:val="18"/>
      <w:szCs w:val="18"/>
    </w:rPr>
  </w:style>
  <w:style w:type="character" w:customStyle="1" w:styleId="74">
    <w:name w:val="15"/>
    <w:autoRedefine/>
    <w:qFormat/>
    <w:uiPriority w:val="0"/>
    <w:rPr>
      <w:rFonts w:hint="default" w:ascii="Times New Roman" w:hAnsi="Times New Roman" w:cs="Times New Roman"/>
      <w:color w:val="0000FF"/>
      <w:sz w:val="20"/>
      <w:szCs w:val="20"/>
      <w:u w:val="single"/>
    </w:rPr>
  </w:style>
  <w:style w:type="character" w:customStyle="1" w:styleId="75">
    <w:name w:val="16"/>
    <w:autoRedefine/>
    <w:qFormat/>
    <w:uiPriority w:val="0"/>
    <w:rPr>
      <w:rFonts w:hint="default" w:ascii="Times New Roman" w:hAnsi="Times New Roman" w:cs="Times New Roman"/>
      <w:sz w:val="20"/>
      <w:szCs w:val="20"/>
    </w:rPr>
  </w:style>
  <w:style w:type="character" w:customStyle="1" w:styleId="76">
    <w:name w:val="批注框文本 Char"/>
    <w:link w:val="30"/>
    <w:autoRedefine/>
    <w:qFormat/>
    <w:uiPriority w:val="0"/>
    <w:rPr>
      <w:rFonts w:ascii="Times New Roman" w:hAnsi="Times New Roman" w:eastAsia="宋体" w:cs="Times New Roman"/>
      <w:sz w:val="18"/>
      <w:szCs w:val="18"/>
    </w:rPr>
  </w:style>
  <w:style w:type="character" w:customStyle="1" w:styleId="77">
    <w:name w:val="hover17"/>
    <w:basedOn w:val="48"/>
    <w:autoRedefine/>
    <w:qFormat/>
    <w:uiPriority w:val="0"/>
  </w:style>
  <w:style w:type="paragraph" w:customStyle="1" w:styleId="78">
    <w:name w:val="xl14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79">
    <w:name w:val="xl12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80">
    <w:name w:val="xl12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81">
    <w:name w:val="xl15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808080"/>
      <w:kern w:val="0"/>
      <w:sz w:val="20"/>
      <w:szCs w:val="20"/>
    </w:rPr>
  </w:style>
  <w:style w:type="paragraph" w:customStyle="1" w:styleId="82">
    <w:name w:val="xl9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83">
    <w:name w:val="xl72"/>
    <w:basedOn w:val="1"/>
    <w:autoRedefine/>
    <w:qFormat/>
    <w:uiPriority w:val="0"/>
    <w:pPr>
      <w:widowControl/>
      <w:spacing w:before="100" w:beforeAutospacing="1" w:after="100" w:afterAutospacing="1"/>
      <w:jc w:val="center"/>
    </w:pPr>
    <w:rPr>
      <w:rFonts w:ascii="宋体" w:hAnsi="宋体" w:cs="宋体"/>
      <w:kern w:val="0"/>
      <w:sz w:val="24"/>
      <w:szCs w:val="24"/>
    </w:rPr>
  </w:style>
  <w:style w:type="paragraph" w:customStyle="1" w:styleId="84">
    <w:name w:val="xl104"/>
    <w:basedOn w:val="1"/>
    <w:autoRedefine/>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85">
    <w:name w:val="font8"/>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86">
    <w:name w:val="xl12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87">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88">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89">
    <w:name w:val="正文 A"/>
    <w:next w:val="1"/>
    <w:autoRedefine/>
    <w:qFormat/>
    <w:uiPriority w:val="0"/>
    <w:pPr>
      <w:framePr w:wrap="around" w:vAnchor="margin" w:hAnchor="text" w:yAlign="top"/>
      <w:widowControl w:val="0"/>
      <w:jc w:val="both"/>
    </w:pPr>
    <w:rPr>
      <w:rFonts w:ascii="Arial Unicode MS" w:hAnsi="Arial Unicode MS" w:eastAsia="Arial Unicode MS" w:cs="Arial Unicode MS"/>
      <w:color w:val="000000"/>
      <w:kern w:val="2"/>
      <w:sz w:val="21"/>
      <w:szCs w:val="21"/>
      <w:u w:color="000000"/>
      <w:lang w:val="en-US" w:eastAsia="zh-CN" w:bidi="ar-SA"/>
    </w:rPr>
  </w:style>
  <w:style w:type="paragraph" w:customStyle="1" w:styleId="90">
    <w:name w:val="xl8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91">
    <w:name w:val="font5"/>
    <w:basedOn w:val="1"/>
    <w:autoRedefine/>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92">
    <w:name w:val="xl12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93">
    <w:name w:val="font6"/>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94">
    <w:name w:val="xl8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5">
    <w:name w:val="xl8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96">
    <w:name w:val="xl12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7">
    <w:name w:val="xl7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00B0F0"/>
      <w:spacing w:before="100" w:beforeAutospacing="1" w:after="100" w:afterAutospacing="1"/>
      <w:jc w:val="left"/>
    </w:pPr>
    <w:rPr>
      <w:rFonts w:ascii="宋体" w:hAnsi="宋体" w:cs="宋体"/>
      <w:b/>
      <w:bCs/>
      <w:kern w:val="0"/>
      <w:sz w:val="20"/>
      <w:szCs w:val="20"/>
    </w:rPr>
  </w:style>
  <w:style w:type="paragraph" w:customStyle="1" w:styleId="98">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20"/>
      <w:szCs w:val="20"/>
    </w:rPr>
  </w:style>
  <w:style w:type="paragraph" w:customStyle="1" w:styleId="99">
    <w:name w:val="xl132"/>
    <w:basedOn w:val="1"/>
    <w:autoRedefine/>
    <w:qFormat/>
    <w:uiPriority w:val="0"/>
    <w:pPr>
      <w:widowControl/>
      <w:spacing w:before="100" w:beforeAutospacing="1" w:after="100" w:afterAutospacing="1"/>
      <w:jc w:val="center"/>
    </w:pPr>
    <w:rPr>
      <w:rFonts w:ascii="黑体" w:hAnsi="黑体" w:eastAsia="黑体" w:cs="宋体"/>
      <w:b/>
      <w:bCs/>
      <w:kern w:val="0"/>
      <w:sz w:val="28"/>
      <w:szCs w:val="28"/>
    </w:rPr>
  </w:style>
  <w:style w:type="paragraph" w:customStyle="1" w:styleId="100">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1">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02">
    <w:name w:val="xl15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3">
    <w:name w:val="xl10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4">
    <w:name w:val="xl1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5">
    <w:name w:val="xl14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6">
    <w:name w:val="xl139"/>
    <w:basedOn w:val="1"/>
    <w:autoRedefine/>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7">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8">
    <w:name w:val="xl15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9">
    <w:name w:val="font13"/>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10">
    <w:name w:val="xl11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11">
    <w:name w:val="xl11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
    <w:name w:val="xl14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3">
    <w:name w:val="样式2"/>
    <w:basedOn w:val="1"/>
    <w:autoRedefine/>
    <w:qFormat/>
    <w:uiPriority w:val="0"/>
    <w:pPr>
      <w:widowControl/>
    </w:pPr>
    <w:rPr>
      <w:rFonts w:ascii="宋体" w:hAnsi="宋体" w:eastAsia="仿宋"/>
      <w:spacing w:val="8"/>
      <w:sz w:val="24"/>
      <w:szCs w:val="24"/>
    </w:rPr>
  </w:style>
  <w:style w:type="paragraph" w:customStyle="1" w:styleId="114">
    <w:name w:val="xl1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
    <w:name w:val="xl157"/>
    <w:basedOn w:val="1"/>
    <w:autoRedefine/>
    <w:qFormat/>
    <w:uiPriority w:val="0"/>
    <w:pPr>
      <w:widowControl/>
      <w:pBdr>
        <w:left w:val="single" w:color="auto" w:sz="4" w:space="0"/>
        <w:bottom w:val="single" w:color="auto" w:sz="8"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6">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7">
    <w:name w:val="xl9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8">
    <w:name w:val="xl8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19">
    <w:name w:val="xl7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00B0F0"/>
      <w:spacing w:before="100" w:beforeAutospacing="1" w:after="100" w:afterAutospacing="1"/>
      <w:jc w:val="center"/>
    </w:pPr>
    <w:rPr>
      <w:rFonts w:ascii="宋体" w:hAnsi="宋体" w:cs="宋体"/>
      <w:b/>
      <w:bCs/>
      <w:kern w:val="0"/>
      <w:sz w:val="20"/>
      <w:szCs w:val="20"/>
    </w:rPr>
  </w:style>
  <w:style w:type="paragraph" w:customStyle="1" w:styleId="120">
    <w:name w:val="xl12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21">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22">
    <w:name w:val="xl8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23">
    <w:name w:val="xl14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4">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color w:val="000000"/>
      <w:kern w:val="0"/>
      <w:sz w:val="20"/>
      <w:szCs w:val="20"/>
    </w:rPr>
  </w:style>
  <w:style w:type="paragraph" w:customStyle="1" w:styleId="125">
    <w:name w:val="xl142"/>
    <w:basedOn w:val="1"/>
    <w:autoRedefine/>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26">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7">
    <w:name w:val="xl136"/>
    <w:basedOn w:val="1"/>
    <w:autoRedefine/>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28">
    <w:name w:val="xl11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129">
    <w:name w:val="xl8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top"/>
    </w:pPr>
    <w:rPr>
      <w:rFonts w:ascii="宋体" w:hAnsi="宋体" w:cs="宋体"/>
      <w:kern w:val="0"/>
      <w:sz w:val="20"/>
      <w:szCs w:val="20"/>
    </w:rPr>
  </w:style>
  <w:style w:type="paragraph" w:customStyle="1" w:styleId="130">
    <w:name w:val="xl15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1">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132">
    <w:name w:val="xl71"/>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133">
    <w:name w:val="font11"/>
    <w:basedOn w:val="1"/>
    <w:autoRedefine/>
    <w:qFormat/>
    <w:uiPriority w:val="0"/>
    <w:pPr>
      <w:widowControl/>
      <w:spacing w:before="100" w:beforeAutospacing="1" w:after="100" w:afterAutospacing="1"/>
      <w:jc w:val="left"/>
    </w:pPr>
    <w:rPr>
      <w:rFonts w:ascii="PMingLiU" w:hAnsi="PMingLiU" w:eastAsia="PMingLiU" w:cs="宋体"/>
      <w:kern w:val="0"/>
      <w:sz w:val="20"/>
      <w:szCs w:val="20"/>
    </w:rPr>
  </w:style>
  <w:style w:type="paragraph" w:customStyle="1" w:styleId="134">
    <w:name w:val="xl15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35">
    <w:name w:val="font7"/>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36">
    <w:name w:val="xl140"/>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37">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38">
    <w:name w:val="xl12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PMingLiU" w:hAnsi="PMingLiU" w:eastAsia="PMingLiU" w:cs="宋体"/>
      <w:kern w:val="0"/>
      <w:sz w:val="20"/>
      <w:szCs w:val="20"/>
    </w:rPr>
  </w:style>
  <w:style w:type="paragraph" w:customStyle="1" w:styleId="139">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40">
    <w:name w:val="xl134"/>
    <w:basedOn w:val="1"/>
    <w:autoRedefine/>
    <w:qFormat/>
    <w:uiPriority w:val="0"/>
    <w:pPr>
      <w:widowControl/>
      <w:spacing w:before="100" w:beforeAutospacing="1" w:after="100" w:afterAutospacing="1"/>
      <w:jc w:val="center"/>
    </w:pPr>
    <w:rPr>
      <w:rFonts w:ascii="黑体" w:hAnsi="黑体" w:eastAsia="黑体" w:cs="宋体"/>
      <w:b/>
      <w:bCs/>
      <w:kern w:val="0"/>
      <w:sz w:val="28"/>
      <w:szCs w:val="28"/>
    </w:rPr>
  </w:style>
  <w:style w:type="paragraph" w:customStyle="1" w:styleId="141">
    <w:name w:val="xl8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42">
    <w:name w:val="xl12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43">
    <w:name w:val="xl9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44">
    <w:name w:val="xl9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45">
    <w:name w:val="xl156"/>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46">
    <w:name w:val="xl14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47">
    <w:name w:val="xl11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48">
    <w:name w:val="xl133"/>
    <w:basedOn w:val="1"/>
    <w:autoRedefine/>
    <w:qFormat/>
    <w:uiPriority w:val="0"/>
    <w:pPr>
      <w:widowControl/>
      <w:spacing w:before="100" w:beforeAutospacing="1" w:after="100" w:afterAutospacing="1"/>
      <w:jc w:val="center"/>
    </w:pPr>
    <w:rPr>
      <w:rFonts w:ascii="黑体" w:hAnsi="黑体" w:eastAsia="黑体" w:cs="宋体"/>
      <w:b/>
      <w:bCs/>
      <w:kern w:val="0"/>
      <w:sz w:val="28"/>
      <w:szCs w:val="28"/>
    </w:rPr>
  </w:style>
  <w:style w:type="paragraph" w:customStyle="1" w:styleId="149">
    <w:name w:val="xl10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50">
    <w:name w:val="xl14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51">
    <w:name w:val="xl13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00B0F0"/>
      <w:spacing w:before="100" w:beforeAutospacing="1" w:after="100" w:afterAutospacing="1"/>
      <w:jc w:val="center"/>
    </w:pPr>
    <w:rPr>
      <w:rFonts w:ascii="宋体" w:hAnsi="宋体" w:cs="宋体"/>
      <w:b/>
      <w:bCs/>
      <w:kern w:val="0"/>
      <w:sz w:val="20"/>
      <w:szCs w:val="20"/>
    </w:rPr>
  </w:style>
  <w:style w:type="paragraph" w:customStyle="1" w:styleId="152">
    <w:name w:val="xl102"/>
    <w:basedOn w:val="1"/>
    <w:autoRedefine/>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53">
    <w:name w:val="xl15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54">
    <w:name w:val="xl147"/>
    <w:basedOn w:val="1"/>
    <w:autoRedefine/>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55">
    <w:name w:val="正文 B"/>
    <w:autoRedefine/>
    <w:qFormat/>
    <w:uiPriority w:val="0"/>
    <w:pPr>
      <w:framePr w:wrap="around" w:vAnchor="margin" w:hAnchor="text" w:yAlign="top"/>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156">
    <w:name w:val="xl12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57">
    <w:name w:val="xl11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color w:val="000000"/>
      <w:kern w:val="0"/>
      <w:sz w:val="20"/>
      <w:szCs w:val="20"/>
    </w:rPr>
  </w:style>
  <w:style w:type="paragraph" w:customStyle="1" w:styleId="158">
    <w:name w:val="xl9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59">
    <w:name w:val="xl1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60">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61">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62">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63">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164">
    <w:name w:val="xl9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65">
    <w:name w:val="xl9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66">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67">
    <w:name w:val="xl103"/>
    <w:basedOn w:val="1"/>
    <w:autoRedefine/>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68">
    <w:name w:val="font12"/>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69">
    <w:name w:val="xl8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70">
    <w:name w:val="xl131"/>
    <w:basedOn w:val="1"/>
    <w:autoRedefine/>
    <w:qFormat/>
    <w:uiPriority w:val="0"/>
    <w:pPr>
      <w:widowControl/>
      <w:pBdr>
        <w:left w:val="single" w:color="auto" w:sz="8" w:space="0"/>
      </w:pBdr>
      <w:spacing w:before="100" w:beforeAutospacing="1" w:after="100" w:afterAutospacing="1"/>
      <w:jc w:val="center"/>
    </w:pPr>
    <w:rPr>
      <w:rFonts w:ascii="黑体" w:hAnsi="黑体" w:eastAsia="黑体" w:cs="宋体"/>
      <w:b/>
      <w:bCs/>
      <w:kern w:val="0"/>
      <w:sz w:val="28"/>
      <w:szCs w:val="28"/>
    </w:rPr>
  </w:style>
  <w:style w:type="paragraph" w:customStyle="1" w:styleId="171">
    <w:name w:val="xl14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2">
    <w:name w:val="xl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3">
    <w:name w:val="font9"/>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74">
    <w:name w:val="xl9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5">
    <w:name w:val="font10"/>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76">
    <w:name w:val="xl13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top"/>
    </w:pPr>
    <w:rPr>
      <w:rFonts w:ascii="宋体" w:hAnsi="宋体" w:cs="宋体"/>
      <w:kern w:val="0"/>
      <w:sz w:val="20"/>
      <w:szCs w:val="20"/>
    </w:rPr>
  </w:style>
  <w:style w:type="character" w:customStyle="1" w:styleId="177">
    <w:name w:val="正文文本缩进 2 Char"/>
    <w:link w:val="29"/>
    <w:autoRedefine/>
    <w:qFormat/>
    <w:uiPriority w:val="0"/>
    <w:rPr>
      <w:kern w:val="2"/>
      <w:sz w:val="21"/>
      <w:szCs w:val="24"/>
    </w:rPr>
  </w:style>
  <w:style w:type="character" w:customStyle="1" w:styleId="178">
    <w:name w:val="标题 5 Char"/>
    <w:link w:val="6"/>
    <w:autoRedefine/>
    <w:qFormat/>
    <w:uiPriority w:val="9"/>
    <w:rPr>
      <w:rFonts w:ascii="Times New Roman" w:hAnsi="Times New Roman"/>
      <w:b/>
      <w:bCs/>
      <w:kern w:val="2"/>
      <w:sz w:val="28"/>
      <w:szCs w:val="28"/>
    </w:rPr>
  </w:style>
  <w:style w:type="paragraph" w:customStyle="1" w:styleId="179">
    <w:name w:val="List Paragraph1"/>
    <w:basedOn w:val="1"/>
    <w:autoRedefine/>
    <w:qFormat/>
    <w:uiPriority w:val="99"/>
    <w:pPr>
      <w:ind w:firstLine="420" w:firstLineChars="200"/>
    </w:pPr>
    <w:rPr>
      <w:rFonts w:ascii="Calibri" w:hAnsi="Calibri"/>
      <w:szCs w:val="24"/>
    </w:rPr>
  </w:style>
  <w:style w:type="character" w:customStyle="1" w:styleId="180">
    <w:name w:val="Heading 1 Char"/>
    <w:basedOn w:val="48"/>
    <w:link w:val="3"/>
    <w:autoRedefine/>
    <w:qFormat/>
    <w:uiPriority w:val="0"/>
    <w:rPr>
      <w:rFonts w:ascii="Times New Roman" w:hAnsi="Times New Roman" w:eastAsia="宋体" w:cs="Times New Roman"/>
      <w:b/>
      <w:kern w:val="44"/>
      <w:sz w:val="44"/>
      <w:szCs w:val="20"/>
      <w:lang w:val="en-US" w:eastAsia="zh-CN" w:bidi="ar-SA"/>
    </w:rPr>
  </w:style>
  <w:style w:type="character" w:customStyle="1" w:styleId="181">
    <w:name w:val="Heading 2 Char"/>
    <w:basedOn w:val="48"/>
    <w:link w:val="2"/>
    <w:autoRedefine/>
    <w:semiHidden/>
    <w:qFormat/>
    <w:uiPriority w:val="0"/>
    <w:rPr>
      <w:rFonts w:ascii="Arial" w:hAnsi="Arial" w:eastAsia="黑体" w:cs="Times New Roman"/>
      <w:b/>
      <w:sz w:val="32"/>
      <w:szCs w:val="20"/>
      <w:lang w:val="en-US" w:eastAsia="zh-CN" w:bidi="ar-SA"/>
    </w:rPr>
  </w:style>
  <w:style w:type="character" w:customStyle="1" w:styleId="182">
    <w:name w:val="Heading 3 Char"/>
    <w:basedOn w:val="48"/>
    <w:link w:val="4"/>
    <w:semiHidden/>
    <w:qFormat/>
    <w:uiPriority w:val="0"/>
    <w:rPr>
      <w:rFonts w:ascii="Times New Roman" w:hAnsi="Times New Roman" w:eastAsia="宋体" w:cs="Times New Roman"/>
      <w:b/>
      <w:sz w:val="32"/>
      <w:szCs w:val="20"/>
      <w:lang w:val="en-US" w:eastAsia="zh-CN" w:bidi="ar-SA"/>
    </w:rPr>
  </w:style>
  <w:style w:type="character" w:customStyle="1" w:styleId="183">
    <w:name w:val="Heading 4 Char"/>
    <w:basedOn w:val="48"/>
    <w:link w:val="5"/>
    <w:semiHidden/>
    <w:qFormat/>
    <w:uiPriority w:val="0"/>
    <w:rPr>
      <w:rFonts w:ascii="Arial" w:hAnsi="Arial" w:eastAsia="黑体" w:cs="Times New Roman"/>
      <w:b/>
      <w:kern w:val="2"/>
      <w:sz w:val="28"/>
      <w:szCs w:val="20"/>
      <w:lang w:val="en-US" w:eastAsia="zh-CN" w:bidi="ar-SA"/>
    </w:rPr>
  </w:style>
  <w:style w:type="character" w:customStyle="1" w:styleId="184">
    <w:name w:val="Heading 5 Char"/>
    <w:basedOn w:val="48"/>
    <w:link w:val="6"/>
    <w:semiHidden/>
    <w:qFormat/>
    <w:uiPriority w:val="0"/>
    <w:rPr>
      <w:rFonts w:ascii="Times New Roman" w:hAnsi="Times New Roman" w:eastAsia="宋体" w:cs="Times New Roman"/>
      <w:b/>
      <w:kern w:val="2"/>
      <w:sz w:val="28"/>
      <w:szCs w:val="20"/>
      <w:lang w:val="en-US" w:eastAsia="zh-CN" w:bidi="ar-SA"/>
    </w:rPr>
  </w:style>
  <w:style w:type="character" w:customStyle="1" w:styleId="185">
    <w:name w:val="Heading 6 Char"/>
    <w:basedOn w:val="48"/>
    <w:link w:val="9"/>
    <w:semiHidden/>
    <w:qFormat/>
    <w:uiPriority w:val="0"/>
    <w:rPr>
      <w:rFonts w:ascii="Arial" w:hAnsi="Arial" w:eastAsia="黑体" w:cs="Times New Roman"/>
      <w:b/>
      <w:kern w:val="2"/>
      <w:sz w:val="24"/>
      <w:szCs w:val="20"/>
      <w:lang w:val="en-US" w:eastAsia="zh-CN" w:bidi="ar-SA"/>
    </w:rPr>
  </w:style>
  <w:style w:type="character" w:customStyle="1" w:styleId="186">
    <w:name w:val="Heading 7 Char"/>
    <w:basedOn w:val="48"/>
    <w:link w:val="10"/>
    <w:autoRedefine/>
    <w:semiHidden/>
    <w:qFormat/>
    <w:uiPriority w:val="99"/>
    <w:rPr>
      <w:rFonts w:ascii="Times New Roman" w:hAnsi="Times New Roman" w:eastAsia="宋体" w:cs="Times New Roman"/>
      <w:b/>
      <w:kern w:val="2"/>
      <w:sz w:val="24"/>
      <w:szCs w:val="20"/>
      <w:lang w:val="en-US" w:eastAsia="zh-CN" w:bidi="ar-SA"/>
    </w:rPr>
  </w:style>
  <w:style w:type="character" w:customStyle="1" w:styleId="187">
    <w:name w:val="Heading 8 Char"/>
    <w:basedOn w:val="48"/>
    <w:link w:val="11"/>
    <w:semiHidden/>
    <w:qFormat/>
    <w:uiPriority w:val="99"/>
    <w:rPr>
      <w:rFonts w:ascii="Arial" w:hAnsi="Arial" w:eastAsia="黑体" w:cs="Times New Roman"/>
      <w:kern w:val="2"/>
      <w:sz w:val="24"/>
      <w:szCs w:val="20"/>
      <w:lang w:val="en-US" w:eastAsia="zh-CN" w:bidi="ar-SA"/>
    </w:rPr>
  </w:style>
  <w:style w:type="character" w:customStyle="1" w:styleId="188">
    <w:name w:val="Heading 9 Char"/>
    <w:basedOn w:val="48"/>
    <w:link w:val="12"/>
    <w:semiHidden/>
    <w:qFormat/>
    <w:uiPriority w:val="99"/>
    <w:rPr>
      <w:rFonts w:ascii="Arial" w:hAnsi="Arial" w:eastAsia="黑体" w:cs="Times New Roman"/>
      <w:kern w:val="2"/>
      <w:sz w:val="21"/>
      <w:szCs w:val="20"/>
      <w:lang w:val="en-US" w:eastAsia="zh-CN" w:bidi="ar-SA"/>
    </w:rPr>
  </w:style>
  <w:style w:type="character" w:customStyle="1" w:styleId="189">
    <w:name w:val="Header Char"/>
    <w:basedOn w:val="48"/>
    <w:link w:val="32"/>
    <w:qFormat/>
    <w:uiPriority w:val="99"/>
    <w:rPr>
      <w:rFonts w:ascii="Times New Roman" w:hAnsi="Times New Roman" w:eastAsia="宋体" w:cs="Times New Roman"/>
      <w:sz w:val="24"/>
      <w:szCs w:val="24"/>
      <w:lang w:val="en-US" w:eastAsia="zh-CN" w:bidi="ar-SA"/>
    </w:rPr>
  </w:style>
  <w:style w:type="character" w:customStyle="1" w:styleId="190">
    <w:name w:val="Footer Char"/>
    <w:basedOn w:val="48"/>
    <w:link w:val="31"/>
    <w:qFormat/>
    <w:uiPriority w:val="99"/>
    <w:rPr>
      <w:rFonts w:ascii="Times New Roman" w:hAnsi="Times New Roman" w:eastAsia="宋体" w:cs="Times New Roman"/>
      <w:sz w:val="24"/>
      <w:szCs w:val="24"/>
      <w:lang w:val="en-US" w:eastAsia="zh-CN" w:bidi="ar-SA"/>
    </w:rPr>
  </w:style>
  <w:style w:type="character" w:customStyle="1" w:styleId="191">
    <w:name w:val="Body Text Indent Char"/>
    <w:basedOn w:val="48"/>
    <w:link w:val="22"/>
    <w:autoRedefine/>
    <w:semiHidden/>
    <w:qFormat/>
    <w:uiPriority w:val="99"/>
    <w:rPr>
      <w:rFonts w:ascii="Times New Roman" w:hAnsi="Times New Roman" w:eastAsia="宋体" w:cs="Times New Roman"/>
      <w:b/>
      <w:kern w:val="2"/>
      <w:sz w:val="52"/>
      <w:szCs w:val="20"/>
      <w:lang w:val="en-US" w:eastAsia="zh-CN" w:bidi="ar-SA"/>
    </w:rPr>
  </w:style>
  <w:style w:type="character" w:customStyle="1" w:styleId="192">
    <w:name w:val="Balloon Text Char"/>
    <w:basedOn w:val="48"/>
    <w:link w:val="30"/>
    <w:autoRedefine/>
    <w:semiHidden/>
    <w:qFormat/>
    <w:uiPriority w:val="99"/>
    <w:rPr>
      <w:rFonts w:ascii="Tahoma" w:hAnsi="Tahoma" w:eastAsia="宋体" w:cs="Tahoma"/>
      <w:sz w:val="16"/>
      <w:szCs w:val="16"/>
      <w:lang w:val="en-US" w:eastAsia="zh-CN" w:bidi="ar-SA"/>
    </w:rPr>
  </w:style>
  <w:style w:type="character" w:customStyle="1" w:styleId="193">
    <w:name w:val="Heading 1 Char1"/>
    <w:link w:val="3"/>
    <w:qFormat/>
    <w:uiPriority w:val="0"/>
    <w:rPr>
      <w:rFonts w:ascii="Times New Roman" w:hAnsi="Times New Roman" w:eastAsia="宋体" w:cs="Times New Roman"/>
      <w:b/>
      <w:kern w:val="44"/>
      <w:sz w:val="44"/>
      <w:szCs w:val="20"/>
    </w:rPr>
  </w:style>
  <w:style w:type="character" w:customStyle="1" w:styleId="194">
    <w:name w:val="Heading 2 Char1"/>
    <w:link w:val="2"/>
    <w:qFormat/>
    <w:uiPriority w:val="0"/>
    <w:rPr>
      <w:rFonts w:ascii="Arial" w:hAnsi="Arial" w:eastAsia="黑体" w:cs="Times New Roman"/>
      <w:b/>
      <w:kern w:val="2"/>
      <w:sz w:val="32"/>
      <w:szCs w:val="20"/>
    </w:rPr>
  </w:style>
  <w:style w:type="character" w:customStyle="1" w:styleId="195">
    <w:name w:val="Heading 3 Char1"/>
    <w:link w:val="4"/>
    <w:qFormat/>
    <w:uiPriority w:val="0"/>
    <w:rPr>
      <w:rFonts w:ascii="Times New Roman" w:hAnsi="Times New Roman" w:eastAsia="宋体" w:cs="Times New Roman"/>
      <w:b/>
      <w:sz w:val="32"/>
      <w:szCs w:val="20"/>
    </w:rPr>
  </w:style>
  <w:style w:type="character" w:customStyle="1" w:styleId="196">
    <w:name w:val="Normal Indent Char"/>
    <w:link w:val="7"/>
    <w:autoRedefine/>
    <w:qFormat/>
    <w:uiPriority w:val="0"/>
    <w:rPr>
      <w:rFonts w:ascii="Calibri" w:hAnsi="Calibri" w:eastAsia="宋体" w:cs="Times New Roman"/>
      <w:kern w:val="0"/>
      <w:sz w:val="20"/>
      <w:szCs w:val="20"/>
    </w:rPr>
  </w:style>
  <w:style w:type="character" w:customStyle="1" w:styleId="197">
    <w:name w:val="Body Text Indent 3 Char"/>
    <w:link w:val="38"/>
    <w:autoRedefine/>
    <w:qFormat/>
    <w:uiPriority w:val="0"/>
    <w:rPr>
      <w:rFonts w:ascii="Calibri" w:hAnsi="Calibri" w:eastAsia="楷体" w:cs="Times New Roman"/>
      <w:kern w:val="0"/>
      <w:sz w:val="24"/>
    </w:rPr>
  </w:style>
  <w:style w:type="character" w:customStyle="1" w:styleId="198">
    <w:name w:val="Date Char"/>
    <w:link w:val="28"/>
    <w:qFormat/>
    <w:uiPriority w:val="0"/>
    <w:rPr>
      <w:rFonts w:ascii="宋体" w:hAnsi="宋体" w:eastAsia="宋体" w:cs="Times New Roman"/>
      <w:kern w:val="0"/>
      <w:sz w:val="28"/>
    </w:rPr>
  </w:style>
  <w:style w:type="character" w:customStyle="1" w:styleId="199">
    <w:name w:val="Plain Text Char"/>
    <w:link w:val="26"/>
    <w:autoRedefine/>
    <w:qFormat/>
    <w:uiPriority w:val="0"/>
    <w:rPr>
      <w:rFonts w:ascii="宋体" w:hAnsi="Courier New" w:eastAsia="宋体" w:cs="Times New Roman"/>
    </w:rPr>
  </w:style>
  <w:style w:type="character" w:customStyle="1" w:styleId="200">
    <w:name w:val="Body Text Indent 2 Char"/>
    <w:link w:val="29"/>
    <w:qFormat/>
    <w:uiPriority w:val="0"/>
    <w:rPr>
      <w:rFonts w:ascii="Times New Roman" w:hAnsi="Times New Roman" w:eastAsia="宋体" w:cs="Times New Roman"/>
      <w:kern w:val="2"/>
      <w:sz w:val="21"/>
      <w:szCs w:val="20"/>
    </w:rPr>
  </w:style>
  <w:style w:type="paragraph" w:customStyle="1" w:styleId="201">
    <w:name w:val="文档正文"/>
    <w:basedOn w:val="1"/>
    <w:qFormat/>
    <w:uiPriority w:val="0"/>
    <w:pPr>
      <w:adjustRightInd w:val="0"/>
      <w:spacing w:line="312" w:lineRule="atLeast"/>
      <w:ind w:firstLine="567"/>
      <w:textAlignment w:val="baseline"/>
    </w:pPr>
    <w:rPr>
      <w:kern w:val="0"/>
      <w:sz w:val="28"/>
      <w:szCs w:val="20"/>
    </w:rPr>
  </w:style>
  <w:style w:type="paragraph" w:customStyle="1" w:styleId="202">
    <w:name w:val="图文"/>
    <w:basedOn w:val="1"/>
    <w:qFormat/>
    <w:uiPriority w:val="0"/>
    <w:pPr>
      <w:adjustRightInd w:val="0"/>
      <w:snapToGrid w:val="0"/>
      <w:spacing w:after="50" w:line="360" w:lineRule="auto"/>
    </w:pPr>
    <w:rPr>
      <w:sz w:val="24"/>
      <w:szCs w:val="24"/>
    </w:rPr>
  </w:style>
  <w:style w:type="character" w:customStyle="1" w:styleId="203">
    <w:name w:val="Body Text 2 Char"/>
    <w:link w:val="8"/>
    <w:autoRedefine/>
    <w:qFormat/>
    <w:uiPriority w:val="0"/>
    <w:rPr>
      <w:rFonts w:ascii="ˎ̥" w:hAnsi="ˎ̥" w:eastAsia="宋体" w:cs="宋体"/>
      <w:b/>
      <w:sz w:val="32"/>
    </w:rPr>
  </w:style>
  <w:style w:type="paragraph" w:customStyle="1" w:styleId="204">
    <w:name w:val="4"/>
    <w:basedOn w:val="1"/>
    <w:next w:val="26"/>
    <w:qFormat/>
    <w:uiPriority w:val="0"/>
    <w:rPr>
      <w:rFonts w:ascii="宋体" w:hAnsi="Courier New"/>
      <w:szCs w:val="20"/>
    </w:rPr>
  </w:style>
  <w:style w:type="paragraph" w:customStyle="1" w:styleId="205">
    <w:name w:val="Char"/>
    <w:basedOn w:val="1"/>
    <w:qFormat/>
    <w:uiPriority w:val="0"/>
    <w:pPr>
      <w:spacing w:line="360" w:lineRule="auto"/>
      <w:jc w:val="left"/>
    </w:pPr>
    <w:rPr>
      <w:rFonts w:ascii="Tahoma" w:hAnsi="Tahoma"/>
      <w:sz w:val="24"/>
      <w:szCs w:val="20"/>
    </w:rPr>
  </w:style>
  <w:style w:type="paragraph" w:customStyle="1" w:styleId="206">
    <w:name w:val="Char1 Char Char Char"/>
    <w:basedOn w:val="1"/>
    <w:qFormat/>
    <w:uiPriority w:val="0"/>
    <w:rPr>
      <w:rFonts w:ascii="Tahoma" w:hAnsi="Tahoma"/>
      <w:sz w:val="24"/>
      <w:szCs w:val="20"/>
    </w:rPr>
  </w:style>
  <w:style w:type="character" w:customStyle="1" w:styleId="207">
    <w:name w:val="Body Text 3 Char"/>
    <w:link w:val="17"/>
    <w:qFormat/>
    <w:uiPriority w:val="0"/>
    <w:rPr>
      <w:rFonts w:ascii="Calibri" w:hAnsi="Calibri" w:eastAsia="宋体" w:cs="Times New Roman"/>
      <w:sz w:val="16"/>
      <w:szCs w:val="16"/>
    </w:rPr>
  </w:style>
  <w:style w:type="paragraph" w:customStyle="1" w:styleId="208">
    <w:name w:val="样式3"/>
    <w:basedOn w:val="26"/>
    <w:qFormat/>
    <w:uiPriority w:val="0"/>
    <w:pPr>
      <w:spacing w:line="0" w:lineRule="atLeast"/>
      <w:outlineLvl w:val="0"/>
    </w:pPr>
    <w:rPr>
      <w:sz w:val="28"/>
    </w:rPr>
  </w:style>
  <w:style w:type="character" w:customStyle="1" w:styleId="209">
    <w:name w:val="Char Char Char"/>
    <w:qFormat/>
    <w:uiPriority w:val="0"/>
    <w:rPr>
      <w:rFonts w:ascii="Arial" w:hAnsi="Arial" w:eastAsia="宋体" w:cs="Arial"/>
      <w:bCs/>
      <w:sz w:val="24"/>
      <w:szCs w:val="26"/>
      <w:lang w:val="en-US" w:eastAsia="zh-CN" w:bidi="ar-SA"/>
    </w:rPr>
  </w:style>
  <w:style w:type="character" w:customStyle="1" w:styleId="210">
    <w:name w:val="Body Text Char"/>
    <w:link w:val="19"/>
    <w:qFormat/>
    <w:uiPriority w:val="0"/>
    <w:rPr>
      <w:rFonts w:ascii="Times New Roman" w:hAnsi="Times New Roman" w:eastAsia="宋体" w:cs="Times New Roman"/>
      <w:kern w:val="2"/>
      <w:sz w:val="21"/>
      <w:szCs w:val="20"/>
    </w:rPr>
  </w:style>
  <w:style w:type="character" w:customStyle="1" w:styleId="211">
    <w:name w:val="Body Text First Indent Char"/>
    <w:link w:val="20"/>
    <w:autoRedefine/>
    <w:qFormat/>
    <w:uiPriority w:val="0"/>
    <w:rPr>
      <w:rFonts w:ascii="Calibri" w:hAnsi="Calibri" w:eastAsia="宋体" w:cs="Times New Roman"/>
      <w:kern w:val="0"/>
      <w:sz w:val="24"/>
      <w:szCs w:val="24"/>
    </w:rPr>
  </w:style>
  <w:style w:type="character" w:customStyle="1" w:styleId="212">
    <w:name w:val="Title Char"/>
    <w:link w:val="45"/>
    <w:qFormat/>
    <w:uiPriority w:val="0"/>
    <w:rPr>
      <w:rFonts w:ascii="Arial" w:hAnsi="Arial" w:eastAsia="宋体" w:cs="Arial"/>
      <w:b/>
      <w:bCs/>
      <w:sz w:val="32"/>
      <w:szCs w:val="32"/>
    </w:rPr>
  </w:style>
  <w:style w:type="paragraph" w:customStyle="1" w:styleId="213">
    <w:name w:val="Char Char Char1"/>
    <w:basedOn w:val="1"/>
    <w:qFormat/>
    <w:uiPriority w:val="0"/>
    <w:rPr>
      <w:rFonts w:ascii="宋体" w:hAnsi="宋体" w:cs="宋体"/>
      <w:b/>
      <w:bCs/>
      <w:kern w:val="0"/>
      <w:sz w:val="24"/>
      <w:szCs w:val="24"/>
      <w:lang w:eastAsia="en-US"/>
    </w:rPr>
  </w:style>
  <w:style w:type="character" w:customStyle="1" w:styleId="214">
    <w:name w:val="Anrede1IhrZeichen"/>
    <w:qFormat/>
    <w:uiPriority w:val="0"/>
    <w:rPr>
      <w:rFonts w:ascii="Arial" w:hAnsi="Arial" w:eastAsia="宋体" w:cs="Times New Roman"/>
      <w:sz w:val="20"/>
    </w:rPr>
  </w:style>
  <w:style w:type="paragraph" w:customStyle="1" w:styleId="215">
    <w:name w:val="_Style 8"/>
    <w:basedOn w:val="1"/>
    <w:qFormat/>
    <w:uiPriority w:val="0"/>
    <w:pPr>
      <w:widowControl/>
      <w:spacing w:after="160" w:line="240" w:lineRule="exact"/>
      <w:jc w:val="left"/>
    </w:pPr>
    <w:rPr>
      <w:szCs w:val="20"/>
    </w:rPr>
  </w:style>
  <w:style w:type="character" w:customStyle="1" w:styleId="216">
    <w:name w:val="Footnote Text Char"/>
    <w:link w:val="36"/>
    <w:autoRedefine/>
    <w:qFormat/>
    <w:uiPriority w:val="0"/>
    <w:rPr>
      <w:rFonts w:ascii="Calibri" w:hAnsi="Calibri" w:eastAsia="宋体" w:cs="Times New Roman"/>
      <w:sz w:val="18"/>
    </w:rPr>
  </w:style>
  <w:style w:type="paragraph" w:customStyle="1" w:styleId="217">
    <w:name w:val="ÕýÎÄ"/>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zh-CN" w:bidi="ar-SA"/>
    </w:rPr>
  </w:style>
  <w:style w:type="paragraph" w:customStyle="1" w:styleId="218">
    <w:name w:val="_Style 16"/>
    <w:basedOn w:val="1"/>
    <w:qFormat/>
    <w:uiPriority w:val="0"/>
    <w:pPr>
      <w:widowControl/>
      <w:spacing w:after="160" w:line="240" w:lineRule="exact"/>
      <w:jc w:val="left"/>
    </w:pPr>
    <w:rPr>
      <w:szCs w:val="20"/>
    </w:rPr>
  </w:style>
  <w:style w:type="paragraph" w:customStyle="1" w:styleId="219">
    <w:name w:val="列出段落1"/>
    <w:basedOn w:val="1"/>
    <w:qFormat/>
    <w:uiPriority w:val="0"/>
    <w:pPr>
      <w:widowControl/>
      <w:ind w:firstLine="420" w:firstLineChars="200"/>
      <w:jc w:val="left"/>
    </w:pPr>
    <w:rPr>
      <w:kern w:val="0"/>
      <w:sz w:val="24"/>
      <w:szCs w:val="20"/>
    </w:rPr>
  </w:style>
  <w:style w:type="character" w:customStyle="1" w:styleId="220">
    <w:name w:val="Char Char9"/>
    <w:autoRedefine/>
    <w:qFormat/>
    <w:uiPriority w:val="0"/>
    <w:rPr>
      <w:rFonts w:ascii="Calibri" w:hAnsi="Calibri" w:eastAsia="宋体" w:cs="Times New Roman"/>
      <w:kern w:val="2"/>
      <w:sz w:val="18"/>
      <w:lang w:val="en-US" w:eastAsia="zh-CN"/>
    </w:rPr>
  </w:style>
  <w:style w:type="character" w:customStyle="1" w:styleId="221">
    <w:name w:val="Char Char12"/>
    <w:qFormat/>
    <w:uiPriority w:val="0"/>
    <w:rPr>
      <w:rFonts w:ascii="Calibri" w:hAnsi="Calibri" w:eastAsia="宋体" w:cs="Times New Roman"/>
      <w:b/>
      <w:kern w:val="2"/>
      <w:sz w:val="24"/>
      <w:lang w:val="en-US" w:eastAsia="zh-CN"/>
    </w:rPr>
  </w:style>
  <w:style w:type="character" w:customStyle="1" w:styleId="222">
    <w:name w:val="Char Char15"/>
    <w:qFormat/>
    <w:uiPriority w:val="0"/>
    <w:rPr>
      <w:rFonts w:ascii="Arial" w:hAnsi="Arial" w:eastAsia="黑体" w:cs="Times New Roman"/>
      <w:b/>
      <w:kern w:val="2"/>
      <w:sz w:val="28"/>
      <w:lang w:val="en-US" w:eastAsia="zh-CN"/>
    </w:rPr>
  </w:style>
  <w:style w:type="character" w:customStyle="1" w:styleId="223">
    <w:name w:val="Char Char18"/>
    <w:qFormat/>
    <w:uiPriority w:val="0"/>
    <w:rPr>
      <w:rFonts w:ascii="Calibri" w:hAnsi="Calibri" w:eastAsia="宋体" w:cs="Times New Roman"/>
      <w:b/>
      <w:kern w:val="44"/>
      <w:sz w:val="44"/>
      <w:lang w:val="en-US" w:eastAsia="zh-CN"/>
    </w:rPr>
  </w:style>
  <w:style w:type="character" w:customStyle="1" w:styleId="224">
    <w:name w:val="Salutation Char"/>
    <w:link w:val="16"/>
    <w:autoRedefine/>
    <w:qFormat/>
    <w:uiPriority w:val="0"/>
    <w:rPr>
      <w:rFonts w:ascii="Calibri" w:hAnsi="Calibri" w:eastAsia="宋体" w:cs="Times New Roman"/>
      <w:kern w:val="0"/>
      <w:szCs w:val="22"/>
    </w:rPr>
  </w:style>
  <w:style w:type="character" w:customStyle="1" w:styleId="225">
    <w:name w:val="Salutation Char1"/>
    <w:semiHidden/>
    <w:qFormat/>
    <w:uiPriority w:val="99"/>
    <w:rPr>
      <w:rFonts w:ascii="Times New Roman" w:hAnsi="Times New Roman" w:eastAsia="宋体" w:cs="Times New Roman"/>
      <w:kern w:val="2"/>
      <w:sz w:val="21"/>
      <w:szCs w:val="20"/>
    </w:rPr>
  </w:style>
  <w:style w:type="character" w:customStyle="1" w:styleId="226">
    <w:name w:val="Char Char5"/>
    <w:qFormat/>
    <w:uiPriority w:val="0"/>
    <w:rPr>
      <w:rFonts w:ascii="宋体" w:hAnsi="Calibri" w:eastAsia="宋体" w:cs="Times New Roman"/>
      <w:sz w:val="32"/>
      <w:lang w:val="en-US" w:eastAsia="zh-CN"/>
    </w:rPr>
  </w:style>
  <w:style w:type="character" w:customStyle="1" w:styleId="227">
    <w:name w:val="Char Char8"/>
    <w:qFormat/>
    <w:uiPriority w:val="0"/>
    <w:rPr>
      <w:rFonts w:ascii="Calibri" w:hAnsi="Calibri" w:eastAsia="宋体" w:cs="Times New Roman"/>
      <w:kern w:val="2"/>
      <w:sz w:val="18"/>
      <w:lang w:val="en-US" w:eastAsia="zh-CN"/>
    </w:rPr>
  </w:style>
  <w:style w:type="character" w:customStyle="1" w:styleId="228">
    <w:name w:val="Char Char11"/>
    <w:qFormat/>
    <w:uiPriority w:val="0"/>
    <w:rPr>
      <w:rFonts w:ascii="Arial" w:hAnsi="Arial" w:eastAsia="黑体" w:cs="Times New Roman"/>
      <w:kern w:val="2"/>
      <w:sz w:val="24"/>
      <w:lang w:val="en-US" w:eastAsia="zh-CN"/>
    </w:rPr>
  </w:style>
  <w:style w:type="character" w:customStyle="1" w:styleId="229">
    <w:name w:val="Char Char14"/>
    <w:qFormat/>
    <w:uiPriority w:val="0"/>
    <w:rPr>
      <w:rFonts w:ascii="Calibri" w:hAnsi="Calibri" w:eastAsia="宋体" w:cs="Times New Roman"/>
      <w:b/>
      <w:kern w:val="2"/>
      <w:sz w:val="28"/>
      <w:lang w:val="en-US" w:eastAsia="zh-CN"/>
    </w:rPr>
  </w:style>
  <w:style w:type="character" w:customStyle="1" w:styleId="230">
    <w:name w:val="Char Char17"/>
    <w:qFormat/>
    <w:uiPriority w:val="0"/>
    <w:rPr>
      <w:rFonts w:ascii="Arial" w:hAnsi="Arial" w:eastAsia="黑体" w:cs="Times New Roman"/>
      <w:b/>
      <w:sz w:val="32"/>
      <w:lang w:val="en-US" w:eastAsia="zh-CN"/>
    </w:rPr>
  </w:style>
  <w:style w:type="character" w:customStyle="1" w:styleId="231">
    <w:name w:val="Char Char4"/>
    <w:qFormat/>
    <w:uiPriority w:val="0"/>
    <w:rPr>
      <w:rFonts w:ascii="Calibri" w:hAnsi="Calibri" w:eastAsia="宋体" w:cs="Times New Roman"/>
      <w:kern w:val="2"/>
      <w:sz w:val="24"/>
      <w:lang w:val="en-US" w:eastAsia="zh-CN"/>
    </w:rPr>
  </w:style>
  <w:style w:type="character" w:customStyle="1" w:styleId="232">
    <w:name w:val="Char Char6"/>
    <w:qFormat/>
    <w:uiPriority w:val="0"/>
    <w:rPr>
      <w:rFonts w:ascii="Arial" w:hAnsi="Arial" w:eastAsia="隶书" w:cs="Times New Roman"/>
      <w:b/>
      <w:sz w:val="52"/>
      <w:lang w:val="en-US" w:eastAsia="zh-CN"/>
    </w:rPr>
  </w:style>
  <w:style w:type="character" w:customStyle="1" w:styleId="233">
    <w:name w:val="Char Char10"/>
    <w:autoRedefine/>
    <w:qFormat/>
    <w:uiPriority w:val="0"/>
    <w:rPr>
      <w:rFonts w:ascii="Arial" w:hAnsi="Arial" w:eastAsia="黑体" w:cs="Times New Roman"/>
      <w:kern w:val="2"/>
      <w:sz w:val="21"/>
      <w:lang w:val="en-US" w:eastAsia="zh-CN"/>
    </w:rPr>
  </w:style>
  <w:style w:type="character" w:customStyle="1" w:styleId="234">
    <w:name w:val="Char Char13"/>
    <w:qFormat/>
    <w:uiPriority w:val="0"/>
    <w:rPr>
      <w:rFonts w:ascii="Arial" w:hAnsi="Arial" w:eastAsia="黑体" w:cs="Times New Roman"/>
      <w:b/>
      <w:kern w:val="2"/>
      <w:sz w:val="24"/>
      <w:lang w:val="en-US" w:eastAsia="zh-CN"/>
    </w:rPr>
  </w:style>
  <w:style w:type="character" w:customStyle="1" w:styleId="235">
    <w:name w:val="Char Char16"/>
    <w:autoRedefine/>
    <w:qFormat/>
    <w:uiPriority w:val="0"/>
    <w:rPr>
      <w:rFonts w:ascii="Calibri" w:hAnsi="Calibri" w:eastAsia="宋体" w:cs="Times New Roman"/>
      <w:b/>
      <w:sz w:val="32"/>
      <w:lang w:val="en-US" w:eastAsia="zh-CN"/>
    </w:rPr>
  </w:style>
  <w:style w:type="character" w:customStyle="1" w:styleId="236">
    <w:name w:val="Char Char3"/>
    <w:autoRedefine/>
    <w:qFormat/>
    <w:uiPriority w:val="0"/>
    <w:rPr>
      <w:rFonts w:ascii="Calibri" w:hAnsi="Calibri" w:eastAsia="宋体" w:cs="Times New Roman"/>
      <w:sz w:val="24"/>
      <w:lang w:val="en-US" w:eastAsia="zh-CN"/>
    </w:rPr>
  </w:style>
  <w:style w:type="character" w:customStyle="1" w:styleId="237">
    <w:name w:val="Char Char7"/>
    <w:qFormat/>
    <w:uiPriority w:val="0"/>
    <w:rPr>
      <w:rFonts w:ascii="楷体_GB2312" w:hAnsi="Calibri" w:eastAsia="楷体_GB2312" w:cs="Times New Roman"/>
      <w:kern w:val="2"/>
      <w:sz w:val="32"/>
      <w:lang w:val="en-US" w:eastAsia="zh-CN"/>
    </w:rPr>
  </w:style>
  <w:style w:type="paragraph" w:customStyle="1" w:styleId="238">
    <w:name w:val="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239">
    <w:name w:val="HTML Preformatted Char"/>
    <w:link w:val="42"/>
    <w:qFormat/>
    <w:uiPriority w:val="0"/>
    <w:rPr>
      <w:rFonts w:ascii="宋体" w:hAnsi="宋体" w:eastAsia="宋体" w:cs="Times New Roman"/>
      <w:color w:val="000000"/>
      <w:kern w:val="0"/>
    </w:rPr>
  </w:style>
  <w:style w:type="paragraph" w:customStyle="1" w:styleId="240">
    <w:name w:val="图片"/>
    <w:basedOn w:val="1"/>
    <w:next w:val="14"/>
    <w:autoRedefine/>
    <w:qFormat/>
    <w:uiPriority w:val="0"/>
    <w:pPr>
      <w:keepNext/>
      <w:widowControl/>
      <w:jc w:val="left"/>
    </w:pPr>
    <w:rPr>
      <w:rFonts w:ascii="Garamond" w:hAnsi="Garamond"/>
      <w:kern w:val="0"/>
      <w:szCs w:val="20"/>
    </w:rPr>
  </w:style>
  <w:style w:type="paragraph" w:customStyle="1" w:styleId="241">
    <w:name w:val="批注框文本 Char Char"/>
    <w:basedOn w:val="1"/>
    <w:autoRedefine/>
    <w:qFormat/>
    <w:uiPriority w:val="0"/>
    <w:rPr>
      <w:sz w:val="18"/>
      <w:szCs w:val="20"/>
    </w:rPr>
  </w:style>
  <w:style w:type="paragraph" w:customStyle="1" w:styleId="242">
    <w:name w:val="Char Char Char Char Char Char Char Char Char"/>
    <w:basedOn w:val="1"/>
    <w:qFormat/>
    <w:uiPriority w:val="0"/>
    <w:pPr>
      <w:widowControl/>
      <w:spacing w:after="160" w:line="240" w:lineRule="exact"/>
      <w:jc w:val="left"/>
    </w:pPr>
    <w:rPr>
      <w:rFonts w:ascii="Verdana" w:hAnsi="Verdana" w:eastAsia="仿宋_GB2312"/>
      <w:b/>
      <w:i/>
      <w:kern w:val="0"/>
      <w:sz w:val="24"/>
      <w:szCs w:val="24"/>
      <w:lang w:eastAsia="en-US"/>
    </w:rPr>
  </w:style>
  <w:style w:type="paragraph" w:customStyle="1" w:styleId="243">
    <w:name w:val="standdate"/>
    <w:basedOn w:val="31"/>
    <w:link w:val="244"/>
    <w:qFormat/>
    <w:uiPriority w:val="0"/>
    <w:pPr>
      <w:adjustRightInd w:val="0"/>
      <w:snapToGrid/>
      <w:spacing w:line="340" w:lineRule="atLeast"/>
      <w:ind w:left="255" w:right="255"/>
      <w:jc w:val="center"/>
      <w:textAlignment w:val="center"/>
    </w:pPr>
    <w:rPr>
      <w:rFonts w:ascii="Times New Roman" w:hAnsi="Times New Roman" w:eastAsia="华文中宋"/>
      <w:b/>
      <w:spacing w:val="-4"/>
      <w:kern w:val="0"/>
      <w:sz w:val="32"/>
      <w:szCs w:val="20"/>
    </w:rPr>
  </w:style>
  <w:style w:type="character" w:customStyle="1" w:styleId="244">
    <w:name w:val="standdate Char"/>
    <w:link w:val="243"/>
    <w:qFormat/>
    <w:uiPriority w:val="0"/>
    <w:rPr>
      <w:rFonts w:ascii="Calibri" w:hAnsi="Calibri" w:eastAsia="华文中宋" w:cs="Times New Roman"/>
      <w:b/>
      <w:spacing w:val="-4"/>
      <w:kern w:val="0"/>
      <w:sz w:val="32"/>
    </w:rPr>
  </w:style>
  <w:style w:type="paragraph" w:customStyle="1" w:styleId="245">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246">
    <w:name w:val="flName"/>
    <w:basedOn w:val="245"/>
    <w:qFormat/>
    <w:uiPriority w:val="0"/>
    <w:rPr>
      <w:sz w:val="32"/>
    </w:rPr>
  </w:style>
  <w:style w:type="paragraph" w:customStyle="1" w:styleId="247">
    <w:name w:val="flType"/>
    <w:basedOn w:val="246"/>
    <w:qFormat/>
    <w:uiPriority w:val="0"/>
    <w:pPr>
      <w:spacing w:before="560" w:after="120"/>
    </w:pPr>
    <w:rPr>
      <w:sz w:val="28"/>
    </w:rPr>
  </w:style>
  <w:style w:type="character" w:customStyle="1" w:styleId="248">
    <w:name w:val="Subtitle Char"/>
    <w:link w:val="35"/>
    <w:qFormat/>
    <w:uiPriority w:val="0"/>
    <w:rPr>
      <w:rFonts w:ascii="Arial" w:hAnsi="Arial" w:eastAsia="黑体" w:cs="Times New Roman"/>
      <w:i/>
      <w:kern w:val="0"/>
      <w:sz w:val="24"/>
    </w:rPr>
  </w:style>
  <w:style w:type="paragraph" w:customStyle="1" w:styleId="249">
    <w:name w:val="正文文字3"/>
    <w:basedOn w:val="19"/>
    <w:qFormat/>
    <w:uiPriority w:val="0"/>
    <w:pPr>
      <w:adjustRightInd w:val="0"/>
      <w:spacing w:before="0" w:beforeAutospacing="0" w:after="0" w:line="360" w:lineRule="atLeast"/>
      <w:ind w:left="72" w:leftChars="30" w:right="72" w:rightChars="30"/>
      <w:textAlignment w:val="baseline"/>
    </w:pPr>
    <w:rPr>
      <w:kern w:val="0"/>
      <w:sz w:val="21"/>
      <w:szCs w:val="20"/>
    </w:rPr>
  </w:style>
  <w:style w:type="paragraph" w:customStyle="1" w:styleId="250">
    <w:name w:val="注"/>
    <w:basedOn w:val="1"/>
    <w:qFormat/>
    <w:uiPriority w:val="0"/>
    <w:pPr>
      <w:adjustRightInd w:val="0"/>
      <w:spacing w:line="360" w:lineRule="atLeast"/>
      <w:ind w:left="840" w:hanging="420"/>
      <w:textAlignment w:val="baseline"/>
    </w:pPr>
    <w:rPr>
      <w:kern w:val="0"/>
      <w:szCs w:val="20"/>
    </w:rPr>
  </w:style>
  <w:style w:type="paragraph" w:customStyle="1" w:styleId="251">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252">
    <w:name w:val="正文文字1"/>
    <w:basedOn w:val="19"/>
    <w:qFormat/>
    <w:uiPriority w:val="0"/>
    <w:pPr>
      <w:adjustRightInd w:val="0"/>
      <w:spacing w:before="0" w:beforeAutospacing="0" w:after="0" w:line="360" w:lineRule="atLeast"/>
      <w:ind w:left="72" w:leftChars="30" w:right="72" w:rightChars="30"/>
      <w:textAlignment w:val="baseline"/>
    </w:pPr>
    <w:rPr>
      <w:kern w:val="0"/>
      <w:sz w:val="21"/>
      <w:szCs w:val="20"/>
    </w:rPr>
  </w:style>
  <w:style w:type="paragraph" w:customStyle="1" w:styleId="253">
    <w:name w:val="正文文字2"/>
    <w:basedOn w:val="19"/>
    <w:link w:val="254"/>
    <w:qFormat/>
    <w:uiPriority w:val="0"/>
    <w:pPr>
      <w:adjustRightInd w:val="0"/>
      <w:spacing w:before="0" w:beforeAutospacing="0" w:after="60" w:line="360" w:lineRule="atLeast"/>
      <w:ind w:left="72" w:leftChars="30" w:right="72" w:rightChars="30"/>
      <w:jc w:val="center"/>
      <w:textAlignment w:val="baseline"/>
    </w:pPr>
    <w:rPr>
      <w:rFonts w:ascii="Arial" w:hAnsi="Arial" w:eastAsia="黑体"/>
      <w:b/>
      <w:kern w:val="0"/>
      <w:sz w:val="52"/>
      <w:szCs w:val="20"/>
    </w:rPr>
  </w:style>
  <w:style w:type="character" w:customStyle="1" w:styleId="254">
    <w:name w:val="正文文字2 Char"/>
    <w:link w:val="253"/>
    <w:qFormat/>
    <w:uiPriority w:val="0"/>
    <w:rPr>
      <w:rFonts w:ascii="Arial" w:hAnsi="Arial" w:eastAsia="黑体" w:cs="Times New Roman"/>
      <w:b/>
      <w:kern w:val="0"/>
      <w:sz w:val="52"/>
    </w:rPr>
  </w:style>
  <w:style w:type="paragraph" w:customStyle="1" w:styleId="255">
    <w:name w:val="表格1"/>
    <w:basedOn w:val="1"/>
    <w:link w:val="256"/>
    <w:qFormat/>
    <w:uiPriority w:val="0"/>
    <w:pPr>
      <w:numPr>
        <w:ilvl w:val="0"/>
        <w:numId w:val="2"/>
      </w:numPr>
      <w:tabs>
        <w:tab w:val="clear" w:pos="624"/>
      </w:tabs>
      <w:adjustRightInd w:val="0"/>
      <w:spacing w:after="60" w:line="360" w:lineRule="atLeast"/>
      <w:ind w:left="72" w:leftChars="30" w:right="72" w:rightChars="30" w:firstLine="0"/>
      <w:jc w:val="center"/>
      <w:textAlignment w:val="baseline"/>
    </w:pPr>
    <w:rPr>
      <w:kern w:val="0"/>
      <w:szCs w:val="20"/>
    </w:rPr>
  </w:style>
  <w:style w:type="character" w:customStyle="1" w:styleId="256">
    <w:name w:val="表格1 Char"/>
    <w:link w:val="255"/>
    <w:qFormat/>
    <w:uiPriority w:val="0"/>
    <w:rPr>
      <w:rFonts w:ascii="Calibri" w:hAnsi="Calibri" w:eastAsia="宋体" w:cs="Times New Roman"/>
      <w:kern w:val="0"/>
    </w:rPr>
  </w:style>
  <w:style w:type="paragraph" w:customStyle="1" w:styleId="257">
    <w:name w:val="表格3"/>
    <w:basedOn w:val="1"/>
    <w:link w:val="258"/>
    <w:qFormat/>
    <w:uiPriority w:val="0"/>
    <w:pPr>
      <w:adjustRightInd w:val="0"/>
      <w:spacing w:line="360" w:lineRule="atLeast"/>
      <w:ind w:left="72" w:leftChars="30" w:right="72" w:rightChars="30"/>
      <w:textAlignment w:val="baseline"/>
    </w:pPr>
    <w:rPr>
      <w:kern w:val="0"/>
      <w:szCs w:val="20"/>
    </w:rPr>
  </w:style>
  <w:style w:type="character" w:customStyle="1" w:styleId="258">
    <w:name w:val="表格3 Char"/>
    <w:link w:val="257"/>
    <w:qFormat/>
    <w:uiPriority w:val="0"/>
    <w:rPr>
      <w:rFonts w:ascii="Calibri" w:hAnsi="Calibri" w:eastAsia="宋体" w:cs="Times New Roman"/>
      <w:kern w:val="0"/>
    </w:rPr>
  </w:style>
  <w:style w:type="paragraph" w:customStyle="1" w:styleId="259">
    <w:name w:val="表格2"/>
    <w:basedOn w:val="1"/>
    <w:link w:val="260"/>
    <w:qFormat/>
    <w:uiPriority w:val="0"/>
    <w:pPr>
      <w:adjustRightInd w:val="0"/>
      <w:spacing w:after="60" w:line="360" w:lineRule="atLeast"/>
      <w:ind w:left="72" w:leftChars="30" w:right="72" w:rightChars="30"/>
      <w:jc w:val="center"/>
      <w:textAlignment w:val="baseline"/>
    </w:pPr>
    <w:rPr>
      <w:rFonts w:ascii="Arial" w:eastAsia="黑体"/>
      <w:kern w:val="0"/>
      <w:szCs w:val="20"/>
    </w:rPr>
  </w:style>
  <w:style w:type="character" w:customStyle="1" w:styleId="260">
    <w:name w:val="表格2 Char"/>
    <w:link w:val="259"/>
    <w:qFormat/>
    <w:uiPriority w:val="0"/>
    <w:rPr>
      <w:rFonts w:ascii="Arial" w:hAnsi="Calibri" w:eastAsia="黑体" w:cs="Times New Roman"/>
      <w:kern w:val="0"/>
    </w:rPr>
  </w:style>
  <w:style w:type="paragraph" w:customStyle="1" w:styleId="261">
    <w:name w:val="表格编号"/>
    <w:basedOn w:val="1"/>
    <w:qFormat/>
    <w:uiPriority w:val="0"/>
    <w:pPr>
      <w:numPr>
        <w:ilvl w:val="0"/>
        <w:numId w:val="3"/>
      </w:numPr>
      <w:adjustRightInd w:val="0"/>
      <w:spacing w:before="50" w:beforeLines="50" w:line="360" w:lineRule="atLeast"/>
      <w:jc w:val="center"/>
      <w:textAlignment w:val="baseline"/>
    </w:pPr>
    <w:rPr>
      <w:kern w:val="0"/>
      <w:sz w:val="24"/>
      <w:szCs w:val="20"/>
    </w:rPr>
  </w:style>
  <w:style w:type="paragraph" w:customStyle="1" w:styleId="262">
    <w:name w:val="图样编号"/>
    <w:basedOn w:val="1"/>
    <w:autoRedefine/>
    <w:qFormat/>
    <w:uiPriority w:val="0"/>
    <w:pPr>
      <w:numPr>
        <w:ilvl w:val="0"/>
        <w:numId w:val="4"/>
      </w:numPr>
      <w:adjustRightInd w:val="0"/>
      <w:spacing w:after="50" w:afterLines="50" w:line="360" w:lineRule="atLeast"/>
      <w:jc w:val="center"/>
      <w:textAlignment w:val="baseline"/>
    </w:pPr>
    <w:rPr>
      <w:kern w:val="0"/>
      <w:sz w:val="24"/>
      <w:szCs w:val="24"/>
    </w:rPr>
  </w:style>
  <w:style w:type="paragraph" w:customStyle="1" w:styleId="263">
    <w:name w:val="cft"/>
    <w:basedOn w:val="1"/>
    <w:qFormat/>
    <w:uiPriority w:val="0"/>
    <w:pPr>
      <w:spacing w:line="360" w:lineRule="auto"/>
    </w:pPr>
    <w:rPr>
      <w:rFonts w:eastAsia="楷体_GB2312"/>
      <w:sz w:val="24"/>
      <w:szCs w:val="20"/>
    </w:rPr>
  </w:style>
  <w:style w:type="character" w:customStyle="1" w:styleId="264">
    <w:name w:val="Closing Char"/>
    <w:link w:val="18"/>
    <w:qFormat/>
    <w:uiPriority w:val="0"/>
    <w:rPr>
      <w:rFonts w:ascii="Calibri" w:hAnsi="Calibri" w:eastAsia="宋体" w:cs="Times New Roman"/>
      <w:sz w:val="30"/>
    </w:rPr>
  </w:style>
  <w:style w:type="paragraph" w:customStyle="1" w:styleId="265">
    <w:name w:val="H-TextFormat"/>
    <w:qFormat/>
    <w:uiPriority w:val="0"/>
    <w:rPr>
      <w:rFonts w:ascii="Arial" w:hAnsi="Arial" w:eastAsia="宋体" w:cs="Times New Roman"/>
      <w:sz w:val="22"/>
      <w:lang w:val="en-US" w:eastAsia="zh-CN" w:bidi="ar-SA"/>
    </w:rPr>
  </w:style>
  <w:style w:type="paragraph" w:customStyle="1" w:styleId="266">
    <w:name w:val="Preistext 4"/>
    <w:basedOn w:val="1"/>
    <w:autoRedefine/>
    <w:qFormat/>
    <w:uiPriority w:val="0"/>
    <w:pPr>
      <w:widowControl/>
      <w:tabs>
        <w:tab w:val="left" w:pos="5178"/>
      </w:tabs>
      <w:ind w:left="-2" w:leftChars="-1" w:right="-93" w:firstLine="2" w:firstLineChars="1"/>
      <w:jc w:val="left"/>
    </w:pPr>
    <w:rPr>
      <w:szCs w:val="20"/>
      <w:lang w:bidi="he-IL"/>
    </w:rPr>
  </w:style>
  <w:style w:type="paragraph" w:customStyle="1" w:styleId="267">
    <w:name w:val="Preistext2"/>
    <w:basedOn w:val="1"/>
    <w:qFormat/>
    <w:uiPriority w:val="0"/>
    <w:pPr>
      <w:widowControl/>
      <w:tabs>
        <w:tab w:val="left" w:pos="709"/>
        <w:tab w:val="left" w:pos="1701"/>
        <w:tab w:val="left" w:pos="3119"/>
      </w:tabs>
      <w:ind w:left="1843" w:right="1701"/>
      <w:jc w:val="left"/>
    </w:pPr>
    <w:rPr>
      <w:rFonts w:ascii="Arial" w:hAnsi="Arial"/>
      <w:kern w:val="0"/>
      <w:sz w:val="18"/>
      <w:szCs w:val="20"/>
      <w:lang w:val="en-GB" w:eastAsia="de-DE"/>
    </w:rPr>
  </w:style>
  <w:style w:type="paragraph" w:customStyle="1" w:styleId="26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楷体_GB2312" w:hAnsi="宋体" w:eastAsia="楷体_GB2312"/>
      <w:b/>
      <w:bCs/>
      <w:kern w:val="0"/>
      <w:sz w:val="22"/>
      <w:szCs w:val="22"/>
    </w:rPr>
  </w:style>
  <w:style w:type="paragraph" w:customStyle="1" w:styleId="26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270">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宋体" w:hAnsi="宋体"/>
      <w:kern w:val="0"/>
      <w:sz w:val="20"/>
      <w:szCs w:val="20"/>
    </w:rPr>
  </w:style>
  <w:style w:type="paragraph" w:customStyle="1" w:styleId="271">
    <w:name w:val="xl27"/>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hint="eastAsia" w:ascii="楷体_GB2312" w:hAnsi="宋体" w:eastAsia="楷体_GB2312"/>
      <w:b/>
      <w:bCs/>
      <w:kern w:val="0"/>
      <w:sz w:val="22"/>
      <w:szCs w:val="22"/>
    </w:rPr>
  </w:style>
  <w:style w:type="paragraph" w:customStyle="1" w:styleId="272">
    <w:name w:val="xl28"/>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273">
    <w:name w:val="xl2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Arial" w:hAnsi="Arial" w:cs="Arial"/>
      <w:b/>
      <w:bCs/>
      <w:kern w:val="0"/>
      <w:sz w:val="22"/>
      <w:szCs w:val="22"/>
    </w:rPr>
  </w:style>
  <w:style w:type="paragraph" w:customStyle="1" w:styleId="274">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cs="Arial"/>
      <w:b/>
      <w:bCs/>
      <w:kern w:val="0"/>
      <w:sz w:val="22"/>
      <w:szCs w:val="22"/>
    </w:rPr>
  </w:style>
  <w:style w:type="paragraph" w:customStyle="1" w:styleId="275">
    <w:name w:val="xl31"/>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hint="eastAsia" w:ascii="宋体" w:hAnsi="宋体"/>
      <w:kern w:val="0"/>
      <w:sz w:val="20"/>
      <w:szCs w:val="20"/>
    </w:rPr>
  </w:style>
  <w:style w:type="paragraph" w:customStyle="1" w:styleId="276">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277">
    <w:name w:val="xl33"/>
    <w:basedOn w:val="1"/>
    <w:qFormat/>
    <w:uiPriority w:val="0"/>
    <w:pPr>
      <w:widowControl/>
      <w:pBdr>
        <w:left w:val="single" w:color="auto" w:sz="4" w:space="0"/>
        <w:bottom w:val="single" w:color="auto" w:sz="4" w:space="0"/>
      </w:pBdr>
      <w:spacing w:before="100" w:beforeAutospacing="1" w:after="100" w:afterAutospacing="1"/>
      <w:jc w:val="left"/>
      <w:textAlignment w:val="center"/>
    </w:pPr>
    <w:rPr>
      <w:rFonts w:ascii="Arial" w:hAnsi="Arial" w:cs="Arial"/>
      <w:b/>
      <w:bCs/>
      <w:kern w:val="0"/>
      <w:sz w:val="22"/>
      <w:szCs w:val="22"/>
    </w:rPr>
  </w:style>
  <w:style w:type="paragraph" w:customStyle="1" w:styleId="278">
    <w:name w:val="xl34"/>
    <w:basedOn w:val="1"/>
    <w:qFormat/>
    <w:uiPriority w:val="0"/>
    <w:pPr>
      <w:widowControl/>
      <w:pBdr>
        <w:bottom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279">
    <w:name w:val="xl35"/>
    <w:basedOn w:val="1"/>
    <w:qFormat/>
    <w:uiPriority w:val="0"/>
    <w:pPr>
      <w:widowControl/>
      <w:pBdr>
        <w:top w:val="double" w:color="auto" w:sz="6" w:space="0"/>
        <w:left w:val="double" w:color="auto" w:sz="6" w:space="0"/>
        <w:bottom w:val="double" w:color="auto" w:sz="6" w:space="0"/>
        <w:right w:val="single" w:color="auto" w:sz="4" w:space="0"/>
      </w:pBdr>
      <w:spacing w:before="100" w:beforeAutospacing="1" w:after="100" w:afterAutospacing="1"/>
      <w:jc w:val="left"/>
      <w:textAlignment w:val="center"/>
    </w:pPr>
    <w:rPr>
      <w:rFonts w:hint="eastAsia" w:ascii="楷体_GB2312" w:hAnsi="宋体" w:eastAsia="楷体_GB2312"/>
      <w:b/>
      <w:bCs/>
      <w:kern w:val="0"/>
      <w:sz w:val="22"/>
      <w:szCs w:val="22"/>
    </w:rPr>
  </w:style>
  <w:style w:type="paragraph" w:customStyle="1" w:styleId="280">
    <w:name w:val="xl3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281">
    <w:name w:val="xl37"/>
    <w:basedOn w:val="1"/>
    <w:qFormat/>
    <w:uiPriority w:val="0"/>
    <w:pPr>
      <w:widowControl/>
      <w:pBdr>
        <w:top w:val="double" w:color="auto" w:sz="6" w:space="0"/>
        <w:left w:val="single" w:color="auto" w:sz="4" w:space="0"/>
        <w:bottom w:val="double" w:color="auto" w:sz="6" w:space="0"/>
        <w:right w:val="single" w:color="auto" w:sz="4" w:space="0"/>
      </w:pBdr>
      <w:spacing w:before="100" w:beforeAutospacing="1" w:after="100" w:afterAutospacing="1"/>
      <w:jc w:val="center"/>
      <w:textAlignment w:val="center"/>
    </w:pPr>
    <w:rPr>
      <w:rFonts w:ascii="宋体" w:hAnsi="宋体"/>
      <w:b/>
      <w:bCs/>
      <w:color w:val="FF0000"/>
      <w:kern w:val="0"/>
      <w:sz w:val="24"/>
      <w:szCs w:val="24"/>
    </w:rPr>
  </w:style>
  <w:style w:type="paragraph" w:customStyle="1" w:styleId="282">
    <w:name w:val="xl3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283">
    <w:name w:val="xl39"/>
    <w:basedOn w:val="1"/>
    <w:qFormat/>
    <w:uiPriority w:val="0"/>
    <w:pPr>
      <w:widowControl/>
      <w:pBdr>
        <w:top w:val="double" w:color="auto" w:sz="6" w:space="0"/>
        <w:left w:val="single" w:color="auto" w:sz="4" w:space="0"/>
        <w:bottom w:val="double" w:color="auto" w:sz="6" w:space="0"/>
        <w:right w:val="single" w:color="auto" w:sz="4" w:space="0"/>
      </w:pBdr>
      <w:spacing w:before="100" w:beforeAutospacing="1" w:after="100" w:afterAutospacing="1"/>
      <w:jc w:val="center"/>
      <w:textAlignment w:val="center"/>
    </w:pPr>
    <w:rPr>
      <w:rFonts w:ascii="宋体" w:hAnsi="宋体"/>
      <w:b/>
      <w:bCs/>
      <w:color w:val="FF0000"/>
      <w:kern w:val="0"/>
      <w:sz w:val="24"/>
      <w:szCs w:val="24"/>
    </w:rPr>
  </w:style>
  <w:style w:type="character" w:customStyle="1" w:styleId="284">
    <w:name w:val="标题 9 Char"/>
    <w:basedOn w:val="48"/>
    <w:link w:val="12"/>
    <w:qFormat/>
    <w:uiPriority w:val="0"/>
    <w:rPr>
      <w:rFonts w:ascii="Arial" w:hAnsi="Arial" w:eastAsia="黑体" w:cs="Arial"/>
      <w:kern w:val="2"/>
      <w:sz w:val="21"/>
    </w:rPr>
  </w:style>
  <w:style w:type="character" w:customStyle="1" w:styleId="285">
    <w:name w:val="日期 Char"/>
    <w:basedOn w:val="48"/>
    <w:link w:val="28"/>
    <w:qFormat/>
    <w:uiPriority w:val="0"/>
    <w:rPr>
      <w:rFonts w:hint="eastAsia" w:ascii="宋体" w:hAnsi="宋体" w:eastAsia="宋体" w:cs="宋体"/>
      <w:sz w:val="28"/>
    </w:rPr>
  </w:style>
  <w:style w:type="character" w:customStyle="1" w:styleId="286">
    <w:name w:val="正文文本 3 Char"/>
    <w:basedOn w:val="48"/>
    <w:link w:val="17"/>
    <w:qFormat/>
    <w:uiPriority w:val="0"/>
    <w:rPr>
      <w:rFonts w:hint="default" w:ascii="Times New Roman" w:hAnsi="Times New Roman" w:cs="Times New Roman"/>
      <w:kern w:val="2"/>
      <w:sz w:val="16"/>
      <w:szCs w:val="16"/>
    </w:rPr>
  </w:style>
  <w:style w:type="character" w:customStyle="1" w:styleId="287">
    <w:name w:val="标题 8 Char"/>
    <w:basedOn w:val="48"/>
    <w:link w:val="11"/>
    <w:qFormat/>
    <w:uiPriority w:val="0"/>
    <w:rPr>
      <w:rFonts w:hint="default" w:ascii="Arial" w:hAnsi="Arial" w:eastAsia="黑体" w:cs="Arial"/>
      <w:kern w:val="2"/>
      <w:sz w:val="24"/>
    </w:rPr>
  </w:style>
  <w:style w:type="character" w:customStyle="1" w:styleId="288">
    <w:name w:val="正文首行缩进 Char"/>
    <w:link w:val="20"/>
    <w:qFormat/>
    <w:uiPriority w:val="0"/>
    <w:rPr>
      <w:rFonts w:hint="default" w:ascii="Times New Roman" w:hAnsi="Times New Roman" w:cs="Times New Roman"/>
      <w:kern w:val="2"/>
      <w:sz w:val="24"/>
      <w:szCs w:val="24"/>
    </w:rPr>
  </w:style>
  <w:style w:type="character" w:customStyle="1" w:styleId="289">
    <w:name w:val="标题 6 Char"/>
    <w:basedOn w:val="48"/>
    <w:link w:val="9"/>
    <w:qFormat/>
    <w:uiPriority w:val="0"/>
    <w:rPr>
      <w:rFonts w:hint="default" w:ascii="Arial" w:hAnsi="Arial" w:eastAsia="黑体" w:cs="Arial"/>
      <w:b/>
      <w:kern w:val="2"/>
      <w:sz w:val="24"/>
    </w:rPr>
  </w:style>
  <w:style w:type="character" w:customStyle="1" w:styleId="290">
    <w:name w:val="标题 7 Char"/>
    <w:basedOn w:val="48"/>
    <w:link w:val="10"/>
    <w:qFormat/>
    <w:uiPriority w:val="0"/>
    <w:rPr>
      <w:rFonts w:hint="default" w:ascii="Times New Roman" w:hAnsi="Times New Roman" w:cs="Times New Roman"/>
      <w:b/>
      <w:kern w:val="2"/>
      <w:sz w:val="24"/>
    </w:rPr>
  </w:style>
  <w:style w:type="character" w:customStyle="1" w:styleId="291">
    <w:name w:val="正文缩进 Char"/>
    <w:basedOn w:val="48"/>
    <w:link w:val="7"/>
    <w:qFormat/>
    <w:uiPriority w:val="0"/>
    <w:rPr>
      <w:rFonts w:hint="default" w:ascii="Times New Roman" w:hAnsi="Times New Roman" w:cs="Times New Roman"/>
      <w:kern w:val="2"/>
      <w:sz w:val="21"/>
    </w:rPr>
  </w:style>
  <w:style w:type="character" w:customStyle="1" w:styleId="292">
    <w:name w:val="称呼 Char"/>
    <w:basedOn w:val="48"/>
    <w:link w:val="16"/>
    <w:qFormat/>
    <w:uiPriority w:val="0"/>
    <w:rPr>
      <w:sz w:val="21"/>
      <w:szCs w:val="22"/>
    </w:rPr>
  </w:style>
  <w:style w:type="character" w:customStyle="1" w:styleId="293">
    <w:name w:val="结束语 Char"/>
    <w:basedOn w:val="48"/>
    <w:link w:val="18"/>
    <w:qFormat/>
    <w:uiPriority w:val="0"/>
    <w:rPr>
      <w:rFonts w:hint="default" w:ascii="Times New Roman" w:hAnsi="Times New Roman" w:cs="Times New Roman"/>
      <w:kern w:val="2"/>
      <w:sz w:val="30"/>
    </w:rPr>
  </w:style>
  <w:style w:type="character" w:customStyle="1" w:styleId="294">
    <w:name w:val="纯文本 Char"/>
    <w:basedOn w:val="48"/>
    <w:link w:val="26"/>
    <w:qFormat/>
    <w:uiPriority w:val="0"/>
    <w:rPr>
      <w:rFonts w:hint="eastAsia" w:ascii="宋体" w:hAnsi="Courier New" w:eastAsia="宋体" w:cs="宋体"/>
      <w:kern w:val="2"/>
      <w:sz w:val="21"/>
    </w:rPr>
  </w:style>
  <w:style w:type="character" w:customStyle="1" w:styleId="295">
    <w:name w:val="副标题 Char"/>
    <w:basedOn w:val="48"/>
    <w:link w:val="35"/>
    <w:qFormat/>
    <w:uiPriority w:val="0"/>
    <w:rPr>
      <w:rFonts w:hint="default" w:ascii="Arial" w:hAnsi="Arial" w:eastAsia="黑体" w:cs="Arial"/>
      <w:i/>
      <w:sz w:val="24"/>
    </w:rPr>
  </w:style>
  <w:style w:type="character" w:customStyle="1" w:styleId="296">
    <w:name w:val="脚注文本 Char"/>
    <w:basedOn w:val="48"/>
    <w:link w:val="36"/>
    <w:qFormat/>
    <w:uiPriority w:val="0"/>
    <w:rPr>
      <w:rFonts w:hint="default" w:ascii="Times New Roman" w:hAnsi="Times New Roman" w:cs="Times New Roman"/>
      <w:kern w:val="2"/>
      <w:sz w:val="18"/>
    </w:rPr>
  </w:style>
  <w:style w:type="character" w:customStyle="1" w:styleId="297">
    <w:name w:val="正文文本缩进 3 Char"/>
    <w:basedOn w:val="48"/>
    <w:link w:val="38"/>
    <w:qFormat/>
    <w:uiPriority w:val="0"/>
    <w:rPr>
      <w:rFonts w:hint="default" w:ascii="Times New Roman" w:hAnsi="Times New Roman" w:eastAsia="楷体" w:cs="Times New Roman"/>
      <w:sz w:val="24"/>
    </w:rPr>
  </w:style>
  <w:style w:type="character" w:customStyle="1" w:styleId="298">
    <w:name w:val="正文文本 2 Char"/>
    <w:basedOn w:val="48"/>
    <w:link w:val="8"/>
    <w:qFormat/>
    <w:uiPriority w:val="0"/>
    <w:rPr>
      <w:rFonts w:hint="eastAsia" w:ascii="楷体_GB2312" w:hAnsi="Garamond" w:eastAsia="楷体_GB2312" w:cs="楷体_GB2312"/>
      <w:color w:val="FF0000"/>
      <w:sz w:val="24"/>
      <w:szCs w:val="24"/>
    </w:rPr>
  </w:style>
  <w:style w:type="character" w:customStyle="1" w:styleId="299">
    <w:name w:val="HTML 预设格式 Char"/>
    <w:basedOn w:val="48"/>
    <w:link w:val="42"/>
    <w:qFormat/>
    <w:uiPriority w:val="0"/>
    <w:rPr>
      <w:rFonts w:hint="eastAsia" w:ascii="宋体" w:hAnsi="宋体" w:eastAsia="宋体" w:cs="宋体"/>
      <w:color w:val="000000"/>
      <w:sz w:val="21"/>
    </w:rPr>
  </w:style>
  <w:style w:type="paragraph" w:customStyle="1" w:styleId="300">
    <w:name w:val="无间隔1"/>
    <w:next w:val="14"/>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1C9996-9C39-4961-BD45-3BD335F75FFD}">
  <ds:schemaRefs/>
</ds:datastoreItem>
</file>

<file path=docProps/app.xml><?xml version="1.0" encoding="utf-8"?>
<Properties xmlns="http://schemas.openxmlformats.org/officeDocument/2006/extended-properties" xmlns:vt="http://schemas.openxmlformats.org/officeDocument/2006/docPropsVTypes">
  <Template>Normal</Template>
  <Company>Philips</Company>
  <Pages>62</Pages>
  <Words>25369</Words>
  <Characters>29299</Characters>
  <Lines>24</Lines>
  <Paragraphs>6</Paragraphs>
  <TotalTime>12</TotalTime>
  <ScaleCrop>false</ScaleCrop>
  <LinksUpToDate>false</LinksUpToDate>
  <CharactersWithSpaces>31361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2023-01-21T06:27:00Z</dcterms:created>
  <dc:creator>Philips</dc:creator>
  <cp:lastModifiedBy>Administrator</cp:lastModifiedBy>
  <cp:lastPrinted>2023-04-20T08:37:00Z</cp:lastPrinted>
  <dcterms:modified xsi:type="dcterms:W3CDTF">2023-12-25T06:59:17Z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315E0F2AE3184EB7BD53AB390583F46C_13</vt:lpwstr>
  </property>
  <property fmtid="{D5CDD505-2E9C-101B-9397-08002B2CF9AE}" pid="4" name="ContentTypeId">
    <vt:lpwstr>0x010100FF0E72A084F79A4CB9C8166A29F1BCC4</vt:lpwstr>
  </property>
</Properties>
</file>