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591B6"/>
    <w:p w14:paraId="2A60762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附件3：最终报价排序表</w:t>
      </w:r>
    </w:p>
    <w:p w14:paraId="02AEFA86"/>
    <w:p w14:paraId="0D4C0790">
      <w:pPr>
        <w:rPr>
          <w:b/>
          <w:bCs/>
        </w:rPr>
      </w:pPr>
      <w:r>
        <w:drawing>
          <wp:inline distT="0" distB="0" distL="114300" distR="114300">
            <wp:extent cx="5269865" cy="2811780"/>
            <wp:effectExtent l="0" t="0" r="698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4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2025-06-19T08:28:16Z</dcterms:created>
  <dc:creator>Administrator</dc:creator>
  <cp:lastModifiedBy>李岳垒（汝州市）</cp:lastModifiedBy>
  <dcterms:modified xsi:type="dcterms:W3CDTF">2025-06-19T08:28:36Z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eyJoZGlkIjoiZTc5ZGUxOTk2MDMxYWU1MmE4MTcwN2RkZmIxNDZkNTIiLCJ1c2VySWQiOiI0NDIwNDYzMDMifQ==</vt:lpwstr>
  </property>
  <property fmtid="{D5CDD505-2E9C-101B-9397-08002B2CF9AE}" pid="4" name="ICV">
    <vt:lpwstr>CB8419E5BD1948A7A1C31F43FA2808B5_12</vt:lpwstr>
  </property>
</Properties>
</file>