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48"/>
          <w:szCs w:val="48"/>
          <w:highlight w:val="none"/>
          <w:shd w:val="clear" w:color="auto" w:fill="FFFFFF" w:themeFill="background1"/>
          <w:lang w:val="en-US" w:eastAsia="zh-CN"/>
        </w:rPr>
      </w:pPr>
      <w:bookmarkStart w:id="179" w:name="_GoBack"/>
      <w:r>
        <w:rPr>
          <w:rFonts w:hint="eastAsia" w:ascii="宋体" w:hAnsi="宋体" w:eastAsia="宋体" w:cs="宋体"/>
          <w:b w:val="0"/>
          <w:bCs w:val="0"/>
          <w:color w:val="auto"/>
          <w:sz w:val="48"/>
          <w:szCs w:val="48"/>
          <w:highlight w:val="none"/>
          <w:shd w:val="clear" w:color="auto" w:fill="FFFFFF" w:themeFill="background1"/>
          <w:lang w:eastAsia="zh-CN"/>
        </w:rPr>
        <w:t>三门峡社会管理职业学院民政健康学院</w:t>
      </w:r>
      <w:r>
        <w:rPr>
          <w:rFonts w:hint="eastAsia" w:ascii="宋体" w:hAnsi="宋体" w:eastAsia="宋体" w:cs="宋体"/>
          <w:b w:val="0"/>
          <w:bCs w:val="0"/>
          <w:color w:val="auto"/>
          <w:sz w:val="48"/>
          <w:szCs w:val="48"/>
          <w:highlight w:val="none"/>
          <w:shd w:val="clear" w:color="auto" w:fill="FFFFFF" w:themeFill="background1"/>
          <w:lang w:val="en-US" w:eastAsia="zh-CN"/>
        </w:rPr>
        <w:t>智慧康养实训基地建设项目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2" w:lineRule="atLeast"/>
        <w:ind w:left="0" w:right="0"/>
        <w:jc w:val="center"/>
        <w:rPr>
          <w:rFonts w:hint="eastAsia" w:ascii="宋体" w:hAnsi="宋体" w:eastAsia="宋体" w:cs="宋体"/>
          <w:b/>
          <w:color w:val="auto"/>
          <w:sz w:val="24"/>
          <w:szCs w:val="24"/>
          <w:highlight w:val="none"/>
          <w:shd w:val="clear" w:color="auto" w:fill="auto"/>
        </w:rPr>
      </w:pPr>
    </w:p>
    <w:p>
      <w:pPr>
        <w:tabs>
          <w:tab w:val="left" w:pos="3507"/>
        </w:tabs>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ab/>
      </w:r>
    </w:p>
    <w:p>
      <w:pPr>
        <w:pStyle w:val="20"/>
        <w:rPr>
          <w:rFonts w:hint="eastAsia" w:ascii="宋体" w:hAnsi="宋体" w:eastAsia="宋体" w:cs="宋体"/>
          <w:color w:val="auto"/>
          <w:highlight w:val="none"/>
        </w:rPr>
      </w:pPr>
    </w:p>
    <w:p>
      <w:pPr>
        <w:jc w:val="center"/>
        <w:outlineLvl w:val="9"/>
        <w:rPr>
          <w:rFonts w:hint="eastAsia" w:ascii="宋体" w:hAnsi="宋体" w:eastAsia="宋体" w:cs="宋体"/>
          <w:b/>
          <w:color w:val="auto"/>
          <w:sz w:val="80"/>
          <w:szCs w:val="80"/>
          <w:highlight w:val="none"/>
        </w:rPr>
      </w:pPr>
      <w:r>
        <w:rPr>
          <w:rFonts w:hint="eastAsia" w:ascii="宋体" w:hAnsi="宋体" w:eastAsia="宋体" w:cs="宋体"/>
          <w:b/>
          <w:color w:val="auto"/>
          <w:sz w:val="80"/>
          <w:szCs w:val="80"/>
          <w:highlight w:val="none"/>
        </w:rPr>
        <w:t>竞争性磋商文件</w:t>
      </w:r>
    </w:p>
    <w:p>
      <w:pPr>
        <w:spacing w:after="156" w:afterLines="5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pPr>
        <w:spacing w:after="156" w:afterLines="50"/>
        <w:jc w:val="center"/>
        <w:rPr>
          <w:rFonts w:hint="eastAsia" w:ascii="宋体" w:hAnsi="宋体" w:eastAsia="宋体" w:cs="宋体"/>
          <w:b/>
          <w:color w:val="auto"/>
          <w:sz w:val="24"/>
          <w:szCs w:val="24"/>
          <w:highlight w:val="none"/>
        </w:rPr>
      </w:pPr>
    </w:p>
    <w:p>
      <w:pPr>
        <w:spacing w:after="156" w:afterLines="50"/>
        <w:jc w:val="cente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项目编号：</w:t>
      </w:r>
      <w:r>
        <w:rPr>
          <w:rFonts w:hint="eastAsia" w:ascii="宋体" w:hAnsi="宋体" w:eastAsia="宋体" w:cs="宋体"/>
          <w:b/>
          <w:color w:val="auto"/>
          <w:sz w:val="28"/>
          <w:szCs w:val="28"/>
          <w:highlight w:val="none"/>
          <w:lang w:val="en-US" w:eastAsia="zh-CN"/>
        </w:rPr>
        <w:t>三财竞磋采购-2024-29</w:t>
      </w:r>
    </w:p>
    <w:p>
      <w:pPr>
        <w:spacing w:line="360" w:lineRule="auto"/>
        <w:jc w:val="center"/>
        <w:rPr>
          <w:rFonts w:hint="eastAsia" w:ascii="宋体" w:hAnsi="宋体" w:cs="宋体"/>
          <w:b/>
          <w:color w:val="auto"/>
          <w:sz w:val="28"/>
          <w:szCs w:val="28"/>
          <w:highlight w:val="none"/>
          <w:lang w:val="en-US" w:eastAsia="zh-CN"/>
        </w:rPr>
      </w:pPr>
      <w:r>
        <w:rPr>
          <w:rFonts w:hint="eastAsia" w:ascii="宋体" w:hAnsi="宋体" w:cs="宋体"/>
          <w:b/>
          <w:color w:val="auto"/>
          <w:sz w:val="28"/>
          <w:szCs w:val="28"/>
          <w:highlight w:val="none"/>
          <w:lang w:val="en-US" w:eastAsia="zh-CN"/>
        </w:rPr>
        <w:t xml:space="preserve"> SGZ[2024]386-ZC247</w:t>
      </w:r>
    </w:p>
    <w:p>
      <w:pPr>
        <w:spacing w:line="360" w:lineRule="auto"/>
        <w:jc w:val="center"/>
        <w:rPr>
          <w:rFonts w:hint="eastAsia" w:ascii="宋体" w:hAnsi="宋体" w:cs="宋体"/>
          <w:b/>
          <w:color w:val="auto"/>
          <w:sz w:val="28"/>
          <w:szCs w:val="28"/>
          <w:highlight w:val="none"/>
          <w:lang w:val="en-US" w:eastAsia="zh-CN"/>
        </w:rPr>
      </w:pPr>
    </w:p>
    <w:p>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 w:val="44"/>
          <w:szCs w:val="44"/>
          <w:highlight w:val="none"/>
        </w:rPr>
        <w:t xml:space="preserve"> </w:t>
      </w:r>
    </w:p>
    <w:p>
      <w:pPr>
        <w:spacing w:line="360" w:lineRule="auto"/>
        <w:jc w:val="center"/>
        <w:rPr>
          <w:rFonts w:hint="eastAsia" w:ascii="宋体" w:hAnsi="宋体" w:eastAsia="宋体" w:cs="宋体"/>
          <w:color w:val="auto"/>
          <w:sz w:val="24"/>
          <w:highlight w:val="none"/>
        </w:rPr>
      </w:pPr>
    </w:p>
    <w:p>
      <w:pPr>
        <w:spacing w:line="360" w:lineRule="auto"/>
        <w:jc w:val="center"/>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pStyle w:val="9"/>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rPr>
          <w:rFonts w:hint="eastAsia" w:ascii="宋体" w:hAnsi="宋体" w:eastAsia="宋体" w:cs="宋体"/>
          <w:color w:val="auto"/>
          <w:sz w:val="18"/>
          <w:szCs w:val="18"/>
          <w:highlight w:val="none"/>
        </w:rPr>
      </w:pPr>
    </w:p>
    <w:p>
      <w:pPr>
        <w:spacing w:line="360" w:lineRule="auto"/>
        <w:outlineLvl w:val="9"/>
        <w:rPr>
          <w:rFonts w:hint="eastAsia" w:ascii="宋体" w:hAnsi="宋体" w:eastAsia="宋体" w:cs="宋体"/>
          <w:b/>
          <w:bCs/>
          <w:color w:val="auto"/>
          <w:sz w:val="32"/>
          <w:szCs w:val="32"/>
          <w:highlight w:val="none"/>
          <w:lang w:eastAsia="zh-CN"/>
        </w:rPr>
      </w:pPr>
      <w:r>
        <w:rPr>
          <w:rFonts w:hint="eastAsia" w:ascii="宋体" w:hAnsi="宋体" w:eastAsia="宋体" w:cs="宋体"/>
          <w:bCs/>
          <w:color w:val="auto"/>
          <w:sz w:val="32"/>
          <w:szCs w:val="32"/>
          <w:highlight w:val="none"/>
        </w:rPr>
        <w:t xml:space="preserve">   </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采购人</w:t>
      </w:r>
      <w:r>
        <w:rPr>
          <w:rFonts w:hint="eastAsia" w:ascii="宋体" w:hAnsi="宋体" w:eastAsia="宋体" w:cs="宋体"/>
          <w:b/>
          <w:bCs/>
          <w:color w:val="auto"/>
          <w:sz w:val="32"/>
          <w:szCs w:val="32"/>
          <w:highlight w:val="none"/>
        </w:rPr>
        <w:t>：三门峡社会管理职业学院</w:t>
      </w:r>
    </w:p>
    <w:p>
      <w:pPr>
        <w:spacing w:line="360" w:lineRule="auto"/>
        <w:ind w:firstLine="1582" w:firstLineChars="494"/>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代理机构：中恒晟（北京）工程管理有限公司</w:t>
      </w:r>
    </w:p>
    <w:p>
      <w:pPr>
        <w:spacing w:line="360" w:lineRule="auto"/>
        <w:outlineLvl w:val="9"/>
        <w:rPr>
          <w:rFonts w:hint="eastAsia" w:ascii="宋体" w:hAnsi="宋体" w:eastAsia="宋体" w:cs="宋体"/>
          <w:b/>
          <w:color w:val="auto"/>
          <w:kern w:val="44"/>
          <w:sz w:val="44"/>
          <w:szCs w:val="44"/>
          <w:highlight w:val="none"/>
          <w:shd w:val="clear" w:color="auto" w:fill="FFFFFF" w:themeFill="background1"/>
        </w:rPr>
      </w:pP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日    期：二〇二</w:t>
      </w:r>
      <w:r>
        <w:rPr>
          <w:rFonts w:hint="eastAsia" w:ascii="宋体" w:hAnsi="宋体" w:eastAsia="宋体" w:cs="宋体"/>
          <w:b/>
          <w:bCs/>
          <w:color w:val="auto"/>
          <w:sz w:val="32"/>
          <w:szCs w:val="32"/>
          <w:highlight w:val="none"/>
          <w:lang w:val="en-US" w:eastAsia="zh-CN"/>
        </w:rPr>
        <w:t>四</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val="en-US" w:eastAsia="zh-CN"/>
        </w:rPr>
        <w:t>八</w:t>
      </w:r>
      <w:r>
        <w:rPr>
          <w:rFonts w:hint="eastAsia" w:ascii="宋体" w:hAnsi="宋体" w:eastAsia="宋体" w:cs="宋体"/>
          <w:b/>
          <w:bCs/>
          <w:color w:val="auto"/>
          <w:sz w:val="32"/>
          <w:szCs w:val="32"/>
          <w:highlight w:val="none"/>
        </w:rPr>
        <w:t>月</w:t>
      </w:r>
    </w:p>
    <w:p>
      <w:pPr>
        <w:spacing w:line="360" w:lineRule="auto"/>
        <w:jc w:val="center"/>
        <w:rPr>
          <w:rFonts w:hint="eastAsia" w:ascii="宋体" w:hAnsi="宋体" w:eastAsia="宋体" w:cs="宋体"/>
          <w:b/>
          <w:color w:val="auto"/>
          <w:kern w:val="44"/>
          <w:sz w:val="44"/>
          <w:szCs w:val="44"/>
          <w:highlight w:val="none"/>
          <w:shd w:val="clear" w:color="auto" w:fill="FFFFFF" w:themeFill="background1"/>
        </w:rPr>
      </w:pPr>
    </w:p>
    <w:p>
      <w:pPr>
        <w:spacing w:line="360" w:lineRule="auto"/>
        <w:jc w:val="center"/>
        <w:rPr>
          <w:rFonts w:hint="eastAsia" w:ascii="宋体" w:hAnsi="宋体" w:eastAsia="宋体" w:cs="宋体"/>
          <w:b/>
          <w:color w:val="auto"/>
          <w:kern w:val="44"/>
          <w:sz w:val="44"/>
          <w:szCs w:val="44"/>
          <w:highlight w:val="none"/>
          <w:shd w:val="clear" w:color="auto" w:fill="FFFFFF" w:themeFill="background1"/>
        </w:rPr>
      </w:pPr>
      <w:r>
        <w:rPr>
          <w:rFonts w:hint="eastAsia" w:ascii="宋体" w:hAnsi="宋体" w:eastAsia="宋体" w:cs="宋体"/>
          <w:b/>
          <w:color w:val="auto"/>
          <w:kern w:val="44"/>
          <w:sz w:val="44"/>
          <w:szCs w:val="44"/>
          <w:highlight w:val="none"/>
          <w:shd w:val="clear" w:color="auto" w:fill="FFFFFF" w:themeFill="background1"/>
        </w:rPr>
        <w:t>目录</w:t>
      </w:r>
    </w:p>
    <w:p>
      <w:pPr>
        <w:spacing w:line="480" w:lineRule="auto"/>
        <w:jc w:val="center"/>
        <w:rPr>
          <w:rFonts w:hint="eastAsia" w:ascii="宋体" w:hAnsi="宋体" w:eastAsia="宋体" w:cs="宋体"/>
          <w:b/>
          <w:color w:val="auto"/>
          <w:sz w:val="28"/>
          <w:szCs w:val="28"/>
          <w:highlight w:val="none"/>
          <w:shd w:val="clear" w:color="auto" w:fill="FFFFFF" w:themeFill="background1"/>
        </w:rPr>
      </w:pPr>
    </w:p>
    <w:p>
      <w:pPr>
        <w:pStyle w:val="8"/>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shd w:val="clear" w:color="auto" w:fill="FFFFFF" w:themeFill="background1"/>
        </w:rPr>
        <w:fldChar w:fldCharType="begin"/>
      </w:r>
      <w:r>
        <w:rPr>
          <w:rFonts w:hint="eastAsia" w:ascii="宋体" w:hAnsi="宋体" w:eastAsia="宋体" w:cs="宋体"/>
          <w:color w:val="auto"/>
          <w:sz w:val="28"/>
          <w:szCs w:val="28"/>
          <w:highlight w:val="none"/>
          <w:shd w:val="clear" w:color="auto" w:fill="FFFFFF" w:themeFill="background1"/>
        </w:rPr>
        <w:instrText xml:space="preserve">TOC \o "1-2" \h \u </w:instrText>
      </w:r>
      <w:r>
        <w:rPr>
          <w:rFonts w:hint="eastAsia" w:ascii="宋体" w:hAnsi="宋体" w:eastAsia="宋体" w:cs="宋体"/>
          <w:color w:val="auto"/>
          <w:sz w:val="28"/>
          <w:szCs w:val="28"/>
          <w:highlight w:val="none"/>
          <w:shd w:val="clear" w:color="auto" w:fill="FFFFFF" w:themeFill="background1"/>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"_Toc121835972"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 xml:space="preserve">第一章 </w:t>
      </w:r>
      <w:r>
        <w:rPr>
          <w:rStyle w:val="19"/>
          <w:rFonts w:hint="eastAsia" w:ascii="宋体" w:hAnsi="宋体" w:eastAsia="宋体" w:cs="宋体"/>
          <w:color w:val="auto"/>
          <w:sz w:val="28"/>
          <w:szCs w:val="28"/>
          <w:highlight w:val="none"/>
          <w:shd w:val="clear" w:color="auto" w:fill="FFFFFF" w:themeFill="background1"/>
          <w:lang w:val="en-US" w:eastAsia="zh-CN"/>
        </w:rPr>
        <w:t xml:space="preserve"> </w:t>
      </w:r>
      <w:r>
        <w:rPr>
          <w:rStyle w:val="19"/>
          <w:rFonts w:hint="eastAsia" w:ascii="宋体" w:hAnsi="宋体" w:eastAsia="宋体" w:cs="宋体"/>
          <w:color w:val="auto"/>
          <w:sz w:val="28"/>
          <w:szCs w:val="28"/>
          <w:highlight w:val="none"/>
          <w:shd w:val="clear" w:color="auto" w:fill="FFFFFF" w:themeFill="background1"/>
        </w:rPr>
        <w:t>竞争性磋商公告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p>
    <w:p>
      <w:pPr>
        <w:pStyle w:val="8"/>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"_Toc121835973"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 xml:space="preserve">第二章 </w:t>
      </w:r>
      <w:r>
        <w:rPr>
          <w:rStyle w:val="19"/>
          <w:rFonts w:hint="eastAsia" w:ascii="宋体" w:hAnsi="宋体" w:eastAsia="宋体" w:cs="宋体"/>
          <w:color w:val="auto"/>
          <w:sz w:val="28"/>
          <w:szCs w:val="28"/>
          <w:highlight w:val="none"/>
          <w:shd w:val="clear" w:color="auto" w:fill="FFFFFF" w:themeFill="background1"/>
          <w:lang w:val="en-US" w:eastAsia="zh-CN"/>
        </w:rPr>
        <w:t xml:space="preserve"> </w:t>
      </w:r>
      <w:r>
        <w:rPr>
          <w:rStyle w:val="19"/>
          <w:rFonts w:hint="eastAsia" w:ascii="宋体" w:hAnsi="宋体" w:eastAsia="宋体" w:cs="宋体"/>
          <w:color w:val="auto"/>
          <w:sz w:val="28"/>
          <w:szCs w:val="28"/>
          <w:highlight w:val="none"/>
          <w:shd w:val="clear" w:color="auto" w:fill="FFFFFF" w:themeFill="background1"/>
        </w:rPr>
        <w:t>磋商须知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fldChar w:fldCharType="end"/>
      </w:r>
    </w:p>
    <w:p>
      <w:pPr>
        <w:pStyle w:val="8"/>
        <w:tabs>
          <w:tab w:val="right" w:leader="dot" w:pos="9204"/>
        </w:tabs>
        <w:spacing w:line="360" w:lineRule="auto"/>
        <w:rPr>
          <w:rFonts w:hint="eastAsia" w:ascii="宋体" w:hAnsi="宋体" w:eastAsia="宋体" w:cs="宋体"/>
          <w:color w:val="auto"/>
          <w:sz w:val="28"/>
          <w:szCs w:val="28"/>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"_Toc121835974"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第三章  采购技术参数及要求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_Toc121835974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"_Toc121835976"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第四章  评审办法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_Toc121835976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8"/>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"_Toc121835978"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第五章  合同文本格式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pPr>
        <w:pStyle w:val="8"/>
        <w:tabs>
          <w:tab w:val="right" w:leader="dot" w:pos="9204"/>
        </w:tabs>
        <w:spacing w:line="360" w:lineRule="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"_Toc121835980"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8"/>
          <w:szCs w:val="28"/>
          <w:highlight w:val="none"/>
          <w:shd w:val="clear" w:color="auto" w:fill="FFFFFF" w:themeFill="background1"/>
        </w:rPr>
        <w:t>第六章  响应性文件格式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_Toc121835980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0"/>
        <w:tabs>
          <w:tab w:val="right" w:leader="dot" w:pos="9204"/>
        </w:tabs>
        <w:spacing w:line="360" w:lineRule="auto"/>
        <w:ind w:firstLine="560" w:firstLineChars="200"/>
        <w:rPr>
          <w:rFonts w:hint="eastAsia" w:ascii="宋体" w:hAnsi="宋体" w:eastAsia="宋体" w:cs="宋体"/>
          <w:color w:val="auto"/>
          <w:sz w:val="28"/>
          <w:szCs w:val="28"/>
          <w:highlight w:val="none"/>
        </w:rPr>
      </w:pPr>
    </w:p>
    <w:p>
      <w:pPr>
        <w:spacing w:line="480" w:lineRule="auto"/>
        <w:rPr>
          <w:rFonts w:hint="eastAsia" w:ascii="宋体" w:hAnsi="宋体" w:eastAsia="宋体" w:cs="宋体"/>
          <w:color w:val="auto"/>
          <w:sz w:val="28"/>
          <w:szCs w:val="28"/>
          <w:highlight w:val="none"/>
          <w:shd w:val="clear" w:color="auto" w:fill="FFFFFF" w:themeFill="background1"/>
        </w:rPr>
      </w:pPr>
      <w:r>
        <w:rPr>
          <w:rFonts w:hint="eastAsia" w:ascii="宋体" w:hAnsi="宋体" w:eastAsia="宋体" w:cs="宋体"/>
          <w:color w:val="auto"/>
          <w:sz w:val="28"/>
          <w:szCs w:val="28"/>
          <w:highlight w:val="none"/>
          <w:shd w:val="clear" w:color="auto" w:fill="FFFFFF" w:themeFill="background1"/>
        </w:rPr>
        <w:fldChar w:fldCharType="end"/>
      </w:r>
    </w:p>
    <w:p>
      <w:pPr>
        <w:spacing w:line="480" w:lineRule="auto"/>
        <w:rPr>
          <w:rFonts w:hint="eastAsia" w:ascii="宋体" w:hAnsi="宋体" w:eastAsia="宋体" w:cs="宋体"/>
          <w:color w:val="auto"/>
          <w:sz w:val="28"/>
          <w:szCs w:val="28"/>
          <w:highlight w:val="none"/>
          <w:shd w:val="clear" w:color="auto" w:fill="FFFFFF" w:themeFill="background1"/>
        </w:rPr>
      </w:pPr>
    </w:p>
    <w:p>
      <w:pPr>
        <w:spacing w:line="480" w:lineRule="auto"/>
        <w:rPr>
          <w:rFonts w:hint="eastAsia" w:ascii="宋体" w:hAnsi="宋体" w:eastAsia="宋体" w:cs="宋体"/>
          <w:color w:val="auto"/>
          <w:sz w:val="28"/>
          <w:szCs w:val="28"/>
          <w:highlight w:val="none"/>
          <w:shd w:val="clear" w:color="auto" w:fill="FFFFFF" w:themeFill="background1"/>
        </w:rPr>
      </w:pPr>
    </w:p>
    <w:p>
      <w:pPr>
        <w:spacing w:line="480" w:lineRule="auto"/>
        <w:rPr>
          <w:rFonts w:hint="eastAsia" w:ascii="宋体" w:hAnsi="宋体" w:eastAsia="宋体" w:cs="宋体"/>
          <w:color w:val="auto"/>
          <w:sz w:val="28"/>
          <w:szCs w:val="28"/>
          <w:highlight w:val="none"/>
          <w:shd w:val="clear" w:color="auto" w:fill="FFFFFF" w:themeFill="background1"/>
        </w:rPr>
      </w:pPr>
    </w:p>
    <w:p>
      <w:pPr>
        <w:spacing w:line="480" w:lineRule="auto"/>
        <w:rPr>
          <w:rFonts w:hint="eastAsia" w:ascii="宋体" w:hAnsi="宋体" w:eastAsia="宋体" w:cs="宋体"/>
          <w:color w:val="auto"/>
          <w:sz w:val="28"/>
          <w:szCs w:val="28"/>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bookmarkStart w:id="0" w:name="_Toc121835972"/>
    </w:p>
    <w:p>
      <w:pPr>
        <w:pStyle w:val="2"/>
        <w:jc w:val="center"/>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p>
    <w:p>
      <w:pPr>
        <w:rPr>
          <w:rFonts w:hint="eastAsia" w:ascii="宋体" w:hAnsi="宋体" w:eastAsia="宋体" w:cs="宋体"/>
          <w:color w:val="auto"/>
          <w:sz w:val="36"/>
          <w:szCs w:val="36"/>
          <w:highlight w:val="none"/>
          <w:shd w:val="clear" w:color="auto" w:fill="FFFFFF" w:themeFill="background1"/>
        </w:rPr>
      </w:pPr>
    </w:p>
    <w:p>
      <w:pPr>
        <w:rPr>
          <w:rFonts w:hint="eastAsia" w:ascii="宋体" w:hAnsi="宋体" w:eastAsia="宋体" w:cs="宋体"/>
          <w:color w:val="auto"/>
          <w:sz w:val="36"/>
          <w:szCs w:val="36"/>
          <w:highlight w:val="none"/>
          <w:shd w:val="clear" w:color="auto" w:fill="FFFFFF" w:themeFill="background1"/>
        </w:rPr>
      </w:pPr>
    </w:p>
    <w:p>
      <w:pPr>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pPr>
    </w:p>
    <w:p>
      <w:pPr>
        <w:pStyle w:val="2"/>
        <w:jc w:val="both"/>
        <w:rPr>
          <w:rFonts w:hint="eastAsia" w:ascii="宋体" w:hAnsi="宋体" w:eastAsia="宋体" w:cs="宋体"/>
          <w:color w:val="auto"/>
          <w:sz w:val="36"/>
          <w:szCs w:val="36"/>
          <w:highlight w:val="none"/>
          <w:shd w:val="clear" w:color="auto" w:fill="FFFFFF" w:themeFill="background1"/>
        </w:rPr>
      </w:pPr>
    </w:p>
    <w:p>
      <w:pPr>
        <w:pStyle w:val="2"/>
        <w:jc w:val="center"/>
        <w:rPr>
          <w:rFonts w:hint="eastAsia" w:ascii="宋体" w:hAnsi="宋体" w:eastAsia="宋体" w:cs="宋体"/>
          <w:color w:val="auto"/>
          <w:sz w:val="36"/>
          <w:szCs w:val="36"/>
          <w:highlight w:val="none"/>
          <w:shd w:val="clear" w:color="auto" w:fill="FFFFFF" w:themeFill="background1"/>
        </w:rPr>
        <w:sectPr>
          <w:footerReference r:id="rId3" w:type="default"/>
          <w:pgSz w:w="11906" w:h="16839"/>
          <w:pgMar w:top="1431" w:right="1418" w:bottom="1102" w:left="1433" w:header="0" w:footer="936" w:gutter="0"/>
          <w:pgNumType w:fmt="decimal"/>
          <w:cols w:space="720" w:num="1"/>
        </w:sectPr>
      </w:pPr>
    </w:p>
    <w:p>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第一章  竞争性磋商公告</w:t>
      </w:r>
      <w:bookmarkEnd w:id="0"/>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三门峡社会管理职业学院民政健康学院</w:t>
      </w:r>
      <w:r>
        <w:rPr>
          <w:rFonts w:hint="eastAsia" w:ascii="宋体" w:hAnsi="宋体" w:eastAsia="宋体" w:cs="宋体"/>
          <w:color w:val="auto"/>
          <w:sz w:val="24"/>
          <w:highlight w:val="none"/>
          <w:shd w:val="clear" w:color="auto" w:fill="FFFFFF" w:themeFill="background1"/>
          <w:lang w:val="en-US" w:eastAsia="zh-CN"/>
        </w:rPr>
        <w:t>智慧康养实训基地建设项目</w:t>
      </w:r>
      <w:r>
        <w:rPr>
          <w:rFonts w:hint="eastAsia" w:ascii="宋体" w:hAnsi="宋体" w:eastAsia="宋体" w:cs="宋体"/>
          <w:color w:val="auto"/>
          <w:sz w:val="24"/>
          <w:highlight w:val="none"/>
          <w:shd w:val="clear" w:color="auto" w:fill="FFFFFF" w:themeFill="background1"/>
        </w:rPr>
        <w:t>的潜在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应在三门峡市公共资源交易中心平台获取</w:t>
      </w:r>
      <w:r>
        <w:rPr>
          <w:rFonts w:hint="eastAsia" w:ascii="宋体" w:hAnsi="宋体" w:eastAsia="宋体" w:cs="宋体"/>
          <w:color w:val="auto"/>
          <w:sz w:val="24"/>
          <w:highlight w:val="none"/>
          <w:shd w:val="clear" w:color="auto" w:fill="FFFFFF" w:themeFill="background1"/>
          <w:lang w:val="en-US" w:eastAsia="zh-CN"/>
        </w:rPr>
        <w:t>竞争性磋商文件</w:t>
      </w:r>
      <w:r>
        <w:rPr>
          <w:rFonts w:hint="eastAsia" w:ascii="宋体" w:hAnsi="宋体" w:eastAsia="宋体" w:cs="宋体"/>
          <w:color w:val="auto"/>
          <w:sz w:val="24"/>
          <w:highlight w:val="none"/>
          <w:shd w:val="clear" w:color="auto" w:fill="FFFFFF" w:themeFill="background1"/>
        </w:rPr>
        <w:t>，并于202</w:t>
      </w:r>
      <w:r>
        <w:rPr>
          <w:rFonts w:hint="eastAsia" w:ascii="宋体" w:hAnsi="宋体" w:eastAsia="宋体" w:cs="宋体"/>
          <w:color w:val="auto"/>
          <w:sz w:val="24"/>
          <w:highlight w:val="none"/>
          <w:shd w:val="clear" w:color="auto" w:fill="FFFFFF" w:themeFill="background1"/>
          <w:lang w:val="en-US" w:eastAsia="zh-CN"/>
        </w:rPr>
        <w:t>4</w:t>
      </w:r>
      <w:r>
        <w:rPr>
          <w:rFonts w:hint="eastAsia" w:ascii="宋体" w:hAnsi="宋体" w:eastAsia="宋体" w:cs="宋体"/>
          <w:color w:val="auto"/>
          <w:sz w:val="24"/>
          <w:highlight w:val="none"/>
          <w:shd w:val="clear" w:color="auto" w:fill="FFFFFF" w:themeFill="background1"/>
        </w:rPr>
        <w:t>年</w:t>
      </w:r>
      <w:r>
        <w:rPr>
          <w:rFonts w:hint="eastAsia" w:ascii="宋体" w:hAnsi="宋体" w:cs="宋体"/>
          <w:color w:val="auto"/>
          <w:sz w:val="24"/>
          <w:highlight w:val="none"/>
          <w:shd w:val="clear" w:color="auto" w:fill="FFFFFF" w:themeFill="background1"/>
          <w:lang w:val="en-US" w:eastAsia="zh-CN"/>
        </w:rPr>
        <w:t>9</w:t>
      </w:r>
      <w:r>
        <w:rPr>
          <w:rFonts w:hint="eastAsia" w:ascii="宋体" w:hAnsi="宋体" w:eastAsia="宋体" w:cs="宋体"/>
          <w:color w:val="auto"/>
          <w:sz w:val="24"/>
          <w:highlight w:val="none"/>
          <w:shd w:val="clear" w:color="auto" w:fill="FFFFFF" w:themeFill="background1"/>
        </w:rPr>
        <w:t>月</w:t>
      </w:r>
      <w:r>
        <w:rPr>
          <w:rFonts w:hint="eastAsia" w:ascii="宋体" w:hAnsi="宋体" w:cs="宋体"/>
          <w:color w:val="auto"/>
          <w:sz w:val="24"/>
          <w:highlight w:val="none"/>
          <w:shd w:val="clear" w:color="auto" w:fill="FFFFFF" w:themeFill="background1"/>
          <w:lang w:val="en-US" w:eastAsia="zh-CN"/>
        </w:rPr>
        <w:t>9</w:t>
      </w:r>
      <w:r>
        <w:rPr>
          <w:rFonts w:hint="eastAsia" w:ascii="宋体" w:hAnsi="宋体" w:eastAsia="宋体" w:cs="宋体"/>
          <w:color w:val="auto"/>
          <w:sz w:val="24"/>
          <w:highlight w:val="none"/>
          <w:shd w:val="clear" w:color="auto" w:fill="FFFFFF" w:themeFill="background1"/>
        </w:rPr>
        <w:t>日</w:t>
      </w:r>
      <w:r>
        <w:rPr>
          <w:rFonts w:hint="eastAsia" w:ascii="宋体" w:hAnsi="宋体" w:eastAsia="宋体" w:cs="宋体"/>
          <w:color w:val="auto"/>
          <w:sz w:val="24"/>
          <w:highlight w:val="none"/>
          <w:shd w:val="clear" w:color="auto" w:fill="FFFFFF" w:themeFill="background1"/>
          <w:lang w:val="en-US" w:eastAsia="zh-CN"/>
        </w:rPr>
        <w:t>8</w:t>
      </w:r>
      <w:r>
        <w:rPr>
          <w:rFonts w:hint="eastAsia" w:ascii="宋体" w:hAnsi="宋体" w:eastAsia="宋体" w:cs="宋体"/>
          <w:color w:val="auto"/>
          <w:sz w:val="24"/>
          <w:highlight w:val="none"/>
          <w:shd w:val="clear" w:color="auto" w:fill="FFFFFF" w:themeFill="background1"/>
        </w:rPr>
        <w:t>时</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sz w:val="24"/>
          <w:highlight w:val="none"/>
          <w:shd w:val="clear" w:color="auto" w:fill="FFFFFF" w:themeFill="background1"/>
        </w:rPr>
        <w:t>0分（北京时间）前递交响应文件</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一、项目基本情况：</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1、项目名称：三门峡社会管理职业学院民政健康学院智慧康养实训基地建设项目；</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2、项目编</w:t>
      </w:r>
      <w:r>
        <w:rPr>
          <w:rFonts w:hint="eastAsia" w:ascii="宋体" w:hAnsi="宋体" w:eastAsia="宋体" w:cs="宋体"/>
          <w:bCs/>
          <w:color w:val="auto"/>
          <w:kern w:val="0"/>
          <w:sz w:val="24"/>
          <w:highlight w:val="none"/>
          <w:lang w:val="en-US" w:eastAsia="zh-CN"/>
        </w:rPr>
        <w:t>号：三财竞磋采购-2024-29</w:t>
      </w:r>
      <w:r>
        <w:rPr>
          <w:rFonts w:hint="eastAsia" w:ascii="宋体" w:hAnsi="宋体" w:cs="宋体"/>
          <w:bCs/>
          <w:color w:val="auto"/>
          <w:kern w:val="0"/>
          <w:sz w:val="24"/>
          <w:highlight w:val="none"/>
          <w:lang w:val="en-US" w:eastAsia="zh-CN"/>
        </w:rPr>
        <w:t xml:space="preserve">   </w:t>
      </w:r>
      <w:r>
        <w:rPr>
          <w:rFonts w:hint="eastAsia" w:ascii="宋体" w:hAnsi="宋体" w:eastAsia="宋体" w:cs="宋体"/>
          <w:bCs/>
          <w:color w:val="auto"/>
          <w:kern w:val="0"/>
          <w:sz w:val="24"/>
          <w:highlight w:val="none"/>
          <w:lang w:val="en-US" w:eastAsia="zh-CN"/>
        </w:rPr>
        <w:t>SGZ[2024]386-ZC247；</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3、采购方式：竞争性磋商</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4、</w:t>
      </w:r>
      <w:r>
        <w:rPr>
          <w:rFonts w:hint="eastAsia" w:ascii="宋体" w:hAnsi="宋体" w:eastAsia="宋体" w:cs="宋体"/>
          <w:color w:val="auto"/>
          <w:kern w:val="0"/>
          <w:sz w:val="24"/>
          <w:highlight w:val="none"/>
          <w:shd w:val="clear" w:color="auto" w:fill="FFFFFF" w:themeFill="background1"/>
          <w:lang w:eastAsia="zh-CN"/>
        </w:rPr>
        <w:t>采购最高限价</w:t>
      </w:r>
      <w:r>
        <w:rPr>
          <w:rFonts w:hint="eastAsia" w:ascii="宋体" w:hAnsi="宋体" w:eastAsia="宋体" w:cs="宋体"/>
          <w:color w:val="auto"/>
          <w:kern w:val="0"/>
          <w:sz w:val="24"/>
          <w:highlight w:val="none"/>
          <w:shd w:val="clear" w:color="auto" w:fill="FFFFFF" w:themeFill="background1"/>
        </w:rPr>
        <w:t>：</w:t>
      </w:r>
      <w:r>
        <w:rPr>
          <w:rFonts w:hint="eastAsia" w:ascii="宋体" w:hAnsi="宋体" w:eastAsia="宋体" w:cs="宋体"/>
          <w:bCs/>
          <w:color w:val="auto"/>
          <w:kern w:val="0"/>
          <w:sz w:val="24"/>
          <w:highlight w:val="none"/>
          <w:lang w:val="en-US" w:eastAsia="zh-CN"/>
        </w:rPr>
        <w:t>1103316.00元</w:t>
      </w:r>
      <w:r>
        <w:rPr>
          <w:rFonts w:hint="eastAsia" w:ascii="宋体" w:hAnsi="宋体" w:eastAsia="宋体" w:cs="宋体"/>
          <w:color w:val="auto"/>
          <w:kern w:val="0"/>
          <w:sz w:val="24"/>
          <w:highlight w:val="none"/>
          <w:shd w:val="clear" w:color="auto" w:fill="FFFFFF" w:themeFill="background1"/>
          <w:lang w:eastAsia="zh-CN"/>
        </w:rPr>
        <w:t>；</w:t>
      </w:r>
    </w:p>
    <w:p>
      <w:pPr>
        <w:widowControl/>
        <w:spacing w:line="360" w:lineRule="auto"/>
        <w:ind w:firstLine="960" w:firstLineChars="400"/>
        <w:rPr>
          <w:rFonts w:hint="eastAsia" w:ascii="宋体" w:hAnsi="宋体" w:eastAsia="宋体" w:cs="宋体"/>
          <w:color w:val="auto"/>
          <w:kern w:val="0"/>
          <w:sz w:val="24"/>
          <w:highlight w:val="none"/>
          <w:shd w:val="clear" w:color="auto" w:fill="FFFFFF" w:themeFill="background1"/>
          <w:lang w:val="en-US" w:eastAsia="zh-CN"/>
        </w:rPr>
      </w:pPr>
      <w:r>
        <w:rPr>
          <w:rFonts w:hint="eastAsia" w:ascii="宋体" w:hAnsi="宋体" w:eastAsia="宋体" w:cs="宋体"/>
          <w:color w:val="auto"/>
          <w:kern w:val="0"/>
          <w:sz w:val="24"/>
          <w:highlight w:val="none"/>
          <w:shd w:val="clear" w:color="auto" w:fill="FFFFFF" w:themeFill="background1"/>
          <w:lang w:val="en-US" w:eastAsia="zh-CN"/>
        </w:rPr>
        <w:t>最高限价：</w:t>
      </w:r>
      <w:r>
        <w:rPr>
          <w:rFonts w:hint="eastAsia" w:ascii="宋体" w:hAnsi="宋体" w:eastAsia="宋体" w:cs="宋体"/>
          <w:bCs/>
          <w:color w:val="auto"/>
          <w:kern w:val="0"/>
          <w:sz w:val="24"/>
          <w:highlight w:val="none"/>
          <w:lang w:val="en-US" w:eastAsia="zh-CN"/>
        </w:rPr>
        <w:t>1103316.00元</w:t>
      </w:r>
      <w:r>
        <w:rPr>
          <w:rFonts w:hint="eastAsia" w:ascii="宋体" w:hAnsi="宋体" w:eastAsia="宋体" w:cs="宋体"/>
          <w:color w:val="auto"/>
          <w:kern w:val="0"/>
          <w:sz w:val="24"/>
          <w:highlight w:val="none"/>
          <w:shd w:val="clear" w:color="auto" w:fill="FFFFFF" w:themeFill="background1"/>
          <w:lang w:eastAsia="zh-CN"/>
        </w:rPr>
        <w:t>；</w:t>
      </w:r>
    </w:p>
    <w:tbl>
      <w:tblPr>
        <w:tblStyle w:val="15"/>
        <w:tblW w:w="4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1669"/>
        <w:gridCol w:w="2184"/>
        <w:gridCol w:w="1509"/>
        <w:gridCol w:w="1456"/>
      </w:tblGrid>
      <w:tr>
        <w:trPr>
          <w:trHeight w:val="884"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序号</w:t>
            </w:r>
          </w:p>
        </w:tc>
        <w:tc>
          <w:tcPr>
            <w:tcW w:w="10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包号</w:t>
            </w:r>
          </w:p>
        </w:tc>
        <w:tc>
          <w:tcPr>
            <w:tcW w:w="1422" w:type="pct"/>
            <w:tcBorders>
              <w:top w:val="single" w:color="auto" w:sz="4" w:space="0"/>
              <w:left w:val="single" w:color="auto" w:sz="4" w:space="0"/>
              <w:bottom w:val="single" w:color="auto" w:sz="4" w:space="0"/>
              <w:right w:val="single" w:color="auto" w:sz="4" w:space="0"/>
            </w:tcBorders>
            <w:vAlign w:val="center"/>
          </w:tcPr>
          <w:p>
            <w:pPr>
              <w:spacing w:line="360" w:lineRule="auto"/>
              <w:ind w:firstLine="200"/>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包名称</w:t>
            </w:r>
          </w:p>
        </w:tc>
        <w:tc>
          <w:tcPr>
            <w:tcW w:w="9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包预算</w:t>
            </w:r>
          </w:p>
          <w:p>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（元）</w:t>
            </w:r>
          </w:p>
        </w:tc>
        <w:tc>
          <w:tcPr>
            <w:tcW w:w="9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包最高限价（元）</w:t>
            </w:r>
          </w:p>
        </w:tc>
      </w:tr>
      <w:tr>
        <w:trPr>
          <w:trHeight w:val="769" w:hRule="atLeast"/>
          <w:jc w:val="center"/>
        </w:trPr>
        <w:tc>
          <w:tcPr>
            <w:tcW w:w="5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108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宋体"/>
                <w:color w:val="auto"/>
                <w:kern w:val="0"/>
                <w:sz w:val="24"/>
                <w:highlight w:val="none"/>
                <w:shd w:val="clear" w:color="auto" w:fill="FFFFFF" w:themeFill="background1"/>
                <w:lang w:val="en-US" w:eastAsia="zh-CN"/>
              </w:rPr>
            </w:pPr>
            <w:r>
              <w:rPr>
                <w:rFonts w:hint="eastAsia" w:ascii="宋体" w:hAnsi="宋体" w:eastAsia="宋体" w:cs="宋体"/>
                <w:color w:val="auto"/>
                <w:kern w:val="0"/>
                <w:sz w:val="24"/>
                <w:highlight w:val="none"/>
                <w:shd w:val="clear" w:color="auto" w:fill="FFFFFF" w:themeFill="background1"/>
                <w:lang w:val="en-US"/>
              </w:rPr>
              <w:t>SGZ[2024]386-ZC247</w:t>
            </w:r>
            <w:r>
              <w:rPr>
                <w:rFonts w:hint="eastAsia" w:ascii="宋体" w:hAnsi="宋体" w:cs="宋体"/>
                <w:color w:val="auto"/>
                <w:kern w:val="0"/>
                <w:sz w:val="24"/>
                <w:highlight w:val="none"/>
                <w:shd w:val="clear" w:color="auto" w:fill="FFFFFF" w:themeFill="background1"/>
                <w:lang w:val="en-US" w:eastAsia="zh-CN"/>
              </w:rPr>
              <w:t>-1</w:t>
            </w:r>
          </w:p>
        </w:tc>
        <w:tc>
          <w:tcPr>
            <w:tcW w:w="142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lang w:val="en-US"/>
              </w:rPr>
            </w:pPr>
            <w:r>
              <w:rPr>
                <w:rFonts w:hint="eastAsia" w:ascii="宋体" w:hAnsi="宋体" w:eastAsia="宋体" w:cs="宋体"/>
                <w:color w:val="auto"/>
                <w:kern w:val="0"/>
                <w:sz w:val="24"/>
                <w:highlight w:val="none"/>
                <w:shd w:val="clear" w:color="auto" w:fill="FFFFFF" w:themeFill="background1"/>
                <w:lang w:val="en-US"/>
              </w:rPr>
              <w:t>三门峡社会管理职业学院民政健康学院智慧康养实训基地建设项目</w:t>
            </w:r>
          </w:p>
        </w:tc>
        <w:tc>
          <w:tcPr>
            <w:tcW w:w="982"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lang w:val="en-US"/>
              </w:rPr>
            </w:pPr>
            <w:r>
              <w:rPr>
                <w:rFonts w:hint="eastAsia" w:ascii="宋体" w:hAnsi="宋体" w:eastAsia="宋体" w:cs="宋体"/>
                <w:bCs/>
                <w:color w:val="auto"/>
                <w:kern w:val="0"/>
                <w:sz w:val="24"/>
                <w:highlight w:val="none"/>
                <w:lang w:val="en-US" w:eastAsia="zh-CN"/>
              </w:rPr>
              <w:t>1103316.00</w:t>
            </w:r>
          </w:p>
        </w:tc>
        <w:tc>
          <w:tcPr>
            <w:tcW w:w="9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0"/>
                <w:sz w:val="24"/>
                <w:highlight w:val="none"/>
                <w:shd w:val="clear" w:color="auto" w:fill="FFFFFF" w:themeFill="background1"/>
                <w:lang w:val="en-US"/>
              </w:rPr>
            </w:pPr>
            <w:r>
              <w:rPr>
                <w:rFonts w:hint="eastAsia" w:ascii="宋体" w:hAnsi="宋体" w:eastAsia="宋体" w:cs="宋体"/>
                <w:bCs/>
                <w:color w:val="auto"/>
                <w:kern w:val="0"/>
                <w:sz w:val="24"/>
                <w:highlight w:val="none"/>
                <w:lang w:val="en-US" w:eastAsia="zh-CN"/>
              </w:rPr>
              <w:t>1103316.00</w:t>
            </w:r>
          </w:p>
        </w:tc>
      </w:tr>
    </w:tbl>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5、采购需求（包括但不限于标的的名称、数量、简要技术需求或服务要求等）</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5.1采购范围：三门峡社会管理职业学院民政健康学院智慧康养实训基地建设项目</w:t>
      </w:r>
      <w:r>
        <w:rPr>
          <w:rFonts w:hint="eastAsia" w:ascii="宋体" w:hAnsi="宋体" w:eastAsia="宋体" w:cs="宋体"/>
          <w:color w:val="auto"/>
          <w:kern w:val="0"/>
          <w:sz w:val="24"/>
          <w:highlight w:val="none"/>
          <w:shd w:val="clear" w:color="auto" w:fill="FFFFFF" w:themeFill="background1"/>
          <w:lang w:val="en-US" w:eastAsia="zh-CN"/>
        </w:rPr>
        <w:t>，主要包括：分布式智慧养老服务（社区）教学示范平台、智慧养老高清液晶可视化终端、高端自助健康检测一体机、老年人模拟体验装置、老人偏瘫模拟体验服等设备</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详见技术参数</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5.2资金来源：</w:t>
      </w:r>
      <w:r>
        <w:rPr>
          <w:rFonts w:hint="eastAsia" w:ascii="宋体" w:hAnsi="宋体" w:eastAsia="宋体" w:cs="宋体"/>
          <w:color w:val="auto"/>
          <w:kern w:val="0"/>
          <w:sz w:val="24"/>
          <w:highlight w:val="none"/>
          <w:shd w:val="clear" w:color="auto" w:fill="FFFFFF" w:themeFill="background1"/>
          <w:lang w:val="en-US" w:eastAsia="zh-CN"/>
        </w:rPr>
        <w:t>财政</w:t>
      </w:r>
      <w:r>
        <w:rPr>
          <w:rFonts w:hint="eastAsia" w:ascii="宋体" w:hAnsi="宋体" w:eastAsia="宋体" w:cs="宋体"/>
          <w:color w:val="auto"/>
          <w:kern w:val="0"/>
          <w:sz w:val="24"/>
          <w:highlight w:val="none"/>
          <w:shd w:val="clear" w:color="auto" w:fill="FFFFFF" w:themeFill="background1"/>
        </w:rPr>
        <w:t>资金，已落实。</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5.3质量要求：符合国家及行业相关规范和标准。</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5.4交货地点：采购人指定地点。</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val="en-US" w:eastAsia="zh-CN"/>
        </w:rPr>
        <w:t>6、</w:t>
      </w:r>
      <w:r>
        <w:rPr>
          <w:rFonts w:hint="eastAsia" w:ascii="宋体" w:hAnsi="宋体" w:eastAsia="宋体" w:cs="宋体"/>
          <w:color w:val="auto"/>
          <w:kern w:val="0"/>
          <w:sz w:val="24"/>
          <w:highlight w:val="none"/>
          <w:shd w:val="clear" w:color="auto" w:fill="FFFFFF" w:themeFill="background1"/>
          <w:lang w:eastAsia="zh-CN"/>
        </w:rPr>
        <w:t>交货期及安装期</w:t>
      </w:r>
      <w:r>
        <w:rPr>
          <w:rFonts w:hint="eastAsia" w:ascii="宋体" w:hAnsi="宋体" w:eastAsia="宋体" w:cs="宋体"/>
          <w:color w:val="auto"/>
          <w:kern w:val="0"/>
          <w:sz w:val="24"/>
          <w:highlight w:val="none"/>
          <w:shd w:val="clear" w:color="auto" w:fill="FFFFFF" w:themeFill="background1"/>
        </w:rPr>
        <w:t>：自合同签订之日起</w:t>
      </w:r>
      <w:r>
        <w:rPr>
          <w:rFonts w:hint="eastAsia" w:ascii="宋体" w:hAnsi="宋体" w:eastAsia="宋体" w:cs="宋体"/>
          <w:color w:val="auto"/>
          <w:kern w:val="0"/>
          <w:sz w:val="24"/>
          <w:highlight w:val="none"/>
          <w:shd w:val="clear" w:color="auto" w:fill="FFFFFF" w:themeFill="background1"/>
          <w:lang w:val="en-US" w:eastAsia="zh-CN"/>
        </w:rPr>
        <w:t>15</w:t>
      </w:r>
      <w:r>
        <w:rPr>
          <w:rFonts w:hint="eastAsia" w:ascii="宋体" w:hAnsi="宋体" w:eastAsia="宋体" w:cs="宋体"/>
          <w:color w:val="auto"/>
          <w:kern w:val="0"/>
          <w:sz w:val="24"/>
          <w:highlight w:val="none"/>
          <w:shd w:val="clear" w:color="auto" w:fill="FFFFFF" w:themeFill="background1"/>
        </w:rPr>
        <w:t>日历天。</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7、本项目是否接受联合体投标：否</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8、是否接受进口产品：否</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9、是否专门面向中小企业：</w:t>
      </w:r>
      <w:r>
        <w:rPr>
          <w:rFonts w:hint="eastAsia" w:ascii="宋体" w:hAnsi="宋体" w:eastAsia="宋体" w:cs="宋体"/>
          <w:color w:val="auto"/>
          <w:kern w:val="0"/>
          <w:sz w:val="24"/>
          <w:highlight w:val="none"/>
          <w:shd w:val="clear" w:color="auto" w:fill="FFFFFF" w:themeFill="background1"/>
          <w:lang w:val="en-US" w:eastAsia="zh-CN"/>
        </w:rPr>
        <w:t>否</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二、申请人资格要求</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1、满足《中华人民共和国政府采购法》第二十二条规定</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供应商应提供承诺书</w:t>
      </w:r>
      <w:r>
        <w:rPr>
          <w:rFonts w:hint="eastAsia" w:ascii="宋体" w:hAnsi="宋体" w:eastAsia="宋体" w:cs="宋体"/>
          <w:color w:val="auto"/>
          <w:kern w:val="0"/>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2、落实政府采购政策满足的资格要求：本项目支持小微（监狱、残疾人福利性单位）企业扶持等相关政府采购政策。</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3、本项目的特定资格要求</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.1</w:t>
      </w:r>
      <w:r>
        <w:rPr>
          <w:rFonts w:hint="eastAsia" w:ascii="宋体" w:hAnsi="宋体" w:eastAsia="宋体" w:cs="宋体"/>
          <w:color w:val="auto"/>
          <w:kern w:val="0"/>
          <w:sz w:val="24"/>
          <w:highlight w:val="none"/>
          <w:shd w:val="clear" w:color="auto" w:fill="FFFFFF" w:themeFill="background1"/>
        </w:rPr>
        <w:t xml:space="preserve"> 供应商具有合格有效</w:t>
      </w:r>
      <w:r>
        <w:rPr>
          <w:rFonts w:hint="eastAsia" w:ascii="宋体" w:hAnsi="宋体" w:eastAsia="宋体" w:cs="宋体"/>
          <w:color w:val="auto"/>
          <w:sz w:val="24"/>
          <w:highlight w:val="none"/>
          <w:shd w:val="clear" w:color="auto" w:fill="FFFFFF" w:themeFill="background1"/>
        </w:rPr>
        <w:t>的营业执照；</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2</w:t>
      </w:r>
      <w:r>
        <w:rPr>
          <w:rFonts w:hint="eastAsia" w:ascii="宋体" w:hAnsi="宋体" w:eastAsia="宋体" w:cs="宋体"/>
          <w:color w:val="auto"/>
          <w:sz w:val="24"/>
          <w:highlight w:val="none"/>
          <w:shd w:val="clear" w:color="auto" w:fill="FFFFFF" w:themeFill="background1"/>
        </w:rPr>
        <w:t xml:space="preserve"> 提供本企业无商业贿赂和不正当竞争行为承诺书；</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3根据《关于在政府采购活动中查询及使用信用记录有关问题的通知》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r>
        <w:rPr>
          <w:rFonts w:hint="eastAsia" w:ascii="宋体" w:hAnsi="宋体" w:eastAsia="宋体" w:cs="宋体"/>
          <w:color w:val="auto"/>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sz w:val="24"/>
          <w:highlight w:val="none"/>
          <w:shd w:val="clear" w:color="auto" w:fill="FFFFFF" w:themeFill="background1"/>
        </w:rPr>
        <w:t xml:space="preserve"> 本项目不接受</w:t>
      </w:r>
      <w:r>
        <w:rPr>
          <w:rFonts w:hint="eastAsia" w:ascii="宋体" w:hAnsi="宋体" w:eastAsia="宋体" w:cs="宋体"/>
          <w:color w:val="auto"/>
          <w:sz w:val="24"/>
          <w:highlight w:val="none"/>
          <w:shd w:val="clear" w:color="auto" w:fill="FFFFFF" w:themeFill="background1"/>
          <w:lang w:val="en-US" w:eastAsia="zh-CN"/>
        </w:rPr>
        <w:t>联合体磋商</w:t>
      </w:r>
      <w:r>
        <w:rPr>
          <w:rFonts w:hint="eastAsia" w:ascii="宋体" w:hAnsi="宋体" w:eastAsia="宋体" w:cs="宋体"/>
          <w:color w:val="auto"/>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5</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val="en-US" w:eastAsia="zh-CN"/>
        </w:rPr>
        <w:t>本次磋商实行资格后审</w:t>
      </w:r>
      <w:r>
        <w:rPr>
          <w:rFonts w:hint="eastAsia" w:ascii="宋体" w:hAnsi="宋体" w:eastAsia="宋体" w:cs="宋体"/>
          <w:color w:val="auto"/>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三、获取磋商文件</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1、时间：202</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8</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27</w:t>
      </w:r>
      <w:r>
        <w:rPr>
          <w:rFonts w:hint="eastAsia" w:ascii="宋体" w:hAnsi="宋体" w:eastAsia="宋体" w:cs="宋体"/>
          <w:color w:val="auto"/>
          <w:kern w:val="0"/>
          <w:sz w:val="24"/>
          <w:highlight w:val="none"/>
          <w:shd w:val="clear" w:color="auto" w:fill="FFFFFF" w:themeFill="background1"/>
        </w:rPr>
        <w:t>日至 202</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2、地点：三门峡市公共资源交易中心平台 </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3、方式：本项目没有报名环节，</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凭CA数字证书通过三门峡市公共资源交易中心网（网址：http://www.smxgzjy.cn/spweb/SMX/Home/index.do），点击交易平台选择“市场主体登录”，在所参与项目右侧点击参与</w:t>
      </w:r>
      <w:r>
        <w:rPr>
          <w:rFonts w:hint="eastAsia" w:ascii="宋体" w:hAnsi="宋体" w:eastAsia="宋体" w:cs="宋体"/>
          <w:color w:val="auto"/>
          <w:kern w:val="0"/>
          <w:sz w:val="24"/>
          <w:highlight w:val="none"/>
          <w:shd w:val="clear" w:color="auto" w:fill="FFFFFF" w:themeFill="background1"/>
          <w:lang w:val="en-US" w:eastAsia="zh-CN"/>
        </w:rPr>
        <w:t>磋商</w:t>
      </w:r>
      <w:r>
        <w:rPr>
          <w:rFonts w:hint="eastAsia" w:ascii="宋体" w:hAnsi="宋体" w:eastAsia="宋体" w:cs="宋体"/>
          <w:color w:val="auto"/>
          <w:kern w:val="0"/>
          <w:sz w:val="24"/>
          <w:highlight w:val="none"/>
          <w:shd w:val="clear" w:color="auto" w:fill="FFFFFF" w:themeFill="background1"/>
        </w:rPr>
        <w:t>,即可直接下载本项目磋商文件。</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4、售价：0元</w:t>
      </w:r>
    </w:p>
    <w:p>
      <w:pPr>
        <w:widowControl/>
        <w:spacing w:line="360" w:lineRule="auto"/>
        <w:ind w:firstLine="480" w:firstLineChars="200"/>
        <w:jc w:val="left"/>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四、响应文件提交</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1、截止时间：202</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（北京时间）</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2、地点：在三门峡市公共资源交易中心网中上传加密响应文件</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 w:name="_Toc28359016"/>
      <w:bookmarkStart w:id="2" w:name="_Toc35393802"/>
      <w:bookmarkStart w:id="3" w:name="_Toc28359093"/>
      <w:bookmarkStart w:id="4" w:name="_Toc35393633"/>
      <w:r>
        <w:rPr>
          <w:rFonts w:hint="eastAsia" w:ascii="宋体" w:hAnsi="宋体" w:eastAsia="宋体" w:cs="宋体"/>
          <w:color w:val="auto"/>
          <w:kern w:val="0"/>
          <w:sz w:val="24"/>
          <w:highlight w:val="none"/>
          <w:shd w:val="clear" w:color="auto" w:fill="FFFFFF" w:themeFill="background1"/>
        </w:rPr>
        <w:t>五、开启</w:t>
      </w:r>
      <w:bookmarkEnd w:id="1"/>
      <w:bookmarkEnd w:id="2"/>
      <w:bookmarkEnd w:id="3"/>
      <w:bookmarkEnd w:id="4"/>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时间：202</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r>
        <w:rPr>
          <w:rFonts w:hint="eastAsia" w:ascii="宋体" w:hAnsi="宋体" w:eastAsia="宋体" w:cs="宋体"/>
          <w:color w:val="auto"/>
          <w:kern w:val="0"/>
          <w:sz w:val="24"/>
          <w:highlight w:val="none"/>
          <w:shd w:val="clear" w:color="auto" w:fill="FFFFFF" w:themeFill="background1"/>
        </w:rPr>
        <w:t>（北京时间）</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地点：在三门峡市公共资源交易中心网中上传加密响应文件</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5" w:name="_Toc35393634"/>
      <w:bookmarkStart w:id="6" w:name="_Toc28359094"/>
      <w:bookmarkStart w:id="7" w:name="_Toc35393803"/>
      <w:bookmarkStart w:id="8" w:name="_Toc28359017"/>
      <w:r>
        <w:rPr>
          <w:rFonts w:hint="eastAsia" w:ascii="宋体" w:hAnsi="宋体" w:eastAsia="宋体" w:cs="宋体"/>
          <w:color w:val="auto"/>
          <w:kern w:val="0"/>
          <w:sz w:val="24"/>
          <w:highlight w:val="none"/>
          <w:shd w:val="clear" w:color="auto" w:fill="FFFFFF" w:themeFill="background1"/>
        </w:rPr>
        <w:t>六、</w:t>
      </w:r>
      <w:bookmarkEnd w:id="5"/>
      <w:bookmarkEnd w:id="6"/>
      <w:bookmarkEnd w:id="7"/>
      <w:bookmarkEnd w:id="8"/>
      <w:r>
        <w:rPr>
          <w:rFonts w:hint="eastAsia" w:ascii="宋体" w:hAnsi="宋体" w:eastAsia="宋体" w:cs="宋体"/>
          <w:color w:val="auto"/>
          <w:kern w:val="0"/>
          <w:sz w:val="24"/>
          <w:highlight w:val="none"/>
          <w:shd w:val="clear" w:color="auto" w:fill="FFFFFF" w:themeFill="background1"/>
        </w:rPr>
        <w:t>发布公告的媒介及</w:t>
      </w:r>
      <w:r>
        <w:rPr>
          <w:rFonts w:hint="eastAsia" w:ascii="宋体" w:hAnsi="宋体" w:eastAsia="宋体" w:cs="宋体"/>
          <w:color w:val="auto"/>
          <w:kern w:val="0"/>
          <w:sz w:val="24"/>
          <w:highlight w:val="none"/>
          <w:shd w:val="clear" w:color="auto" w:fill="FFFFFF" w:themeFill="background1"/>
          <w:lang w:val="en-US" w:eastAsia="zh-CN"/>
        </w:rPr>
        <w:t>磋商</w:t>
      </w:r>
      <w:r>
        <w:rPr>
          <w:rFonts w:hint="eastAsia" w:ascii="宋体" w:hAnsi="宋体" w:eastAsia="宋体" w:cs="宋体"/>
          <w:color w:val="auto"/>
          <w:kern w:val="0"/>
          <w:sz w:val="24"/>
          <w:highlight w:val="none"/>
          <w:shd w:val="clear" w:color="auto" w:fill="FFFFFF" w:themeFill="background1"/>
        </w:rPr>
        <w:t>公告期限</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本次磋商公告同时在《河南省政府采购网》、《中国招标与采购网》、《中国招标投标公共服务平台》、《三门峡市公共资源交易中心网》上发布</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公告期3日历天</w:t>
      </w:r>
      <w:r>
        <w:rPr>
          <w:rFonts w:hint="eastAsia" w:ascii="宋体" w:hAnsi="宋体" w:eastAsia="宋体" w:cs="宋体"/>
          <w:color w:val="auto"/>
          <w:kern w:val="0"/>
          <w:sz w:val="24"/>
          <w:highlight w:val="none"/>
          <w:shd w:val="clear" w:color="auto" w:fill="FFFFFF" w:themeFill="background1"/>
        </w:rPr>
        <w:t>。</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9" w:name="_Toc35393804"/>
      <w:bookmarkStart w:id="10" w:name="_Toc35393635"/>
      <w:r>
        <w:rPr>
          <w:rFonts w:hint="eastAsia" w:ascii="宋体" w:hAnsi="宋体" w:eastAsia="宋体" w:cs="宋体"/>
          <w:color w:val="auto"/>
          <w:kern w:val="0"/>
          <w:sz w:val="24"/>
          <w:highlight w:val="none"/>
          <w:shd w:val="clear" w:color="auto" w:fill="FFFFFF" w:themeFill="background1"/>
        </w:rPr>
        <w:t>七、其他补充事宜</w:t>
      </w:r>
      <w:bookmarkEnd w:id="9"/>
      <w:bookmarkEnd w:id="10"/>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1、根据《河南省财政厅关于优化政府采购营商环境有关问题的通知》（豫财购【2019】4号）第6条的规定，本项目不收取磋商保证金。</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2、根据优化营商环境的要求，评标时以响应文件为准，可使用电子营业执照；</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资格评（预）审部分：资格评（预）以响应文件为准，其上传资料真实性由供应商自行承担，同时，供应商要完善主体库。</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本项目为资格后审，资格审查由采购人依法组建的磋商小组负责。审查内容以磋商截止时间前在三门峡市公共资源交易平台“响应文件”上传的信息为准，同时，供应商要完善主体库。规定时间外上传或更改的信息不作为评标依据。响应文件中上传的信息真实有效，扫描件清晰可辨。否则，由此造成应得分而未得分或资格审查不合格等情况的，由供应商承担责任。</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4、本项目为电子化、无纸化交易项目，开标时不再接受任何纸质资料，为保证您能投标成功，请需仔细阅读磋商文件和三门峡市公共资源交易中心官网业务办理指南。</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5、采购人不组织供应商踏勘现场。</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6、我单位（采购人）严格按三财购（2021）9 号文要求的时限发布</w:t>
      </w:r>
      <w:r>
        <w:rPr>
          <w:rFonts w:hint="eastAsia" w:ascii="宋体" w:hAnsi="宋体" w:eastAsia="宋体" w:cs="宋体"/>
          <w:color w:val="auto"/>
          <w:kern w:val="0"/>
          <w:sz w:val="24"/>
          <w:highlight w:val="none"/>
          <w:shd w:val="clear" w:color="auto" w:fill="FFFFFF" w:themeFill="background1"/>
          <w:lang w:val="en-US" w:eastAsia="zh-CN"/>
        </w:rPr>
        <w:t>成交</w:t>
      </w:r>
      <w:r>
        <w:rPr>
          <w:rFonts w:hint="eastAsia" w:ascii="宋体" w:hAnsi="宋体" w:eastAsia="宋体" w:cs="宋体"/>
          <w:color w:val="auto"/>
          <w:kern w:val="0"/>
          <w:sz w:val="24"/>
          <w:highlight w:val="none"/>
          <w:shd w:val="clear" w:color="auto" w:fill="FFFFFF" w:themeFill="background1"/>
        </w:rPr>
        <w:t>公告，</w:t>
      </w:r>
      <w:r>
        <w:rPr>
          <w:rFonts w:hint="eastAsia" w:ascii="宋体" w:hAnsi="宋体" w:eastAsia="宋体" w:cs="宋体"/>
          <w:color w:val="auto"/>
          <w:kern w:val="0"/>
          <w:sz w:val="24"/>
          <w:highlight w:val="none"/>
          <w:shd w:val="clear" w:color="auto" w:fill="FFFFFF" w:themeFill="background1"/>
          <w:lang w:val="en-US" w:eastAsia="zh-CN"/>
        </w:rPr>
        <w:t>同时</w:t>
      </w:r>
      <w:r>
        <w:rPr>
          <w:rFonts w:hint="eastAsia" w:ascii="宋体" w:hAnsi="宋体" w:eastAsia="宋体" w:cs="宋体"/>
          <w:color w:val="auto"/>
          <w:kern w:val="0"/>
          <w:sz w:val="24"/>
          <w:highlight w:val="none"/>
          <w:shd w:val="clear" w:color="auto" w:fill="FFFFFF" w:themeFill="background1"/>
        </w:rPr>
        <w:t>发出成交通知书，签订采购合同，上传采购合同。</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八、凡对本次采购提出询问，请按以下方式联系</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1" w:name="_Toc28359019"/>
      <w:bookmarkStart w:id="12" w:name="_Toc35393806"/>
      <w:bookmarkStart w:id="13" w:name="_Toc35393637"/>
      <w:bookmarkStart w:id="14" w:name="_Toc28359096"/>
      <w:r>
        <w:rPr>
          <w:rFonts w:hint="eastAsia" w:ascii="宋体" w:hAnsi="宋体" w:eastAsia="宋体" w:cs="宋体"/>
          <w:color w:val="auto"/>
          <w:kern w:val="0"/>
          <w:sz w:val="24"/>
          <w:highlight w:val="none"/>
          <w:shd w:val="clear" w:color="auto" w:fill="FFFFFF" w:themeFill="background1"/>
        </w:rPr>
        <w:t>1、采购人信息</w:t>
      </w:r>
      <w:bookmarkEnd w:id="11"/>
      <w:bookmarkEnd w:id="12"/>
      <w:bookmarkEnd w:id="13"/>
      <w:bookmarkEnd w:id="14"/>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eastAsia="zh-CN"/>
        </w:rPr>
      </w:pPr>
      <w:r>
        <w:rPr>
          <w:rFonts w:hint="eastAsia" w:ascii="宋体" w:hAnsi="宋体" w:eastAsia="宋体" w:cs="宋体"/>
          <w:color w:val="auto"/>
          <w:kern w:val="0"/>
          <w:sz w:val="24"/>
          <w:highlight w:val="none"/>
          <w:shd w:val="clear" w:color="auto" w:fill="FFFFFF" w:themeFill="background1"/>
        </w:rPr>
        <w:t>采购人：三门峡社会管理职业学院</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张</w:t>
      </w:r>
      <w:r>
        <w:rPr>
          <w:rFonts w:hint="eastAsia" w:ascii="宋体" w:hAnsi="宋体" w:eastAsia="宋体" w:cs="宋体"/>
          <w:color w:val="auto"/>
          <w:kern w:val="0"/>
          <w:sz w:val="24"/>
          <w:highlight w:val="none"/>
          <w:shd w:val="clear" w:color="auto" w:fill="FFFFFF" w:themeFill="background1"/>
        </w:rPr>
        <w:t>老师</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val="en-US"/>
        </w:rPr>
      </w:pPr>
      <w:r>
        <w:rPr>
          <w:rFonts w:hint="eastAsia" w:ascii="宋体" w:hAnsi="宋体" w:eastAsia="宋体" w:cs="宋体"/>
          <w:color w:val="auto"/>
          <w:kern w:val="0"/>
          <w:sz w:val="24"/>
          <w:highlight w:val="none"/>
          <w:shd w:val="clear" w:color="auto" w:fill="FFFFFF" w:themeFill="background1"/>
        </w:rPr>
        <w:t>联系电话：0398-3808098</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地址：三门峡市城乡一体化示范区学府路</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bookmarkStart w:id="15" w:name="_Toc35393638"/>
      <w:bookmarkStart w:id="16" w:name="_Toc28359020"/>
      <w:bookmarkStart w:id="17" w:name="_Toc28359097"/>
      <w:bookmarkStart w:id="18" w:name="_Toc35393807"/>
      <w:r>
        <w:rPr>
          <w:rFonts w:hint="eastAsia" w:ascii="宋体" w:hAnsi="宋体" w:eastAsia="宋体" w:cs="宋体"/>
          <w:color w:val="auto"/>
          <w:kern w:val="0"/>
          <w:sz w:val="24"/>
          <w:highlight w:val="none"/>
          <w:shd w:val="clear" w:color="auto" w:fill="FFFFFF" w:themeFill="background1"/>
        </w:rPr>
        <w:t>2、采购代理机构信息</w:t>
      </w:r>
      <w:bookmarkEnd w:id="15"/>
      <w:bookmarkEnd w:id="16"/>
      <w:bookmarkEnd w:id="17"/>
      <w:bookmarkEnd w:id="18"/>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val="en-US" w:eastAsia="zh-CN"/>
        </w:rPr>
        <w:t>采购</w:t>
      </w:r>
      <w:r>
        <w:rPr>
          <w:rFonts w:hint="eastAsia" w:ascii="宋体" w:hAnsi="宋体" w:eastAsia="宋体" w:cs="宋体"/>
          <w:color w:val="auto"/>
          <w:kern w:val="0"/>
          <w:sz w:val="24"/>
          <w:highlight w:val="none"/>
          <w:shd w:val="clear" w:color="auto" w:fill="FFFFFF" w:themeFill="background1"/>
        </w:rPr>
        <w:t>代理机构：中恒晟（北京）工程管理有限公司</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 址：三门峡市鸿庆国际大厦1710室</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 xml:space="preserve"> </w:t>
      </w:r>
      <w:r>
        <w:rPr>
          <w:rFonts w:hint="eastAsia" w:ascii="宋体" w:hAnsi="宋体" w:eastAsia="宋体" w:cs="宋体"/>
          <w:color w:val="auto"/>
          <w:kern w:val="0"/>
          <w:sz w:val="24"/>
          <w:highlight w:val="none"/>
          <w:shd w:val="clear" w:color="auto" w:fill="FFFFFF" w:themeFill="background1"/>
        </w:rPr>
        <w:t>唐女士</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联系方式：15139820677</w:t>
      </w:r>
    </w:p>
    <w:p>
      <w:pPr>
        <w:widowControl/>
        <w:numPr>
          <w:ilvl w:val="0"/>
          <w:numId w:val="1"/>
        </w:numPr>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lang w:val="en-US" w:eastAsia="zh-CN"/>
        </w:rPr>
      </w:pPr>
      <w:r>
        <w:rPr>
          <w:rFonts w:hint="eastAsia" w:ascii="宋体" w:hAnsi="宋体" w:eastAsia="宋体" w:cs="宋体"/>
          <w:color w:val="auto"/>
          <w:kern w:val="0"/>
          <w:sz w:val="24"/>
          <w:highlight w:val="none"/>
          <w:shd w:val="clear" w:color="auto" w:fill="FFFFFF" w:themeFill="background1"/>
          <w:lang w:val="en-US" w:eastAsia="zh-CN"/>
        </w:rPr>
        <w:t>项目联系方式：</w:t>
      </w:r>
    </w:p>
    <w:p>
      <w:pPr>
        <w:widowControl/>
        <w:numPr>
          <w:ilvl w:val="0"/>
          <w:numId w:val="0"/>
        </w:numPr>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联系人：</w:t>
      </w:r>
      <w:r>
        <w:rPr>
          <w:rFonts w:hint="eastAsia" w:ascii="宋体" w:hAnsi="宋体" w:eastAsia="宋体" w:cs="宋体"/>
          <w:color w:val="auto"/>
          <w:kern w:val="0"/>
          <w:sz w:val="24"/>
          <w:highlight w:val="none"/>
          <w:shd w:val="clear" w:color="auto" w:fill="FFFFFF" w:themeFill="background1"/>
          <w:lang w:val="en-US" w:eastAsia="zh-CN"/>
        </w:rPr>
        <w:t xml:space="preserve"> </w:t>
      </w:r>
      <w:r>
        <w:rPr>
          <w:rFonts w:hint="eastAsia" w:ascii="宋体" w:hAnsi="宋体" w:eastAsia="宋体" w:cs="宋体"/>
          <w:color w:val="auto"/>
          <w:kern w:val="0"/>
          <w:sz w:val="24"/>
          <w:highlight w:val="none"/>
          <w:shd w:val="clear" w:color="auto" w:fill="FFFFFF" w:themeFill="background1"/>
        </w:rPr>
        <w:t>唐女士</w:t>
      </w:r>
    </w:p>
    <w:p>
      <w:pPr>
        <w:widowControl/>
        <w:adjustRightInd w:val="0"/>
        <w:snapToGrid w:val="0"/>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联系方式：15139820677</w:t>
      </w:r>
    </w:p>
    <w:p>
      <w:pPr>
        <w:rPr>
          <w:rFonts w:hint="eastAsia" w:ascii="宋体" w:hAnsi="宋体" w:eastAsia="宋体" w:cs="宋体"/>
          <w:color w:val="auto"/>
          <w:sz w:val="36"/>
          <w:szCs w:val="36"/>
          <w:highlight w:val="none"/>
          <w:shd w:val="clear" w:color="auto" w:fill="FFFFFF" w:themeFill="background1"/>
        </w:rPr>
      </w:pPr>
      <w:bookmarkStart w:id="19" w:name="_Toc121835973"/>
    </w:p>
    <w:p>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第二章 磋商须知</w:t>
      </w:r>
      <w:bookmarkEnd w:id="19"/>
    </w:p>
    <w:p>
      <w:pPr>
        <w:spacing w:line="360" w:lineRule="auto"/>
        <w:ind w:firstLine="200"/>
        <w:jc w:val="center"/>
        <w:rPr>
          <w:rFonts w:hint="eastAsia" w:ascii="宋体" w:hAnsi="宋体" w:eastAsia="宋体" w:cs="宋体"/>
          <w:b/>
          <w:bCs/>
          <w:color w:val="auto"/>
          <w:sz w:val="28"/>
          <w:szCs w:val="28"/>
          <w:highlight w:val="none"/>
          <w:shd w:val="clear" w:color="auto" w:fill="FFFFFF" w:themeFill="background1"/>
        </w:rPr>
      </w:pPr>
      <w:r>
        <w:rPr>
          <w:rFonts w:hint="eastAsia" w:ascii="宋体" w:hAnsi="宋体" w:eastAsia="宋体" w:cs="宋体"/>
          <w:b/>
          <w:bCs/>
          <w:color w:val="auto"/>
          <w:sz w:val="28"/>
          <w:szCs w:val="28"/>
          <w:highlight w:val="none"/>
          <w:shd w:val="clear" w:color="auto" w:fill="FFFFFF" w:themeFill="background1"/>
          <w:lang w:eastAsia="zh-CN"/>
        </w:rPr>
        <w:t>供应商</w:t>
      </w:r>
      <w:r>
        <w:rPr>
          <w:rFonts w:hint="eastAsia" w:ascii="宋体" w:hAnsi="宋体" w:eastAsia="宋体" w:cs="宋体"/>
          <w:b/>
          <w:bCs/>
          <w:color w:val="auto"/>
          <w:sz w:val="28"/>
          <w:szCs w:val="28"/>
          <w:highlight w:val="none"/>
          <w:shd w:val="clear" w:color="auto" w:fill="FFFFFF" w:themeFill="background1"/>
        </w:rPr>
        <w:t>须知前附表</w:t>
      </w:r>
    </w:p>
    <w:tbl>
      <w:tblPr>
        <w:tblStyle w:val="15"/>
        <w:tblW w:w="9271" w:type="dxa"/>
        <w:jc w:val="center"/>
        <w:tblLayout w:type="fixed"/>
        <w:tblCellMar>
          <w:top w:w="0" w:type="dxa"/>
          <w:left w:w="108" w:type="dxa"/>
          <w:bottom w:w="0" w:type="dxa"/>
          <w:right w:w="108" w:type="dxa"/>
        </w:tblCellMar>
      </w:tblPr>
      <w:tblGrid>
        <w:gridCol w:w="938"/>
        <w:gridCol w:w="2664"/>
        <w:gridCol w:w="5669"/>
      </w:tblGrid>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条款号</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条款名称</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编列内容</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采购人：三门峡社会管理职业学院</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联系人：</w:t>
            </w:r>
            <w:r>
              <w:rPr>
                <w:rFonts w:hint="eastAsia" w:ascii="宋体" w:hAnsi="宋体" w:eastAsia="宋体" w:cs="宋体"/>
                <w:color w:val="auto"/>
                <w:sz w:val="24"/>
                <w:highlight w:val="none"/>
                <w:shd w:val="clear" w:color="auto" w:fill="FFFFFF" w:themeFill="background1"/>
                <w:lang w:val="en-US" w:eastAsia="zh-CN"/>
              </w:rPr>
              <w:t>张</w:t>
            </w:r>
            <w:r>
              <w:rPr>
                <w:rFonts w:hint="eastAsia" w:ascii="宋体" w:hAnsi="宋体" w:eastAsia="宋体" w:cs="宋体"/>
                <w:color w:val="auto"/>
                <w:sz w:val="24"/>
                <w:highlight w:val="none"/>
                <w:shd w:val="clear" w:color="auto" w:fill="FFFFFF" w:themeFill="background1"/>
              </w:rPr>
              <w:t>老师</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联系电话：0398-3808098</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地址：三门峡市城乡一体化示范区学府路</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监督机构</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监督单位：三门峡市财政局政府采购监督管理科</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联系方式：0398-2608915</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代理机构</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采购代理机构：中恒晟（北京）工程管理有限公司</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 址：三门峡市鸿庆国际大厦1710室</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联系人：昝女士  唐女士</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联系方式：18503986091   15139820677</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项目名称</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三门峡社会管理职业学院民政健康学院智慧康养实训基地建设项目</w:t>
            </w:r>
          </w:p>
        </w:tc>
      </w:tr>
      <w:tr>
        <w:trPr>
          <w:trHeight w:val="52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采购内容</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资金来源</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8</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资金落实情况</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9</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交货期及安装期</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质量要求</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11</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资格要求</w:t>
            </w:r>
          </w:p>
        </w:tc>
        <w:tc>
          <w:tcPr>
            <w:tcW w:w="56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见“第一章 竞争性磋商公告”</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12</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rPr>
              <w:t>是否接受联合体</w:t>
            </w:r>
            <w:r>
              <w:rPr>
                <w:rFonts w:hint="eastAsia" w:ascii="宋体" w:hAnsi="宋体" w:cs="宋体"/>
                <w:color w:val="auto"/>
                <w:kern w:val="10"/>
                <w:sz w:val="24"/>
                <w:highlight w:val="none"/>
                <w:shd w:val="clear" w:color="auto" w:fill="FFFFFF" w:themeFill="background1"/>
                <w:lang w:val="en-US" w:eastAsia="zh-CN"/>
              </w:rPr>
              <w:t>磋商</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不接受</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13</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踏勘现场</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■不组织</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14</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提出问题的截止时间</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响应性文件递交截止时间5天前</w:t>
            </w:r>
          </w:p>
        </w:tc>
      </w:tr>
      <w:tr>
        <w:trPr>
          <w:trHeight w:val="563"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15</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采购人书面澄清的时间</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响应性文件递交截止时间5天前</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分包</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■不允许</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17</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偏离</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■允许</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18</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响应性文件递交截止时间</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202</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kern w:val="0"/>
                <w:sz w:val="24"/>
                <w:highlight w:val="none"/>
                <w:shd w:val="clear" w:color="auto" w:fill="FFFFFF" w:themeFill="background1"/>
              </w:rPr>
              <w:t>年</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月</w:t>
            </w:r>
            <w:r>
              <w:rPr>
                <w:rFonts w:hint="eastAsia" w:ascii="宋体" w:hAnsi="宋体" w:cs="宋体"/>
                <w:color w:val="auto"/>
                <w:kern w:val="0"/>
                <w:sz w:val="24"/>
                <w:highlight w:val="none"/>
                <w:shd w:val="clear" w:color="auto" w:fill="FFFFFF" w:themeFill="background1"/>
                <w:lang w:val="en-US" w:eastAsia="zh-CN"/>
              </w:rPr>
              <w:t>9</w:t>
            </w:r>
            <w:r>
              <w:rPr>
                <w:rFonts w:hint="eastAsia" w:ascii="宋体" w:hAnsi="宋体" w:eastAsia="宋体" w:cs="宋体"/>
                <w:color w:val="auto"/>
                <w:kern w:val="0"/>
                <w:sz w:val="24"/>
                <w:highlight w:val="none"/>
                <w:shd w:val="clear" w:color="auto" w:fill="FFFFFF" w:themeFill="background1"/>
              </w:rPr>
              <w:t>日</w:t>
            </w:r>
            <w:r>
              <w:rPr>
                <w:rFonts w:hint="eastAsia" w:ascii="宋体" w:hAnsi="宋体" w:eastAsia="宋体" w:cs="宋体"/>
                <w:color w:val="auto"/>
                <w:kern w:val="0"/>
                <w:sz w:val="24"/>
                <w:highlight w:val="none"/>
                <w:shd w:val="clear" w:color="auto" w:fill="FFFFFF" w:themeFill="background1"/>
                <w:lang w:val="en-US" w:eastAsia="zh-CN"/>
              </w:rPr>
              <w:t>08时30分</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19</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确认收到磋商文件的澄清时间</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收到澄清后24小时内（</w:t>
            </w:r>
            <w:r>
              <w:rPr>
                <w:rFonts w:hint="eastAsia" w:ascii="宋体" w:hAnsi="宋体" w:cs="宋体"/>
                <w:color w:val="auto"/>
                <w:sz w:val="24"/>
                <w:highlight w:val="none"/>
                <w:shd w:val="clear" w:color="auto" w:fill="FFFFFF" w:themeFill="background1"/>
                <w:lang w:val="en-US" w:eastAsia="zh-CN"/>
              </w:rPr>
              <w:t>以</w:t>
            </w:r>
            <w:r>
              <w:rPr>
                <w:rFonts w:hint="eastAsia" w:ascii="宋体" w:hAnsi="宋体" w:eastAsia="宋体" w:cs="宋体"/>
                <w:color w:val="auto"/>
                <w:sz w:val="24"/>
                <w:highlight w:val="none"/>
                <w:shd w:val="clear" w:color="auto" w:fill="FFFFFF" w:themeFill="background1"/>
              </w:rPr>
              <w:t>发出时间为准）</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20</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确认收到磋商文件的修改时间</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收到澄清后24小时内（</w:t>
            </w:r>
            <w:r>
              <w:rPr>
                <w:rFonts w:hint="eastAsia" w:ascii="宋体" w:hAnsi="宋体" w:cs="宋体"/>
                <w:color w:val="auto"/>
                <w:sz w:val="24"/>
                <w:highlight w:val="none"/>
                <w:shd w:val="clear" w:color="auto" w:fill="FFFFFF" w:themeFill="background1"/>
                <w:lang w:val="en-US" w:eastAsia="zh-CN"/>
              </w:rPr>
              <w:t>以</w:t>
            </w:r>
            <w:r>
              <w:rPr>
                <w:rFonts w:hint="eastAsia" w:ascii="宋体" w:hAnsi="宋体" w:eastAsia="宋体" w:cs="宋体"/>
                <w:color w:val="auto"/>
                <w:sz w:val="24"/>
                <w:highlight w:val="none"/>
                <w:shd w:val="clear" w:color="auto" w:fill="FFFFFF" w:themeFill="background1"/>
              </w:rPr>
              <w:t>发出时间为准）</w:t>
            </w:r>
          </w:p>
        </w:tc>
      </w:tr>
      <w:tr>
        <w:trPr>
          <w:trHeight w:val="5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磋商有效期</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自响应性文件递交截止之日起60日历天</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保证金</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自2019年8月1日起，在河南省政府采购货物和服务招标投标活动以及非招标采购方式采购货物、工程和服务的，不再向</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收取</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23</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签字或盖章要求</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在生成电子化响应文件后，应对电子化响应文件进行签章，未对电子化文件进行签章的视为无效投标。</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2、竞争性磋商文件中要求法定代表人或授权委托人签字或盖章的，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在进行电子化响应文件签章时，以签盖法定代表人签章为准。（电子化响应文件具体制作教材请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 CA 证书登录三门峡市公共资源电子化交易系统在右上角“组件下载”中查看）</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24</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响应文件提交地点</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在三门峡市公共资源交易中心网中上传加密响应文件</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25</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磋商小组</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依法在监督机构有关人员的监督下从相应专家库中随机抽取。磋商小组由有关技术、经济等方面的专家组成，成员为3 人。其中：技术、经济等方面的专家不能少于磋商小组成员的2/3。采购人代表不得担任磋商小组组长。</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26</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是否授权磋商小组确定</w:t>
            </w:r>
            <w:r>
              <w:rPr>
                <w:rFonts w:hint="eastAsia" w:ascii="宋体" w:hAnsi="宋体" w:eastAsia="宋体" w:cs="宋体"/>
                <w:color w:val="auto"/>
                <w:sz w:val="24"/>
                <w:highlight w:val="none"/>
                <w:shd w:val="clear" w:color="auto" w:fill="FFFFFF" w:themeFill="background1"/>
                <w:lang w:eastAsia="zh-CN"/>
              </w:rPr>
              <w:t>成交供应商</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■否，推荐</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数：</w:t>
            </w:r>
            <w:r>
              <w:rPr>
                <w:rFonts w:hint="eastAsia" w:ascii="宋体" w:hAnsi="宋体" w:eastAsia="宋体" w:cs="宋体"/>
                <w:color w:val="auto"/>
                <w:sz w:val="24"/>
                <w:highlight w:val="none"/>
                <w:shd w:val="clear" w:color="auto" w:fill="FFFFFF" w:themeFill="background1"/>
                <w:lang w:val="en-US" w:eastAsia="zh-CN"/>
              </w:rPr>
              <w:t>3名</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27</w:t>
            </w:r>
          </w:p>
        </w:tc>
        <w:tc>
          <w:tcPr>
            <w:tcW w:w="266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磋商标准及方法</w:t>
            </w:r>
          </w:p>
        </w:tc>
        <w:tc>
          <w:tcPr>
            <w:tcW w:w="5669"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由磋商小组采用综合评分法对提交最后报价的磋商</w:t>
            </w:r>
            <w:r>
              <w:rPr>
                <w:rFonts w:hint="eastAsia" w:ascii="宋体" w:hAnsi="宋体" w:eastAsia="宋体" w:cs="宋体"/>
                <w:color w:val="auto"/>
                <w:spacing w:val="6"/>
                <w:sz w:val="24"/>
                <w:highlight w:val="none"/>
                <w:shd w:val="clear" w:color="auto" w:fill="FFFFFF" w:themeFill="background1"/>
                <w:lang w:eastAsia="zh-CN"/>
              </w:rPr>
              <w:t>供应商</w:t>
            </w:r>
            <w:r>
              <w:rPr>
                <w:rFonts w:hint="eastAsia" w:ascii="宋体" w:hAnsi="宋体" w:eastAsia="宋体" w:cs="宋体"/>
                <w:color w:val="auto"/>
                <w:spacing w:val="6"/>
                <w:sz w:val="24"/>
                <w:highlight w:val="none"/>
                <w:shd w:val="clear" w:color="auto" w:fill="FFFFFF" w:themeFill="background1"/>
              </w:rPr>
              <w:t>的磋商响应文件和最后报价进行综合评分。综合评分法，是指磋商响应文件满足竞争性磋商文件全部实质性要求且按评审因素的量化指标评审得分最高的</w:t>
            </w:r>
            <w:r>
              <w:rPr>
                <w:rFonts w:hint="eastAsia" w:ascii="宋体" w:hAnsi="宋体" w:eastAsia="宋体" w:cs="宋体"/>
                <w:color w:val="auto"/>
                <w:spacing w:val="6"/>
                <w:sz w:val="24"/>
                <w:highlight w:val="none"/>
                <w:shd w:val="clear" w:color="auto" w:fill="FFFFFF" w:themeFill="background1"/>
                <w:lang w:eastAsia="zh-CN"/>
              </w:rPr>
              <w:t>供应商</w:t>
            </w:r>
            <w:r>
              <w:rPr>
                <w:rFonts w:hint="eastAsia" w:ascii="宋体" w:hAnsi="宋体" w:eastAsia="宋体" w:cs="宋体"/>
                <w:color w:val="auto"/>
                <w:spacing w:val="6"/>
                <w:sz w:val="24"/>
                <w:highlight w:val="none"/>
                <w:shd w:val="clear" w:color="auto" w:fill="FFFFFF" w:themeFill="background1"/>
              </w:rPr>
              <w:t>为</w:t>
            </w:r>
            <w:r>
              <w:rPr>
                <w:rFonts w:hint="eastAsia" w:ascii="宋体" w:hAnsi="宋体" w:eastAsia="宋体" w:cs="宋体"/>
                <w:color w:val="auto"/>
                <w:spacing w:val="6"/>
                <w:sz w:val="24"/>
                <w:highlight w:val="none"/>
                <w:shd w:val="clear" w:color="auto" w:fill="FFFFFF" w:themeFill="background1"/>
                <w:lang w:eastAsia="zh-CN"/>
              </w:rPr>
              <w:t>成交候选供应商</w:t>
            </w:r>
            <w:r>
              <w:rPr>
                <w:rFonts w:hint="eastAsia" w:ascii="宋体" w:hAnsi="宋体" w:eastAsia="宋体" w:cs="宋体"/>
                <w:color w:val="auto"/>
                <w:spacing w:val="6"/>
                <w:sz w:val="24"/>
                <w:highlight w:val="none"/>
                <w:shd w:val="clear" w:color="auto" w:fill="FFFFFF" w:themeFill="background1"/>
              </w:rPr>
              <w:t>的磋商方法。</w:t>
            </w:r>
          </w:p>
        </w:tc>
      </w:tr>
      <w:tr>
        <w:trPr>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28</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履约担保金</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en-US" w:eastAsia="zh-CN"/>
              </w:rPr>
              <w:t>本项目不再收取</w:t>
            </w:r>
            <w:r>
              <w:rPr>
                <w:rFonts w:hint="eastAsia" w:ascii="宋体" w:hAnsi="宋体" w:eastAsia="宋体" w:cs="宋体"/>
                <w:color w:val="auto"/>
                <w:sz w:val="24"/>
                <w:highlight w:val="none"/>
                <w:shd w:val="clear" w:color="auto" w:fill="FFFFFF" w:themeFill="background1"/>
              </w:rPr>
              <w:t>履约担保金</w:t>
            </w:r>
            <w:r>
              <w:rPr>
                <w:rFonts w:hint="eastAsia" w:ascii="宋体" w:hAnsi="宋体" w:eastAsia="宋体" w:cs="宋体"/>
                <w:bCs/>
                <w:color w:val="auto"/>
                <w:sz w:val="24"/>
                <w:highlight w:val="none"/>
                <w:shd w:val="clear" w:color="auto" w:fill="FFFFFF" w:themeFill="background1"/>
              </w:rPr>
              <w:t>；</w:t>
            </w:r>
          </w:p>
        </w:tc>
      </w:tr>
      <w:tr>
        <w:trPr>
          <w:trHeight w:val="29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29</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lang w:eastAsia="zh-CN"/>
              </w:rPr>
              <w:t>采购最高限价</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采购最高限价</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kern w:val="0"/>
                <w:sz w:val="24"/>
                <w:highlight w:val="none"/>
                <w:shd w:val="clear" w:color="auto" w:fill="FFFFFF" w:themeFill="background1"/>
                <w:lang w:val="en-US" w:eastAsia="zh-CN"/>
              </w:rPr>
              <w:t>1103316.00</w:t>
            </w:r>
            <w:r>
              <w:rPr>
                <w:rFonts w:hint="eastAsia" w:ascii="宋体" w:hAnsi="宋体" w:eastAsia="宋体" w:cs="宋体"/>
                <w:color w:val="auto"/>
                <w:sz w:val="24"/>
                <w:highlight w:val="none"/>
                <w:shd w:val="clear" w:color="auto" w:fill="FFFFFF" w:themeFill="background1"/>
                <w:lang w:val="en-US" w:eastAsia="zh-CN"/>
              </w:rPr>
              <w:t>元。</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报价超出采购</w:t>
            </w:r>
            <w:r>
              <w:rPr>
                <w:rFonts w:hint="eastAsia" w:ascii="宋体" w:hAnsi="宋体" w:cs="宋体"/>
                <w:color w:val="auto"/>
                <w:sz w:val="24"/>
                <w:highlight w:val="none"/>
                <w:shd w:val="clear" w:color="auto" w:fill="FFFFFF" w:themeFill="background1"/>
                <w:lang w:val="en-US" w:eastAsia="zh-CN"/>
              </w:rPr>
              <w:t>最高限价</w:t>
            </w:r>
            <w:r>
              <w:rPr>
                <w:rFonts w:hint="eastAsia" w:ascii="宋体" w:hAnsi="宋体" w:eastAsia="宋体" w:cs="宋体"/>
                <w:color w:val="auto"/>
                <w:sz w:val="24"/>
                <w:highlight w:val="none"/>
                <w:shd w:val="clear" w:color="auto" w:fill="FFFFFF" w:themeFill="background1"/>
              </w:rPr>
              <w:t>的，视为无效投标。</w:t>
            </w:r>
          </w:p>
        </w:tc>
      </w:tr>
      <w:tr>
        <w:trPr>
          <w:trHeight w:val="431"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30</w:t>
            </w:r>
          </w:p>
        </w:tc>
        <w:tc>
          <w:tcPr>
            <w:tcW w:w="2664" w:type="dxa"/>
            <w:tcBorders>
              <w:top w:val="single" w:color="auto" w:sz="4" w:space="0"/>
              <w:left w:val="single" w:color="auto" w:sz="4" w:space="0"/>
              <w:bottom w:val="single" w:color="auto" w:sz="4" w:space="0"/>
              <w:right w:val="single" w:color="auto" w:sz="4" w:space="0"/>
            </w:tcBorders>
            <w:vAlign w:val="center"/>
          </w:tcPr>
          <w:p>
            <w:pPr>
              <w:pStyle w:val="21"/>
              <w:adjustRightInd w:val="0"/>
              <w:spacing w:line="360" w:lineRule="auto"/>
              <w:jc w:val="center"/>
              <w:rPr>
                <w:rFonts w:hint="eastAsia" w:ascii="宋体" w:hAnsi="宋体" w:eastAsia="宋体" w:cs="宋体"/>
                <w:color w:val="auto"/>
                <w:spacing w:val="6"/>
                <w:sz w:val="24"/>
                <w:szCs w:val="24"/>
                <w:highlight w:val="none"/>
                <w:shd w:val="clear" w:color="auto" w:fill="FFFFFF" w:themeFill="background1"/>
              </w:rPr>
            </w:pPr>
            <w:r>
              <w:rPr>
                <w:rFonts w:hint="eastAsia" w:ascii="宋体" w:hAnsi="宋体" w:eastAsia="宋体" w:cs="宋体"/>
                <w:color w:val="auto"/>
                <w:spacing w:val="6"/>
                <w:sz w:val="24"/>
                <w:szCs w:val="24"/>
                <w:highlight w:val="none"/>
                <w:shd w:val="clear" w:color="auto" w:fill="FFFFFF" w:themeFill="background1"/>
              </w:rPr>
              <w:t>报价</w:t>
            </w:r>
          </w:p>
        </w:tc>
        <w:tc>
          <w:tcPr>
            <w:tcW w:w="5669" w:type="dxa"/>
            <w:tcBorders>
              <w:top w:val="single" w:color="auto" w:sz="4" w:space="0"/>
              <w:left w:val="single" w:color="auto" w:sz="4" w:space="0"/>
              <w:bottom w:val="single" w:color="auto" w:sz="4" w:space="0"/>
              <w:right w:val="single" w:color="auto" w:sz="4" w:space="0"/>
            </w:tcBorders>
            <w:vAlign w:val="center"/>
          </w:tcPr>
          <w:p>
            <w:pPr>
              <w:pStyle w:val="20"/>
              <w:spacing w:line="360" w:lineRule="auto"/>
              <w:jc w:val="both"/>
              <w:rPr>
                <w:rFonts w:hint="eastAsia" w:ascii="宋体" w:hAnsi="宋体" w:eastAsia="宋体" w:cs="宋体"/>
                <w:color w:val="auto"/>
                <w:spacing w:val="6"/>
                <w:kern w:val="2"/>
                <w:highlight w:val="none"/>
                <w:shd w:val="clear" w:color="auto" w:fill="FFFFFF" w:themeFill="background1"/>
              </w:rPr>
            </w:pPr>
            <w:r>
              <w:rPr>
                <w:rFonts w:hint="eastAsia" w:ascii="宋体" w:hAnsi="宋体" w:eastAsia="宋体" w:cs="宋体"/>
                <w:b/>
                <w:bCs/>
                <w:color w:val="auto"/>
                <w:highlight w:val="none"/>
                <w:shd w:val="clear" w:color="auto" w:fill="FFFFFF" w:themeFill="background1"/>
              </w:rPr>
              <w:t>本次竞争性磋商分为两轮报价。磋商</w:t>
            </w:r>
            <w:r>
              <w:rPr>
                <w:rFonts w:hint="eastAsia" w:ascii="宋体" w:hAnsi="宋体" w:eastAsia="宋体" w:cs="宋体"/>
                <w:b/>
                <w:bCs/>
                <w:color w:val="auto"/>
                <w:highlight w:val="none"/>
                <w:shd w:val="clear" w:color="auto" w:fill="FFFFFF" w:themeFill="background1"/>
                <w:lang w:eastAsia="zh-CN"/>
              </w:rPr>
              <w:t>供应商</w:t>
            </w:r>
            <w:r>
              <w:rPr>
                <w:rFonts w:hint="eastAsia" w:ascii="宋体" w:hAnsi="宋体" w:eastAsia="宋体" w:cs="宋体"/>
                <w:b/>
                <w:bCs/>
                <w:color w:val="auto"/>
                <w:highlight w:val="none"/>
                <w:shd w:val="clear" w:color="auto" w:fill="FFFFFF" w:themeFill="background1"/>
              </w:rPr>
              <w:t>响应性文件中的报价作为第一次报价，不得高于项目</w:t>
            </w:r>
            <w:r>
              <w:rPr>
                <w:rFonts w:hint="eastAsia" w:ascii="宋体" w:hAnsi="宋体" w:eastAsia="宋体" w:cs="宋体"/>
                <w:b/>
                <w:bCs/>
                <w:color w:val="auto"/>
                <w:highlight w:val="none"/>
                <w:shd w:val="clear" w:color="auto" w:fill="FFFFFF" w:themeFill="background1"/>
                <w:lang w:val="en-US" w:eastAsia="zh-CN"/>
              </w:rPr>
              <w:t>采购最高限价</w:t>
            </w:r>
            <w:r>
              <w:rPr>
                <w:rFonts w:hint="eastAsia" w:ascii="宋体" w:hAnsi="宋体" w:eastAsia="宋体" w:cs="宋体"/>
                <w:b/>
                <w:bCs/>
                <w:color w:val="auto"/>
                <w:highlight w:val="none"/>
                <w:shd w:val="clear" w:color="auto" w:fill="FFFFFF" w:themeFill="background1"/>
              </w:rPr>
              <w:t>金额且不公开；第二轮报价不得高于第一轮报价,</w:t>
            </w:r>
            <w:r>
              <w:rPr>
                <w:rFonts w:hint="eastAsia" w:ascii="宋体" w:hAnsi="宋体" w:eastAsia="宋体" w:cs="宋体"/>
                <w:b/>
                <w:bCs/>
                <w:color w:val="auto"/>
                <w:highlight w:val="none"/>
                <w:shd w:val="clear" w:color="auto" w:fill="FFFFFF" w:themeFill="background1"/>
                <w:lang w:eastAsia="zh-CN"/>
              </w:rPr>
              <w:t>成交价</w:t>
            </w:r>
            <w:r>
              <w:rPr>
                <w:rFonts w:hint="eastAsia" w:ascii="宋体" w:hAnsi="宋体" w:eastAsia="宋体" w:cs="宋体"/>
                <w:b/>
                <w:bCs/>
                <w:color w:val="auto"/>
                <w:highlight w:val="none"/>
                <w:shd w:val="clear" w:color="auto" w:fill="FFFFFF" w:themeFill="background1"/>
              </w:rPr>
              <w:t>以最终报价为准。</w:t>
            </w:r>
          </w:p>
        </w:tc>
      </w:tr>
      <w:tr>
        <w:trPr>
          <w:trHeight w:val="15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31</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采购代理费</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招标代理服务收费参照豫招协[2023]002号河南省招标投标协会关于印发《河南省招标代理服务收费指导意见》规定的收费标准收取</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服务费，执行货物收费标准。</w:t>
            </w:r>
          </w:p>
        </w:tc>
      </w:tr>
      <w:tr>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32</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付款办法</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后协商确定</w:t>
            </w:r>
          </w:p>
        </w:tc>
      </w:tr>
      <w:tr>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lang w:val="en-US"/>
              </w:rPr>
            </w:pPr>
            <w:r>
              <w:rPr>
                <w:rFonts w:hint="eastAsia" w:ascii="宋体" w:hAnsi="宋体" w:eastAsia="宋体" w:cs="宋体"/>
                <w:color w:val="auto"/>
                <w:sz w:val="24"/>
                <w:highlight w:val="none"/>
                <w:shd w:val="clear" w:color="auto" w:fill="FFFFFF" w:themeFill="background1"/>
                <w:lang w:val="en-US" w:eastAsia="zh-CN"/>
              </w:rPr>
              <w:t>33</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合同形式</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cs="宋体"/>
                <w:color w:val="auto"/>
                <w:sz w:val="24"/>
                <w:highlight w:val="none"/>
                <w:shd w:val="clear" w:color="auto" w:fill="FFFFFF" w:themeFill="background1"/>
                <w:lang w:val="en-US" w:eastAsia="zh-CN"/>
              </w:rPr>
              <w:t>总价</w:t>
            </w:r>
            <w:r>
              <w:rPr>
                <w:rFonts w:hint="eastAsia" w:ascii="宋体" w:hAnsi="宋体" w:eastAsia="宋体" w:cs="宋体"/>
                <w:color w:val="auto"/>
                <w:sz w:val="24"/>
                <w:highlight w:val="none"/>
                <w:shd w:val="clear" w:color="auto" w:fill="FFFFFF" w:themeFill="background1"/>
                <w:lang w:eastAsia="zh-CN"/>
              </w:rPr>
              <w:t>合同</w:t>
            </w:r>
          </w:p>
        </w:tc>
      </w:tr>
      <w:tr>
        <w:trPr>
          <w:trHeight w:val="52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highlight w:val="none"/>
                <w:shd w:val="clear" w:color="auto" w:fill="FFFFFF" w:themeFill="background1"/>
                <w:lang w:eastAsia="zh-CN"/>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val="en-US" w:eastAsia="zh-CN"/>
              </w:rPr>
              <w:t>4</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需要补充的其他内容：</w:t>
            </w:r>
          </w:p>
        </w:tc>
        <w:tc>
          <w:tcPr>
            <w:tcW w:w="5669"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本项目招标代理费由</w:t>
            </w:r>
            <w:r>
              <w:rPr>
                <w:rFonts w:hint="eastAsia" w:ascii="宋体" w:hAnsi="宋体" w:eastAsia="宋体" w:cs="宋体"/>
                <w:color w:val="auto"/>
                <w:kern w:val="10"/>
                <w:sz w:val="24"/>
                <w:highlight w:val="none"/>
                <w:shd w:val="clear" w:color="auto" w:fill="FFFFFF" w:themeFill="background1"/>
                <w:lang w:eastAsia="zh-CN"/>
              </w:rPr>
              <w:t>成交</w:t>
            </w:r>
            <w:r>
              <w:rPr>
                <w:rFonts w:hint="eastAsia" w:ascii="宋体" w:hAnsi="宋体" w:eastAsia="宋体" w:cs="宋体"/>
                <w:color w:val="auto"/>
                <w:kern w:val="10"/>
                <w:sz w:val="24"/>
                <w:highlight w:val="none"/>
                <w:shd w:val="clear" w:color="auto" w:fill="FFFFFF" w:themeFill="background1"/>
              </w:rPr>
              <w:t>单位承担，招标代理服务收费参照豫招协[2023]002号河南省招标投标协会关于印发《河南省招标代理服务收费指导意见》规定的收费标准收取</w:t>
            </w:r>
            <w:r>
              <w:rPr>
                <w:rFonts w:hint="eastAsia" w:ascii="宋体" w:hAnsi="宋体" w:eastAsia="宋体" w:cs="宋体"/>
                <w:color w:val="auto"/>
                <w:kern w:val="10"/>
                <w:sz w:val="24"/>
                <w:highlight w:val="none"/>
                <w:shd w:val="clear" w:color="auto" w:fill="FFFFFF" w:themeFill="background1"/>
                <w:lang w:val="en-US" w:eastAsia="zh-CN"/>
              </w:rPr>
              <w:t>成交</w:t>
            </w:r>
            <w:r>
              <w:rPr>
                <w:rFonts w:hint="eastAsia" w:ascii="宋体" w:hAnsi="宋体" w:eastAsia="宋体" w:cs="宋体"/>
                <w:color w:val="auto"/>
                <w:kern w:val="10"/>
                <w:sz w:val="24"/>
                <w:highlight w:val="none"/>
                <w:shd w:val="clear" w:color="auto" w:fill="FFFFFF" w:themeFill="background1"/>
              </w:rPr>
              <w:t>服务费，执行货物收费标准；</w:t>
            </w:r>
          </w:p>
          <w:p>
            <w:pPr>
              <w:numPr>
                <w:ilvl w:val="0"/>
                <w:numId w:val="2"/>
              </w:num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开标时不再递交纸质</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b/>
                <w:bCs/>
                <w:color w:val="auto"/>
                <w:sz w:val="24"/>
                <w:highlight w:val="none"/>
                <w:shd w:val="clear" w:color="auto" w:fill="FFFFFF" w:themeFill="background1"/>
                <w:lang w:eastAsia="zh-CN"/>
              </w:rPr>
              <w:t>成交</w:t>
            </w:r>
            <w:r>
              <w:rPr>
                <w:rFonts w:hint="eastAsia" w:ascii="宋体" w:hAnsi="宋体" w:eastAsia="宋体" w:cs="宋体"/>
                <w:b/>
                <w:bCs/>
                <w:color w:val="auto"/>
                <w:sz w:val="24"/>
                <w:highlight w:val="none"/>
                <w:shd w:val="clear" w:color="auto" w:fill="FFFFFF" w:themeFill="background1"/>
              </w:rPr>
              <w:t>单位在公示期结束后提交纸质</w:t>
            </w:r>
            <w:r>
              <w:rPr>
                <w:rFonts w:hint="eastAsia" w:ascii="宋体" w:hAnsi="宋体" w:eastAsia="宋体" w:cs="宋体"/>
                <w:b/>
                <w:bCs/>
                <w:color w:val="auto"/>
                <w:sz w:val="24"/>
                <w:highlight w:val="none"/>
                <w:shd w:val="clear" w:color="auto" w:fill="FFFFFF" w:themeFill="background1"/>
                <w:lang w:eastAsia="zh-CN"/>
              </w:rPr>
              <w:t>响应文件</w:t>
            </w:r>
            <w:r>
              <w:rPr>
                <w:rFonts w:hint="eastAsia" w:ascii="宋体" w:hAnsi="宋体" w:eastAsia="宋体" w:cs="宋体"/>
                <w:b/>
                <w:bCs/>
                <w:color w:val="auto"/>
                <w:sz w:val="24"/>
                <w:highlight w:val="none"/>
                <w:shd w:val="clear" w:color="auto" w:fill="FFFFFF" w:themeFill="background1"/>
              </w:rPr>
              <w:t>（一正四副）；</w:t>
            </w:r>
          </w:p>
        </w:tc>
      </w:tr>
      <w:tr>
        <w:trPr>
          <w:trHeight w:val="500" w:hRule="atLeast"/>
          <w:jc w:val="center"/>
        </w:trPr>
        <w:tc>
          <w:tcPr>
            <w:tcW w:w="9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val="en-US" w:eastAsia="zh-CN"/>
              </w:rPr>
              <w:t>35</w:t>
            </w:r>
          </w:p>
        </w:tc>
        <w:tc>
          <w:tcPr>
            <w:tcW w:w="266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政府采购政策</w:t>
            </w:r>
          </w:p>
        </w:tc>
        <w:tc>
          <w:tcPr>
            <w:tcW w:w="566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本项目所属行业：其他未列明行业</w:t>
            </w:r>
          </w:p>
          <w:p>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val="en-US" w:eastAsia="zh-CN"/>
              </w:rPr>
              <w:t>1、</w:t>
            </w:r>
            <w:r>
              <w:rPr>
                <w:rFonts w:hint="eastAsia" w:ascii="宋体" w:hAnsi="宋体" w:eastAsia="宋体" w:cs="宋体"/>
                <w:color w:val="auto"/>
                <w:kern w:val="10"/>
                <w:sz w:val="24"/>
                <w:highlight w:val="none"/>
                <w:shd w:val="clear" w:color="auto" w:fill="FFFFFF" w:themeFill="background1"/>
                <w:lang w:eastAsia="zh-CN"/>
              </w:rPr>
              <w:t>落实中小企业、监狱企业、残疾人福利企业政府采购政策。</w:t>
            </w:r>
          </w:p>
          <w:p>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本项目非专门面向中小企业、监狱企业及残疾人福利性单位采购项目。根据《政府采购促进中小企业发展管理办法》（财库﹝2020﹞46 号）《财政部关于进一步加大政府采购支持中小企业力度的通知》（财库﹝2022﹞19 号）《三门峡市财政局关于进一步加大政府采购支持中小企业发展有关事项的通知》（三财购﹝2022﹞9 号）的规定，对小型、微型企业、监狱企业及残疾人福利性单位产品的价格给予 6%～20%的扣除，用扣除后的价格参与评审，本项目的扣除比例为：小型企业扣除20%，微型企业扣除20%，监狱企业扣除 20%，残疾人福利性单位扣除20%。监狱企业和残疾人福利性单位属于小型、微型企业的，不重复享受政策。</w:t>
            </w:r>
          </w:p>
          <w:p>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在货物采购项目中。供应商提供的货物既有中小企业制造货物，也有大型企业制造货物的，不享受《政府采购促进中小企业发展管理办法》(财库[2020]46 号)规定的中小企业扶持政策。参加政府采购活动的中小企业应当提供《中小企业声明函》；监狱企业应当提供由省级以上监狱管理局、戒毒管理局(含新疆生产建设兵团)出具的属于监狱企业的证明文件；残疾人福利性单位应当提供《残疾人福利性单位声明函》。</w:t>
            </w:r>
          </w:p>
          <w:p>
            <w:pPr>
              <w:spacing w:line="360" w:lineRule="auto"/>
              <w:jc w:val="left"/>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注：依据《政府采购促进中小企业发展管理办法》(财库 [2020]46号)规定享受扶持政策获得政府采购合同的，小微企业不得将合同分包给大中型企业，中型企业不得将合同分包给大型企业。</w:t>
            </w:r>
          </w:p>
          <w:p>
            <w:pPr>
              <w:spacing w:line="360" w:lineRule="auto"/>
              <w:jc w:val="left"/>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节能产品、环境标志产品政府采购政策：</w:t>
            </w:r>
          </w:p>
          <w:p>
            <w:pPr>
              <w:spacing w:line="360" w:lineRule="auto"/>
              <w:jc w:val="left"/>
              <w:rPr>
                <w:rFonts w:hint="eastAsia" w:ascii="宋体" w:hAnsi="宋体" w:eastAsia="宋体" w:cs="宋体"/>
                <w:color w:val="auto"/>
                <w:kern w:val="10"/>
                <w:sz w:val="24"/>
                <w:highlight w:val="none"/>
                <w:shd w:val="clear" w:color="auto" w:fill="FFFFFF" w:themeFill="background1"/>
                <w:lang w:val="en-US" w:eastAsia="zh-CN"/>
              </w:rPr>
            </w:pPr>
            <w:r>
              <w:rPr>
                <w:rFonts w:hint="eastAsia" w:ascii="宋体" w:hAnsi="宋体" w:eastAsia="宋体" w:cs="宋体"/>
                <w:color w:val="auto"/>
                <w:kern w:val="10"/>
                <w:sz w:val="24"/>
                <w:highlight w:val="none"/>
                <w:shd w:val="clear" w:color="auto" w:fill="FFFFFF" w:themeFill="background1"/>
                <w:lang w:eastAsia="zh-CN"/>
              </w:rPr>
              <w:t>根据财政部发展改革委生态环境部市场监管总局《关于 调整优化节能产品、环境标志产品政府采购执行机制的通知》 (财库〔2019〕9 号)、《关于印发节能产品政府采购 品目清单的通知》(财库〔2019〕19 号)；《关于印发环境标志产品政府采购品目清单的通知》(财库〔2019〕18 号) 要求，本项目若含有节能产品政府采购品目清单内政府强制采购产品，供应商须选用国家公布的认证机构认证的处于有效期之内的政府强制采购节能产品。本项目若含有节能产品、环境标志产品政府采购品目清单内政府优先采购产品，在性能、技术、服务等指标同等条件下，优先采购 国家公布的认证机构认证的处于有效期之内的节能产品 (政府强制采购产品除外)、环境标志产品。供应商应提供 国家公布的认证机构出具的处于有效期之内的节能产品、环境标志产品认证证书。对于同时获得节能产品和环境标志产品认证证书产品.只给予其中一种认证证书产品优先采购按品目清单内的政府优先采购节能产品和环境标志产品金额之和占其总价的比例，比例高的优先。</w:t>
            </w:r>
          </w:p>
        </w:tc>
      </w:tr>
      <w:tr>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lang w:val="zh-CN"/>
              </w:rPr>
              <w:t>电子化注意事项</w:t>
            </w:r>
          </w:p>
        </w:tc>
      </w:tr>
      <w:tr>
        <w:trPr>
          <w:trHeight w:val="520" w:hRule="atLeast"/>
          <w:jc w:val="center"/>
        </w:trPr>
        <w:tc>
          <w:tcPr>
            <w:tcW w:w="9271" w:type="dxa"/>
            <w:gridSpan w:val="3"/>
            <w:tcBorders>
              <w:top w:val="single" w:color="auto" w:sz="4" w:space="0"/>
              <w:left w:val="single" w:color="auto" w:sz="4" w:space="0"/>
              <w:bottom w:val="single" w:color="auto" w:sz="4" w:space="0"/>
              <w:right w:val="single" w:color="auto" w:sz="4" w:space="0"/>
            </w:tcBorders>
            <w:vAlign w:val="center"/>
          </w:tcPr>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1、本项目为电子化、无纸化交易项目，</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是</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制作系统制作，并经过电子签章和加密后生成的电子化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，未对电子化文件进行签章的视为无效投标。</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投标时，将不再接受任何纸质文件资料。</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工具请点击</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"http://t.cn/A6ZvtVob" </w:instrText>
            </w:r>
            <w:r>
              <w:rPr>
                <w:rFonts w:hint="eastAsia" w:ascii="宋体" w:hAnsi="宋体" w:eastAsia="宋体" w:cs="宋体"/>
                <w:color w:val="auto"/>
                <w:highlight w:val="none"/>
              </w:rPr>
              <w:fldChar w:fldCharType="separate"/>
            </w:r>
            <w:r>
              <w:rPr>
                <w:rStyle w:val="19"/>
                <w:rFonts w:hint="eastAsia" w:ascii="宋体" w:hAnsi="宋体" w:eastAsia="宋体" w:cs="宋体"/>
                <w:color w:val="auto"/>
                <w:sz w:val="24"/>
                <w:highlight w:val="none"/>
                <w:shd w:val="clear" w:color="auto" w:fill="FFFFFF" w:themeFill="background1"/>
              </w:rPr>
              <w:t>http://t.cn/A6ZvtVob</w:t>
            </w:r>
            <w:r>
              <w:rPr>
                <w:rStyle w:val="19"/>
                <w:rFonts w:hint="eastAsia" w:ascii="宋体" w:hAnsi="宋体" w:eastAsia="宋体" w:cs="宋体"/>
                <w:color w:val="auto"/>
                <w:sz w:val="24"/>
                <w:highlight w:val="none"/>
                <w:shd w:val="clear" w:color="auto" w:fill="FFFFFF" w:themeFill="background1"/>
              </w:rPr>
              <w:fldChar w:fldCharType="end"/>
            </w:r>
            <w:r>
              <w:rPr>
                <w:rFonts w:hint="eastAsia" w:ascii="宋体" w:hAnsi="宋体" w:eastAsia="宋体" w:cs="宋体"/>
                <w:color w:val="auto"/>
                <w:sz w:val="24"/>
                <w:highlight w:val="none"/>
                <w:shd w:val="clear" w:color="auto" w:fill="FFFFFF" w:themeFill="background1"/>
              </w:rPr>
              <w:t>进行下载。</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所上传的电子化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，应是通过中心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制作工具下载地址：http://t.cn/A6ZvtVob），经过签章和加密后生成的电子版</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。其中包含用于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上传的主文件（后缀为.smxtf）和用于应急补救的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备份文件（后缀为.nsmxtf）。备份文件主要用于电子化开标出现技术问题后的补救，请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随身携带。</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投报多个标段的，每个标段均要生成独立的电子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应在投标截止时间前成功上传至三门峡市公共资源电子化交易系统。至投标截止时间止，仍未上传成功的电子化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w:t>
            </w:r>
          </w:p>
          <w:p>
            <w:pPr>
              <w:spacing w:line="500" w:lineRule="exact"/>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注：如按照电子化投标操作教材制作完成的电子化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无法上传的，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应在投标截止时间前尽早的联系中心技术人员，以便有充分的时间进行处理。</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应充分考虑到处理技术问题和上传数据等工作所需的时间问题，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未在投标截止时间前成功上传的，其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不予接收。技术联系电话：</w:t>
            </w:r>
            <w:r>
              <w:rPr>
                <w:rFonts w:hint="eastAsia" w:ascii="宋体" w:hAnsi="宋体" w:eastAsia="宋体" w:cs="宋体"/>
                <w:b/>
                <w:bCs/>
                <w:color w:val="auto"/>
                <w:sz w:val="24"/>
                <w:highlight w:val="none"/>
                <w:shd w:val="clear" w:color="auto" w:fill="FFFFFF" w:themeFill="background1"/>
              </w:rPr>
              <w:t>0398-3117095</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一、电子化投标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（一）网上</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的缴纳</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根据《河南省财政厅关于优化政府采购营商环境有关问题的通知》（豫财购【2019】4号）第6条的规定，</w:t>
            </w:r>
            <w:r>
              <w:rPr>
                <w:rFonts w:hint="eastAsia" w:ascii="宋体" w:hAnsi="宋体" w:eastAsia="宋体" w:cs="宋体"/>
                <w:color w:val="auto"/>
                <w:sz w:val="24"/>
                <w:highlight w:val="none"/>
                <w:shd w:val="clear" w:color="auto" w:fill="FFFFFF" w:themeFill="background1"/>
                <w:lang w:eastAsia="zh-CN"/>
              </w:rPr>
              <w:t>磋商保证金</w:t>
            </w:r>
            <w:r>
              <w:rPr>
                <w:rFonts w:hint="eastAsia" w:ascii="宋体" w:hAnsi="宋体" w:eastAsia="宋体" w:cs="宋体"/>
                <w:color w:val="auto"/>
                <w:sz w:val="24"/>
                <w:highlight w:val="none"/>
                <w:shd w:val="clear" w:color="auto" w:fill="FFFFFF" w:themeFill="background1"/>
              </w:rPr>
              <w:t>不再收取。</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的签章</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后，应对电子化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进行签章，未进行签章的视为无效投标。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r>
              <w:rPr>
                <w:rFonts w:hint="eastAsia" w:ascii="宋体" w:hAnsi="宋体" w:eastAsia="宋体" w:cs="宋体"/>
                <w:color w:val="auto"/>
                <w:sz w:val="24"/>
                <w:highlight w:val="none"/>
                <w:shd w:val="clear" w:color="auto" w:fill="FFFFFF" w:themeFill="background1"/>
                <w:lang w:eastAsia="zh-CN"/>
              </w:rPr>
              <w:t>竞争性磋商文件</w:t>
            </w:r>
            <w:r>
              <w:rPr>
                <w:rFonts w:hint="eastAsia" w:ascii="宋体" w:hAnsi="宋体" w:eastAsia="宋体" w:cs="宋体"/>
                <w:color w:val="auto"/>
                <w:sz w:val="24"/>
                <w:highlight w:val="none"/>
                <w:shd w:val="clear" w:color="auto" w:fill="FFFFFF" w:themeFill="background1"/>
              </w:rPr>
              <w:t>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签章时，以签盖法定代表人签章为准。</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的格式及上传投标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所上传的电子化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，应是通过中心</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制作系统制作的（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制作工具下载地址：http://t.cn/A6ZvtVob），经过签章和加密后生成的电子版</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。其中包含用于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上传的主文件（后缀为.smxtf）和用于应急补救的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备份文件（后缀为.nsmxtf）。备份文件主要用于电子化开标出现技术问题后的补救，请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随身携带。</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投报多个标段的，需要每个标段单独制作电子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应在投标截止时间前成功上传至三门峡市公共资源电子化交易系统。至投标截止时间止，仍未上传成功的电子化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注：如按照电子化投标操作教材制作完成的电子化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无法上传的，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应在投标截止时间前尽早的联系中心技术人员，以便有充分的时间进行处理。</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应充分考虑到处理技术问题和上传数据等工作所需的时间问题，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未在投标截止时间前成功上传的，其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技术联系电话： 0398-3117095</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（四）电子化项目开标、解密、唱标、评标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1、本项目采用电子化、无纸化进行招标，开标当日，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无需到开标现场参加开标会议，</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应当在投标截止时间前，登陆不见面开标大厅选择登陆三门峡市公共资源电子招投标系统进行登陆（网址为http://t.cn/A6huPROa）,在线准时参加开标活动并进行</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解密等</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采用一次加密方式。开标时，由</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使用CA 证书，在规定时间内对其电子化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进行解密。每位</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的解密时间为开标时间起30 分钟内，如在规定时间内未完成解密的，其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不予开标、唱标。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解密异常的处理</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如出现</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的电子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无法解密等异常情况，</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应及时致电中介服务机构说明。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异常，按以下步骤进行处理：</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（1）首先由技术人员进行问题排查。</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（2）经技术人员排查后，是</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文件自身问题导致</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无法解密的，该</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将不予接收、解密和唱标。开标会议继续进行。</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（3）经技术人员排查后，如果是电子化交易系统问题造成</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无法解密的，将由技术人员对问题进行处理。如短时间内问题无法解决的，将由中介服务机构向监督部门申请，经监督部门同意后，暂停开标会议，待问题解决后继续开标。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4、待所有</w:t>
            </w:r>
            <w:r>
              <w:rPr>
                <w:rFonts w:hint="eastAsia" w:ascii="宋体" w:hAnsi="宋体" w:eastAsia="宋体" w:cs="宋体"/>
                <w:color w:val="auto"/>
                <w:sz w:val="24"/>
                <w:highlight w:val="none"/>
                <w:shd w:val="clear" w:color="auto" w:fill="FFFFFF" w:themeFill="background1"/>
                <w:lang w:eastAsia="zh-CN"/>
              </w:rPr>
              <w:t>供应商响应文件</w:t>
            </w:r>
            <w:r>
              <w:rPr>
                <w:rFonts w:hint="eastAsia" w:ascii="宋体" w:hAnsi="宋体" w:eastAsia="宋体" w:cs="宋体"/>
                <w:color w:val="auto"/>
                <w:sz w:val="24"/>
                <w:highlight w:val="none"/>
                <w:shd w:val="clear" w:color="auto" w:fill="FFFFFF" w:themeFill="background1"/>
              </w:rPr>
              <w:t>解密完成后，由中介服务机构操作，对所有已解密</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进行唱标，竞争性谈判（磋商）不唱标。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应保证在开标期间电话、电脑、网络能够正常工作，</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因停电、电脑病毒、网络堵塞等原因，未在规定的解密时间内对</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进行解密的，其</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不予接收、唱标。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5、开标时</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可登录到交易系统中在开标解密栏中点击报价一览表查看自己的投标报价。如对自己的唱标内容有异议的，应在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解密成功后10分钟内向中介服务机构电话质疑。中介服务机构应在监督人员的监督下进行免提通话接受</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的质疑并做好书面记录。</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未在规定时间内提出质疑的，视为认可唱标内容。竞争性谈判（磋商）不唱标。</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6、评标时，评标委员会对电子化</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有质疑的，将通过电子化交易系统对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发起质疑，并在监督人员的监督下，用免提模式致电需要答复的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对质疑进行回复。</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的回复文件必须以经过</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和其法定代表人签章的PDF格式文件为准，并通过电子化交易系统提交至评标委员会。</w:t>
            </w:r>
          </w:p>
          <w:p>
            <w:pPr>
              <w:spacing w:line="500" w:lineRule="exact"/>
              <w:rPr>
                <w:rFonts w:hint="eastAsia" w:ascii="宋体" w:hAnsi="宋体" w:eastAsia="宋体" w:cs="宋体"/>
                <w:b w:val="0"/>
                <w:bCs w:val="0"/>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7、如评标委员会对需要回复的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连续三次致电未接通的，视为</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放弃回复，评标委员会将自行对</w:t>
            </w:r>
            <w:r>
              <w:rPr>
                <w:rFonts w:hint="eastAsia" w:ascii="宋体" w:hAnsi="宋体" w:eastAsia="宋体" w:cs="宋体"/>
                <w:b w:val="0"/>
                <w:bCs w:val="0"/>
                <w:color w:val="auto"/>
                <w:sz w:val="24"/>
                <w:highlight w:val="none"/>
                <w:shd w:val="clear" w:color="auto" w:fill="FFFFFF" w:themeFill="background1"/>
              </w:rPr>
              <w:t>需要回复的内容进行认定。</w:t>
            </w:r>
          </w:p>
          <w:p>
            <w:pPr>
              <w:spacing w:line="5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提示：本项目为电子化、无纸化交易项目，为保证您能投标成功，请需仔细阅读以上条款。</w:t>
            </w:r>
          </w:p>
        </w:tc>
      </w:tr>
    </w:tbl>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1、适用范围</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本竞争性磋商文件仅适用于本次竞争性磋商的所叙述的内容。</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lang w:eastAsia="zh-CN"/>
        </w:rPr>
      </w:pPr>
      <w:r>
        <w:rPr>
          <w:rFonts w:hint="eastAsia" w:ascii="宋体" w:hAnsi="宋体" w:eastAsia="宋体" w:cs="宋体"/>
          <w:b/>
          <w:bCs/>
          <w:color w:val="auto"/>
          <w:sz w:val="24"/>
          <w:highlight w:val="none"/>
          <w:shd w:val="clear" w:color="auto" w:fill="FFFFFF" w:themeFill="background1"/>
        </w:rPr>
        <w:t>2、合格的</w:t>
      </w:r>
      <w:r>
        <w:rPr>
          <w:rFonts w:hint="eastAsia" w:ascii="宋体" w:hAnsi="宋体" w:eastAsia="宋体" w:cs="宋体"/>
          <w:b/>
          <w:bCs/>
          <w:color w:val="auto"/>
          <w:sz w:val="24"/>
          <w:highlight w:val="none"/>
          <w:shd w:val="clear" w:color="auto" w:fill="FFFFFF" w:themeFill="background1"/>
          <w:lang w:eastAsia="zh-CN"/>
        </w:rPr>
        <w:t>供应商</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符合</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须知前附表11项。</w:t>
      </w:r>
    </w:p>
    <w:p>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3、具体说明</w:t>
      </w:r>
    </w:p>
    <w:p>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3.1 在符合相关法律法规的前题下，竞争性磋商文件的解释权归采购人所有。</w:t>
      </w:r>
    </w:p>
    <w:p>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3.2本次磋商不收取</w:t>
      </w:r>
      <w:r>
        <w:rPr>
          <w:rFonts w:hint="eastAsia" w:ascii="宋体" w:hAnsi="宋体" w:eastAsia="宋体" w:cs="宋体"/>
          <w:bCs/>
          <w:color w:val="auto"/>
          <w:sz w:val="24"/>
          <w:highlight w:val="none"/>
          <w:shd w:val="clear" w:color="auto" w:fill="FFFFFF" w:themeFill="background1"/>
          <w:lang w:eastAsia="zh-CN"/>
        </w:rPr>
        <w:t>磋商保证金</w:t>
      </w:r>
      <w:r>
        <w:rPr>
          <w:rFonts w:hint="eastAsia" w:ascii="宋体" w:hAnsi="宋体" w:eastAsia="宋体" w:cs="宋体"/>
          <w:bCs/>
          <w:color w:val="auto"/>
          <w:sz w:val="24"/>
          <w:highlight w:val="none"/>
          <w:shd w:val="clear" w:color="auto" w:fill="FFFFFF" w:themeFill="background1"/>
        </w:rPr>
        <w:t>。</w:t>
      </w:r>
    </w:p>
    <w:p>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3.3</w:t>
      </w:r>
      <w:r>
        <w:rPr>
          <w:rFonts w:hint="eastAsia" w:ascii="宋体" w:hAnsi="宋体" w:eastAsia="宋体" w:cs="宋体"/>
          <w:bCs/>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代理服务收费参照豫招协[2023]002号河南省招标投标协会关于印发《河南省招标代理服务收费指导意见》规定的收费标准收取</w:t>
      </w:r>
      <w:r>
        <w:rPr>
          <w:rFonts w:hint="eastAsia" w:ascii="宋体" w:hAnsi="宋体" w:eastAsia="宋体" w:cs="宋体"/>
          <w:color w:val="auto"/>
          <w:sz w:val="24"/>
          <w:highlight w:val="none"/>
          <w:shd w:val="clear" w:color="auto" w:fill="FFFFFF" w:themeFill="background1"/>
          <w:lang w:val="en-US" w:eastAsia="zh-CN"/>
        </w:rPr>
        <w:t>成交</w:t>
      </w:r>
      <w:r>
        <w:rPr>
          <w:rFonts w:hint="eastAsia" w:ascii="宋体" w:hAnsi="宋体" w:eastAsia="宋体" w:cs="宋体"/>
          <w:color w:val="auto"/>
          <w:sz w:val="24"/>
          <w:highlight w:val="none"/>
          <w:shd w:val="clear" w:color="auto" w:fill="FFFFFF" w:themeFill="background1"/>
        </w:rPr>
        <w:t>服务费，执行货物收费标准</w:t>
      </w:r>
      <w:r>
        <w:rPr>
          <w:rFonts w:hint="eastAsia" w:ascii="宋体" w:hAnsi="宋体" w:eastAsia="宋体" w:cs="宋体"/>
          <w:bCs/>
          <w:color w:val="auto"/>
          <w:sz w:val="24"/>
          <w:highlight w:val="none"/>
          <w:shd w:val="clear" w:color="auto" w:fill="FFFFFF" w:themeFill="background1"/>
        </w:rPr>
        <w:t>，由</w:t>
      </w:r>
      <w:r>
        <w:rPr>
          <w:rFonts w:hint="eastAsia" w:ascii="宋体" w:hAnsi="宋体" w:eastAsia="宋体" w:cs="宋体"/>
          <w:bCs/>
          <w:color w:val="auto"/>
          <w:sz w:val="24"/>
          <w:highlight w:val="none"/>
          <w:shd w:val="clear" w:color="auto" w:fill="FFFFFF" w:themeFill="background1"/>
          <w:lang w:eastAsia="zh-CN"/>
        </w:rPr>
        <w:t>成交人</w:t>
      </w:r>
      <w:r>
        <w:rPr>
          <w:rFonts w:hint="eastAsia" w:ascii="宋体" w:hAnsi="宋体" w:eastAsia="宋体" w:cs="宋体"/>
          <w:bCs/>
          <w:color w:val="auto"/>
          <w:sz w:val="24"/>
          <w:highlight w:val="none"/>
          <w:shd w:val="clear" w:color="auto" w:fill="FFFFFF" w:themeFill="background1"/>
        </w:rPr>
        <w:t>向</w:t>
      </w:r>
      <w:r>
        <w:rPr>
          <w:rFonts w:hint="eastAsia" w:ascii="宋体" w:hAnsi="宋体" w:eastAsia="宋体" w:cs="宋体"/>
          <w:bCs/>
          <w:color w:val="auto"/>
          <w:sz w:val="24"/>
          <w:highlight w:val="none"/>
          <w:shd w:val="clear" w:color="auto" w:fill="FFFFFF" w:themeFill="background1"/>
          <w:lang w:eastAsia="zh-CN"/>
        </w:rPr>
        <w:t>采购代理机构</w:t>
      </w:r>
      <w:r>
        <w:rPr>
          <w:rFonts w:hint="eastAsia" w:ascii="宋体" w:hAnsi="宋体" w:eastAsia="宋体" w:cs="宋体"/>
          <w:bCs/>
          <w:color w:val="auto"/>
          <w:sz w:val="24"/>
          <w:highlight w:val="none"/>
          <w:shd w:val="clear" w:color="auto" w:fill="FFFFFF" w:themeFill="background1"/>
        </w:rPr>
        <w:t>支付。</w:t>
      </w:r>
    </w:p>
    <w:p>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3.4除了</w:t>
      </w:r>
      <w:r>
        <w:rPr>
          <w:rFonts w:hint="eastAsia" w:ascii="宋体" w:hAnsi="宋体" w:eastAsia="宋体" w:cs="宋体"/>
          <w:bCs/>
          <w:color w:val="auto"/>
          <w:sz w:val="24"/>
          <w:highlight w:val="none"/>
          <w:shd w:val="clear" w:color="auto" w:fill="FFFFFF" w:themeFill="background1"/>
          <w:lang w:eastAsia="zh-CN"/>
        </w:rPr>
        <w:t>采购代理服务费</w:t>
      </w:r>
      <w:r>
        <w:rPr>
          <w:rFonts w:hint="eastAsia" w:ascii="宋体" w:hAnsi="宋体" w:eastAsia="宋体" w:cs="宋体"/>
          <w:bCs/>
          <w:color w:val="auto"/>
          <w:sz w:val="24"/>
          <w:highlight w:val="none"/>
          <w:shd w:val="clear" w:color="auto" w:fill="FFFFFF" w:themeFill="background1"/>
        </w:rPr>
        <w:t>以外开标过程中产生的一切费用均由</w:t>
      </w:r>
      <w:r>
        <w:rPr>
          <w:rFonts w:hint="eastAsia" w:ascii="宋体" w:hAnsi="宋体" w:eastAsia="宋体" w:cs="宋体"/>
          <w:bCs/>
          <w:color w:val="auto"/>
          <w:sz w:val="24"/>
          <w:highlight w:val="none"/>
          <w:shd w:val="clear" w:color="auto" w:fill="FFFFFF" w:themeFill="background1"/>
          <w:lang w:eastAsia="zh-CN"/>
        </w:rPr>
        <w:t>成交人</w:t>
      </w:r>
      <w:r>
        <w:rPr>
          <w:rFonts w:hint="eastAsia" w:ascii="宋体" w:hAnsi="宋体" w:eastAsia="宋体" w:cs="宋体"/>
          <w:bCs/>
          <w:color w:val="auto"/>
          <w:sz w:val="24"/>
          <w:highlight w:val="none"/>
          <w:shd w:val="clear" w:color="auto" w:fill="FFFFFF" w:themeFill="background1"/>
        </w:rPr>
        <w:t>支付。</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4. 其他</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4.1 无论磋商中的结果如何，</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均应自行承担所有与参与磋商活动有关的全部费用。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4.2 无论磋商结果如何，采购人均无向</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解释其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或未</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原因的义务。</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4.3 无论</w:t>
      </w:r>
      <w:r>
        <w:rPr>
          <w:rFonts w:hint="eastAsia" w:ascii="宋体" w:hAnsi="宋体" w:eastAsia="宋体" w:cs="宋体"/>
          <w:color w:val="auto"/>
          <w:sz w:val="24"/>
          <w:highlight w:val="none"/>
          <w:shd w:val="clear" w:color="auto" w:fill="FFFFFF" w:themeFill="background1"/>
          <w:lang w:val="en-US" w:eastAsia="zh-CN"/>
        </w:rPr>
        <w:t>磋商成功</w:t>
      </w:r>
      <w:r>
        <w:rPr>
          <w:rFonts w:hint="eastAsia" w:ascii="宋体" w:hAnsi="宋体" w:eastAsia="宋体" w:cs="宋体"/>
          <w:color w:val="auto"/>
          <w:sz w:val="24"/>
          <w:highlight w:val="none"/>
          <w:shd w:val="clear" w:color="auto" w:fill="FFFFFF" w:themeFill="background1"/>
        </w:rPr>
        <w:t>与否，已购买磋商文件的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对磋商文件负保密责任。</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5、磋商文件的组成</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5.1 磋商文件用于阐明采购项目的服务范围、磋商程序、磋商内容、合同草签和条款以及评定</w:t>
      </w:r>
      <w:r>
        <w:rPr>
          <w:rFonts w:hint="eastAsia" w:ascii="宋体" w:hAnsi="宋体" w:eastAsia="宋体" w:cs="宋体"/>
          <w:color w:val="auto"/>
          <w:sz w:val="24"/>
          <w:highlight w:val="none"/>
          <w:shd w:val="clear" w:color="auto" w:fill="FFFFFF" w:themeFill="background1"/>
          <w:lang w:val="en-US" w:eastAsia="zh-CN"/>
        </w:rPr>
        <w:t>成交</w:t>
      </w:r>
      <w:r>
        <w:rPr>
          <w:rFonts w:hint="eastAsia" w:ascii="宋体" w:hAnsi="宋体" w:eastAsia="宋体" w:cs="宋体"/>
          <w:color w:val="auto"/>
          <w:sz w:val="24"/>
          <w:highlight w:val="none"/>
          <w:shd w:val="clear" w:color="auto" w:fill="FFFFFF" w:themeFill="background1"/>
        </w:rPr>
        <w:t>的标准。具体包括以下内容：</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第一章  竞争性磋商公告</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第二章  磋商须知</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第三章  </w:t>
      </w:r>
      <w:r>
        <w:rPr>
          <w:rFonts w:hint="eastAsia" w:ascii="宋体" w:hAnsi="宋体" w:eastAsia="宋体" w:cs="宋体"/>
          <w:color w:val="auto"/>
          <w:sz w:val="24"/>
          <w:highlight w:val="none"/>
          <w:shd w:val="clear" w:color="auto" w:fill="FFFFFF" w:themeFill="background1"/>
          <w:lang w:val="en-US" w:eastAsia="zh-CN"/>
        </w:rPr>
        <w:t xml:space="preserve"> </w:t>
      </w:r>
      <w:r>
        <w:rPr>
          <w:rFonts w:hint="eastAsia" w:ascii="宋体" w:hAnsi="宋体" w:eastAsia="宋体" w:cs="宋体"/>
          <w:color w:val="auto"/>
          <w:sz w:val="24"/>
          <w:highlight w:val="none"/>
          <w:shd w:val="clear" w:color="auto" w:fill="FFFFFF" w:themeFill="background1"/>
        </w:rPr>
        <w:t>采购技术参数及要求</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第四章  </w:t>
      </w:r>
      <w:r>
        <w:rPr>
          <w:rFonts w:hint="eastAsia" w:ascii="宋体" w:hAnsi="宋体" w:eastAsia="宋体" w:cs="宋体"/>
          <w:color w:val="auto"/>
          <w:sz w:val="24"/>
          <w:highlight w:val="none"/>
          <w:shd w:val="clear" w:color="auto" w:fill="FFFFFF" w:themeFill="background1"/>
          <w:lang w:val="en-US" w:eastAsia="zh-CN"/>
        </w:rPr>
        <w:t xml:space="preserve"> </w:t>
      </w:r>
      <w:r>
        <w:rPr>
          <w:rFonts w:hint="eastAsia" w:ascii="宋体" w:hAnsi="宋体" w:eastAsia="宋体" w:cs="宋体"/>
          <w:color w:val="auto"/>
          <w:sz w:val="24"/>
          <w:highlight w:val="none"/>
          <w:shd w:val="clear" w:color="auto" w:fill="FFFFFF" w:themeFill="background1"/>
        </w:rPr>
        <w:t>评标办法（综合评分法）</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第五章   合同条款</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第六章   响应性文件格式</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5.2 磋商文件以中文编印，且以中文为准。</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5.3 除非有特殊要求，磋商文件不单独提供项目所在地的自然环境、气候条件、公用设施等情况，</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被视为熟悉上述与履行合同有关的一切情况。</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 磋商文件的澄清和修改</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磋商文件如有需要澄清或疑问，应以书面方式（包括信函、电报或传真，下同）告知采购人。采购人将视情况在响应性文件递交截止时间五日前以书面方式予以答复，同时将不标明疑问来源的书面答复函发所有购买磋商文件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5.4.2在磋商邀请函中所述的响应性文件递交截止时间5日前，采购代理机构可主动地或在解答</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提出的澄清问题时对磋商文件进行修改。</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5.4.3磋商文件的修改将以书面方式通知到已购买磋商文件的所有</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，并构成磋商文件的一部分，对所有</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均具有约束力。</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5.4.4</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在收到上述通知后，应立即向采购代理机构回函确认。</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5.4.5为使</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有充分的时间对磋商文件的修改部分进行研究，采购代理机构可适当延长响应性文件递交截止时间。</w:t>
      </w:r>
    </w:p>
    <w:p>
      <w:pPr>
        <w:spacing w:line="360" w:lineRule="auto"/>
        <w:ind w:left="482"/>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6、响应性文件的组成</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w:t>
      </w:r>
      <w:r>
        <w:rPr>
          <w:rFonts w:hint="eastAsia" w:ascii="宋体" w:hAnsi="宋体" w:eastAsia="宋体" w:cs="宋体"/>
          <w:color w:val="auto"/>
          <w:sz w:val="24"/>
          <w:highlight w:val="none"/>
          <w:shd w:val="clear" w:color="auto" w:fill="FFFFFF" w:themeFill="background1"/>
          <w:lang w:eastAsia="zh-CN"/>
        </w:rPr>
        <w:t>磋商函</w:t>
      </w:r>
      <w:r>
        <w:rPr>
          <w:rFonts w:hint="eastAsia" w:ascii="宋体" w:hAnsi="宋体" w:eastAsia="宋体" w:cs="宋体"/>
          <w:color w:val="auto"/>
          <w:sz w:val="24"/>
          <w:highlight w:val="none"/>
          <w:shd w:val="clear" w:color="auto" w:fill="FFFFFF" w:themeFill="background1"/>
        </w:rPr>
        <w:t>、竞争性磋商报价表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二、法定代表人身份证明及授权委托书</w:t>
      </w:r>
      <w:r>
        <w:rPr>
          <w:rFonts w:hint="eastAsia" w:ascii="宋体" w:hAnsi="宋体" w:eastAsia="宋体" w:cs="宋体"/>
          <w:color w:val="auto"/>
          <w:sz w:val="24"/>
          <w:highlight w:val="none"/>
          <w:shd w:val="clear" w:color="auto" w:fill="FFFFFF" w:themeFill="background1"/>
        </w:rPr>
        <w:tab/>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三、报价一览表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四、技术偏离表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五、供货方案</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六、售后服务计划</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七、政府采购政策</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八、资格审查资料</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九、其他材料</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注：</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应按磋商文件的要求准备磋商响应文件，并保证所提供的全部资料的真实性，准确性及完整性，以使其报价对竞争性磋商文件做出实质性的响应，否则其磋商资格有可能被磋商小组否决。</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lang w:eastAsia="zh-CN"/>
        </w:rPr>
      </w:pPr>
      <w:r>
        <w:rPr>
          <w:rFonts w:hint="eastAsia" w:ascii="宋体" w:hAnsi="宋体" w:eastAsia="宋体" w:cs="宋体"/>
          <w:b/>
          <w:bCs/>
          <w:color w:val="auto"/>
          <w:sz w:val="24"/>
          <w:highlight w:val="none"/>
          <w:shd w:val="clear" w:color="auto" w:fill="FFFFFF" w:themeFill="background1"/>
        </w:rPr>
        <w:t>7、</w:t>
      </w:r>
      <w:r>
        <w:rPr>
          <w:rFonts w:hint="eastAsia" w:ascii="宋体" w:hAnsi="宋体" w:eastAsia="宋体" w:cs="宋体"/>
          <w:b/>
          <w:bCs/>
          <w:color w:val="auto"/>
          <w:sz w:val="24"/>
          <w:highlight w:val="none"/>
          <w:shd w:val="clear" w:color="auto" w:fill="FFFFFF" w:themeFill="background1"/>
          <w:lang w:eastAsia="zh-CN"/>
        </w:rPr>
        <w:t>磋商保证金</w:t>
      </w:r>
    </w:p>
    <w:p>
      <w:pPr>
        <w:spacing w:line="360" w:lineRule="auto"/>
        <w:ind w:firstLine="480" w:firstLineChars="200"/>
        <w:contextualSpacing/>
        <w:rPr>
          <w:rFonts w:hint="eastAsia" w:ascii="宋体" w:hAnsi="宋体" w:eastAsia="宋体" w:cs="宋体"/>
          <w:bCs/>
          <w:color w:val="auto"/>
          <w:sz w:val="24"/>
          <w:highlight w:val="none"/>
          <w:shd w:val="clear" w:color="auto" w:fill="FFFFFF" w:themeFill="background1"/>
        </w:rPr>
      </w:pPr>
      <w:r>
        <w:rPr>
          <w:rFonts w:hint="eastAsia" w:ascii="宋体" w:hAnsi="宋体" w:eastAsia="宋体" w:cs="宋体"/>
          <w:bCs/>
          <w:color w:val="auto"/>
          <w:sz w:val="24"/>
          <w:highlight w:val="none"/>
          <w:shd w:val="clear" w:color="auto" w:fill="FFFFFF" w:themeFill="background1"/>
        </w:rPr>
        <w:t>本次磋商不收取</w:t>
      </w:r>
      <w:r>
        <w:rPr>
          <w:rFonts w:hint="eastAsia" w:ascii="宋体" w:hAnsi="宋体" w:eastAsia="宋体" w:cs="宋体"/>
          <w:bCs/>
          <w:color w:val="auto"/>
          <w:sz w:val="24"/>
          <w:highlight w:val="none"/>
          <w:shd w:val="clear" w:color="auto" w:fill="FFFFFF" w:themeFill="background1"/>
          <w:lang w:eastAsia="zh-CN"/>
        </w:rPr>
        <w:t>磋商保证金</w:t>
      </w:r>
      <w:r>
        <w:rPr>
          <w:rFonts w:hint="eastAsia" w:ascii="宋体" w:hAnsi="宋体" w:eastAsia="宋体" w:cs="宋体"/>
          <w:bCs/>
          <w:color w:val="auto"/>
          <w:sz w:val="24"/>
          <w:highlight w:val="none"/>
          <w:shd w:val="clear" w:color="auto" w:fill="FFFFFF" w:themeFill="background1"/>
        </w:rPr>
        <w:t>；</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8、磋商报价</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本次竞争性磋商分为两轮报价。</w:t>
      </w:r>
      <w:r>
        <w:rPr>
          <w:rFonts w:hint="eastAsia" w:ascii="宋体" w:hAnsi="宋体" w:eastAsia="宋体" w:cs="宋体"/>
          <w:b/>
          <w:bCs/>
          <w:color w:val="auto"/>
          <w:sz w:val="24"/>
          <w:highlight w:val="none"/>
          <w:shd w:val="clear" w:color="auto" w:fill="FFFFFF" w:themeFill="background1"/>
          <w:lang w:eastAsia="zh-CN"/>
        </w:rPr>
        <w:t>供应商</w:t>
      </w:r>
      <w:r>
        <w:rPr>
          <w:rFonts w:hint="eastAsia" w:ascii="宋体" w:hAnsi="宋体" w:eastAsia="宋体" w:cs="宋体"/>
          <w:b/>
          <w:bCs/>
          <w:color w:val="auto"/>
          <w:sz w:val="24"/>
          <w:highlight w:val="none"/>
          <w:shd w:val="clear" w:color="auto" w:fill="FFFFFF" w:themeFill="background1"/>
        </w:rPr>
        <w:t>响应性文件中的报价作为第一次报价，不得高于项目</w:t>
      </w:r>
      <w:r>
        <w:rPr>
          <w:rFonts w:hint="eastAsia" w:ascii="宋体" w:hAnsi="宋体" w:eastAsia="宋体" w:cs="宋体"/>
          <w:b/>
          <w:bCs/>
          <w:color w:val="auto"/>
          <w:sz w:val="24"/>
          <w:highlight w:val="none"/>
          <w:shd w:val="clear" w:color="auto" w:fill="FFFFFF" w:themeFill="background1"/>
          <w:lang w:eastAsia="zh-CN"/>
        </w:rPr>
        <w:t>采购最高限价</w:t>
      </w:r>
      <w:r>
        <w:rPr>
          <w:rFonts w:hint="eastAsia" w:ascii="宋体" w:hAnsi="宋体" w:eastAsia="宋体" w:cs="宋体"/>
          <w:b/>
          <w:bCs/>
          <w:color w:val="auto"/>
          <w:sz w:val="24"/>
          <w:highlight w:val="none"/>
          <w:shd w:val="clear" w:color="auto" w:fill="FFFFFF" w:themeFill="background1"/>
        </w:rPr>
        <w:t>且不公开；第二轮报价不得高于第一轮报价,</w:t>
      </w:r>
      <w:r>
        <w:rPr>
          <w:rFonts w:hint="eastAsia" w:ascii="宋体" w:hAnsi="宋体" w:eastAsia="宋体" w:cs="宋体"/>
          <w:b/>
          <w:bCs/>
          <w:color w:val="auto"/>
          <w:sz w:val="24"/>
          <w:highlight w:val="none"/>
          <w:shd w:val="clear" w:color="auto" w:fill="FFFFFF" w:themeFill="background1"/>
          <w:lang w:eastAsia="zh-CN"/>
        </w:rPr>
        <w:t>成交价</w:t>
      </w:r>
      <w:r>
        <w:rPr>
          <w:rFonts w:hint="eastAsia" w:ascii="宋体" w:hAnsi="宋体" w:eastAsia="宋体" w:cs="宋体"/>
          <w:b/>
          <w:bCs/>
          <w:color w:val="auto"/>
          <w:sz w:val="24"/>
          <w:highlight w:val="none"/>
          <w:shd w:val="clear" w:color="auto" w:fill="FFFFFF" w:themeFill="background1"/>
        </w:rPr>
        <w:t>以最终报价为准。</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9、签字或盖章要求</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在生成电子化响应文件后，应对电子化响应文件进行签章，未对电子化文件进行签章的视为无效投标。</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2、竞争性磋商文件中要求法定代表人或授权委托人签字或盖章的，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在进行电子化响应文件签章时，以签盖法定代表人签章为准。（电子化响应文件具体制作教材请</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通过 CA 证书登录三门峡市公共资源电子化交易系统在右上角“组件下载”中查看）。</w:t>
      </w:r>
    </w:p>
    <w:p>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10、</w:t>
      </w:r>
      <w:r>
        <w:rPr>
          <w:rFonts w:hint="eastAsia" w:ascii="宋体" w:hAnsi="宋体" w:eastAsia="宋体" w:cs="宋体"/>
          <w:b/>
          <w:color w:val="auto"/>
          <w:sz w:val="24"/>
          <w:highlight w:val="none"/>
          <w:shd w:val="clear" w:color="auto" w:fill="FFFFFF" w:themeFill="background1"/>
          <w:lang w:eastAsia="zh-CN"/>
        </w:rPr>
        <w:t>供应商</w:t>
      </w:r>
      <w:r>
        <w:rPr>
          <w:rFonts w:hint="eastAsia" w:ascii="宋体" w:hAnsi="宋体" w:eastAsia="宋体" w:cs="宋体"/>
          <w:b/>
          <w:color w:val="auto"/>
          <w:sz w:val="24"/>
          <w:highlight w:val="none"/>
          <w:shd w:val="clear" w:color="auto" w:fill="FFFFFF" w:themeFill="background1"/>
        </w:rPr>
        <w:t>发生以下条款情况之一者，视为不响应磋商文件要求，其磋商文件将被拒绝：</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10.1在竞争性磋商文件规定的递交竞争性磋商文件截止时间之后上传竞争性磋商文件的。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10.2未购买竞争性磋商文件参加磋商的。</w:t>
      </w:r>
    </w:p>
    <w:p>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11、磋商响应性文件属于下列情形之一的，磋商小组有权将其作废标处理，</w:t>
      </w:r>
      <w:r>
        <w:rPr>
          <w:rFonts w:hint="eastAsia" w:ascii="宋体" w:hAnsi="宋体" w:eastAsia="宋体" w:cs="宋体"/>
          <w:b/>
          <w:color w:val="auto"/>
          <w:sz w:val="24"/>
          <w:highlight w:val="none"/>
          <w:shd w:val="clear" w:color="auto" w:fill="FFFFFF" w:themeFill="background1"/>
          <w:lang w:eastAsia="zh-CN"/>
        </w:rPr>
        <w:t>供应商</w:t>
      </w:r>
      <w:r>
        <w:rPr>
          <w:rFonts w:hint="eastAsia" w:ascii="宋体" w:hAnsi="宋体" w:eastAsia="宋体" w:cs="宋体"/>
          <w:b/>
          <w:color w:val="auto"/>
          <w:sz w:val="24"/>
          <w:highlight w:val="none"/>
          <w:shd w:val="clear" w:color="auto" w:fill="FFFFFF" w:themeFill="background1"/>
        </w:rPr>
        <w:t>给采购单位造成损失的，采购单位有索赔的权利。</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（1）提交的有关资格证明文件不真实，提供虚假报价材料的；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（2）磋商会议开始后，</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撤回磋商响应性文件，退出磋商的；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串通报价的；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向采购单位、专家提供不正当利益的；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（5）</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不按规定签订合同的；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（6）</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未按规定领取</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（7）</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未按规定缴纳服务费的。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（8)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以他人名义参加磋商或者以其他方式弄虚作假的。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（9)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影响或干预磋商活动的。</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（10) </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存在其他违法违规行为和其他违反磋商文件的情形；；</w:t>
      </w:r>
    </w:p>
    <w:p>
      <w:pPr>
        <w:spacing w:line="360" w:lineRule="auto"/>
        <w:ind w:firstLine="480" w:firstLineChars="200"/>
        <w:contextualSpacing/>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12、磋商小组的组成</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依法在监督机构有关人员的监督下从相应专家库中随机抽取。磋商小组由有关技术、经济等方面的专家组成，成员为3 人。其中：技术、经济等方面的专家不能少于磋商小组成员的2/3。采购人代表不得担任磋商小组组长。</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13、磋商程序</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13.1 电子化投标注意事项见</w:t>
      </w:r>
      <w:r>
        <w:rPr>
          <w:rFonts w:hint="eastAsia" w:ascii="宋体" w:hAnsi="宋体" w:eastAsia="宋体" w:cs="宋体"/>
          <w:b/>
          <w:bCs/>
          <w:color w:val="auto"/>
          <w:sz w:val="24"/>
          <w:highlight w:val="none"/>
          <w:shd w:val="clear" w:color="auto" w:fill="FFFFFF" w:themeFill="background1"/>
          <w:lang w:eastAsia="zh-CN"/>
        </w:rPr>
        <w:t>供应商</w:t>
      </w:r>
      <w:r>
        <w:rPr>
          <w:rFonts w:hint="eastAsia" w:ascii="宋体" w:hAnsi="宋体" w:eastAsia="宋体" w:cs="宋体"/>
          <w:b/>
          <w:bCs/>
          <w:color w:val="auto"/>
          <w:sz w:val="24"/>
          <w:highlight w:val="none"/>
          <w:shd w:val="clear" w:color="auto" w:fill="FFFFFF" w:themeFill="background1"/>
        </w:rPr>
        <w:t>须知前附表</w:t>
      </w:r>
    </w:p>
    <w:p>
      <w:pPr>
        <w:pStyle w:val="22"/>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13.2</w:t>
      </w:r>
      <w:r>
        <w:rPr>
          <w:rFonts w:hint="eastAsia" w:ascii="宋体" w:hAnsi="宋体" w:eastAsia="宋体" w:cs="宋体"/>
          <w:b/>
          <w:bCs/>
          <w:color w:val="auto"/>
          <w:sz w:val="24"/>
          <w:szCs w:val="24"/>
          <w:highlight w:val="none"/>
          <w:shd w:val="clear" w:color="auto" w:fill="FFFFFF" w:themeFill="background1"/>
          <w:lang w:eastAsia="zh-CN"/>
        </w:rPr>
        <w:t>磋商小组工作原则</w:t>
      </w:r>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20" w:name="_Toc529174355"/>
      <w:bookmarkStart w:id="21" w:name="_Toc529440056"/>
      <w:r>
        <w:rPr>
          <w:rFonts w:hint="eastAsia" w:ascii="宋体" w:hAnsi="宋体" w:eastAsia="宋体" w:cs="宋体"/>
          <w:color w:val="auto"/>
          <w:sz w:val="24"/>
          <w:szCs w:val="24"/>
          <w:highlight w:val="none"/>
          <w:shd w:val="clear" w:color="auto" w:fill="FFFFFF" w:themeFill="background1"/>
          <w:lang w:eastAsia="zh-CN"/>
        </w:rPr>
        <w:t>磋商小组成员应当按照客观、公正、审慎的原则，根据磋商文件规定的评审方法和准则进行独立评审。</w:t>
      </w:r>
      <w:bookmarkEnd w:id="20"/>
      <w:bookmarkEnd w:id="21"/>
    </w:p>
    <w:p>
      <w:pPr>
        <w:pStyle w:val="22"/>
        <w:spacing w:after="0" w:line="360" w:lineRule="auto"/>
        <w:ind w:left="0" w:firstLine="44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22" w:name="_Toc529440057"/>
      <w:bookmarkStart w:id="23" w:name="_Toc529174356"/>
      <w:r>
        <w:rPr>
          <w:rFonts w:hint="eastAsia" w:ascii="宋体" w:hAnsi="宋体" w:eastAsia="宋体" w:cs="宋体"/>
          <w:color w:val="auto"/>
          <w:highlight w:val="none"/>
          <w:shd w:val="clear" w:color="auto" w:fill="FFFFFF" w:themeFill="background1"/>
          <w:lang w:eastAsia="zh-CN"/>
        </w:rPr>
        <w:t>13.3</w:t>
      </w:r>
      <w:r>
        <w:rPr>
          <w:rFonts w:hint="eastAsia" w:ascii="宋体" w:hAnsi="宋体" w:eastAsia="宋体" w:cs="宋体"/>
          <w:b/>
          <w:bCs/>
          <w:color w:val="auto"/>
          <w:sz w:val="24"/>
          <w:szCs w:val="24"/>
          <w:highlight w:val="none"/>
          <w:shd w:val="clear" w:color="auto" w:fill="FFFFFF" w:themeFill="background1"/>
          <w:lang w:eastAsia="zh-CN"/>
        </w:rPr>
        <w:t>响应文件审查</w:t>
      </w:r>
      <w:bookmarkEnd w:id="22"/>
      <w:bookmarkEnd w:id="23"/>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24" w:name="_Toc529440058"/>
      <w:bookmarkStart w:id="25" w:name="_Toc529174357"/>
      <w:r>
        <w:rPr>
          <w:rFonts w:hint="eastAsia" w:ascii="宋体" w:hAnsi="宋体" w:eastAsia="宋体" w:cs="宋体"/>
          <w:color w:val="auto"/>
          <w:sz w:val="24"/>
          <w:szCs w:val="24"/>
          <w:highlight w:val="none"/>
          <w:shd w:val="clear" w:color="auto" w:fill="FFFFFF" w:themeFill="background1"/>
          <w:lang w:eastAsia="zh-CN"/>
        </w:rPr>
        <w:t>磋商小组在对响应文件的有效性、完整性和响应程度进行审查、磋商，可以要求供应商对响应文件中含义不明确、同类问题表述不一致或者有明显文字和计算错误的内容等做出必要的澄清、说明或者更正。申请单位的澄清、说明或者更正不得超出响应文件的范围或者改变响应文件的实质性内容。</w:t>
      </w:r>
      <w:bookmarkEnd w:id="24"/>
      <w:bookmarkEnd w:id="25"/>
    </w:p>
    <w:p>
      <w:pPr>
        <w:pStyle w:val="22"/>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26" w:name="_Toc16938548"/>
      <w:bookmarkStart w:id="27" w:name="_Toc513029232"/>
      <w:bookmarkStart w:id="28" w:name="_Toc529174358"/>
      <w:bookmarkStart w:id="29" w:name="_Toc529440059"/>
      <w:bookmarkStart w:id="30" w:name="_Toc20823304"/>
      <w:r>
        <w:rPr>
          <w:rFonts w:hint="eastAsia" w:ascii="宋体" w:hAnsi="宋体" w:eastAsia="宋体" w:cs="宋体"/>
          <w:b/>
          <w:bCs/>
          <w:color w:val="auto"/>
          <w:sz w:val="24"/>
          <w:szCs w:val="24"/>
          <w:highlight w:val="none"/>
          <w:shd w:val="clear" w:color="auto" w:fill="FFFFFF" w:themeFill="background1"/>
          <w:lang w:eastAsia="zh-CN"/>
        </w:rPr>
        <w:t>13.4供应商澄清</w:t>
      </w:r>
      <w:bookmarkEnd w:id="26"/>
      <w:bookmarkEnd w:id="27"/>
      <w:bookmarkEnd w:id="28"/>
      <w:bookmarkEnd w:id="29"/>
      <w:bookmarkEnd w:id="30"/>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1" w:name="_Toc529174359"/>
      <w:bookmarkStart w:id="32" w:name="_Toc529440060"/>
      <w:r>
        <w:rPr>
          <w:rFonts w:hint="eastAsia" w:ascii="宋体" w:hAnsi="宋体" w:eastAsia="宋体" w:cs="宋体"/>
          <w:color w:val="auto"/>
          <w:sz w:val="24"/>
          <w:szCs w:val="24"/>
          <w:highlight w:val="none"/>
          <w:shd w:val="clear" w:color="auto" w:fill="FFFFFF" w:themeFill="background1"/>
          <w:lang w:eastAsia="zh-CN"/>
        </w:rPr>
        <w:t>磋商小组要求供应商澄清、说明或者更正响应文件将以书面形式做出。供应商的澄清、说明或者更正应当由法定代表人或其授权代表签字或者加盖公章。</w:t>
      </w:r>
      <w:bookmarkEnd w:id="31"/>
      <w:bookmarkEnd w:id="32"/>
    </w:p>
    <w:p>
      <w:pPr>
        <w:pStyle w:val="22"/>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33" w:name="_Toc529174360"/>
      <w:bookmarkStart w:id="34" w:name="_Toc529440061"/>
      <w:r>
        <w:rPr>
          <w:rFonts w:hint="eastAsia" w:ascii="宋体" w:hAnsi="宋体" w:eastAsia="宋体" w:cs="宋体"/>
          <w:b/>
          <w:bCs/>
          <w:color w:val="auto"/>
          <w:sz w:val="24"/>
          <w:szCs w:val="24"/>
          <w:highlight w:val="none"/>
          <w:shd w:val="clear" w:color="auto" w:fill="FFFFFF" w:themeFill="background1"/>
          <w:lang w:eastAsia="zh-CN"/>
        </w:rPr>
        <w:t>13.5磋商程序、最后报价</w:t>
      </w:r>
      <w:bookmarkEnd w:id="33"/>
      <w:bookmarkEnd w:id="34"/>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5" w:name="_Toc529174361"/>
      <w:bookmarkStart w:id="36" w:name="_Toc529440062"/>
      <w:r>
        <w:rPr>
          <w:rFonts w:hint="eastAsia" w:ascii="宋体" w:hAnsi="宋体" w:eastAsia="宋体" w:cs="宋体"/>
          <w:color w:val="auto"/>
          <w:sz w:val="24"/>
          <w:szCs w:val="24"/>
          <w:highlight w:val="none"/>
          <w:shd w:val="clear" w:color="auto" w:fill="FFFFFF" w:themeFill="background1"/>
          <w:lang w:eastAsia="zh-CN"/>
        </w:rPr>
        <w:t>磋商小组所有成员应当集中与单一供应商分别进行磋商，并给予所有参加磋商的供应商平等的磋商机会。</w:t>
      </w:r>
      <w:bookmarkEnd w:id="35"/>
      <w:bookmarkEnd w:id="36"/>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7" w:name="_Toc529174362"/>
      <w:bookmarkStart w:id="38" w:name="_Toc529440063"/>
      <w:r>
        <w:rPr>
          <w:rFonts w:hint="eastAsia" w:ascii="宋体" w:hAnsi="宋体" w:eastAsia="宋体" w:cs="宋体"/>
          <w:color w:val="auto"/>
          <w:sz w:val="24"/>
          <w:szCs w:val="24"/>
          <w:highlight w:val="none"/>
          <w:shd w:val="clear" w:color="auto" w:fill="FFFFFF" w:themeFill="background1"/>
          <w:lang w:eastAsia="zh-CN"/>
        </w:rPr>
        <w:t>1）在磋商过程中，磋商小组可以根据磋商文件和磋商情况实质性变动项目需求中的技术、服务要求以及合同草案条款，但不得变动磋商文件中的其他内容。对磋商文件做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bookmarkEnd w:id="37"/>
      <w:bookmarkEnd w:id="38"/>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39" w:name="_Toc529174363"/>
      <w:bookmarkStart w:id="40" w:name="_Toc529440064"/>
      <w:r>
        <w:rPr>
          <w:rFonts w:hint="eastAsia" w:ascii="宋体" w:hAnsi="宋体" w:eastAsia="宋体" w:cs="宋体"/>
          <w:color w:val="auto"/>
          <w:sz w:val="24"/>
          <w:szCs w:val="24"/>
          <w:highlight w:val="none"/>
          <w:shd w:val="clear" w:color="auto" w:fill="FFFFFF" w:themeFill="background1"/>
          <w:lang w:eastAsia="zh-CN"/>
        </w:rPr>
        <w:t>2）磋商文件能够详细列明项目标的的技术、服务要求的，磋商结束后，磋商小组将要求所有实质性响应的供应商在规定时间内在系统平台上提交最后报价。最后报价是供应商响应文件的有效组成部分。</w:t>
      </w:r>
      <w:bookmarkEnd w:id="39"/>
      <w:bookmarkEnd w:id="40"/>
    </w:p>
    <w:p>
      <w:pPr>
        <w:pStyle w:val="22"/>
        <w:spacing w:after="0" w:line="360" w:lineRule="auto"/>
        <w:ind w:left="0" w:firstLine="480" w:firstLineChars="200"/>
        <w:contextualSpacing/>
        <w:outlineLvl w:val="9"/>
        <w:rPr>
          <w:rFonts w:hint="eastAsia" w:ascii="宋体" w:hAnsi="宋体" w:eastAsia="宋体" w:cs="宋体"/>
          <w:color w:val="auto"/>
          <w:sz w:val="24"/>
          <w:szCs w:val="24"/>
          <w:highlight w:val="none"/>
          <w:shd w:val="clear" w:color="auto" w:fill="FFFFFF" w:themeFill="background1"/>
          <w:lang w:eastAsia="zh-CN"/>
        </w:rPr>
      </w:pPr>
      <w:bookmarkStart w:id="41" w:name="_Toc529174364"/>
      <w:bookmarkStart w:id="42" w:name="_Toc529440065"/>
      <w:r>
        <w:rPr>
          <w:rFonts w:hint="eastAsia" w:ascii="宋体" w:hAnsi="宋体" w:eastAsia="宋体" w:cs="宋体"/>
          <w:color w:val="auto"/>
          <w:sz w:val="24"/>
          <w:szCs w:val="24"/>
          <w:highlight w:val="none"/>
          <w:shd w:val="clear" w:color="auto" w:fill="FFFFFF" w:themeFill="background1"/>
          <w:lang w:eastAsia="zh-CN"/>
        </w:rPr>
        <w:t>3）已提交响应文件的供应商，在提交最后报价之前，可以根据磋商情况退出磋商。</w:t>
      </w:r>
      <w:bookmarkEnd w:id="41"/>
      <w:bookmarkEnd w:id="42"/>
    </w:p>
    <w:p>
      <w:pPr>
        <w:pStyle w:val="22"/>
        <w:spacing w:line="360" w:lineRule="auto"/>
        <w:ind w:left="0" w:firstLine="480" w:firstLineChars="200"/>
        <w:contextualSpacing/>
        <w:jc w:val="both"/>
        <w:outlineLvl w:val="9"/>
        <w:rPr>
          <w:rFonts w:hint="eastAsia" w:ascii="宋体" w:hAnsi="宋体" w:eastAsia="宋体" w:cs="宋体"/>
          <w:color w:val="auto"/>
          <w:sz w:val="24"/>
          <w:szCs w:val="24"/>
          <w:highlight w:val="none"/>
          <w:shd w:val="clear" w:color="auto" w:fill="FFFFFF" w:themeFill="background1"/>
          <w:lang w:eastAsia="zh-CN"/>
        </w:rPr>
      </w:pPr>
      <w:bookmarkStart w:id="43" w:name="_Toc529174365"/>
      <w:bookmarkStart w:id="44" w:name="_Toc529440066"/>
      <w:r>
        <w:rPr>
          <w:rFonts w:hint="eastAsia" w:ascii="宋体" w:hAnsi="宋体" w:eastAsia="宋体" w:cs="宋体"/>
          <w:color w:val="auto"/>
          <w:sz w:val="24"/>
          <w:szCs w:val="24"/>
          <w:highlight w:val="none"/>
          <w:shd w:val="clear" w:color="auto" w:fill="FFFFFF" w:themeFill="background1"/>
          <w:lang w:eastAsia="zh-CN"/>
        </w:rPr>
        <w:t>4）评审方法：</w:t>
      </w:r>
    </w:p>
    <w:p>
      <w:pPr>
        <w:pStyle w:val="22"/>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sz w:val="24"/>
          <w:szCs w:val="24"/>
          <w:highlight w:val="none"/>
          <w:shd w:val="clear" w:color="auto" w:fill="FFFFFF" w:themeFill="background1"/>
          <w:lang w:eastAsia="zh-CN"/>
        </w:rPr>
        <w:t>4.1</w:t>
      </w:r>
      <w:r>
        <w:rPr>
          <w:rFonts w:hint="eastAsia" w:ascii="宋体" w:hAnsi="宋体" w:eastAsia="宋体" w:cs="宋体"/>
          <w:color w:val="auto"/>
          <w:kern w:val="10"/>
          <w:sz w:val="24"/>
          <w:highlight w:val="none"/>
          <w:shd w:val="clear" w:color="auto" w:fill="FFFFFF" w:themeFill="background1"/>
          <w:lang w:eastAsia="zh-CN"/>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pPr>
        <w:pStyle w:val="22"/>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4.2评审时，磋商小组各成员独立对每个有效响应的文件进行评价、打分，然后汇总每个供应商每项评分因素的得分。</w:t>
      </w:r>
    </w:p>
    <w:p>
      <w:pPr>
        <w:pStyle w:val="22"/>
        <w:spacing w:line="360" w:lineRule="auto"/>
        <w:ind w:left="0" w:firstLine="480" w:firstLineChars="200"/>
        <w:contextualSpacing/>
        <w:jc w:val="both"/>
        <w:outlineLvl w:val="9"/>
        <w:rPr>
          <w:rFonts w:hint="eastAsia" w:ascii="宋体" w:hAnsi="宋体" w:eastAsia="宋体" w:cs="宋体"/>
          <w:color w:val="auto"/>
          <w:kern w:val="10"/>
          <w:sz w:val="24"/>
          <w:highlight w:val="none"/>
          <w:shd w:val="clear" w:color="auto" w:fill="FFFFFF" w:themeFill="background1"/>
          <w:lang w:eastAsia="zh-CN"/>
        </w:rPr>
      </w:pPr>
      <w:r>
        <w:rPr>
          <w:rFonts w:hint="eastAsia" w:ascii="宋体" w:hAnsi="宋体" w:eastAsia="宋体" w:cs="宋体"/>
          <w:color w:val="auto"/>
          <w:kern w:val="10"/>
          <w:sz w:val="24"/>
          <w:highlight w:val="none"/>
          <w:shd w:val="clear" w:color="auto" w:fill="FFFFFF" w:themeFill="background1"/>
          <w:lang w:eastAsia="zh-CN"/>
        </w:rPr>
        <w:t>4.3磋商小组应当根据综合评分情况，按照评审得分由高到低顺序推荐</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kern w:val="10"/>
          <w:sz w:val="24"/>
          <w:highlight w:val="none"/>
          <w:shd w:val="clear" w:color="auto" w:fill="FFFFFF" w:themeFill="background1"/>
          <w:lang w:eastAsia="zh-CN"/>
        </w:rPr>
        <w:t>名成交候选供应商并编写评审报告。评审得分相同的，按照最后报价由低到高的顺序推荐。评审得分且最后报价相同的，按照技术指标优劣顺序推荐。</w:t>
      </w:r>
      <w:bookmarkEnd w:id="43"/>
      <w:bookmarkEnd w:id="44"/>
    </w:p>
    <w:p>
      <w:pPr>
        <w:pStyle w:val="22"/>
        <w:spacing w:after="0" w:line="360" w:lineRule="auto"/>
        <w:ind w:left="0" w:firstLine="480" w:firstLineChars="200"/>
        <w:contextualSpacing/>
        <w:outlineLvl w:val="9"/>
        <w:rPr>
          <w:rFonts w:hint="eastAsia" w:ascii="宋体" w:hAnsi="宋体" w:eastAsia="宋体" w:cs="宋体"/>
          <w:b/>
          <w:bCs/>
          <w:color w:val="auto"/>
          <w:sz w:val="24"/>
          <w:szCs w:val="24"/>
          <w:highlight w:val="none"/>
          <w:shd w:val="clear" w:color="auto" w:fill="FFFFFF" w:themeFill="background1"/>
          <w:lang w:eastAsia="zh-CN"/>
        </w:rPr>
      </w:pPr>
      <w:bookmarkStart w:id="45" w:name="_Toc529174366"/>
      <w:bookmarkStart w:id="46" w:name="_Toc529440067"/>
      <w:r>
        <w:rPr>
          <w:rFonts w:hint="eastAsia" w:ascii="宋体" w:hAnsi="宋体" w:eastAsia="宋体" w:cs="宋体"/>
          <w:b/>
          <w:bCs/>
          <w:color w:val="auto"/>
          <w:sz w:val="24"/>
          <w:szCs w:val="24"/>
          <w:highlight w:val="none"/>
          <w:shd w:val="clear" w:color="auto" w:fill="FFFFFF" w:themeFill="background1"/>
          <w:lang w:eastAsia="zh-CN"/>
        </w:rPr>
        <w:t>13.6</w:t>
      </w:r>
      <w:r>
        <w:rPr>
          <w:rFonts w:hint="eastAsia" w:ascii="宋体" w:hAnsi="宋体" w:eastAsia="宋体" w:cs="宋体"/>
          <w:b/>
          <w:bCs/>
          <w:color w:val="auto"/>
          <w:sz w:val="24"/>
          <w:szCs w:val="24"/>
          <w:highlight w:val="none"/>
          <w:shd w:val="clear" w:color="auto" w:fill="FFFFFF" w:themeFill="background1"/>
          <w:lang w:val="en-US" w:eastAsia="zh-CN"/>
        </w:rPr>
        <w:t>成交</w:t>
      </w:r>
      <w:r>
        <w:rPr>
          <w:rFonts w:hint="eastAsia" w:ascii="宋体" w:hAnsi="宋体" w:eastAsia="宋体" w:cs="宋体"/>
          <w:b/>
          <w:bCs/>
          <w:color w:val="auto"/>
          <w:sz w:val="24"/>
          <w:szCs w:val="24"/>
          <w:highlight w:val="none"/>
          <w:shd w:val="clear" w:color="auto" w:fill="FFFFFF" w:themeFill="background1"/>
          <w:lang w:eastAsia="zh-CN"/>
        </w:rPr>
        <w:t>单位的确定</w:t>
      </w:r>
      <w:bookmarkEnd w:id="45"/>
      <w:bookmarkEnd w:id="46"/>
    </w:p>
    <w:p>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评审结束后，由磋商小组推荐</w:t>
      </w:r>
      <w:r>
        <w:rPr>
          <w:rFonts w:hint="eastAsia" w:ascii="宋体" w:hAnsi="宋体" w:eastAsia="宋体" w:cs="宋体"/>
          <w:color w:val="auto"/>
          <w:sz w:val="24"/>
          <w:highlight w:val="none"/>
          <w:shd w:val="clear" w:color="auto" w:fill="FFFFFF" w:themeFill="background1"/>
          <w:lang w:val="en-US" w:eastAsia="zh-CN"/>
        </w:rPr>
        <w:t>3名</w:t>
      </w:r>
      <w:r>
        <w:rPr>
          <w:rFonts w:hint="eastAsia" w:ascii="宋体" w:hAnsi="宋体" w:eastAsia="宋体" w:cs="宋体"/>
          <w:color w:val="auto"/>
          <w:sz w:val="24"/>
          <w:highlight w:val="none"/>
          <w:shd w:val="clear" w:color="auto" w:fill="FFFFFF" w:themeFill="background1"/>
          <w:lang w:val="zh-CN"/>
        </w:rPr>
        <w:t>成交候选供应商。</w:t>
      </w:r>
    </w:p>
    <w:p>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采购人应确定排名第一的成交候选供应商为成交人。如果排名第一的成交候选供应商放弃中标、因不可抗力提出不能履行合同或者磋商文件规定应当提交履约担保而在规定的期限内未能提交的，采购人将依序确定排名第二的成交候选供应商为成交人；依次类推。当所有成交候选供应商因上述同样原因不能签订合同的，采购人将依法重新招标。</w:t>
      </w:r>
    </w:p>
    <w:p>
      <w:pPr>
        <w:autoSpaceDE w:val="0"/>
        <w:autoSpaceDN w:val="0"/>
        <w:adjustRightInd w:val="0"/>
        <w:spacing w:line="360" w:lineRule="auto"/>
        <w:ind w:firstLine="480" w:firstLineChars="200"/>
        <w:contextualSpacing/>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出现下列情形之一的，将终止竞争性磋商采购活动，发布项目终止公告并说明原因，重新开展采购活动:</w:t>
      </w:r>
    </w:p>
    <w:p>
      <w:pPr>
        <w:pStyle w:val="23"/>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1、不符合法律、法规和竞争性磋商文件中规定的其他实质性要求的。</w:t>
      </w:r>
    </w:p>
    <w:p>
      <w:pPr>
        <w:pStyle w:val="23"/>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2、其他法律、法规及本竞争性磋商文件规定的属响应无效的情形。终止竞争性磋商采购活动的条款。</w:t>
      </w:r>
    </w:p>
    <w:p>
      <w:pPr>
        <w:pStyle w:val="23"/>
        <w:spacing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color w:val="auto"/>
          <w:kern w:val="2"/>
          <w:sz w:val="24"/>
          <w:szCs w:val="24"/>
          <w:highlight w:val="none"/>
          <w:shd w:val="clear" w:color="auto" w:fill="FFFFFF" w:themeFill="background1"/>
          <w:lang w:eastAsia="zh-CN"/>
        </w:rPr>
        <w:t>3、因情况变化，不再符合规定的竞争性磋商采购方式适用情形的；出现影响采购公正的违法、违规行为的；</w:t>
      </w:r>
    </w:p>
    <w:p>
      <w:pPr>
        <w:pStyle w:val="23"/>
        <w:spacing w:after="0" w:line="360" w:lineRule="auto"/>
        <w:ind w:firstLine="480" w:firstLineChars="200"/>
        <w:contextualSpacing/>
        <w:rPr>
          <w:rFonts w:hint="eastAsia" w:ascii="宋体" w:hAnsi="宋体" w:eastAsia="宋体" w:cs="宋体"/>
          <w:color w:val="auto"/>
          <w:kern w:val="2"/>
          <w:sz w:val="24"/>
          <w:szCs w:val="24"/>
          <w:highlight w:val="none"/>
          <w:shd w:val="clear" w:color="auto" w:fill="FFFFFF" w:themeFill="background1"/>
          <w:lang w:eastAsia="zh-CN"/>
        </w:rPr>
      </w:pPr>
      <w:r>
        <w:rPr>
          <w:rFonts w:hint="eastAsia" w:ascii="宋体" w:hAnsi="宋体" w:eastAsia="宋体" w:cs="宋体"/>
          <w:b/>
          <w:color w:val="auto"/>
          <w:kern w:val="2"/>
          <w:sz w:val="24"/>
          <w:szCs w:val="24"/>
          <w:highlight w:val="none"/>
          <w:shd w:val="clear" w:color="auto" w:fill="FFFFFF" w:themeFill="background1"/>
          <w:lang w:eastAsia="zh-CN"/>
        </w:rPr>
        <w:t>14</w:t>
      </w:r>
      <w:r>
        <w:rPr>
          <w:rFonts w:hint="eastAsia" w:ascii="宋体" w:hAnsi="宋体" w:eastAsia="宋体" w:cs="宋体"/>
          <w:color w:val="auto"/>
          <w:kern w:val="2"/>
          <w:sz w:val="24"/>
          <w:szCs w:val="24"/>
          <w:highlight w:val="none"/>
          <w:shd w:val="clear" w:color="auto" w:fill="FFFFFF" w:themeFill="background1"/>
          <w:lang w:eastAsia="zh-CN"/>
        </w:rPr>
        <w:t>、磋商截止时间结束后参加供应商不足 3 家的，评审期间符合专业条件的供应商或者对磋商响应文件作出实质响应的供应商不足 3 家的，采购代理机构将报请同级监督机构批准。</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w:t>
      </w:r>
      <w:r>
        <w:rPr>
          <w:rFonts w:hint="eastAsia" w:ascii="宋体" w:hAnsi="宋体" w:cs="宋体"/>
          <w:b/>
          <w:bCs/>
          <w:color w:val="auto"/>
          <w:sz w:val="24"/>
          <w:highlight w:val="none"/>
          <w:shd w:val="clear" w:color="auto" w:fill="FFFFFF" w:themeFill="background1"/>
          <w:lang w:val="en-US" w:eastAsia="zh-CN"/>
        </w:rPr>
        <w:t>5</w:t>
      </w:r>
      <w:r>
        <w:rPr>
          <w:rFonts w:hint="eastAsia" w:ascii="宋体" w:hAnsi="宋体" w:eastAsia="宋体" w:cs="宋体"/>
          <w:b/>
          <w:bCs/>
          <w:color w:val="auto"/>
          <w:sz w:val="24"/>
          <w:highlight w:val="none"/>
          <w:shd w:val="clear" w:color="auto" w:fill="FFFFFF" w:themeFill="background1"/>
        </w:rPr>
        <w:t>、</w:t>
      </w:r>
      <w:r>
        <w:rPr>
          <w:rFonts w:hint="eastAsia" w:ascii="宋体" w:hAnsi="宋体" w:eastAsia="宋体" w:cs="宋体"/>
          <w:b/>
          <w:bCs/>
          <w:color w:val="auto"/>
          <w:sz w:val="24"/>
          <w:highlight w:val="none"/>
          <w:shd w:val="clear" w:color="auto" w:fill="FFFFFF" w:themeFill="background1"/>
          <w:lang w:val="en-US" w:eastAsia="zh-CN"/>
        </w:rPr>
        <w:t>成交</w:t>
      </w:r>
      <w:r>
        <w:rPr>
          <w:rFonts w:hint="eastAsia" w:ascii="宋体" w:hAnsi="宋体" w:eastAsia="宋体" w:cs="宋体"/>
          <w:b/>
          <w:bCs/>
          <w:color w:val="auto"/>
          <w:sz w:val="24"/>
          <w:highlight w:val="none"/>
          <w:shd w:val="clear" w:color="auto" w:fill="FFFFFF" w:themeFill="background1"/>
        </w:rPr>
        <w:t>通知</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cs="宋体"/>
          <w:color w:val="auto"/>
          <w:sz w:val="24"/>
          <w:highlight w:val="none"/>
          <w:shd w:val="clear" w:color="auto" w:fill="FFFFFF" w:themeFill="background1"/>
          <w:lang w:val="en-US" w:eastAsia="zh-CN"/>
        </w:rPr>
        <w:t>5</w:t>
      </w:r>
      <w:r>
        <w:rPr>
          <w:rFonts w:hint="eastAsia" w:ascii="宋体" w:hAnsi="宋体" w:eastAsia="宋体" w:cs="宋体"/>
          <w:color w:val="auto"/>
          <w:sz w:val="24"/>
          <w:highlight w:val="none"/>
          <w:shd w:val="clear" w:color="auto" w:fill="FFFFFF" w:themeFill="background1"/>
        </w:rPr>
        <w:t>.1 磋商结束</w:t>
      </w:r>
      <w:r>
        <w:rPr>
          <w:rFonts w:hint="eastAsia" w:ascii="宋体" w:hAnsi="宋体" w:eastAsia="宋体" w:cs="宋体"/>
          <w:color w:val="auto"/>
          <w:sz w:val="24"/>
          <w:highlight w:val="none"/>
          <w:shd w:val="clear" w:color="auto" w:fill="FFFFFF" w:themeFill="background1"/>
          <w:lang w:val="en-US" w:eastAsia="zh-CN"/>
        </w:rPr>
        <w:t>2</w:t>
      </w:r>
      <w:r>
        <w:rPr>
          <w:rFonts w:hint="eastAsia" w:ascii="宋体" w:hAnsi="宋体" w:eastAsia="宋体" w:cs="宋体"/>
          <w:color w:val="auto"/>
          <w:sz w:val="24"/>
          <w:highlight w:val="none"/>
          <w:shd w:val="clear" w:color="auto" w:fill="FFFFFF" w:themeFill="background1"/>
        </w:rPr>
        <w:t>日内，</w:t>
      </w:r>
      <w:r>
        <w:rPr>
          <w:rFonts w:hint="eastAsia" w:ascii="宋体" w:hAnsi="宋体" w:eastAsia="宋体" w:cs="宋体"/>
          <w:color w:val="auto"/>
          <w:sz w:val="24"/>
          <w:highlight w:val="none"/>
          <w:shd w:val="clear" w:color="auto" w:fill="FFFFFF" w:themeFill="background1"/>
          <w:lang w:val="en-US" w:eastAsia="zh-CN"/>
        </w:rPr>
        <w:t>在省级以上财政部门指定的政府采购信息发布媒体公告成交结果，并同时向成交供应商</w:t>
      </w:r>
      <w:r>
        <w:rPr>
          <w:rFonts w:hint="eastAsia" w:ascii="宋体" w:hAnsi="宋体" w:eastAsia="宋体" w:cs="宋体"/>
          <w:color w:val="auto"/>
          <w:sz w:val="24"/>
          <w:highlight w:val="none"/>
          <w:shd w:val="clear" w:color="auto" w:fill="FFFFFF" w:themeFill="background1"/>
        </w:rPr>
        <w:t>以书面形式发出《</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》一经发出即发生法律效力。</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outlineLvl w:val="2"/>
        <w:rPr>
          <w:rFonts w:hint="eastAsia" w:ascii="宋体" w:hAnsi="宋体" w:eastAsia="宋体" w:cs="宋体"/>
          <w:color w:val="auto"/>
          <w:kern w:val="2"/>
          <w:sz w:val="24"/>
          <w:szCs w:val="24"/>
          <w:highlight w:val="none"/>
          <w:shd w:val="clear" w:color="auto" w:fill="FFFFFF" w:themeFill="background1"/>
          <w:lang w:val="en-US" w:eastAsia="en-US" w:bidi="ar-SA"/>
        </w:rPr>
      </w:pPr>
      <w:bookmarkStart w:id="47" w:name="_Toc1397851805"/>
      <w:r>
        <w:rPr>
          <w:rFonts w:hint="eastAsia" w:ascii="宋体" w:hAnsi="宋体" w:eastAsia="宋体" w:cs="宋体"/>
          <w:color w:val="auto"/>
          <w:kern w:val="2"/>
          <w:sz w:val="24"/>
          <w:szCs w:val="24"/>
          <w:highlight w:val="none"/>
          <w:shd w:val="clear" w:color="auto" w:fill="FFFFFF" w:themeFill="background1"/>
          <w:lang w:val="en-US" w:eastAsia="zh-CN" w:bidi="ar-SA"/>
        </w:rPr>
        <w:t>16、</w:t>
      </w:r>
      <w:r>
        <w:rPr>
          <w:rFonts w:hint="eastAsia" w:ascii="宋体" w:hAnsi="宋体" w:eastAsia="宋体" w:cs="宋体"/>
          <w:color w:val="auto"/>
          <w:kern w:val="2"/>
          <w:sz w:val="24"/>
          <w:szCs w:val="24"/>
          <w:highlight w:val="none"/>
          <w:shd w:val="clear" w:color="auto" w:fill="FFFFFF" w:themeFill="background1"/>
          <w:lang w:val="en-US" w:eastAsia="en-US" w:bidi="ar-SA"/>
        </w:rPr>
        <w:t>质疑</w:t>
      </w:r>
      <w:bookmarkEnd w:id="47"/>
    </w:p>
    <w:p>
      <w:pPr>
        <w:pStyle w:val="23"/>
        <w:spacing w:after="0"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2"/>
          <w:sz w:val="24"/>
          <w:szCs w:val="24"/>
          <w:highlight w:val="none"/>
          <w:shd w:val="clear" w:color="auto" w:fill="FFFFFF" w:themeFill="background1"/>
          <w:lang w:val="en-US" w:eastAsia="en-US" w:bidi="ar-SA"/>
        </w:rPr>
        <w:t>各有关当事人对中标结果有异议的，可以在中标结果公告期限届满之日起七个工作日内，按《政府采购质疑和投诉办法》（财政部令第94号）要求以书面形式同时向采购人和采购代理机构提出质疑，逾期提交或未按照要求提交的质疑函将不予受理</w:t>
      </w:r>
    </w:p>
    <w:p>
      <w:pPr>
        <w:spacing w:line="360" w:lineRule="auto"/>
        <w:ind w:firstLine="480" w:firstLineChars="200"/>
        <w:contextualSpacing/>
        <w:rPr>
          <w:rFonts w:hint="eastAsia" w:ascii="宋体" w:hAnsi="宋体" w:eastAsia="宋体" w:cs="宋体"/>
          <w:b/>
          <w:bCs/>
          <w:color w:val="auto"/>
          <w:sz w:val="24"/>
          <w:highlight w:val="none"/>
          <w:shd w:val="clear" w:color="auto" w:fill="FFFFFF" w:themeFill="background1"/>
        </w:rPr>
      </w:pPr>
      <w:r>
        <w:rPr>
          <w:rFonts w:hint="eastAsia" w:ascii="宋体" w:hAnsi="宋体" w:eastAsia="宋体" w:cs="宋体"/>
          <w:b/>
          <w:bCs/>
          <w:color w:val="auto"/>
          <w:sz w:val="24"/>
          <w:highlight w:val="none"/>
          <w:shd w:val="clear" w:color="auto" w:fill="FFFFFF" w:themeFill="background1"/>
        </w:rPr>
        <w:t>1</w:t>
      </w:r>
      <w:r>
        <w:rPr>
          <w:rFonts w:hint="eastAsia" w:ascii="宋体" w:hAnsi="宋体" w:cs="宋体"/>
          <w:b/>
          <w:bCs/>
          <w:color w:val="auto"/>
          <w:sz w:val="24"/>
          <w:highlight w:val="none"/>
          <w:shd w:val="clear" w:color="auto" w:fill="FFFFFF" w:themeFill="background1"/>
          <w:lang w:val="en-US" w:eastAsia="zh-CN"/>
        </w:rPr>
        <w:t>7</w:t>
      </w:r>
      <w:r>
        <w:rPr>
          <w:rFonts w:hint="eastAsia" w:ascii="宋体" w:hAnsi="宋体" w:eastAsia="宋体" w:cs="宋体"/>
          <w:b/>
          <w:bCs/>
          <w:color w:val="auto"/>
          <w:sz w:val="24"/>
          <w:highlight w:val="none"/>
          <w:shd w:val="clear" w:color="auto" w:fill="FFFFFF" w:themeFill="background1"/>
        </w:rPr>
        <w:t>、合同授予</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r>
        <w:rPr>
          <w:rFonts w:hint="eastAsia" w:ascii="宋体" w:hAnsi="宋体" w:cs="宋体"/>
          <w:color w:val="auto"/>
          <w:sz w:val="24"/>
          <w:highlight w:val="none"/>
          <w:shd w:val="clear" w:color="auto" w:fill="FFFFFF" w:themeFill="background1"/>
          <w:lang w:val="en-US" w:eastAsia="zh-CN"/>
        </w:rPr>
        <w:t>7</w:t>
      </w:r>
      <w:r>
        <w:rPr>
          <w:rFonts w:hint="eastAsia" w:ascii="宋体" w:hAnsi="宋体" w:eastAsia="宋体" w:cs="宋体"/>
          <w:color w:val="auto"/>
          <w:sz w:val="24"/>
          <w:highlight w:val="none"/>
          <w:shd w:val="clear" w:color="auto" w:fill="FFFFFF" w:themeFill="background1"/>
        </w:rPr>
        <w:t>.1 按《三门峡市财政局关于市本级政府采购合同备案管理工作的通知》（三财购[2021]9 号）文要求</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在收到</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之日起 2 个工作日内签订政府采购合同。</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竞争性磋商文件</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的响应性文件及其相关澄清、补遗文件等，均为签订合同的依据。</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16.2</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如未能按竞争性磋商文件要求，在规定限期内与采购人签订合同，无论何种原因</w:t>
      </w:r>
      <w:r>
        <w:rPr>
          <w:rFonts w:hint="eastAsia" w:ascii="宋体" w:hAnsi="宋体" w:eastAsia="宋体" w:cs="宋体"/>
          <w:color w:val="auto"/>
          <w:sz w:val="24"/>
          <w:highlight w:val="none"/>
          <w:shd w:val="clear" w:color="auto" w:fill="FFFFFF" w:themeFill="background1"/>
          <w:lang w:val="en-US" w:eastAsia="zh-CN"/>
        </w:rPr>
        <w:t>采购人</w:t>
      </w:r>
      <w:r>
        <w:rPr>
          <w:rFonts w:hint="eastAsia" w:ascii="宋体" w:hAnsi="宋体" w:eastAsia="宋体" w:cs="宋体"/>
          <w:color w:val="auto"/>
          <w:sz w:val="24"/>
          <w:highlight w:val="none"/>
          <w:shd w:val="clear" w:color="auto" w:fill="FFFFFF" w:themeFill="background1"/>
        </w:rPr>
        <w:t>将取消其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资格、撤销其</w:t>
      </w:r>
      <w:r>
        <w:rPr>
          <w:rFonts w:hint="eastAsia" w:ascii="宋体" w:hAnsi="宋体" w:eastAsia="宋体" w:cs="宋体"/>
          <w:color w:val="auto"/>
          <w:sz w:val="24"/>
          <w:highlight w:val="none"/>
          <w:shd w:val="clear" w:color="auto" w:fill="FFFFFF" w:themeFill="background1"/>
          <w:lang w:eastAsia="zh-CN"/>
        </w:rPr>
        <w:t>成交通知书</w:t>
      </w:r>
      <w:r>
        <w:rPr>
          <w:rFonts w:hint="eastAsia" w:ascii="宋体" w:hAnsi="宋体" w:eastAsia="宋体" w:cs="宋体"/>
          <w:color w:val="auto"/>
          <w:sz w:val="24"/>
          <w:highlight w:val="none"/>
          <w:shd w:val="clear" w:color="auto" w:fill="FFFFFF" w:themeFill="background1"/>
        </w:rPr>
        <w:t>。在此情况下，采购人可将合同授予排名次髙的</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16.3在签订合同过程中，如发现</w:t>
      </w:r>
      <w:r>
        <w:rPr>
          <w:rFonts w:hint="eastAsia" w:ascii="宋体" w:hAnsi="宋体" w:eastAsia="宋体" w:cs="宋体"/>
          <w:color w:val="auto"/>
          <w:sz w:val="24"/>
          <w:highlight w:val="none"/>
          <w:shd w:val="clear" w:color="auto" w:fill="FFFFFF" w:themeFill="background1"/>
          <w:lang w:eastAsia="zh-CN"/>
        </w:rPr>
        <w:t>成交供应商</w:t>
      </w:r>
      <w:r>
        <w:rPr>
          <w:rFonts w:hint="eastAsia" w:ascii="宋体" w:hAnsi="宋体" w:eastAsia="宋体" w:cs="宋体"/>
          <w:color w:val="auto"/>
          <w:sz w:val="24"/>
          <w:highlight w:val="none"/>
          <w:shd w:val="clear" w:color="auto" w:fill="FFFFFF" w:themeFill="background1"/>
        </w:rPr>
        <w:t>以他人名义磋商或者以其他方式弄虚作假，骗取</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的，采购人有权取消其</w:t>
      </w:r>
      <w:r>
        <w:rPr>
          <w:rFonts w:hint="eastAsia" w:ascii="宋体" w:hAnsi="宋体" w:eastAsia="宋体" w:cs="宋体"/>
          <w:color w:val="auto"/>
          <w:sz w:val="24"/>
          <w:highlight w:val="none"/>
          <w:shd w:val="clear" w:color="auto" w:fill="FFFFFF" w:themeFill="background1"/>
          <w:lang w:eastAsia="zh-CN"/>
        </w:rPr>
        <w:t>成交</w:t>
      </w:r>
      <w:r>
        <w:rPr>
          <w:rFonts w:hint="eastAsia" w:ascii="宋体" w:hAnsi="宋体" w:eastAsia="宋体" w:cs="宋体"/>
          <w:color w:val="auto"/>
          <w:sz w:val="24"/>
          <w:highlight w:val="none"/>
          <w:shd w:val="clear" w:color="auto" w:fill="FFFFFF" w:themeFill="background1"/>
        </w:rPr>
        <w:t>资格。</w:t>
      </w:r>
    </w:p>
    <w:p>
      <w:pPr>
        <w:spacing w:line="360" w:lineRule="auto"/>
        <w:jc w:val="center"/>
        <w:rPr>
          <w:rFonts w:hint="eastAsia" w:ascii="宋体" w:hAnsi="宋体" w:eastAsia="宋体" w:cs="宋体"/>
          <w:b/>
          <w:bCs/>
          <w:color w:val="auto"/>
          <w:sz w:val="28"/>
          <w:szCs w:val="28"/>
          <w:highlight w:val="none"/>
          <w:shd w:val="clear" w:color="auto" w:fill="FFFFFF" w:themeFill="background1"/>
        </w:rPr>
      </w:pPr>
    </w:p>
    <w:p>
      <w:pPr>
        <w:spacing w:line="360" w:lineRule="auto"/>
        <w:jc w:val="center"/>
        <w:rPr>
          <w:rFonts w:hint="eastAsia" w:ascii="宋体" w:hAnsi="宋体" w:eastAsia="宋体" w:cs="宋体"/>
          <w:b/>
          <w:bCs/>
          <w:color w:val="auto"/>
          <w:sz w:val="28"/>
          <w:szCs w:val="28"/>
          <w:highlight w:val="none"/>
          <w:shd w:val="clear" w:color="auto" w:fill="FFFFFF" w:themeFill="background1"/>
        </w:rPr>
      </w:pPr>
    </w:p>
    <w:p>
      <w:pPr>
        <w:pStyle w:val="13"/>
        <w:rPr>
          <w:rFonts w:hint="eastAsia" w:ascii="宋体" w:hAnsi="宋体" w:eastAsia="宋体" w:cs="宋体"/>
          <w:b/>
          <w:bCs/>
          <w:color w:val="auto"/>
          <w:sz w:val="28"/>
          <w:szCs w:val="28"/>
          <w:highlight w:val="none"/>
          <w:shd w:val="clear" w:color="auto" w:fill="FFFFFF" w:themeFill="background1"/>
        </w:rPr>
      </w:pPr>
    </w:p>
    <w:p>
      <w:pPr>
        <w:pStyle w:val="14"/>
        <w:rPr>
          <w:rFonts w:hint="eastAsia" w:ascii="宋体" w:hAnsi="宋体" w:eastAsia="宋体" w:cs="宋体"/>
          <w:color w:val="auto"/>
          <w:highlight w:val="none"/>
        </w:rPr>
      </w:pPr>
    </w:p>
    <w:p>
      <w:pPr>
        <w:rPr>
          <w:rFonts w:hint="eastAsia" w:ascii="宋体" w:hAnsi="宋体" w:eastAsia="宋体" w:cs="宋体"/>
          <w:color w:val="auto"/>
        </w:rPr>
      </w:pPr>
      <w:r>
        <w:rPr>
          <w:rFonts w:hint="eastAsia" w:ascii="宋体" w:hAnsi="宋体" w:eastAsia="宋体" w:cs="宋体"/>
          <w:color w:val="auto"/>
        </w:rPr>
        <w:br w:type="page"/>
      </w:r>
    </w:p>
    <w:p>
      <w:pPr>
        <w:rPr>
          <w:rFonts w:hint="eastAsia" w:ascii="宋体" w:hAnsi="宋体" w:eastAsia="宋体" w:cs="宋体"/>
          <w:color w:val="auto"/>
        </w:rPr>
      </w:pPr>
    </w:p>
    <w:p>
      <w:pPr>
        <w:pStyle w:val="9"/>
        <w:numPr>
          <w:ilvl w:val="0"/>
          <w:numId w:val="3"/>
        </w:numPr>
        <w:jc w:val="center"/>
        <w:rPr>
          <w:rFonts w:hint="eastAsia" w:ascii="宋体" w:hAnsi="宋体" w:eastAsia="宋体" w:cs="宋体"/>
          <w:color w:val="auto"/>
          <w:sz w:val="36"/>
          <w:szCs w:val="36"/>
          <w:highlight w:val="none"/>
          <w:shd w:val="clear" w:color="auto" w:fill="FFFFFF" w:themeFill="background1"/>
        </w:rPr>
      </w:pPr>
      <w:bookmarkStart w:id="48" w:name="_Toc525811564"/>
      <w:bookmarkStart w:id="49" w:name="_Toc121835974"/>
      <w:r>
        <w:rPr>
          <w:rFonts w:hint="eastAsia" w:ascii="宋体" w:hAnsi="宋体" w:eastAsia="宋体" w:cs="宋体"/>
          <w:color w:val="auto"/>
          <w:sz w:val="36"/>
          <w:szCs w:val="36"/>
          <w:highlight w:val="none"/>
          <w:shd w:val="clear" w:color="auto" w:fill="FFFFFF" w:themeFill="background1"/>
        </w:rPr>
        <w:t xml:space="preserve"> 采购技术参数及要求</w:t>
      </w:r>
      <w:bookmarkEnd w:id="48"/>
      <w:bookmarkEnd w:id="49"/>
    </w:p>
    <w:tbl>
      <w:tblPr>
        <w:tblStyle w:val="15"/>
        <w:tblW w:w="9234" w:type="dxa"/>
        <w:tblInd w:w="88" w:type="dxa"/>
        <w:tblLayout w:type="fixed"/>
        <w:tblCellMar>
          <w:top w:w="0" w:type="dxa"/>
          <w:left w:w="108" w:type="dxa"/>
          <w:bottom w:w="0" w:type="dxa"/>
          <w:right w:w="108" w:type="dxa"/>
        </w:tblCellMar>
      </w:tblPr>
      <w:tblGrid>
        <w:gridCol w:w="417"/>
        <w:gridCol w:w="960"/>
        <w:gridCol w:w="6440"/>
        <w:gridCol w:w="688"/>
        <w:gridCol w:w="729"/>
      </w:tblGrid>
      <w:tr>
        <w:trPr>
          <w:trHeight w:val="9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sz w:val="20"/>
                <w:szCs w:val="20"/>
              </w:rPr>
            </w:pPr>
            <w:bookmarkStart w:id="50" w:name="_Toc246996243"/>
            <w:bookmarkStart w:id="51" w:name="_Toc144974567"/>
            <w:bookmarkStart w:id="52" w:name="_Toc152042377"/>
            <w:bookmarkStart w:id="53" w:name="_Toc179632618"/>
            <w:bookmarkStart w:id="54" w:name="_Toc246996986"/>
            <w:bookmarkStart w:id="55" w:name="_Toc152045600"/>
            <w:bookmarkStart w:id="56" w:name="_Toc4293"/>
            <w:bookmarkStart w:id="57" w:name="_Toc358707206"/>
            <w:bookmarkStart w:id="58" w:name="_Toc7518074"/>
            <w:bookmarkStart w:id="59" w:name="_Toc247085758"/>
            <w:r>
              <w:rPr>
                <w:rFonts w:hint="eastAsia" w:ascii="宋体" w:hAnsi="宋体" w:cs="宋体"/>
                <w:b/>
                <w:bCs/>
                <w:color w:val="auto"/>
                <w:kern w:val="0"/>
                <w:sz w:val="20"/>
                <w:szCs w:val="20"/>
              </w:rPr>
              <w:t>序号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名称</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产品参数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数量</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b/>
                <w:bCs/>
                <w:color w:val="auto"/>
                <w:sz w:val="20"/>
                <w:szCs w:val="20"/>
              </w:rPr>
            </w:pPr>
            <w:r>
              <w:rPr>
                <w:rFonts w:hint="eastAsia" w:ascii="宋体" w:hAnsi="宋体" w:cs="宋体"/>
                <w:b/>
                <w:bCs/>
                <w:color w:val="auto"/>
                <w:kern w:val="0"/>
                <w:sz w:val="20"/>
                <w:szCs w:val="20"/>
              </w:rPr>
              <w:t>单位</w:t>
            </w:r>
          </w:p>
        </w:tc>
      </w:tr>
      <w:tr>
        <w:trPr>
          <w:trHeight w:val="788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分布式智慧养老服务（社区）教学示范平台</w:t>
            </w:r>
          </w:p>
        </w:tc>
        <w:tc>
          <w:tcPr>
            <w:tcW w:w="6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1.本平台系统应包括以下功能:用户中心、社区、营销、入退住、在住、评估、管家、社工、商品服务、健康、照护、物业、费用、物资、统计分析、打印中心等。</w:t>
            </w:r>
            <w:r>
              <w:rPr>
                <w:rFonts w:hint="eastAsia" w:ascii="宋体" w:hAnsi="宋体" w:cs="宋体"/>
                <w:color w:val="auto"/>
                <w:kern w:val="0"/>
                <w:sz w:val="19"/>
                <w:szCs w:val="19"/>
              </w:rPr>
              <w:t>平台分站长端、组长端、护理员/家政/社工/医护端、老人端、安装师端和教师端，</w:t>
            </w:r>
            <w:r>
              <w:rPr>
                <w:rFonts w:hint="eastAsia" w:ascii="宋体" w:hAnsi="宋体" w:cs="宋体"/>
                <w:color w:val="auto"/>
                <w:kern w:val="0"/>
                <w:sz w:val="20"/>
                <w:szCs w:val="20"/>
              </w:rPr>
              <w:t>能满足管理员、照护员、家属等不同的用户登录。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用户中心：在机构运营中，系统的功能运行时，处于每个业务流程中相关的部门和人员都可以第一时间得到通知；每一天的照护任务都会有任务提醒。包括:个人日历、消息一览、重要事件看板、提醒事件一览、待审核汇总、动态报日报、修改密码、新闻一览、协同任务等。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1.2.社区：包含设置、老人信息、预约派单、统计模块等。主要功能是登记老人信息、生活状况、兴趣爱好、服务需求，并通过服务设置对老人的照护服务进行定制。提供产品软件功能演示截图。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1.3.营销：包含客户、房态、评估等功能，为养老机构内的营销人员提供客户信息登记平台，并通过初筛评估，来对客户进行初步筛选，再通过房态图来查看适合的床位信息。</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入退住：包含预定、入住、退住、短期入住模块；通过预定功能为客户保留床位，然后通过入退住流程办理退入住业务，通过系统把控每个部门每个岗位的标准的业务流程，通过消息通知完成部门间的流转，提高工作效率的同时，也建立的操作的标准化。同时具备短期入住功能，实现长短期人员入住覆盖。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在住：该模块包含了老人在住期间除照护服务以外的全部事务性功能。包括房间检查、床位调整、老人请假、服务等级调整、付款计划调整、在住老人信息查询修改、生日提醒、增值服务登记、备用金支取与补交、服务项目查询、申请退住、续签合同、特殊膳食登记、收费标准查看、个人档案等功能。在住期间的每个业务都按照标准的流程和表单进行记录和管理，确保每项工作没有疏漏、都可以追溯。避免日常业务和服务当中产生的风险。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评估：包含评估中心、专项评估、健康评估、社会性评估功能；评估作为服务的入口，是了解老人实际需求、制定个性化服务、规避服务风险、避免费用纠纷的重点业务。必须通过专门的专业的评估师或评估小组，按照标准，科学的进行。该模块为入住老人的能力评估记录。包括日本国家标准评估量表和民政部中国福利协会（MZ/T）标准评估量表，可根据评估项目自动生成评估结果。并提供评估记录的查询、修改、删除及打印评估报表。同时，可以查看某一位老人的评估履历、修改履历、查看结果趋势、以及申请服务等级调整。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1.7.管家：包含排班、交班、保洁、保洁统计、晚点名功能。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1.8.社工：包含日常活动管理、活动策划书、活动记录、资源预约、新闻、志愿者、个案记录。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1.9.餐饮：包含设置、餐饮。设置中可对菜品及菜品价格进行定制；餐饮中则是对于机构内每日的用餐情况进行统计分析，更好的制定膳食服务。</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1.10.商品服务：包含商品销售服务、统计功能。机构将可实现的服务内容以商品的方式让老人进行选择性购买，并在统计中查看老人的购买记录，为后续的照护服务提供需求数据，需配合POS机使用。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1.11.健康：包含健康设备、医疗、护理、康复等功能。通过链接健康一体机，采集人体数据，同时结合医疗档案为老人提供更好的照护服务。</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1.12.药品托管：包含药房设置、药品设置、药品托管、医嘱功能。通过建立药品托管机制，护理人员可随时查看到老人的用药情况。提供产品软件功能演示截图。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1.13.照护：照护部进行照护人员排班的模块。通过该功能模块，照护人员完成每日的交接班工作。照护人员可以给自己负责的老人制定详细的照护服务计划，制定每天每项服务的具体执行时间段。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1.14.物业：包含家属、门岗登记、报修。在系统中可对来访家属信息进行信息登记。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1.15.费用：包含收退费、封账、账户、费用统计。对于每一笔业务收退费记录，系统都会在收退费画面中显示出来，收费员找到对应的会员姓 名，可以看到需要收/退的金额数。（收费金额为正数，退费金额为负数）。双击某一条记录，可以查看收退费详细画面。</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1.16.物资：包含捐赠、采购、申领、库存和统计功能。是专为机构提供的一个货物进出库系统，可对机构内部的各项货物进行细化管理。</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*1.17.统计中心：统计分析模块需要直观，随时都可以查看各个端口的基本情况。如包括订单统计、老人统计、照护状况统计等。</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1.18.打印中心：打印中心是把机构内业务中所有用到的表单，都以PDF 格式的空表单形式放在本功能中，方便查找、统一管理，保证表单不会发生版本差错，并且还可以作为系统不能使用时的应急预案。</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*2.所提供产品须是原厂商原装、正规渠道产品，涉及软件是合法的、正版无版权纠纷的产品，在使用涉及的软件或其任何一部分时免受第三方提出侵犯其著作权、专利权、商标权或设计权的纠纷，</w:t>
            </w:r>
            <w:r>
              <w:rPr>
                <w:rFonts w:hint="eastAsia" w:ascii="宋体" w:hAnsi="宋体" w:cs="宋体"/>
                <w:color w:val="auto"/>
                <w:kern w:val="0"/>
                <w:sz w:val="20"/>
                <w:szCs w:val="20"/>
                <w:lang w:eastAsia="zh-CN"/>
              </w:rPr>
              <w:t>供应商</w:t>
            </w:r>
            <w:r>
              <w:rPr>
                <w:rFonts w:hint="eastAsia" w:ascii="宋体" w:hAnsi="宋体" w:cs="宋体"/>
                <w:color w:val="auto"/>
                <w:kern w:val="0"/>
                <w:sz w:val="20"/>
                <w:szCs w:val="20"/>
              </w:rPr>
              <w:t>需对此提供产品使用承诺书并加盖本公司公章。</w:t>
            </w:r>
          </w:p>
          <w:p>
            <w:pPr>
              <w:widowControl/>
              <w:jc w:val="left"/>
              <w:textAlignment w:val="center"/>
              <w:rPr>
                <w:color w:val="auto"/>
              </w:rPr>
            </w:pPr>
            <w:r>
              <w:rPr>
                <w:rFonts w:hint="eastAsia" w:ascii="宋体" w:hAnsi="宋体" w:cs="宋体"/>
                <w:color w:val="auto"/>
                <w:kern w:val="0"/>
                <w:sz w:val="20"/>
                <w:szCs w:val="20"/>
              </w:rPr>
              <w:t>▲3</w:t>
            </w:r>
            <w:r>
              <w:rPr>
                <w:rFonts w:ascii="宋体" w:hAnsi="宋体" w:cs="宋体"/>
                <w:color w:val="auto"/>
                <w:kern w:val="0"/>
                <w:sz w:val="20"/>
                <w:szCs w:val="20"/>
              </w:rPr>
              <w:t>.</w:t>
            </w:r>
            <w:r>
              <w:rPr>
                <w:rFonts w:hint="eastAsia" w:ascii="宋体" w:hAnsi="宋体" w:cs="宋体"/>
                <w:color w:val="auto"/>
                <w:kern w:val="0"/>
                <w:sz w:val="20"/>
                <w:szCs w:val="20"/>
              </w:rPr>
              <w:t>产品无产权争议，具有独立知识产权，提供厂家相关证明材料并加盖公章。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368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6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auto"/>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r>
      <w:tr>
        <w:trPr>
          <w:trHeight w:val="47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智慧养老高清液晶可视化终端</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1.产品规格：3个屏幕拼接，拼接缝隙：≤3.5mm；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2.产品尺寸：≥65寸；</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3.亮度：≥500CD/M2；</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4.分辨率：≥1920×1080；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5.可视角度：≥178°；</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6.面板类型:DID；</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7.动态对比度：≥10000:1；</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8.静态对比度：≥4500:1；</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9.扫描频率：水平≥30HZ,垂直≥48HZ；</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10.显示色彩：≥16.7M；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11.色域：≥72%；</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12.电源：100-240V交流电；</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13.功率：最大≤180W；</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14.液压支架3套</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15.HDMI分配器1套</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16.信号线材HDMI，DVI等，1套</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17.辅材1套</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18.配合分布式智慧养老服务（社区）教学示范平台。</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90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多功能健康一体机智慧养老体检设备</w:t>
            </w:r>
          </w:p>
        </w:tc>
        <w:tc>
          <w:tcPr>
            <w:tcW w:w="6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1.主要功能：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身高、体重、体型指数BMI、人体成分（人体脂肪含量、脂肪率、基础代谢、体水分含量、体水分率、体肌肉量、体肌肉率、蛋白质量、蛋白质率、骨盐重量、去脂体重、细胞内液量、细胞内液率、细胞外液量、细胞外液率等）、血压，心率、血氧饱和度、体温、12导心电、血糖、尿酸、总胆固醇、血红蛋白、血脂四项、尿液分析、肺功能、腰臀比、中医辨识（中医药协会66题和公卫33题可自由选择）、心理测评（1：UCLA孤独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1.2.老年抑郁量表；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 自评抑郁量表；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1.4.汉密顿焦虑量表；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1.5.情绪健康度测试；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1.6.自测健康评定量表；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1.7.生活满意度评定量表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1.8.人格障碍性格测试（八项测量表）、视力、色盲、色弱等多项检测功能。可扩展骨密度、动脉硬化等功能。整机一体化设计，一站式操作，通过实时语音提示、图片指引等，引导检测人员自主完成测量。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2.登录方式：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2.1.身份证登录；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2.2.条形/二维码登录；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2.3.人脸识别登录；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2.4.个人自助登录；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一步自助建档，快速轻松建立个人健康电子档案，支持用互联网上传至基层医疗卫生机构信息管理系统，支持病情大数据统计分析，能够统计片区的病情分析报告，对区域的慢性病大规模爆发提出预警报告，有效进行慢性病管理，提供健康指导服务，包括就医咨询、饮食建议、运动规划等。</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*4.双屏协同工作，高清液晶屏≥21.5寸，分辨率:≥1920*1080， 双屏同步显示测量信息、支持远程宣教视频广告发布，支持红外遥控操作。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4.1.主操作屏≥18.5寸。分辨率≥1920*1080，可根据需求个性化配置测量项目，操作台尺寸≥195(L)×60(W)×235(H)cm。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5.五种报告获取方式：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5.1.双屏显示检测报告；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5.2.打印A4检查报告；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5.3.手机扫码关注公众号，体检报告发动手机上；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5.4.本机查询体检报告；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5.5.健康管理云平台查询报告；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6.有远程问诊功能。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7.产品特点：</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7.1.智能体检一体机检测的数据可实时传输、存储、处理；身份证读卡器、触控屏须嵌入到测量平台内成为一个整体，目视看不到任何的连接线。</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7.2.落地实施能力强，支持封闭或相对开放的场所，具备高集成性，通过物理整合只需一个外接电源接口就可展开健康服务工作，并配备一个备用的电源接口，方便不同位置供电。</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7.3.智能体检一体机采用一体化设计（不能分割组合），具备二代身份证识别、触控屏人机交互、智能系统控制、健康信息管理等功能，且实现以上功能的所有相关设施设备均应内嵌在主控台内。</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8.人脸识别系统：双目摄像头人脸识别。提供产品功能演示截图。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9.远程视频问诊系统。医生端平板、手机安装视频问诊软件，随时随地服务客户。</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10.数据处理：</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10.1.数据同步上传云平台，进项数据管理、查询、汇总、上报。</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10.2.本机数据存档，查询、打印。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10.3.平台数据分级管理。</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10.4.免费开放数据接口，支持和第三方数据平台对接，将检测数据上传到指定的数据服务端。标准接口方便对接医院管理系统，公卫管理系统。提供产品功能截图。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11.电源电压:交流（照明电）：110V-240V,50HZ。</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12.直流（蓄电池）：12V±10％。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13.平均功耗:≤60Ｗ。</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14.工作环境：温度：－１０℃～＋４０℃   湿度：＜８５％。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15.整机重量：≤160kg。</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16.附件:使用说明书、电源线、座椅、A4打印纸、保修卡、合格证等。</w:t>
            </w:r>
          </w:p>
          <w:p>
            <w:pPr>
              <w:widowControl/>
              <w:jc w:val="left"/>
              <w:textAlignment w:val="center"/>
              <w:rPr>
                <w:color w:val="auto"/>
              </w:rPr>
            </w:pPr>
            <w:r>
              <w:rPr>
                <w:rFonts w:hint="eastAsia" w:ascii="宋体" w:hAnsi="宋体" w:cs="宋体"/>
                <w:color w:val="auto"/>
                <w:kern w:val="0"/>
                <w:sz w:val="20"/>
                <w:szCs w:val="20"/>
              </w:rPr>
              <w:t>▲17.产品无产权争议，具有独立知识产权，提供厂家相关证明材料并加盖公章。</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31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6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auto"/>
                <w:sz w:val="20"/>
                <w:szCs w:val="20"/>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r>
      <w:tr>
        <w:trPr>
          <w:trHeight w:val="7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老年人模拟体验装置</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产品包括：视觉模拟眼镜1个，隔音耳罩1个，漆关节限制、肘关节限制、护掌限制各2个，脚踝负重沙袋2个，手腕负重沙袋2个，折叠拐杖1个，模拟驼背前倾带1个，负重背心1个，收纳包1个，仿真用餐，叠杯子道具一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6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老人偏瘫模拟体验服</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产品包含：七件套。可体验老年人左右偏瘫。使用限制装置固定后，让左侧肩膀、肘部、腕部、膝部、踝部等关节僵硬。</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老年人视觉障碍模拟眼镜</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视觉障碍模拟眼镜组成：</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1.一个塑料眼镜框架+6个可以更换的眼镜片材质：特质塑料。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2.大致尺寸：长19.5cmX 宽 8.5cm。</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3.镜片颜色：2 张黑色、3 张白色、1 张黄色视觉障碍模拟眼镜功能。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副</w:t>
            </w:r>
          </w:p>
        </w:tc>
      </w:tr>
      <w:tr>
        <w:trPr>
          <w:trHeight w:val="27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智能移乘搬运机器人</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1.20秒轻松把人抱起来；</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2.对接马桶、对接轮椅、对接汽车；</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3.小体型、大承重，200斤就能轻松抱起；</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4.整机采用高强度加厚钢材，稳固耐用；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5.不仅是位置移动，还可以进行辅助锻炼；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6.小巧不占地方；</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7.模拟“人背人"转移方式，不仅让护理轻松转移快速，还能较好促进辅助锻炼。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8.转移过程中多点受力，胸、腹、腋下、膝、上下肢同时作用，既分散抱移作用力，又能让被护理者恰当的肌力锻炼。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9.灵巧的转移方式，使被护理者的臀部外露，良好的对接马桶，同时又能方便的清洁及更换尿不湿。</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10.可完成搬抬转移，还可实现辅助锻炼，适用于老人、残障人士、术后康复者等群体进行锻炼，激发和维持使用者身体残余肌力，改善关节活动度与肢体力量，助力康复。</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9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老年智能陪护机器人</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1.CPU：瑞芯微 RK3399（双Cortex-A72 大核+四Cortex-A53 小核）六核 64 位 cpu</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2.运行主频：≥2.0GHz</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3.内存：≥4G LPDDR4</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4.内置显示器：≥10.1 英寸</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5.LCD 分辨率：≥1280X800</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智慧养老数据采集硬件套餐（含主控、终端）</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设备包含：智能多功能生命监测带、智能多功能床单元监控系统、智慧一键呼叫按钮、人体红外移动监测、门磁传感器、烟雾报警器、燃气报警器、溢水报警器以及智能主机关可连接照护系统。</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0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引导式互动训练桌</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1.系统功能：互动式训练，社交初体验。</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引导式互动训练桌是引导式教育原理和多媒体互动技术的完美结合。基于引导式互动桌硬件设备的专业呈现，由综合训练和专项训练构成的训练软件画面更高清，互动更有趣，可实现双手同时操控，刺激左右脑分区锻炼提高中枢神经系统的活动水平。</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1.2.能力训练：逻辑思维能力、情商与社交能力、观察与辨别能力、感知能力、空间思维能力、记忆能力、想象能力。</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2.设备要求：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2.1.≥42寸高清互动式主机；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2.2.显示屏采用 LED 液晶屏 (16:9)以上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2.3.显示分辨率为≥1920×1080；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*2.4.屏幕采用投射式电容感应数字触控技术，实现高精度多点触控操作,设备屏幕纯平设计，屏幕保护为钢化玻璃。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2.5.开关按钮, 高强度合金材质，防水，使用寿命5万次以上；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*2.6.屏幕触控抗干扰：手指或专业触摸笔测试响应；衣服、头发、木制品、纸制品、杂物等非人体皮肤触摸不响应，从而有效避免误操作；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2.7.屏幕触摸精度≥2mm物体；</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2.8.设备外型采用椭圆形设计、无棱角、无磕碰隐患，尺寸≥1020mm ×1320mm ×400mm，±误差10%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2.9.外观整洁、无划痕、磨损、凹陷、裂缝、变形、毛刺等缺陷，表面涂层无气泡、龟裂、脱落现象；</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2.10.外型采用弧面设计、无棱角、无尖锐凸出与凹陷，无磕碰隐患；</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*2.11.设备采用3个音箱单元，低音单元：防磁， ≥5寸纸盆,高音单元：防磁，≥23/4寸纸盆,阻抗≤10K欧姆，信噪比≤85dBA，理论功率RMS 8W×2+12W（THD=10%）；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2.12.设备机壳采用ABS环保工程塑料，制作工艺采用模具注塑一次性冲压成型，不使用金属材料；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*2.13.防水测试，全屏幕防水，全触控操作区防水</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2.14.运行噪音≤28 分贝；</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2.15.隐藏式启动模式采用电源键和启动键分开控制。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3.互动训练软件：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3.1.具有丰富的训练软件可实现手指操控，同时刺激左右脑分区锻炼各项功能；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4.设备安全性：</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4.1.设备具有极高的安全性，设备绝缘接地，承受AC1500V的交流电压，50秒内绝缘不被击穿；</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4.2.设备在-10℃低温环境，工作7小时无异常；</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4.3.设备在50℃高温环境，工作7小时无异常；</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4.4.阻燃达到V-2级。</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2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生命体征感应垫</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1.功能包含：</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1.1.监测心率；</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1.2.监测呼吸频率；</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1.3.监测体动/离床状态；</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1.4.翻身次数/翻身提醒；</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1.5.数据超限/异常状态报警；</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2.检测方式：高感度压力传感。</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3.基本配置：传感器，电源适配器，系统工作站床垫，紧急呼叫器，操作说明书。</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4.规格大小（长×宽×高）：≥580*750*15(mm)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444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12</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老年放松引导关怀系统</w:t>
            </w:r>
          </w:p>
        </w:tc>
        <w:tc>
          <w:tcPr>
            <w:tcW w:w="6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本产品锻炼老年人的动手能力，观察能力、用虚拟场景刺激老年人感官感受，陶冶心情。预防老年人有孤立感，烦躁，郁郁寡欢，冷漠，不友善等事情的发生。对不方便出远门的老人提供心里安慰与关怀。</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1.硬件参数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1.1.VR头戴式设备参数: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1.1.1.产品硬件包含：虚拟现实头盔、耳机、串流盒、手柄、定位基站。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1.1.2.VR头戴式设备支持SteamVR的驱动。提供产品功能图片。</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2.软件内容：</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*2.1.通过虚拟现实眼镜、耳机、手柄三维空间、六个自由度的方式浸入式体验多种类型场景漫游场景包含多个种类，不同体验；提供产品软件功能演示截图。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3.系统功能：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通过虚拟现实头盔、手柄实现三维场景、六个自由度身临其境般的真实体验，采用自主开发报表系统，呈现报告美观，支持打印及导出；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3.1.场景模块：包含至少10个以上场景，可通过自由选择场景进行漫游；通过不同的场景模拟，让体验者在多种场景中选择适合自己的场景进行放松训练。提供产品软件功能演示截图。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3.2可旋转式目录栏，可单手体感式操作。提供产品软件功能演示截图。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3.3.训练模块：漫游场景中可自动生成各类动物，至少包含5种以上；可通过手柄控制。提供产品软件功能演示截图。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3.4.音乐功能模块：包含2种分类的音乐，每个分类下包含10种以上音乐内容，可自由选择播放。提供产品软件功能演示截图。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3.5.天气系统：可自由切换天气状况，天气包含雨、雪、风、云、彩虹、雷电6种，每个系统都包含0-100区间，可自由调节天气的强烈程度来模拟不同的天气状况；提供产品软件功能演示截图。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3.6.24小时光照系统：系统依照24小时制进行模拟，并实时变化；同时可通过调节功能来调节时间和光照情况，够自由切换；提供产品软件功能演示截图。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3.7.全波段心率检测系统，外置心率监测设备，随时记录心率情况。</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3.9.配合VR设备中易于使用的主动红外光学追踪设备，稳定可靠无极调速震动反馈，能够自由选择简单便捷的进行各种旋转拉近推离操作。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*4.软件须是原厂商原装、正规渠道产品，涉及软件是合法的、正版无版权纠纷的产品，在使用涉及的软件或其任何一部分时免受第三方提出侵犯其著作权、专利权、商标权或设计权的纠纷，</w:t>
            </w:r>
            <w:r>
              <w:rPr>
                <w:rFonts w:hint="eastAsia" w:ascii="宋体" w:hAnsi="宋体" w:cs="宋体"/>
                <w:color w:val="auto"/>
                <w:kern w:val="0"/>
                <w:sz w:val="20"/>
                <w:szCs w:val="20"/>
                <w:lang w:eastAsia="zh-CN"/>
              </w:rPr>
              <w:t>供应商</w:t>
            </w:r>
            <w:r>
              <w:rPr>
                <w:rFonts w:hint="eastAsia" w:ascii="宋体" w:hAnsi="宋体" w:cs="宋体"/>
                <w:color w:val="auto"/>
                <w:kern w:val="0"/>
                <w:sz w:val="20"/>
                <w:szCs w:val="20"/>
              </w:rPr>
              <w:t>需对此提供产品使用承诺书并加盖本公司公章。</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▲4.1产品无产权争议，具有独立知识产权，提供厂家相关证明材料并加盖公章。</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5.系统开发：</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5.1虚拟现实老年放松引导关怀系统，系统运用C/S构架，基于Unity3D开发，采用虚拟仿真技术，360度三维空间渲染。</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5.2系统硬件要求：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5.2.1显卡: 不低于Nvidia GeForce GTX 1060，AMD Radeon R9 290 或更高处理器: Inteli5-4590，AMD FX 8350 或更高；</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5.2.2内存:不低于4GB 或更高；</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5.2.3视频输出:≥ HDMI 1.4,DisplayPort 1.2 或更高版本；</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5.2.USB 端口: ≥USB 2.0 或更高端口，数量不少于5 个或以上；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5.3系统软件要求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操作系统: 不低于windows10或更高版本；</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可安装 steam 软件及 steamVR 插件；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不低于.net framework 4.5 版本；</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microsoft Visual C++ 2005/2008/2010 或更高版本；NVIDIA 3D Vision 驱动程序 36822 或更高版本。</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312"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6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auto"/>
                <w:sz w:val="20"/>
                <w:szCs w:val="20"/>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r>
      <w:tr>
        <w:trPr>
          <w:trHeight w:val="16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老年放松引导关怀一体机</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1.移动方式：落地移动式；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2.规格：（长*宽*高）≥</w:t>
            </w:r>
            <w:r>
              <w:rPr>
                <w:rFonts w:ascii="宋体" w:hAnsi="宋体" w:cs="宋体"/>
                <w:color w:val="auto"/>
                <w:kern w:val="0"/>
                <w:sz w:val="20"/>
                <w:szCs w:val="20"/>
              </w:rPr>
              <w:t>1380</w:t>
            </w:r>
            <w:r>
              <w:rPr>
                <w:rFonts w:hint="eastAsia" w:ascii="宋体" w:hAnsi="宋体" w:cs="宋体"/>
                <w:color w:val="auto"/>
                <w:kern w:val="0"/>
                <w:sz w:val="20"/>
                <w:szCs w:val="20"/>
              </w:rPr>
              <w:t>（±</w:t>
            </w:r>
            <w:r>
              <w:rPr>
                <w:rFonts w:ascii="宋体" w:hAnsi="宋体" w:cs="宋体"/>
                <w:color w:val="auto"/>
                <w:kern w:val="0"/>
                <w:sz w:val="20"/>
                <w:szCs w:val="20"/>
              </w:rPr>
              <w:t>10%）mm*650</w:t>
            </w:r>
            <w:r>
              <w:rPr>
                <w:rFonts w:hint="eastAsia" w:ascii="宋体" w:hAnsi="宋体" w:cs="宋体"/>
                <w:color w:val="auto"/>
                <w:kern w:val="0"/>
                <w:sz w:val="20"/>
                <w:szCs w:val="20"/>
              </w:rPr>
              <w:t>（±</w:t>
            </w:r>
            <w:r>
              <w:rPr>
                <w:rFonts w:ascii="宋体" w:hAnsi="宋体" w:cs="宋体"/>
                <w:color w:val="auto"/>
                <w:kern w:val="0"/>
                <w:sz w:val="20"/>
                <w:szCs w:val="20"/>
              </w:rPr>
              <w:t>10%）mm*650</w:t>
            </w:r>
            <w:r>
              <w:rPr>
                <w:rFonts w:hint="eastAsia" w:ascii="宋体" w:hAnsi="宋体" w:cs="宋体"/>
                <w:color w:val="auto"/>
                <w:kern w:val="0"/>
                <w:sz w:val="20"/>
                <w:szCs w:val="20"/>
              </w:rPr>
              <w:t>（±</w:t>
            </w:r>
            <w:r>
              <w:rPr>
                <w:rFonts w:ascii="宋体" w:hAnsi="宋体" w:cs="宋体"/>
                <w:color w:val="auto"/>
                <w:kern w:val="0"/>
                <w:sz w:val="20"/>
                <w:szCs w:val="20"/>
              </w:rPr>
              <w:t>10%）mm；操作台高度≥920</w:t>
            </w:r>
            <w:r>
              <w:rPr>
                <w:rFonts w:hint="eastAsia" w:ascii="宋体" w:hAnsi="宋体" w:cs="宋体"/>
                <w:color w:val="auto"/>
                <w:kern w:val="0"/>
                <w:sz w:val="20"/>
                <w:szCs w:val="20"/>
              </w:rPr>
              <w:t>（±</w:t>
            </w:r>
            <w:r>
              <w:rPr>
                <w:rFonts w:ascii="宋体" w:hAnsi="宋体" w:cs="宋体"/>
                <w:color w:val="auto"/>
                <w:kern w:val="0"/>
                <w:sz w:val="20"/>
                <w:szCs w:val="20"/>
              </w:rPr>
              <w:t>10%</w:t>
            </w:r>
            <w:r>
              <w:rPr>
                <w:rFonts w:hint="eastAsia" w:ascii="宋体" w:hAnsi="宋体" w:cs="宋体"/>
                <w:color w:val="auto"/>
                <w:kern w:val="0"/>
                <w:sz w:val="20"/>
                <w:szCs w:val="20"/>
              </w:rPr>
              <w:t>）</w:t>
            </w:r>
            <w:r>
              <w:rPr>
                <w:rFonts w:ascii="宋体" w:hAnsi="宋体" w:cs="宋体"/>
                <w:color w:val="auto"/>
                <w:kern w:val="0"/>
                <w:sz w:val="20"/>
                <w:szCs w:val="20"/>
              </w:rPr>
              <w:t>mm</w:t>
            </w:r>
            <w:r>
              <w:rPr>
                <w:rFonts w:hint="eastAsia" w:ascii="宋体" w:hAnsi="宋体" w:cs="宋体"/>
                <w:color w:val="auto"/>
                <w:kern w:val="0"/>
                <w:sz w:val="20"/>
                <w:szCs w:val="20"/>
              </w:rPr>
              <w:t>；操作台高度≥920mm；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3.输入方式：内嵌式一体化键盘，触摸板式鼠标操作；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4.显示器：VR弧形液晶显示器，分辨率≥1920*1080；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5.音箱：内置音箱5.1立体声；</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6.模块：电源模块、智能散热模块、WIFI模块。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台</w:t>
            </w:r>
          </w:p>
        </w:tc>
      </w:tr>
      <w:tr>
        <w:trPr>
          <w:trHeight w:val="17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储物柜</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1、201不锈钢材质上下玻璃，规格1.0cm厚度≥1800*900*400mm。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2、功能: 带抽屉，玻璃门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3、开合方式: 开门柜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4、门数量: 双门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5、是否带锁: 是</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6、加厚不锈钢板材激光切割一次成型。</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17</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实训室文化改造</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6"/>
                <w:rFonts w:hint="default"/>
                <w:color w:val="auto"/>
              </w:rPr>
            </w:pPr>
            <w:r>
              <w:rPr>
                <w:rStyle w:val="26"/>
                <w:rFonts w:hint="default"/>
                <w:color w:val="auto"/>
              </w:rPr>
              <w:t>改造内容包括：</w:t>
            </w:r>
          </w:p>
          <w:p>
            <w:pPr>
              <w:widowControl/>
              <w:jc w:val="left"/>
              <w:textAlignment w:val="center"/>
              <w:rPr>
                <w:rStyle w:val="26"/>
                <w:rFonts w:hint="default"/>
                <w:color w:val="auto"/>
              </w:rPr>
            </w:pPr>
            <w:r>
              <w:rPr>
                <w:rStyle w:val="26"/>
                <w:rFonts w:hint="default"/>
                <w:color w:val="auto"/>
              </w:rPr>
              <w:t xml:space="preserve">1.实训室专业知识介绍挂画或展板设计制作，含全屋适老化改造标识建设系统及教学知识点文化墙建设；                      1.1挂画不少于10张，尺寸≥70*100cm，装裱方式: 有框，风格简约，画芯材质: 油画布，工艺: 喷绘，内容以适老化文化宣传为主。                                                                                  </w:t>
            </w:r>
          </w:p>
          <w:p>
            <w:pPr>
              <w:widowControl/>
              <w:jc w:val="left"/>
              <w:textAlignment w:val="center"/>
              <w:rPr>
                <w:rStyle w:val="27"/>
                <w:rFonts w:hint="default"/>
                <w:color w:val="auto"/>
              </w:rPr>
            </w:pPr>
            <w:r>
              <w:rPr>
                <w:rStyle w:val="26"/>
                <w:rFonts w:hint="default"/>
                <w:color w:val="auto"/>
              </w:rPr>
              <w:t>1.2展板设计制作不少于</w:t>
            </w:r>
            <w:r>
              <w:rPr>
                <w:rStyle w:val="27"/>
                <w:rFonts w:hint="default"/>
                <w:color w:val="auto"/>
              </w:rPr>
              <w:t xml:space="preserve">10张，尺寸≥70*100cm，材质：亚克力，风格简约，内容以教学知识点为主。             </w:t>
            </w:r>
          </w:p>
          <w:p>
            <w:pPr>
              <w:widowControl/>
              <w:jc w:val="left"/>
              <w:textAlignment w:val="center"/>
              <w:rPr>
                <w:rStyle w:val="27"/>
                <w:rFonts w:hint="default"/>
                <w:color w:val="auto"/>
              </w:rPr>
            </w:pPr>
            <w:r>
              <w:rPr>
                <w:rStyle w:val="27"/>
                <w:rFonts w:hint="default"/>
                <w:color w:val="auto"/>
              </w:rPr>
              <w:t>1.3房间外部走廊需制作不少于20米*2.8米文化墙建设，墙体重新粉刷，做行业、学院等文化建设展板等内容，具体以以弘扬民族文化、智慧养老相结合，材质为3d立体亚克力，亚克力厚度不低于0.6cm;</w:t>
            </w:r>
          </w:p>
          <w:p>
            <w:pPr>
              <w:widowControl/>
              <w:jc w:val="left"/>
              <w:textAlignment w:val="center"/>
              <w:rPr>
                <w:rStyle w:val="27"/>
                <w:rFonts w:hint="default"/>
                <w:color w:val="auto"/>
              </w:rPr>
            </w:pPr>
            <w:r>
              <w:rPr>
                <w:rStyle w:val="27"/>
                <w:rFonts w:hint="default"/>
                <w:color w:val="auto"/>
              </w:rPr>
              <w:t>1.4文化墙的施工要求严格按照设计图纸要求进行，保证工程质量和施工安全。</w:t>
            </w:r>
          </w:p>
          <w:p>
            <w:pPr>
              <w:widowControl/>
              <w:jc w:val="left"/>
              <w:textAlignment w:val="center"/>
              <w:rPr>
                <w:rStyle w:val="27"/>
                <w:rFonts w:hint="default"/>
                <w:color w:val="auto"/>
              </w:rPr>
            </w:pPr>
            <w:r>
              <w:rPr>
                <w:rStyle w:val="27"/>
                <w:rFonts w:hint="default"/>
                <w:color w:val="auto"/>
              </w:rPr>
              <w:t>1.5文化墙所用材料要求环保、耐久、防水、防污染，符合国家相关规定。</w:t>
            </w:r>
          </w:p>
          <w:p>
            <w:pPr>
              <w:widowControl/>
              <w:jc w:val="left"/>
              <w:textAlignment w:val="center"/>
              <w:rPr>
                <w:rFonts w:hint="eastAsia" w:ascii="宋体" w:hAnsi="宋体" w:cs="宋体"/>
                <w:color w:val="auto"/>
                <w:sz w:val="20"/>
                <w:szCs w:val="20"/>
              </w:rPr>
            </w:pPr>
            <w:r>
              <w:rPr>
                <w:rStyle w:val="26"/>
                <w:rFonts w:hint="default"/>
                <w:color w:val="auto"/>
              </w:rPr>
              <w:t>2.供货前需提供场地设计等内容</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老年健康评估基础用物</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Style w:val="27"/>
                <w:rFonts w:hint="default"/>
                <w:color w:val="auto"/>
              </w:rPr>
            </w:pPr>
            <w:r>
              <w:rPr>
                <w:rStyle w:val="27"/>
                <w:rFonts w:hint="default"/>
                <w:color w:val="auto"/>
              </w:rPr>
              <w:t>设备包含：</w:t>
            </w:r>
          </w:p>
          <w:p>
            <w:pPr>
              <w:widowControl/>
              <w:jc w:val="left"/>
              <w:textAlignment w:val="center"/>
              <w:rPr>
                <w:rStyle w:val="27"/>
                <w:rFonts w:hint="default"/>
                <w:color w:val="auto"/>
              </w:rPr>
            </w:pPr>
            <w:r>
              <w:rPr>
                <w:rStyle w:val="27"/>
                <w:rFonts w:hint="default"/>
                <w:color w:val="auto"/>
              </w:rPr>
              <w:t>1.简易上肢功能评价器：尺寸不小于45×45×12cm，检测工具一套，秒表一个，大小木块若干，弹性球5个，小木球若干，各种小器具若干。</w:t>
            </w:r>
          </w:p>
          <w:p>
            <w:pPr>
              <w:widowControl/>
              <w:jc w:val="left"/>
              <w:textAlignment w:val="center"/>
              <w:rPr>
                <w:rStyle w:val="27"/>
                <w:rFonts w:hint="default"/>
                <w:color w:val="auto"/>
              </w:rPr>
            </w:pPr>
            <w:r>
              <w:rPr>
                <w:rStyle w:val="27"/>
                <w:rFonts w:hint="default"/>
                <w:color w:val="auto"/>
              </w:rPr>
              <w:t>2.塑料角度尺：8英寸用于测量手臂或者儿童。12英寸用于测量腿部。材质：PVC/亚克力</w:t>
            </w:r>
          </w:p>
          <w:p>
            <w:pPr>
              <w:widowControl/>
              <w:jc w:val="left"/>
              <w:textAlignment w:val="center"/>
              <w:rPr>
                <w:rStyle w:val="27"/>
                <w:rFonts w:hint="default"/>
                <w:color w:val="auto"/>
              </w:rPr>
            </w:pPr>
            <w:r>
              <w:rPr>
                <w:rStyle w:val="27"/>
                <w:rFonts w:hint="default"/>
                <w:color w:val="auto"/>
              </w:rPr>
              <w:t>3.多功能关节活动测量表：表盘直径/cm：≥Φ6.5  表盘的旋转角度：0°～360°</w:t>
            </w:r>
          </w:p>
          <w:p>
            <w:pPr>
              <w:widowControl/>
              <w:jc w:val="left"/>
              <w:textAlignment w:val="center"/>
              <w:rPr>
                <w:rStyle w:val="27"/>
                <w:rFonts w:hint="default"/>
                <w:color w:val="auto"/>
              </w:rPr>
            </w:pPr>
            <w:r>
              <w:rPr>
                <w:rStyle w:val="27"/>
                <w:rFonts w:hint="default"/>
                <w:color w:val="auto"/>
              </w:rPr>
              <w:t>4.握力计：量程：不小于90kg/198lb；材料：高密度工程塑料；分度值：0.1kg/0.2lb</w:t>
            </w:r>
          </w:p>
          <w:p>
            <w:pPr>
              <w:widowControl/>
              <w:jc w:val="left"/>
              <w:textAlignment w:val="center"/>
              <w:rPr>
                <w:rStyle w:val="27"/>
                <w:rFonts w:hint="default"/>
                <w:color w:val="auto"/>
              </w:rPr>
            </w:pPr>
            <w:r>
              <w:rPr>
                <w:rStyle w:val="27"/>
                <w:rFonts w:hint="default"/>
                <w:color w:val="auto"/>
              </w:rPr>
              <w:t>5.背力计：材质:金属制除显示表；测试范围:≥0-400KG；分度值:不大于1KG ；示值误差:不大于1/400F.S ；电源:配有电源器(可用9V电池)；功能:背力峰值保持，开关清零，定时关机，过载指示</w:t>
            </w:r>
          </w:p>
          <w:p>
            <w:pPr>
              <w:widowControl/>
              <w:jc w:val="left"/>
              <w:textAlignment w:val="center"/>
              <w:rPr>
                <w:rStyle w:val="27"/>
                <w:rFonts w:hint="default"/>
                <w:color w:val="auto"/>
              </w:rPr>
            </w:pPr>
            <w:r>
              <w:rPr>
                <w:rStyle w:val="27"/>
                <w:rFonts w:hint="default"/>
                <w:color w:val="auto"/>
              </w:rPr>
              <w:t>6.秒表：功能：2道记忆、1/100秒计时、时间显示、带闹钟</w:t>
            </w:r>
          </w:p>
          <w:p>
            <w:pPr>
              <w:widowControl/>
              <w:jc w:val="left"/>
              <w:textAlignment w:val="center"/>
              <w:rPr>
                <w:rStyle w:val="27"/>
                <w:rFonts w:hint="default"/>
                <w:color w:val="auto"/>
              </w:rPr>
            </w:pPr>
            <w:r>
              <w:rPr>
                <w:rStyle w:val="27"/>
                <w:rFonts w:hint="default"/>
                <w:color w:val="auto"/>
              </w:rPr>
              <w:t>7.万步计：采用铁块镂空共存，实现双层隔磁，隔离刷布器运作期间磁场对手表、手环的干扰。</w:t>
            </w:r>
          </w:p>
          <w:p>
            <w:pPr>
              <w:widowControl/>
              <w:jc w:val="left"/>
              <w:textAlignment w:val="center"/>
              <w:rPr>
                <w:rStyle w:val="27"/>
                <w:rFonts w:hint="default"/>
                <w:color w:val="auto"/>
              </w:rPr>
            </w:pPr>
            <w:r>
              <w:rPr>
                <w:rStyle w:val="27"/>
                <w:rFonts w:hint="default"/>
                <w:color w:val="auto"/>
              </w:rPr>
              <w:t>8.皮脂厚度测定计：测量范围:不小于0-60MM，精度:≤0.2mm 误差:≤±0.5mm，适用范围:测量脂肪厚度</w:t>
            </w:r>
          </w:p>
          <w:p>
            <w:pPr>
              <w:widowControl/>
              <w:jc w:val="left"/>
              <w:textAlignment w:val="center"/>
              <w:rPr>
                <w:rStyle w:val="27"/>
                <w:rFonts w:hint="default"/>
                <w:color w:val="auto"/>
              </w:rPr>
            </w:pPr>
            <w:r>
              <w:rPr>
                <w:rStyle w:val="27"/>
                <w:rFonts w:hint="default"/>
                <w:color w:val="auto"/>
              </w:rPr>
              <w:t>9.电子肺活量计：量程：不小于10000ml；分度值：不小于1ml；功能：常规插电款，升级可充电款。</w:t>
            </w:r>
          </w:p>
          <w:p>
            <w:pPr>
              <w:widowControl/>
              <w:jc w:val="left"/>
              <w:textAlignment w:val="center"/>
              <w:rPr>
                <w:rStyle w:val="27"/>
                <w:rFonts w:hint="default"/>
                <w:color w:val="auto"/>
              </w:rPr>
            </w:pPr>
            <w:r>
              <w:rPr>
                <w:rStyle w:val="27"/>
                <w:rFonts w:hint="default"/>
                <w:color w:val="auto"/>
              </w:rPr>
              <w:t>10.电子体温计：测量精度不大于0.1℃，准度升级</w:t>
            </w:r>
          </w:p>
          <w:p>
            <w:pPr>
              <w:widowControl/>
              <w:jc w:val="left"/>
              <w:textAlignment w:val="center"/>
              <w:rPr>
                <w:rStyle w:val="27"/>
                <w:rFonts w:hint="default"/>
                <w:color w:val="auto"/>
              </w:rPr>
            </w:pPr>
            <w:r>
              <w:rPr>
                <w:rStyle w:val="27"/>
                <w:rFonts w:hint="default"/>
                <w:color w:val="auto"/>
              </w:rPr>
              <w:t>11.电子血压计（腕式）：人体工学设计，不小于500mah锂电池，腕带可调节。</w:t>
            </w:r>
          </w:p>
          <w:p>
            <w:pPr>
              <w:widowControl/>
              <w:jc w:val="left"/>
              <w:textAlignment w:val="center"/>
              <w:rPr>
                <w:rStyle w:val="27"/>
                <w:rFonts w:hint="default"/>
                <w:color w:val="auto"/>
              </w:rPr>
            </w:pPr>
            <w:r>
              <w:rPr>
                <w:rStyle w:val="27"/>
                <w:rFonts w:hint="default"/>
                <w:color w:val="auto"/>
              </w:rPr>
              <w:t>12.听力音叉：本仪器均为铝合金制成，四面平直棱角整齐，512Hz音叉总长度约不小于170mm，叉枝厚度为不小于10mm，宽度不小于25mm;256Hz音叉总长度约不小于180mm，叉枝厚度为不小于10mm，宽度不小于25mm,圆弧直径不小于20mm;128Hz音叉总长度约不小于215mm，叉枝厚度为不小于10mm，宽度不小于25mm,圆弧直径不小于28mm,频率皆经过专业设备检查，其误差不大于±0.4周。</w:t>
            </w:r>
          </w:p>
          <w:p>
            <w:pPr>
              <w:widowControl/>
              <w:jc w:val="left"/>
              <w:textAlignment w:val="center"/>
              <w:rPr>
                <w:rStyle w:val="27"/>
                <w:rFonts w:hint="default"/>
                <w:color w:val="auto"/>
              </w:rPr>
            </w:pPr>
            <w:r>
              <w:rPr>
                <w:rStyle w:val="27"/>
                <w:rFonts w:hint="default"/>
                <w:color w:val="auto"/>
              </w:rPr>
              <w:t>13.手电筒：远近两用，无极伸缩变焦</w:t>
            </w:r>
          </w:p>
          <w:p>
            <w:pPr>
              <w:widowControl/>
              <w:jc w:val="left"/>
              <w:textAlignment w:val="center"/>
              <w:rPr>
                <w:rStyle w:val="27"/>
                <w:rFonts w:hint="default"/>
                <w:color w:val="auto"/>
              </w:rPr>
            </w:pPr>
            <w:r>
              <w:rPr>
                <w:rStyle w:val="27"/>
                <w:rFonts w:hint="default"/>
                <w:color w:val="auto"/>
              </w:rPr>
              <w:t>14.一次性压舌板：木质，用于检查时压低舌部。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步行测量贴纸</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1.规格：≥3m，具有防水防滑。</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2.宽度：≥10cm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3.防滑耐磨防潮湿</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4.材质:移动测量板(EVA材料+PVC)尺身(软铁+PET+背胶)/底座(磁扣+PVC+EVA)                                        </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5.数量：两张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康复评定流程图</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1.材质：亚克力。</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2.功能：可挂墙。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3.不褪色彩清晰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4.PP背胶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5.尺寸不小于70*105cm</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7.数量不少于10张</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62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评估桌椅</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1.课桌一张,配3把评估椅</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2.桌子材质全实木，尺寸≥1400MM*800MM*750MM</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3.椅子钢木结合材质，科技布或仿皮材质，尺寸≥45*52*93cm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简易上肢功能评价器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1.功能要求：主要用于对上肢能力、运动速度进行客观的检测，判断上肢功能受限程度。</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2.规格（长×宽×高）：≥420*420*100mm</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66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腕部功能训练器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1.技术参数：盒子外形尺寸≥40×25×12cm，配6种训练组件。</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2.功能介绍：腕部肌肉及关节活动度训练。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8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OT桌</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1.外形尺寸不小于（长×宽×高）139cm×80cm×（61～85）cm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2.产品材质:优质型钢、静电喷塑、实木</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3.产品功能:作业训练用桌，桌面高度可调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9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胸背部矫正运动器（配拉力器）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1.外观规格（长×宽×高）/cm：≥ 130×60×210；</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2.拉力器数量：2个、配重块质量及数量：≥2kg/块，8块。</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智能艾蒸灸慰仪</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lang w:bidi="ar"/>
              </w:rPr>
              <w:t>1.工作时间：10~90min可调数码显示</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2.电容触摸控制</w:t>
            </w:r>
            <w:r>
              <w:rPr>
                <w:rFonts w:hint="eastAsia" w:ascii="宋体" w:hAnsi="宋体" w:cs="宋体"/>
                <w:color w:val="auto"/>
                <w:kern w:val="0"/>
                <w:sz w:val="20"/>
                <w:szCs w:val="20"/>
                <w:lang w:bidi="ar"/>
              </w:rPr>
              <w:br w:type="textWrapping"/>
            </w:r>
            <w:r>
              <w:rPr>
                <w:rFonts w:hint="eastAsia" w:ascii="宋体" w:hAnsi="宋体" w:cs="宋体"/>
                <w:color w:val="auto"/>
                <w:kern w:val="0"/>
                <w:sz w:val="20"/>
                <w:szCs w:val="20"/>
                <w:lang w:bidi="ar"/>
              </w:rPr>
              <w:t>3.防倾倒设置倾倒自动断电</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踝关节康复训练器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1.产品包含：电动电机，脚部托板，脚部绑带，角度盘，机身主体，折叠木板，小腿绑带，小腿托板，遥控器。</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2.功能包括：≥±40°活动角度，遥控控制，可单人操作，角度毫米级精细微调。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23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辅助步行训练器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1.产品材质：碳钢。</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2.产品规格：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2.1.支架承重：≥150kg；</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2.2.腋下宽度：30-42cm；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2.3.左右轮距：≥60cm；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2.4.刹车侧轮轮距：≥95cm；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2.5.整车高度115-140cm；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2.6.包装尺寸（长×宽×高）：≥85*75*24cm。</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3.功能包括：高度可调节（10档调节），单手控制刹车，防侧翻刹车大轮，辅助抬腿拉力绳，约束带辅助站立，快拆式坐便器。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3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人体模型</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铜色高清男模型（定制</w:t>
            </w:r>
            <w:r>
              <w:rPr>
                <w:rFonts w:ascii="宋体" w:hAnsi="宋体" w:cs="宋体"/>
                <w:color w:val="auto"/>
                <w:kern w:val="0"/>
                <w:sz w:val="20"/>
                <w:szCs w:val="20"/>
              </w:rPr>
              <w:t>180</w:t>
            </w:r>
            <w:r>
              <w:rPr>
                <w:rFonts w:hint="eastAsia" w:ascii="宋体" w:hAnsi="宋体" w:cs="宋体"/>
                <w:color w:val="auto"/>
                <w:kern w:val="0"/>
                <w:sz w:val="20"/>
                <w:szCs w:val="20"/>
              </w:rPr>
              <w:t>±</w:t>
            </w:r>
            <w:r>
              <w:rPr>
                <w:rFonts w:ascii="宋体" w:hAnsi="宋体" w:cs="宋体"/>
                <w:color w:val="auto"/>
                <w:kern w:val="0"/>
                <w:sz w:val="20"/>
                <w:szCs w:val="20"/>
              </w:rPr>
              <w:t>10cm</w:t>
            </w:r>
            <w:r>
              <w:rPr>
                <w:rFonts w:hint="eastAsia" w:ascii="宋体" w:hAnsi="宋体" w:cs="宋体"/>
                <w:color w:val="auto"/>
                <w:kern w:val="0"/>
                <w:sz w:val="20"/>
                <w:szCs w:val="20"/>
              </w:rPr>
              <w:t>），材质：PVC硬塑。</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3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人体模型</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铜色高清女模型（定制165</w:t>
            </w:r>
            <w:r>
              <w:rPr>
                <w:rFonts w:hint="eastAsia" w:ascii="宋体" w:hAnsi="宋体" w:cs="宋体"/>
                <w:color w:val="auto"/>
                <w:kern w:val="0"/>
                <w:sz w:val="20"/>
                <w:szCs w:val="20"/>
              </w:rPr>
              <w:t>±</w:t>
            </w:r>
            <w:r>
              <w:rPr>
                <w:rFonts w:ascii="宋体" w:hAnsi="宋体" w:cs="宋体"/>
                <w:color w:val="auto"/>
                <w:kern w:val="0"/>
                <w:sz w:val="20"/>
                <w:szCs w:val="20"/>
              </w:rPr>
              <w:t>10cm</w:t>
            </w:r>
            <w:r>
              <w:rPr>
                <w:rFonts w:hint="eastAsia" w:ascii="宋体" w:hAnsi="宋体" w:cs="宋体"/>
                <w:color w:val="auto"/>
                <w:kern w:val="0"/>
                <w:sz w:val="20"/>
                <w:szCs w:val="20"/>
              </w:rPr>
              <w:t>），材质：PVC硬塑。</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54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29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情景互动康复训练系统</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1.额定输入功率：240VA。</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2.使用电源：交流电压 220V±22V，频率50Hz±1Hz。</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3.尺寸（允差±20mm）：≥长1239mm，宽856mm，高1846mm。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4.显示方式：液晶显示器显示交互界面。</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5.动作采集：3D深度摄像头传感器，进行人体深度影像精准捕捉。</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6.数据分析：将采集的人体深度影像数据进行处理，形成可控制用的人体关节点数据。（需提供对应功能截图）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7.运动能力(体态动作)评估：针对头部、脊柱、左上肢、左肘部、左下肢、左膝部、右上肢、右肘部、右下肢、右膝部位进行评估。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8.动作（体态）评估报告系统，针对动作评估数据，形成数据分析和报表，并对于弱项推荐对应的游戏训练。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9.游戏训练：提供不少于10个训练游戏，并侧重不同身体部位训练，如平衡板、太极拳，训练过程互动充分、新颖有趣。（需提供对应功能截图）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10.每个游戏训练时间可调整，训练可随意选择组合，并形成训练序列。</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11.训练序列自动切换，也可随时控制进程。</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12.每个训练会形成当前数据报告，整个游戏训练序列结束形成整体的训练报告。</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13.进行动作、体态评估后再进行游戏训练可以将它们的运动数据进行对比显示。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14.评估和训练报表数据历史记录，保存当前使用者所有动作、体态评估、游戏训练的数据、报表。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15.动作（体态）评估和游戏训练，流程化、一体化。先评估，再推荐，训练后再对比。</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16.方便移动，适用不同环境。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17.直接面对设备做评估和康复训练，无需其它设备。</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18.评估和训练过程患者无需直接接触设备，干净卫生。</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19.不受环境光线昏暗的影响。</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20.运动能力(体态动作)评估有真人影像和模型人物两种控制方式可切换。</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上肢康复训练仪</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1.增程式调节角度更大增程设计，可二次增加角度</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2.接触部位覆盖软垫，大臂托、小臂托包裹手臂更舒适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3.工业级电机，强大动力，开度平稳轻松锻炼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4.精工钣金件更稳固精工工艺，承重更大</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5.体积小便于携带可卧床锻炼，更方便</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67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动态平衡训练与评估系统</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1.测试平台外形尺寸：≥（长）950mm×（宽）770mm×（高）1000mm，允差±10%。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2.操作台外形尺寸：≥（长）790mm×（宽）700mm×（高）1900mm，允差±10%。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3.扶手杆调节高度0～250mm，允差±5%。</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4.配置2个固定脚轮和1个快插式可拆卸万向脚轮方便转移整机。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*5.情景互动模式训练：产品集成十种以上训练模式，让患者在娱乐中得到康复训练。提供该产品功能截图。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6.系统配置训练评估报告：根据患者训练的数据，生成整体的评估报告，反应出患者治疗的情况，并支持打印功能。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7.训练方式：单脚站立、双脚站立、闭眼站立、睁眼站立、蹲、起立等常用的训练模式。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8.具有足底压力分析及平衡稳定性测试功能，提供产品功能截图。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9.额定电源电压：220V 、频率：50Hz；额定功率：15VA；</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10.平衡板参数：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平衡板内部采用薄膜压力传感器，感知外在压力。</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11.主要参数如下：</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11.1.尺寸：≥长570mm，宽490mm，高25mm；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11.2.材料：复合材料；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11.3.有效表面积：≥420×420mm；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11.4.传感器：(PCB)电极；传感器尺寸≤7×7mm；11.5传感器厚度≤软板0.7mm，硬板≤2.0mm传感器数量≥3600(60×60)；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11.6.温度范围：0℃～ 60℃；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11.7.单个传感器承重：1～50 N；</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11.8.传感器寿命≥ 1000000使用次数；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11.9.采集频率高达200张图/秒；</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11.10.通信：PC/USB接口；</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*11.11.最低操作系统Windows10</w:t>
            </w:r>
            <w:r>
              <w:rPr>
                <w:rFonts w:ascii="宋体" w:hAnsi="宋体" w:cs="宋体"/>
                <w:color w:val="auto"/>
                <w:kern w:val="0"/>
                <w:sz w:val="20"/>
                <w:szCs w:val="20"/>
              </w:rPr>
              <w:t>;</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11.12.数据传输线≥3m，允差±5%；</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11.13.平衡板最大承重：≥136kg。</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197"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多功能牵引床</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1.电源：220V，50Hz；</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2.额定输入功率：120VA；</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3.腰椎牵引行程：≥0～300mm，允差±10mm；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*4.主动牵引行程：≥0～200mm、对抗加力牵引行程：0～100mm，允差±10mm；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*5/腰椎牵引力：0～990N范围内可调，级差10N，实际输出的牵引力与预置值的偏差不大于：牵引力不大于200N时，允差：±10％或±10N取大值；牵引力大于200N时，允差：±20％或±50N取小值；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6.牵引总时间：0～99min范围内设定，级差1min，允差不大于30s；</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7.牵引时间：0～9min，级差1min，误差不大于30s；</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8.间歇时间：0～9min，级差1min，误差不大于30s；</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*9.颈椎牵引力：0～300N范围内可调，级差10N，实际输出的牵引力与预置值的偏差不大于：牵引力不大于200N时，允差：±10％或±10N取大值；牵引力大于200N时，允差：±20％或±50N取小值；</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10.颈椎牵引行程：0～300mm，允差±10mm；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11.成角动作范围：-10°～+30°连续可调，允差±2°，成角零位误差不大于±1°，上成角保持稳定；</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12.平摆动作范围：±20°连续可调，允差±2°，左右平摆动作速度：142°/min，允差±15%；</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13.旋转动作范围：±25°连续可调，允差±2°，左右旋转动作速度：165°/min，允差±15%；</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14.牵引床加热功能：床面工作温度45℃，允差±3℃；</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15.微电脑控制颈椎、腰椎牵引；</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*16.慢速牵引功能，牵引床腰椎牵引具有8种牵引模式；</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17.牵引力自动补偿功能；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18.20种治疗方案存储并读取；</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*19.四维立体方位牵引，可在成角旋转平摆状态下进行对抗式牵引；</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20.多种安全设计（最大牵引力990N，患者应急线控手柄开关、医务人员操作急退键）。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701"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VR下肢平衡康复训练系统</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1.自发电启动装置。</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2.自行调节踏板。</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3.自由飞轮设计运转更顺畅。</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4.内置娱乐调制。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5.显示功能：固定显示，瓦特/速度/转速/距离/时间/卡路里/心跳检测/课程/水平。</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5.1.阻力系统：JHT发电阻力系统 (1-25级）。</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5.2.传动系统：皮带材质,Quiet-GlideTM系统8沟的多槽皮带与单向轴承使运转时顺畅且安静。</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5.3.座椅：PURE COMFORT座椅,带有腰部支撑，28段调节。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5.4.最大使用者承重力≥180 kg。</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5.5.规格(mm)：≥1620×720×1380。</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5.6.用途：用于下肢关节活动、肌力及协调功能训练。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主被动上下肢训练器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1.产品尺寸（长*宽*高cm）≥70*64*102cm。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2.速度范围1-12档可调节。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3.阻力范围1-12档可调节。</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4.机器重量：17kg-19kg。</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84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四肢联动康复训练仪</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1.手脚可以同时进行或者分开进行训练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2.主动训练模式下,可调节10档阻力，使用者可根据自身情况调节强度，被动训练模式，针对腿脚无力人群使用者可根据情况调节10档速度</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3.产品尺寸≥123x105x53.5cm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4.阻力可调10档，适合身高1.5至1.85m</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5.额定功率：220V/50Hz ，功率≥ 70W</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20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医用慢跑台</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1.输出功率≥1800w，≥2.5hp。</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2.速度范围：0.1-6.0 km/h，1.0-14 km/h。</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4.支持蓝牙连接。</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5.内置多种自动变速程式，测心率扶手。</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6.功能配置：MP3 功放功能、独立二速段、双色。</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7.LCD蓝色液晶显示。</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8.独立安全扶手、慢速旋钮调节。</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台</w:t>
            </w:r>
          </w:p>
        </w:tc>
      </w:tr>
      <w:tr>
        <w:trPr>
          <w:trHeight w:val="6460" w:hRule="atLeast"/>
        </w:trPr>
        <w:tc>
          <w:tcPr>
            <w:tcW w:w="4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37</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老年认知康复训练一体机</w:t>
            </w:r>
          </w:p>
        </w:tc>
        <w:tc>
          <w:tcPr>
            <w:tcW w:w="6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1、产品硬件参数：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1.1.不小于47寸高清液晶屏,背光源：直下式LED 亮度：200cd/ m2对比度：3000:1色温：10000K</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可视角度（H/V）： 178/178度; 玻璃板:防眩晕反射率≤0.5%</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1.2.银光铝合金边框大气美观, 2.2mm高强度钢板，冲床成型，白色喷塑防锈处理，规格：</w:t>
            </w:r>
            <w:r>
              <w:rPr>
                <w:rFonts w:ascii="宋体" w:hAnsi="宋体" w:cs="宋体"/>
                <w:color w:val="auto"/>
                <w:kern w:val="0"/>
                <w:sz w:val="20"/>
                <w:szCs w:val="20"/>
              </w:rPr>
              <w:t>≥高167</w:t>
            </w:r>
            <w:r>
              <w:rPr>
                <w:rFonts w:hint="eastAsia" w:ascii="宋体" w:hAnsi="宋体" w:cs="宋体"/>
                <w:color w:val="auto"/>
                <w:kern w:val="0"/>
                <w:sz w:val="20"/>
                <w:szCs w:val="20"/>
              </w:rPr>
              <w:t>（±</w:t>
            </w:r>
            <w:r>
              <w:rPr>
                <w:rFonts w:ascii="宋体" w:hAnsi="宋体" w:cs="宋体"/>
                <w:color w:val="auto"/>
                <w:kern w:val="0"/>
                <w:sz w:val="20"/>
                <w:szCs w:val="20"/>
              </w:rPr>
              <w:t>10</w:t>
            </w:r>
            <w:r>
              <w:rPr>
                <w:rFonts w:hint="eastAsia" w:ascii="宋体" w:hAnsi="宋体" w:cs="宋体"/>
                <w:color w:val="auto"/>
                <w:kern w:val="0"/>
                <w:sz w:val="20"/>
                <w:szCs w:val="20"/>
              </w:rPr>
              <w:t>）</w:t>
            </w:r>
            <w:r>
              <w:rPr>
                <w:rFonts w:ascii="宋体" w:hAnsi="宋体" w:cs="宋体"/>
                <w:color w:val="auto"/>
                <w:kern w:val="0"/>
                <w:sz w:val="20"/>
                <w:szCs w:val="20"/>
              </w:rPr>
              <w:t>cm*宽106.7</w:t>
            </w:r>
            <w:r>
              <w:rPr>
                <w:rFonts w:hint="eastAsia" w:ascii="宋体" w:hAnsi="宋体" w:cs="宋体"/>
                <w:color w:val="auto"/>
                <w:kern w:val="0"/>
                <w:sz w:val="20"/>
                <w:szCs w:val="20"/>
              </w:rPr>
              <w:t>（±</w:t>
            </w:r>
            <w:r>
              <w:rPr>
                <w:rFonts w:ascii="宋体" w:hAnsi="宋体" w:cs="宋体"/>
                <w:color w:val="auto"/>
                <w:kern w:val="0"/>
                <w:sz w:val="20"/>
                <w:szCs w:val="20"/>
              </w:rPr>
              <w:t>10）cm*最厚55</w:t>
            </w:r>
            <w:r>
              <w:rPr>
                <w:rFonts w:hint="eastAsia" w:ascii="宋体" w:hAnsi="宋体" w:cs="宋体"/>
                <w:color w:val="auto"/>
                <w:kern w:val="0"/>
                <w:sz w:val="20"/>
                <w:szCs w:val="20"/>
              </w:rPr>
              <w:t>（±</w:t>
            </w:r>
            <w:r>
              <w:rPr>
                <w:rFonts w:ascii="宋体" w:hAnsi="宋体" w:cs="宋体"/>
                <w:color w:val="auto"/>
                <w:kern w:val="0"/>
                <w:sz w:val="20"/>
                <w:szCs w:val="20"/>
              </w:rPr>
              <w:t xml:space="preserve">10）cm </w:t>
            </w:r>
            <w:r>
              <w:rPr>
                <w:rFonts w:hint="eastAsia" w:ascii="宋体" w:hAnsi="宋体" w:cs="宋体"/>
                <w:color w:val="auto"/>
                <w:kern w:val="0"/>
                <w:sz w:val="20"/>
                <w:szCs w:val="20"/>
              </w:rPr>
              <w:t>底部规格：</w:t>
            </w:r>
            <w:r>
              <w:rPr>
                <w:rFonts w:ascii="宋体" w:hAnsi="宋体" w:cs="宋体"/>
                <w:color w:val="auto"/>
                <w:kern w:val="0"/>
                <w:sz w:val="20"/>
                <w:szCs w:val="20"/>
              </w:rPr>
              <w:t>5</w:t>
            </w:r>
            <w:r>
              <w:rPr>
                <w:rFonts w:hint="eastAsia" w:ascii="宋体" w:hAnsi="宋体" w:cs="宋体"/>
                <w:color w:val="auto"/>
                <w:kern w:val="0"/>
                <w:sz w:val="20"/>
                <w:szCs w:val="20"/>
              </w:rPr>
              <w:t>（±</w:t>
            </w:r>
            <w:r>
              <w:rPr>
                <w:rFonts w:ascii="宋体" w:hAnsi="宋体" w:cs="宋体"/>
                <w:color w:val="auto"/>
                <w:kern w:val="0"/>
                <w:sz w:val="20"/>
                <w:szCs w:val="20"/>
              </w:rPr>
              <w:t>10）5cm*70</w:t>
            </w:r>
            <w:r>
              <w:rPr>
                <w:rFonts w:hint="eastAsia" w:ascii="宋体" w:hAnsi="宋体" w:cs="宋体"/>
                <w:color w:val="auto"/>
                <w:kern w:val="0"/>
                <w:sz w:val="20"/>
                <w:szCs w:val="20"/>
              </w:rPr>
              <w:t>（±</w:t>
            </w:r>
            <w:r>
              <w:rPr>
                <w:rFonts w:ascii="宋体" w:hAnsi="宋体" w:cs="宋体"/>
                <w:color w:val="auto"/>
                <w:kern w:val="0"/>
                <w:sz w:val="20"/>
                <w:szCs w:val="20"/>
              </w:rPr>
              <w:t>10）cm（长宽）</w:t>
            </w:r>
            <w:r>
              <w:rPr>
                <w:rFonts w:ascii="宋体" w:hAnsi="宋体" w:cs="宋体"/>
                <w:color w:val="auto"/>
                <w:kern w:val="0"/>
                <w:sz w:val="20"/>
                <w:szCs w:val="20"/>
              </w:rPr>
              <w:br w:type="textWrapping"/>
            </w:r>
            <w:r>
              <w:rPr>
                <w:rFonts w:ascii="宋体" w:hAnsi="宋体" w:cs="宋体"/>
                <w:color w:val="auto"/>
                <w:kern w:val="0"/>
                <w:sz w:val="20"/>
                <w:szCs w:val="20"/>
              </w:rPr>
              <w:t xml:space="preserve">   1.3.机身尺寸：高164</w:t>
            </w:r>
            <w:r>
              <w:rPr>
                <w:rFonts w:hint="eastAsia" w:ascii="宋体" w:hAnsi="宋体" w:cs="宋体"/>
                <w:color w:val="auto"/>
                <w:kern w:val="0"/>
                <w:sz w:val="20"/>
                <w:szCs w:val="20"/>
              </w:rPr>
              <w:t>（±</w:t>
            </w:r>
            <w:r>
              <w:rPr>
                <w:rFonts w:ascii="宋体" w:hAnsi="宋体" w:cs="宋体"/>
                <w:color w:val="auto"/>
                <w:kern w:val="0"/>
                <w:sz w:val="20"/>
                <w:szCs w:val="20"/>
              </w:rPr>
              <w:t xml:space="preserve">10）cm </w:t>
            </w:r>
            <w:r>
              <w:rPr>
                <w:rFonts w:hint="eastAsia" w:ascii="宋体" w:hAnsi="宋体" w:cs="宋体"/>
                <w:color w:val="auto"/>
                <w:kern w:val="0"/>
                <w:sz w:val="20"/>
                <w:szCs w:val="20"/>
              </w:rPr>
              <w:t>宽</w:t>
            </w:r>
            <w:r>
              <w:rPr>
                <w:rFonts w:ascii="宋体" w:hAnsi="宋体" w:cs="宋体"/>
                <w:color w:val="auto"/>
                <w:kern w:val="0"/>
                <w:sz w:val="20"/>
                <w:szCs w:val="20"/>
              </w:rPr>
              <w:t>107</w:t>
            </w:r>
            <w:r>
              <w:rPr>
                <w:rFonts w:hint="eastAsia" w:ascii="宋体" w:hAnsi="宋体" w:cs="宋体"/>
                <w:color w:val="auto"/>
                <w:kern w:val="0"/>
                <w:sz w:val="20"/>
                <w:szCs w:val="20"/>
              </w:rPr>
              <w:t>（±</w:t>
            </w:r>
            <w:r>
              <w:rPr>
                <w:rFonts w:ascii="宋体" w:hAnsi="宋体" w:cs="宋体"/>
                <w:color w:val="auto"/>
                <w:kern w:val="0"/>
                <w:sz w:val="20"/>
                <w:szCs w:val="20"/>
              </w:rPr>
              <w:t>10）cm底座厚度50</w:t>
            </w:r>
            <w:r>
              <w:rPr>
                <w:rFonts w:hint="eastAsia" w:ascii="宋体" w:hAnsi="宋体" w:cs="宋体"/>
                <w:color w:val="auto"/>
                <w:kern w:val="0"/>
                <w:sz w:val="20"/>
                <w:szCs w:val="20"/>
              </w:rPr>
              <w:t>（±</w:t>
            </w:r>
            <w:r>
              <w:rPr>
                <w:rFonts w:ascii="宋体" w:hAnsi="宋体" w:cs="宋体"/>
                <w:color w:val="auto"/>
                <w:kern w:val="0"/>
                <w:sz w:val="20"/>
                <w:szCs w:val="20"/>
              </w:rPr>
              <w:t>10）cm</w:t>
            </w:r>
            <w:r>
              <w:rPr>
                <w:rFonts w:hint="eastAsia" w:ascii="宋体" w:hAnsi="宋体" w:cs="宋体"/>
                <w:color w:val="auto"/>
                <w:kern w:val="0"/>
                <w:sz w:val="20"/>
                <w:szCs w:val="20"/>
              </w:rPr>
              <w:t>高167cm*宽106.7cm*最厚55cm 底部规格：55cm*70cm（长宽）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*1.4.内置红外热感应人体骨架扫描仪，通过肢体动作控制互动游戏（无需任何手持设备即可操作）。（需提供对应功能截图）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*1.5.100个以上体验项目，其中至少10个体感中文训练项目。（需提供对应功能截图）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1.6.内置主机硬件：采用3核心的IBM PowerPC微处理器，频率为3.2GH。音频系统音频系统采用多声道环绕输出,320独立压缩音轨,32位处理,256音轨，采用3个扬声器，1个低音，1个中音，1个高音。</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1.7.通过虚拟游戏系统，对心理压力，和负面情绪的释放，达到放松效果。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2、产品技术参数：</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互动仪采用微软最新的体感控制技术，让使用者无需任何手持设备即可操作（通过手比画即可操控系统），如足球、拳击、保龄球、田径、排球、射箭、滑雪等互动活动，通过亲身参与，让使用者在感知觉、听觉、视觉、手眼协调等方面得到综合训练，从而提高使用者的逻辑思考能力、判断力、身体灵活性，大运动及精细运动的能力，达到情绪宣泄，自我调解心理状态的目的。</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3、产品功能：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3.1.身心平衡训练：利用游戏的方式，依靠传感器捕捉三维空间中玩家的运动，不需要任何的辅助器材，控制游戏角色进行游戏训练，达到身心平衡训练的效果。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3.2.自闭症辅助训练：通过传感器捕捉三维空间中玩家的运动，让使用者与虚拟角色实现肢体互动，并且系统可自动扑捉使用者过程中的一些经典动作，让使用发现互动交流中的愉悦，有助于自闭症辅助训练。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3.3.系统可实现多人互动宣泄，两个使用者分别扮演不同的角色，在游戏中实现合作,对打等等训练，有助于提高来访者的沟通配合能力。</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3.4.感觉统合训练：抚摸动物游戏，通过抚摸动物，当手触摸到动物时，动物会给出相应的反应，具备多种动物可以选择。</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3.5.特殊人群康复训练 ：系统提供的具有交互性、竞争性及娱乐性的活动能增加使用者的积极参与互动的愿望，从而使被动的心理辅导成为使用者的主动参与互动，实现了心理咨询工作的及时发现、主动解决、预防突发的作用。</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  3.6.左右脑协调：奇幻漂流，可以通过身体的向左向右向前跳跃来控制漂流小船，达到左右大脑协调，还可以2个人同时游戏。（需提供对应功能截图）</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*4.所提供产品必须是原厂商原装、正规渠道产品，涉及软件是合法的、正版无版权纠纷的产品，在使用涉及的软件或其任何一部分时免受第三方提出侵犯其著作权、专利权、商标权或设计权的纠纷，</w:t>
            </w:r>
            <w:r>
              <w:rPr>
                <w:rFonts w:hint="eastAsia" w:ascii="宋体" w:hAnsi="宋体" w:cs="宋体"/>
                <w:color w:val="auto"/>
                <w:kern w:val="0"/>
                <w:sz w:val="20"/>
                <w:szCs w:val="20"/>
                <w:lang w:eastAsia="zh-CN"/>
              </w:rPr>
              <w:t>供应商</w:t>
            </w:r>
            <w:r>
              <w:rPr>
                <w:rFonts w:hint="eastAsia" w:ascii="宋体" w:hAnsi="宋体" w:cs="宋体"/>
                <w:color w:val="auto"/>
                <w:kern w:val="0"/>
                <w:sz w:val="20"/>
                <w:szCs w:val="20"/>
              </w:rPr>
              <w:t>需对此提供产品使用承诺书并加盖本公司公章。</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▲5.产品无产权争议，具有独立知识产权，提供厂家相关证明材料并加盖公章。</w:t>
            </w: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1100" w:hRule="atLeast"/>
        </w:trPr>
        <w:tc>
          <w:tcPr>
            <w:tcW w:w="4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6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cs="宋体"/>
                <w:color w:val="auto"/>
                <w:sz w:val="20"/>
                <w:szCs w:val="20"/>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r>
      <w:tr>
        <w:trPr>
          <w:trHeight w:val="12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38</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胸背康复训练器</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1.外形尺寸：不小于980*910*1080mm。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2.前后摆臂：0°—35°。</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3.十二档阻力可调节：2KG-25KG 。</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4.重量≤35KG。</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台</w:t>
            </w:r>
          </w:p>
        </w:tc>
      </w:tr>
      <w:tr>
        <w:trPr>
          <w:trHeight w:val="625"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39</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温灸仪</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1.规格要求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1.1.四路艾灸输出；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1.2.额定输出功率：60VA；</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1.3.艾灸头具有磁疗催化功能，艾灸头表面磁感应强度0.023T～0.12T；</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1.4.艾灸头具有加热功能，每个艾灸头恒温范围：30℃～70℃内连续可调；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1.5.艾灸头配合专用艾绒使用，根据传统艾灸的原理，艾绒被加热后，直接作用于病灶；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1.6.艾灸头具有温针灸导入孔，可以进行温灸，温针灸；</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1.7.工作时间：1min～60min可调，级差1min，显示定时误差±5%，工作时间达到设定的时间时，所有通道停止输出；</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*1.8.温度保护装置，第一路保护装置动作温度值不得超过设定工作温度+3℃；当第一路保护装置失效，造成隔热垫表面最高温度继续升高，第二路保护装置动作，并切断输出,此时隔热垫表面温度不高70℃。</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2.功能要求</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2.1.微电脑控制，轻触式按键操作；</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2.2.艾灸头具有磁疗催化功能；</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2.3.艾灸头配合专用艾绒使用，根据传统艾灸的原理，艾绒被加热后，直接作用于病灶；</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*2.4.可选择同步控温和异步控温；</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2.5.具有手动停止输出功能；</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6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医用PVC地板</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耐磨、防滑、防燃、环保、抗菌、2毫米。地面处理及人工及辅材。材质符合国家环保标准</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500</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平</w:t>
            </w:r>
          </w:p>
        </w:tc>
      </w:tr>
      <w:tr>
        <w:trPr>
          <w:trHeight w:val="60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电动护理床</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多功能旋转、带餐板。尺寸约长≥200cm，宽95</w:t>
            </w:r>
            <w:r>
              <w:rPr>
                <w:rFonts w:hint="eastAsia" w:ascii="宋体" w:hAnsi="宋体" w:cs="宋体"/>
                <w:color w:val="auto"/>
                <w:kern w:val="0"/>
                <w:sz w:val="20"/>
                <w:szCs w:val="20"/>
              </w:rPr>
              <w:t>（±5</w:t>
            </w:r>
            <w:r>
              <w:rPr>
                <w:rFonts w:ascii="宋体" w:hAnsi="宋体" w:cs="宋体"/>
                <w:color w:val="auto"/>
                <w:kern w:val="0"/>
                <w:sz w:val="20"/>
                <w:szCs w:val="20"/>
              </w:rPr>
              <w:t>）cm</w:t>
            </w:r>
            <w:r>
              <w:rPr>
                <w:rFonts w:hint="eastAsia" w:ascii="宋体" w:hAnsi="宋体" w:cs="宋体"/>
                <w:color w:val="auto"/>
                <w:kern w:val="0"/>
                <w:sz w:val="20"/>
                <w:szCs w:val="20"/>
              </w:rPr>
              <w:t>，整床升降，高度43</w:t>
            </w:r>
            <w:r>
              <w:rPr>
                <w:rFonts w:hint="eastAsia" w:ascii="宋体" w:hAnsi="宋体" w:cs="宋体"/>
                <w:color w:val="auto"/>
                <w:kern w:val="0"/>
                <w:sz w:val="20"/>
                <w:szCs w:val="20"/>
              </w:rPr>
              <w:t>（±5</w:t>
            </w:r>
            <w:r>
              <w:rPr>
                <w:rFonts w:ascii="宋体" w:hAnsi="宋体" w:cs="宋体"/>
                <w:color w:val="auto"/>
                <w:kern w:val="0"/>
                <w:sz w:val="20"/>
                <w:szCs w:val="20"/>
              </w:rPr>
              <w:t>）</w:t>
            </w:r>
            <w:r>
              <w:rPr>
                <w:rFonts w:hint="eastAsia" w:ascii="宋体" w:hAnsi="宋体" w:cs="宋体"/>
                <w:color w:val="auto"/>
                <w:kern w:val="0"/>
                <w:sz w:val="20"/>
                <w:szCs w:val="20"/>
              </w:rPr>
              <w:t>-65</w:t>
            </w:r>
            <w:r>
              <w:rPr>
                <w:rFonts w:hint="eastAsia" w:ascii="宋体" w:hAnsi="宋体" w:cs="宋体"/>
                <w:color w:val="auto"/>
                <w:kern w:val="0"/>
                <w:sz w:val="20"/>
                <w:szCs w:val="20"/>
              </w:rPr>
              <w:t>（±5</w:t>
            </w:r>
            <w:r>
              <w:rPr>
                <w:rFonts w:ascii="宋体" w:hAnsi="宋体" w:cs="宋体"/>
                <w:color w:val="auto"/>
                <w:kern w:val="0"/>
                <w:sz w:val="20"/>
                <w:szCs w:val="20"/>
              </w:rPr>
              <w:t>）</w:t>
            </w:r>
            <w:r>
              <w:rPr>
                <w:rFonts w:hint="eastAsia" w:ascii="宋体" w:hAnsi="宋体" w:cs="宋体"/>
                <w:color w:val="auto"/>
                <w:kern w:val="0"/>
                <w:sz w:val="20"/>
                <w:szCs w:val="20"/>
              </w:rPr>
              <w:t>cm,床体可90°自动旋转，一键离床配合移位机器人使用，可定时左右翻身，背板升降0-75°可调，腿部0-25°可调，床面冷钢整体冲孔，护栏高强度加固，床头床尾实木材质。</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张</w:t>
            </w:r>
          </w:p>
        </w:tc>
      </w:tr>
      <w:tr>
        <w:trPr>
          <w:trHeight w:val="6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42</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电动护理床</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带便盆，电动冲洗恒温吹干，电动左右翻身，可拆分轮椅，带餐板。尺寸约长≥200cm，宽95</w:t>
            </w:r>
            <w:r>
              <w:rPr>
                <w:rFonts w:hint="eastAsia" w:ascii="宋体" w:hAnsi="宋体" w:cs="宋体"/>
                <w:color w:val="auto"/>
                <w:kern w:val="0"/>
                <w:sz w:val="20"/>
                <w:szCs w:val="20"/>
              </w:rPr>
              <w:t>（±</w:t>
            </w:r>
            <w:r>
              <w:rPr>
                <w:rFonts w:ascii="宋体" w:hAnsi="宋体" w:cs="宋体"/>
                <w:color w:val="auto"/>
                <w:kern w:val="0"/>
                <w:sz w:val="20"/>
                <w:szCs w:val="20"/>
              </w:rPr>
              <w:t>5）</w:t>
            </w:r>
            <w:r>
              <w:rPr>
                <w:rFonts w:hint="eastAsia" w:ascii="宋体" w:hAnsi="宋体" w:cs="宋体"/>
                <w:color w:val="auto"/>
                <w:kern w:val="0"/>
                <w:sz w:val="20"/>
                <w:szCs w:val="20"/>
              </w:rPr>
              <w:t>cm，高度≥50cm，靠背倾斜角度0-70°可调，抬腿0-30°可调，落腿0-70°可调，床面冷钢材质，床头床尾采用ABS材质，可拆卸。</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张</w:t>
            </w:r>
          </w:p>
        </w:tc>
      </w:tr>
      <w:tr>
        <w:trPr>
          <w:trHeight w:val="6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43</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洗澡床</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电动款，可移动可泡澡上下升降，含枕头+洗澡机。尺寸不小于2100mm长×800mm宽，高度670mm-910mm可调，床体床面采用304不锈钢材质，洗澡角度可以0-30度调节，承重不少于160kg。带安全急停装置。</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张</w:t>
            </w:r>
          </w:p>
        </w:tc>
      </w:tr>
      <w:tr>
        <w:trPr>
          <w:trHeight w:val="252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44</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水晶棺</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1.产品类型:水晶棺-紫金棺款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2.制冷方式:直冷</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3.棺盖颜色:透明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4.棺盖材质:进口 PC板材</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5.产品尺寸:≥长2030*宽740*1000mm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6.内径尺寸:≥长1920*宽600*290mm</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7.控温方式:微电脑控温 </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8.外部提手个数:≥6个</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 xml:space="preserve">9.压缩机个数:≥2个 </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10.额定电压:220V</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台</w:t>
            </w:r>
          </w:p>
        </w:tc>
      </w:tr>
      <w:tr>
        <w:trPr>
          <w:trHeight w:val="1280"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布幔</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1.尺寸:不少于30米，款式可选。</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2.材质:50D冰绸布</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3.颜色:多种颜色可选</w:t>
            </w:r>
          </w:p>
          <w:p>
            <w:pPr>
              <w:widowControl/>
              <w:jc w:val="left"/>
              <w:textAlignment w:val="center"/>
              <w:rPr>
                <w:rFonts w:hint="eastAsia" w:ascii="宋体" w:hAnsi="宋体" w:cs="宋体"/>
                <w:color w:val="auto"/>
                <w:kern w:val="0"/>
                <w:sz w:val="20"/>
                <w:szCs w:val="20"/>
              </w:rPr>
            </w:pPr>
            <w:r>
              <w:rPr>
                <w:rFonts w:hint="eastAsia" w:ascii="宋体" w:hAnsi="宋体" w:cs="宋体"/>
                <w:color w:val="auto"/>
                <w:kern w:val="0"/>
                <w:sz w:val="20"/>
                <w:szCs w:val="20"/>
              </w:rPr>
              <w:t>4.固定:系带使用</w:t>
            </w:r>
          </w:p>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5.超柔软垂感挂布</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套</w:t>
            </w:r>
          </w:p>
        </w:tc>
      </w:tr>
      <w:tr>
        <w:trPr>
          <w:trHeight w:val="33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花圈</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绢布定制，直径50厘米。白菊、百合、白玫瑰等花型。</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12</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个</w:t>
            </w:r>
          </w:p>
        </w:tc>
      </w:tr>
      <w:tr>
        <w:trPr>
          <w:trHeight w:val="336"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47</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塑料花</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宋体" w:hAnsi="宋体" w:cs="宋体"/>
                <w:color w:val="auto"/>
                <w:sz w:val="20"/>
                <w:szCs w:val="20"/>
              </w:rPr>
            </w:pPr>
            <w:r>
              <w:rPr>
                <w:rFonts w:hint="eastAsia" w:ascii="宋体" w:hAnsi="宋体" w:cs="宋体"/>
                <w:color w:val="auto"/>
                <w:kern w:val="0"/>
                <w:sz w:val="20"/>
                <w:szCs w:val="20"/>
              </w:rPr>
              <w:t>百合、菊花等绿植一批,数量不少于50株，配套盆，花束高度约65厘米</w:t>
            </w: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1</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批</w:t>
            </w:r>
          </w:p>
        </w:tc>
      </w:tr>
      <w:tr>
        <w:trPr>
          <w:trHeight w:val="342" w:hRule="atLeast"/>
        </w:trPr>
        <w:tc>
          <w:tcPr>
            <w:tcW w:w="41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合计</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color w:val="auto"/>
                <w:sz w:val="20"/>
                <w:szCs w:val="20"/>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hint="eastAsia" w:ascii="宋体" w:hAnsi="宋体" w:cs="宋体"/>
                <w:color w:val="auto"/>
                <w:sz w:val="20"/>
                <w:szCs w:val="20"/>
              </w:rPr>
            </w:pPr>
            <w:r>
              <w:rPr>
                <w:rFonts w:hint="eastAsia" w:ascii="宋体" w:hAnsi="宋体" w:cs="宋体"/>
                <w:color w:val="auto"/>
                <w:kern w:val="0"/>
                <w:sz w:val="20"/>
                <w:szCs w:val="20"/>
              </w:rPr>
              <w:t>579</w:t>
            </w:r>
          </w:p>
        </w:tc>
        <w:tc>
          <w:tcPr>
            <w:tcW w:w="7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color w:val="auto"/>
                <w:sz w:val="20"/>
                <w:szCs w:val="20"/>
              </w:rPr>
            </w:pPr>
          </w:p>
        </w:tc>
      </w:tr>
    </w:tbl>
    <w:p>
      <w:pPr>
        <w:rPr>
          <w:rFonts w:hint="eastAsia" w:ascii="宋体" w:hAnsi="宋体" w:cs="宋体"/>
          <w:color w:val="auto"/>
          <w:sz w:val="36"/>
          <w:szCs w:val="36"/>
          <w:shd w:val="clear" w:color="auto" w:fill="FFFFFF" w:themeFill="background1"/>
        </w:rPr>
      </w:pPr>
      <w:bookmarkStart w:id="60" w:name="_Toc121835976"/>
      <w:bookmarkStart w:id="61" w:name="_Toc495647412"/>
      <w:bookmarkStart w:id="62" w:name="_Toc525811565"/>
    </w:p>
    <w:p>
      <w:pPr>
        <w:pStyle w:val="2"/>
        <w:jc w:val="center"/>
        <w:rPr>
          <w:rFonts w:hint="eastAsia" w:cs="宋体"/>
          <w:color w:val="auto"/>
          <w:sz w:val="36"/>
          <w:szCs w:val="36"/>
          <w:shd w:val="clear" w:color="auto" w:fill="FFFFFF" w:themeFill="background1"/>
        </w:rPr>
      </w:pPr>
      <w:r>
        <w:rPr>
          <w:rFonts w:hint="eastAsia" w:cs="宋体"/>
          <w:color w:val="auto"/>
          <w:sz w:val="36"/>
          <w:szCs w:val="36"/>
          <w:shd w:val="clear" w:color="auto" w:fill="FFFFFF" w:themeFill="background1"/>
        </w:rPr>
        <w:t>第四章  评审办法</w:t>
      </w:r>
      <w:bookmarkEnd w:id="60"/>
      <w:bookmarkEnd w:id="61"/>
      <w:bookmarkEnd w:id="62"/>
    </w:p>
    <w:p>
      <w:pPr>
        <w:spacing w:line="360" w:lineRule="auto"/>
        <w:ind w:firstLine="480" w:firstLineChars="200"/>
        <w:rPr>
          <w:rFonts w:hint="eastAsia" w:ascii="宋体" w:hAnsi="宋体" w:cs="宋体"/>
          <w:b/>
          <w:color w:val="auto"/>
          <w:sz w:val="24"/>
          <w:shd w:val="clear" w:color="auto" w:fill="FFFFFF" w:themeFill="background1"/>
        </w:rPr>
      </w:pPr>
      <w:r>
        <w:rPr>
          <w:rFonts w:hint="eastAsia" w:ascii="宋体" w:hAnsi="宋体" w:cs="宋体"/>
          <w:b/>
          <w:color w:val="auto"/>
          <w:sz w:val="24"/>
          <w:shd w:val="clear" w:color="auto" w:fill="FFFFFF" w:themeFill="background1"/>
        </w:rPr>
        <w:t>附：评分计分标准，</w:t>
      </w:r>
      <w:r>
        <w:rPr>
          <w:rFonts w:hint="eastAsia" w:ascii="宋体" w:hAnsi="宋体" w:cs="宋体"/>
          <w:b/>
          <w:color w:val="auto"/>
          <w:sz w:val="24"/>
          <w:shd w:val="clear" w:color="auto" w:fill="FFFFFF" w:themeFill="background1"/>
          <w:lang w:eastAsia="zh-CN"/>
        </w:rPr>
        <w:t>供应商</w:t>
      </w:r>
      <w:r>
        <w:rPr>
          <w:rFonts w:hint="eastAsia" w:ascii="宋体" w:hAnsi="宋体" w:cs="宋体"/>
          <w:b/>
          <w:color w:val="auto"/>
          <w:sz w:val="24"/>
          <w:shd w:val="clear" w:color="auto" w:fill="FFFFFF" w:themeFill="background1"/>
        </w:rPr>
        <w:t>评标得分为下表所列所有项的合计得分。</w:t>
      </w:r>
    </w:p>
    <w:tbl>
      <w:tblPr>
        <w:tblStyle w:val="15"/>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028"/>
        <w:gridCol w:w="2575"/>
        <w:gridCol w:w="5185"/>
      </w:tblGrid>
      <w:tr>
        <w:trPr>
          <w:trHeight w:val="454" w:hRule="atLeast"/>
        </w:trPr>
        <w:tc>
          <w:tcPr>
            <w:tcW w:w="1596" w:type="dxa"/>
            <w:gridSpan w:val="2"/>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条款号</w:t>
            </w:r>
          </w:p>
        </w:tc>
        <w:tc>
          <w:tcPr>
            <w:tcW w:w="2575" w:type="dxa"/>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评审因素</w:t>
            </w:r>
          </w:p>
        </w:tc>
        <w:tc>
          <w:tcPr>
            <w:tcW w:w="5185" w:type="dxa"/>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评审标准</w:t>
            </w:r>
          </w:p>
        </w:tc>
      </w:tr>
      <w:tr>
        <w:trPr>
          <w:trHeight w:val="454" w:hRule="atLeast"/>
        </w:trPr>
        <w:tc>
          <w:tcPr>
            <w:tcW w:w="56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1</w:t>
            </w:r>
          </w:p>
        </w:tc>
        <w:tc>
          <w:tcPr>
            <w:tcW w:w="102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符合性评审标准</w:t>
            </w: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供应商</w:t>
            </w:r>
            <w:r>
              <w:rPr>
                <w:rFonts w:hint="eastAsia" w:ascii="宋体" w:hAnsi="宋体" w:cs="宋体"/>
                <w:color w:val="auto"/>
                <w:sz w:val="24"/>
                <w:shd w:val="clear" w:color="auto" w:fill="FFFFFF" w:themeFill="background1"/>
              </w:rPr>
              <w:t>名称</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与营业执照一致</w:t>
            </w:r>
          </w:p>
        </w:tc>
      </w:tr>
      <w:tr>
        <w:trPr>
          <w:trHeight w:val="651"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磋商函</w:t>
            </w:r>
            <w:r>
              <w:rPr>
                <w:rFonts w:hint="eastAsia" w:ascii="宋体" w:hAnsi="宋体" w:cs="宋体"/>
                <w:color w:val="auto"/>
                <w:sz w:val="24"/>
                <w:shd w:val="clear" w:color="auto" w:fill="FFFFFF" w:themeFill="background1"/>
              </w:rPr>
              <w:t>签字盖章</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法定代表人及公司公章，按电子化投标要求有效签章</w:t>
            </w:r>
          </w:p>
        </w:tc>
      </w:tr>
      <w:tr>
        <w:trPr>
          <w:trHeight w:val="139"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响应文件</w:t>
            </w:r>
            <w:r>
              <w:rPr>
                <w:rFonts w:hint="eastAsia" w:ascii="宋体" w:hAnsi="宋体" w:cs="宋体"/>
                <w:color w:val="auto"/>
                <w:sz w:val="24"/>
                <w:shd w:val="clear" w:color="auto" w:fill="FFFFFF" w:themeFill="background1"/>
              </w:rPr>
              <w:t>格式</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符合第六章“</w:t>
            </w:r>
            <w:r>
              <w:rPr>
                <w:rFonts w:hint="eastAsia" w:ascii="宋体" w:hAnsi="宋体" w:cs="宋体"/>
                <w:color w:val="auto"/>
                <w:sz w:val="24"/>
                <w:shd w:val="clear" w:color="auto" w:fill="FFFFFF" w:themeFill="background1"/>
                <w:lang w:eastAsia="zh-CN"/>
              </w:rPr>
              <w:t>响应文件</w:t>
            </w:r>
            <w:r>
              <w:rPr>
                <w:rFonts w:hint="eastAsia" w:ascii="宋体" w:hAnsi="宋体" w:cs="宋体"/>
                <w:color w:val="auto"/>
                <w:sz w:val="24"/>
                <w:shd w:val="clear" w:color="auto" w:fill="FFFFFF" w:themeFill="background1"/>
              </w:rPr>
              <w:t>格式”的要求</w:t>
            </w:r>
          </w:p>
        </w:tc>
      </w:tr>
      <w:tr>
        <w:trPr>
          <w:trHeight w:val="454" w:hRule="atLeast"/>
        </w:trPr>
        <w:tc>
          <w:tcPr>
            <w:tcW w:w="56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2</w:t>
            </w:r>
          </w:p>
        </w:tc>
        <w:tc>
          <w:tcPr>
            <w:tcW w:w="102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资格评审标准</w:t>
            </w: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满足《中华人民共和国政府采购法》第二十二条规定</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满足《中华人民共和国政府采购法》第二十二条规定，供应商提供承诺书</w:t>
            </w:r>
          </w:p>
        </w:tc>
      </w:tr>
      <w:tr>
        <w:trPr>
          <w:trHeight w:val="721"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营业执照</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eastAsia="宋体" w:cs="宋体"/>
                <w:color w:val="auto"/>
                <w:kern w:val="0"/>
                <w:sz w:val="24"/>
                <w:highlight w:val="none"/>
                <w:shd w:val="clear" w:color="auto" w:fill="FFFFFF" w:themeFill="background1"/>
              </w:rPr>
              <w:t>供应商具有合格有效</w:t>
            </w:r>
            <w:r>
              <w:rPr>
                <w:rFonts w:hint="eastAsia" w:ascii="宋体" w:hAnsi="宋体" w:eastAsia="宋体" w:cs="宋体"/>
                <w:color w:val="auto"/>
                <w:sz w:val="24"/>
                <w:highlight w:val="none"/>
                <w:shd w:val="clear" w:color="auto" w:fill="FFFFFF" w:themeFill="background1"/>
              </w:rPr>
              <w:t>的营业执照</w:t>
            </w:r>
          </w:p>
        </w:tc>
      </w:tr>
      <w:tr>
        <w:trPr>
          <w:trHeight w:val="460"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无商业贿赂和不正当竞争行为</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提供本企业无商业贿赂和不正当竞争行为承诺书</w:t>
            </w:r>
          </w:p>
        </w:tc>
      </w:tr>
      <w:tr>
        <w:trPr>
          <w:trHeight w:val="1420"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360" w:lineRule="auto"/>
              <w:jc w:val="left"/>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信誉要求</w:t>
            </w:r>
          </w:p>
        </w:tc>
        <w:tc>
          <w:tcPr>
            <w:tcW w:w="5185" w:type="dxa"/>
            <w:vAlign w:val="center"/>
          </w:tcPr>
          <w:p>
            <w:pPr>
              <w:spacing w:line="360" w:lineRule="auto"/>
              <w:jc w:val="left"/>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p>
        </w:tc>
      </w:tr>
      <w:tr>
        <w:trPr>
          <w:trHeight w:val="619"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360" w:lineRule="auto"/>
              <w:jc w:val="left"/>
              <w:rPr>
                <w:rFonts w:hint="eastAsia" w:ascii="宋体" w:hAnsi="宋体" w:eastAsia="宋体" w:cs="宋体"/>
                <w:color w:val="auto"/>
                <w:kern w:val="0"/>
                <w:sz w:val="24"/>
                <w:shd w:val="clear" w:color="auto" w:fill="FFFFFF" w:themeFill="background1"/>
                <w:lang w:eastAsia="zh-CN"/>
              </w:rPr>
            </w:pPr>
            <w:r>
              <w:rPr>
                <w:rFonts w:hint="eastAsia" w:ascii="宋体" w:hAnsi="宋体" w:cs="宋体"/>
                <w:color w:val="auto"/>
                <w:kern w:val="0"/>
                <w:sz w:val="24"/>
                <w:shd w:val="clear" w:color="auto" w:fill="FFFFFF" w:themeFill="background1"/>
              </w:rPr>
              <w:t>本项目不接受联合体</w:t>
            </w:r>
            <w:r>
              <w:rPr>
                <w:rFonts w:hint="eastAsia" w:ascii="宋体" w:hAnsi="宋体" w:cs="宋体"/>
                <w:color w:val="auto"/>
                <w:kern w:val="0"/>
                <w:sz w:val="24"/>
                <w:shd w:val="clear" w:color="auto" w:fill="FFFFFF" w:themeFill="background1"/>
                <w:lang w:val="en-US" w:eastAsia="zh-CN"/>
              </w:rPr>
              <w:t>磋商</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本项目不接受联合体</w:t>
            </w:r>
            <w:r>
              <w:rPr>
                <w:rFonts w:hint="eastAsia" w:ascii="宋体" w:hAnsi="宋体" w:cs="宋体"/>
                <w:color w:val="auto"/>
                <w:sz w:val="24"/>
                <w:shd w:val="clear" w:color="auto" w:fill="FFFFFF" w:themeFill="background1"/>
                <w:lang w:val="en-US" w:eastAsia="zh-CN"/>
              </w:rPr>
              <w:t>磋商</w:t>
            </w:r>
            <w:r>
              <w:rPr>
                <w:rFonts w:hint="eastAsia" w:ascii="宋体" w:hAnsi="宋体" w:cs="宋体"/>
                <w:color w:val="auto"/>
                <w:sz w:val="24"/>
                <w:shd w:val="clear" w:color="auto" w:fill="FFFFFF" w:themeFill="background1"/>
              </w:rPr>
              <w:t>，供应商提供承诺书</w:t>
            </w:r>
          </w:p>
        </w:tc>
      </w:tr>
      <w:tr>
        <w:trPr>
          <w:trHeight w:val="454" w:hRule="atLeast"/>
        </w:trPr>
        <w:tc>
          <w:tcPr>
            <w:tcW w:w="56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3</w:t>
            </w:r>
          </w:p>
        </w:tc>
        <w:tc>
          <w:tcPr>
            <w:tcW w:w="1028" w:type="dxa"/>
            <w:vMerge w:val="restart"/>
            <w:vAlign w:val="center"/>
          </w:tcPr>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响应性</w:t>
            </w:r>
          </w:p>
          <w:p>
            <w:pPr>
              <w:spacing w:line="480" w:lineRule="auto"/>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评审标准</w:t>
            </w: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kern w:val="0"/>
                <w:sz w:val="24"/>
                <w:shd w:val="clear" w:color="auto" w:fill="FFFFFF" w:themeFill="background1"/>
              </w:rPr>
              <w:t>交货及安装期</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自合同签订之日起15日历天</w:t>
            </w:r>
          </w:p>
        </w:tc>
      </w:tr>
      <w:tr>
        <w:trPr>
          <w:trHeight w:val="454"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质量要求</w:t>
            </w:r>
          </w:p>
        </w:tc>
        <w:tc>
          <w:tcPr>
            <w:tcW w:w="5185" w:type="dxa"/>
            <w:vAlign w:val="center"/>
          </w:tcPr>
          <w:p>
            <w:pPr>
              <w:spacing w:line="480" w:lineRule="auto"/>
              <w:rPr>
                <w:rFonts w:hint="eastAsia" w:ascii="宋体" w:hAnsi="宋体" w:cs="宋体"/>
                <w:color w:val="auto"/>
                <w:kern w:val="0"/>
                <w:sz w:val="24"/>
                <w:shd w:val="clear" w:color="auto" w:fill="FFFFFF" w:themeFill="background1"/>
              </w:rPr>
            </w:pPr>
            <w:r>
              <w:rPr>
                <w:rFonts w:hint="eastAsia" w:ascii="宋体" w:hAnsi="宋体" w:cs="宋体"/>
                <w:color w:val="auto"/>
                <w:kern w:val="0"/>
                <w:sz w:val="24"/>
                <w:shd w:val="clear" w:color="auto" w:fill="FFFFFF" w:themeFill="background1"/>
              </w:rPr>
              <w:t>符合国家及行业相关规范和标准</w:t>
            </w:r>
          </w:p>
        </w:tc>
      </w:tr>
      <w:tr>
        <w:trPr>
          <w:trHeight w:val="454"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磋商有效期</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符合自响应性文件递交截止之日起60日历天</w:t>
            </w:r>
          </w:p>
        </w:tc>
      </w:tr>
      <w:tr>
        <w:trPr>
          <w:trHeight w:val="738" w:hRule="atLeast"/>
        </w:trPr>
        <w:tc>
          <w:tcPr>
            <w:tcW w:w="56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1028" w:type="dxa"/>
            <w:vMerge w:val="continue"/>
            <w:vAlign w:val="center"/>
          </w:tcPr>
          <w:p>
            <w:pPr>
              <w:spacing w:line="480" w:lineRule="auto"/>
              <w:jc w:val="center"/>
              <w:rPr>
                <w:rFonts w:hint="eastAsia" w:ascii="宋体" w:hAnsi="宋体" w:cs="宋体"/>
                <w:color w:val="auto"/>
                <w:sz w:val="24"/>
                <w:shd w:val="clear" w:color="auto" w:fill="FFFFFF" w:themeFill="background1"/>
              </w:rPr>
            </w:pPr>
          </w:p>
        </w:tc>
        <w:tc>
          <w:tcPr>
            <w:tcW w:w="257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val="en-US" w:eastAsia="zh-CN"/>
              </w:rPr>
              <w:t>磋商</w:t>
            </w:r>
            <w:r>
              <w:rPr>
                <w:rFonts w:hint="eastAsia" w:ascii="宋体" w:hAnsi="宋体" w:cs="宋体"/>
                <w:color w:val="auto"/>
                <w:sz w:val="24"/>
                <w:shd w:val="clear" w:color="auto" w:fill="FFFFFF" w:themeFill="background1"/>
              </w:rPr>
              <w:t>报价</w:t>
            </w:r>
          </w:p>
        </w:tc>
        <w:tc>
          <w:tcPr>
            <w:tcW w:w="5185" w:type="dxa"/>
            <w:vAlign w:val="center"/>
          </w:tcPr>
          <w:p>
            <w:pPr>
              <w:spacing w:line="480" w:lineRule="auto"/>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低于（含等于）本项目的预算金额</w:t>
            </w:r>
          </w:p>
        </w:tc>
      </w:tr>
    </w:tbl>
    <w:p>
      <w:pPr>
        <w:spacing w:line="360" w:lineRule="auto"/>
        <w:ind w:firstLine="480" w:firstLineChars="200"/>
        <w:jc w:val="center"/>
        <w:rPr>
          <w:rFonts w:hint="eastAsia" w:ascii="宋体" w:hAnsi="宋体" w:cs="宋体"/>
          <w:b/>
          <w:color w:val="auto"/>
          <w:sz w:val="24"/>
          <w:shd w:val="clear" w:color="auto" w:fill="FFFFFF" w:themeFill="background1"/>
        </w:rPr>
      </w:pPr>
      <w:r>
        <w:rPr>
          <w:rFonts w:hint="eastAsia" w:ascii="宋体" w:hAnsi="宋体" w:cs="宋体"/>
          <w:b/>
          <w:color w:val="auto"/>
          <w:sz w:val="24"/>
          <w:shd w:val="clear" w:color="auto" w:fill="FFFFFF" w:themeFill="background1"/>
        </w:rPr>
        <w:t>详细评分</w:t>
      </w:r>
    </w:p>
    <w:tbl>
      <w:tblPr>
        <w:tblStyle w:val="15"/>
        <w:tblW w:w="9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1497"/>
        <w:gridCol w:w="7144"/>
      </w:tblGrid>
      <w:tr>
        <w:trPr>
          <w:jc w:val="center"/>
        </w:trPr>
        <w:tc>
          <w:tcPr>
            <w:tcW w:w="750" w:type="dxa"/>
            <w:vAlign w:val="center"/>
          </w:tcPr>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总分</w:t>
            </w:r>
          </w:p>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（100分）</w:t>
            </w:r>
          </w:p>
        </w:tc>
        <w:tc>
          <w:tcPr>
            <w:tcW w:w="8641" w:type="dxa"/>
            <w:gridSpan w:val="2"/>
          </w:tcPr>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报价得分：25分</w:t>
            </w:r>
          </w:p>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技术得分：50分</w:t>
            </w:r>
          </w:p>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商务部分：25分</w:t>
            </w:r>
          </w:p>
        </w:tc>
      </w:tr>
      <w:tr>
        <w:trPr>
          <w:jc w:val="center"/>
        </w:trPr>
        <w:tc>
          <w:tcPr>
            <w:tcW w:w="750" w:type="dxa"/>
            <w:vAlign w:val="center"/>
          </w:tcPr>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评分因素</w:t>
            </w:r>
          </w:p>
        </w:tc>
        <w:tc>
          <w:tcPr>
            <w:tcW w:w="8641" w:type="dxa"/>
            <w:gridSpan w:val="2"/>
          </w:tcPr>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评分标准</w:t>
            </w:r>
          </w:p>
        </w:tc>
      </w:tr>
      <w:tr>
        <w:trPr>
          <w:jc w:val="center"/>
        </w:trPr>
        <w:tc>
          <w:tcPr>
            <w:tcW w:w="750" w:type="dxa"/>
            <w:vAlign w:val="center"/>
          </w:tcPr>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价格部分</w:t>
            </w:r>
          </w:p>
          <w:p>
            <w:pPr>
              <w:spacing w:line="400" w:lineRule="exact"/>
              <w:jc w:val="center"/>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（25分）</w:t>
            </w:r>
          </w:p>
        </w:tc>
        <w:tc>
          <w:tcPr>
            <w:tcW w:w="8641" w:type="dxa"/>
            <w:gridSpan w:val="2"/>
          </w:tcPr>
          <w:p>
            <w:pPr>
              <w:spacing w:line="440" w:lineRule="exact"/>
              <w:rPr>
                <w:rFonts w:hint="eastAsia" w:ascii="宋体" w:hAnsi="宋体" w:cs="宋体"/>
                <w:bCs/>
                <w:color w:val="auto"/>
                <w:sz w:val="24"/>
              </w:rPr>
            </w:pPr>
            <w:r>
              <w:rPr>
                <w:rFonts w:hint="eastAsia" w:ascii="宋体" w:hAnsi="宋体" w:cs="宋体"/>
                <w:bCs/>
                <w:color w:val="auto"/>
                <w:sz w:val="24"/>
              </w:rPr>
              <w:t>1、超出采购人最高限价的</w:t>
            </w:r>
            <w:r>
              <w:rPr>
                <w:rFonts w:hint="eastAsia" w:ascii="宋体" w:hAnsi="宋体" w:cs="宋体"/>
                <w:bCs/>
                <w:color w:val="auto"/>
                <w:sz w:val="24"/>
                <w:lang w:val="en-US" w:eastAsia="zh-CN"/>
              </w:rPr>
              <w:t>磋商</w:t>
            </w:r>
            <w:r>
              <w:rPr>
                <w:rFonts w:hint="eastAsia" w:ascii="宋体" w:hAnsi="宋体" w:cs="宋体"/>
                <w:bCs/>
                <w:color w:val="auto"/>
                <w:sz w:val="24"/>
              </w:rPr>
              <w:t>报价为无效报价、按废标处理。</w:t>
            </w:r>
          </w:p>
          <w:p>
            <w:pPr>
              <w:spacing w:line="440" w:lineRule="exact"/>
              <w:rPr>
                <w:rFonts w:hint="eastAsia" w:ascii="宋体" w:hAnsi="宋体" w:cs="宋体"/>
                <w:bCs/>
                <w:color w:val="auto"/>
                <w:sz w:val="24"/>
              </w:rPr>
            </w:pPr>
            <w:r>
              <w:rPr>
                <w:rFonts w:hint="eastAsia" w:ascii="宋体" w:hAnsi="宋体" w:cs="宋体"/>
                <w:bCs/>
                <w:color w:val="auto"/>
                <w:sz w:val="24"/>
              </w:rPr>
              <w:t>2、所有为未进入详细评审的投标为无效投标，其报价不作为评分依据。</w:t>
            </w:r>
          </w:p>
          <w:p>
            <w:pPr>
              <w:spacing w:line="440" w:lineRule="exact"/>
              <w:rPr>
                <w:rFonts w:hint="eastAsia" w:ascii="宋体" w:hAnsi="宋体" w:cs="宋体"/>
                <w:bCs/>
                <w:color w:val="auto"/>
                <w:sz w:val="24"/>
              </w:rPr>
            </w:pPr>
            <w:r>
              <w:rPr>
                <w:rFonts w:hint="eastAsia" w:ascii="宋体" w:hAnsi="宋体" w:cs="宋体"/>
                <w:bCs/>
                <w:color w:val="auto"/>
                <w:sz w:val="24"/>
              </w:rPr>
              <w:t>3、价格分统一采用低价优先法计算，既满足磋商文件要求且</w:t>
            </w:r>
            <w:r>
              <w:rPr>
                <w:rFonts w:hint="eastAsia" w:ascii="宋体" w:hAnsi="宋体" w:cs="宋体"/>
                <w:bCs/>
                <w:color w:val="auto"/>
                <w:sz w:val="24"/>
                <w:lang w:val="en-US" w:eastAsia="zh-CN"/>
              </w:rPr>
              <w:t>磋商</w:t>
            </w:r>
            <w:r>
              <w:rPr>
                <w:rFonts w:hint="eastAsia" w:ascii="宋体" w:hAnsi="宋体" w:cs="宋体"/>
                <w:bCs/>
                <w:color w:val="auto"/>
                <w:sz w:val="24"/>
              </w:rPr>
              <w:t>价格最低的</w:t>
            </w:r>
            <w:r>
              <w:rPr>
                <w:rFonts w:hint="eastAsia" w:ascii="宋体" w:hAnsi="宋体" w:cs="宋体"/>
                <w:bCs/>
                <w:color w:val="auto"/>
                <w:sz w:val="24"/>
                <w:lang w:val="en-US" w:eastAsia="zh-CN"/>
              </w:rPr>
              <w:t>磋商</w:t>
            </w:r>
            <w:r>
              <w:rPr>
                <w:rFonts w:hint="eastAsia" w:ascii="宋体" w:hAnsi="宋体" w:cs="宋体"/>
                <w:bCs/>
                <w:color w:val="auto"/>
                <w:sz w:val="24"/>
              </w:rPr>
              <w:t>报价为评标基准价，其价格分为满分。其他供应商的价格分统一按照下列公式计算：</w:t>
            </w:r>
          </w:p>
          <w:p>
            <w:pPr>
              <w:spacing w:line="440" w:lineRule="exact"/>
              <w:rPr>
                <w:rFonts w:hint="eastAsia" w:ascii="宋体" w:hAnsi="宋体" w:cs="宋体"/>
                <w:bCs/>
                <w:color w:val="auto"/>
                <w:sz w:val="24"/>
              </w:rPr>
            </w:pPr>
            <w:r>
              <w:rPr>
                <w:rFonts w:hint="eastAsia" w:ascii="宋体" w:hAnsi="宋体" w:cs="宋体"/>
                <w:bCs/>
                <w:color w:val="auto"/>
                <w:sz w:val="24"/>
              </w:rPr>
              <w:t>供应商报价得分=（评标基准价/供应商投标报价）×25</w:t>
            </w:r>
          </w:p>
          <w:p>
            <w:pPr>
              <w:spacing w:line="440" w:lineRule="exact"/>
              <w:rPr>
                <w:rFonts w:hint="eastAsia" w:ascii="宋体" w:hAnsi="宋体" w:cs="宋体"/>
                <w:bCs/>
                <w:color w:val="auto"/>
                <w:sz w:val="24"/>
              </w:rPr>
            </w:pPr>
            <w:r>
              <w:rPr>
                <w:rFonts w:hint="eastAsia" w:ascii="宋体" w:hAnsi="宋体" w:cs="宋体"/>
                <w:bCs/>
                <w:color w:val="auto"/>
                <w:sz w:val="24"/>
              </w:rPr>
              <w:t>注：根据《政府采购促进中小企业发展管理办法》（财库﹝2020﹞46 号）、《财政部关于进一步加大政府采购支持中小企业力度的通知》（财库﹝2022﹞19 号）、《三门峡市财政局关于进一步加大政府采购支持中小企业发展有关事项的通知》（三财购﹝2022﹞9号）、《财政部司法部关于政府采购支持监狱企业发展有关问题的通知》（财库〔2014〕68号）和《三部门联合发布关于促进残疾人就业政府采购政策的通知》（财库〔2017〕141号）的规定，对满足价格扣除条件且在投标文件中提交了以上企业类型声明函的</w:t>
            </w:r>
            <w:r>
              <w:rPr>
                <w:rFonts w:hint="eastAsia" w:ascii="宋体" w:hAnsi="宋体" w:cs="宋体"/>
                <w:bCs/>
                <w:color w:val="auto"/>
                <w:sz w:val="24"/>
                <w:lang w:val="en-US" w:eastAsia="zh-CN"/>
              </w:rPr>
              <w:t>供应商</w:t>
            </w:r>
            <w:r>
              <w:rPr>
                <w:rFonts w:hint="eastAsia" w:ascii="宋体" w:hAnsi="宋体" w:cs="宋体"/>
                <w:bCs/>
                <w:color w:val="auto"/>
                <w:sz w:val="24"/>
              </w:rPr>
              <w:t>，应予以认定，对其报价扣除 20% 后参与评审。</w:t>
            </w:r>
            <w:r>
              <w:rPr>
                <w:rFonts w:hint="eastAsia" w:ascii="宋体" w:hAnsi="宋体" w:cs="宋体"/>
                <w:bCs/>
                <w:color w:val="auto"/>
                <w:sz w:val="24"/>
                <w:lang w:val="en-US" w:eastAsia="zh-CN"/>
              </w:rPr>
              <w:t>供应商</w:t>
            </w:r>
            <w:r>
              <w:rPr>
                <w:rFonts w:hint="eastAsia" w:ascii="宋体" w:hAnsi="宋体" w:cs="宋体"/>
                <w:bCs/>
                <w:color w:val="auto"/>
                <w:sz w:val="24"/>
              </w:rPr>
              <w:t>应对所提供资料的真实性付相应的法律责任，</w:t>
            </w:r>
            <w:r>
              <w:rPr>
                <w:rFonts w:hint="eastAsia" w:ascii="宋体" w:hAnsi="宋体" w:cs="宋体"/>
                <w:bCs/>
                <w:color w:val="auto"/>
                <w:sz w:val="24"/>
                <w:lang w:val="en-US" w:eastAsia="zh-CN"/>
              </w:rPr>
              <w:t>磋商小组</w:t>
            </w:r>
            <w:r>
              <w:rPr>
                <w:rFonts w:hint="eastAsia" w:ascii="宋体" w:hAnsi="宋体" w:cs="宋体"/>
                <w:bCs/>
                <w:color w:val="auto"/>
                <w:sz w:val="24"/>
              </w:rPr>
              <w:t>将不予认定。监狱企业、残疾人福利性单位可视同小微企业在价格评审时给予20%扣除，用扣除后的价格参与评审。</w:t>
            </w:r>
          </w:p>
          <w:p>
            <w:pPr>
              <w:spacing w:line="500" w:lineRule="exact"/>
              <w:jc w:val="left"/>
              <w:rPr>
                <w:rFonts w:hint="eastAsia" w:ascii="宋体" w:hAnsi="宋体" w:cs="宋体"/>
                <w:b/>
                <w:color w:val="auto"/>
                <w:sz w:val="24"/>
                <w:shd w:val="clear" w:color="auto" w:fill="FFFFFF" w:themeFill="background1"/>
              </w:rPr>
            </w:pPr>
            <w:r>
              <w:rPr>
                <w:rFonts w:hint="eastAsia" w:ascii="宋体" w:hAnsi="宋体" w:cs="宋体"/>
                <w:b/>
                <w:bCs/>
                <w:color w:val="auto"/>
                <w:sz w:val="24"/>
              </w:rPr>
              <w:t>磋商小组认为</w:t>
            </w:r>
            <w:r>
              <w:rPr>
                <w:rFonts w:hint="eastAsia" w:ascii="宋体" w:hAnsi="宋体" w:cs="宋体"/>
                <w:b/>
                <w:bCs/>
                <w:color w:val="auto"/>
                <w:sz w:val="24"/>
                <w:lang w:eastAsia="zh-CN"/>
              </w:rPr>
              <w:t>供应商</w:t>
            </w:r>
            <w:r>
              <w:rPr>
                <w:rFonts w:hint="eastAsia" w:ascii="宋体" w:hAnsi="宋体" w:cs="宋体"/>
                <w:b/>
                <w:bCs/>
                <w:color w:val="auto"/>
                <w:sz w:val="24"/>
              </w:rPr>
              <w:t>的报价明显低于其他通过符合性审查</w:t>
            </w:r>
            <w:r>
              <w:rPr>
                <w:rFonts w:hint="eastAsia" w:ascii="宋体" w:hAnsi="宋体" w:cs="宋体"/>
                <w:b/>
                <w:bCs/>
                <w:color w:val="auto"/>
                <w:sz w:val="24"/>
                <w:lang w:eastAsia="zh-CN"/>
              </w:rPr>
              <w:t>供应商</w:t>
            </w:r>
            <w:r>
              <w:rPr>
                <w:rFonts w:hint="eastAsia" w:ascii="宋体" w:hAnsi="宋体" w:cs="宋体"/>
                <w:b/>
                <w:bCs/>
                <w:color w:val="auto"/>
                <w:sz w:val="24"/>
              </w:rPr>
              <w:t>的报价，有可能影响产品质量或者不能诚信履约的，应当要求其在评标现场合理的时间内提供书面说明，必要时提交相关证明材料；</w:t>
            </w:r>
            <w:r>
              <w:rPr>
                <w:rFonts w:hint="eastAsia" w:ascii="宋体" w:hAnsi="宋体" w:cs="宋体"/>
                <w:b/>
                <w:bCs/>
                <w:color w:val="auto"/>
                <w:sz w:val="24"/>
                <w:lang w:eastAsia="zh-CN"/>
              </w:rPr>
              <w:t>供应商</w:t>
            </w:r>
            <w:r>
              <w:rPr>
                <w:rFonts w:hint="eastAsia" w:ascii="宋体" w:hAnsi="宋体" w:cs="宋体"/>
                <w:b/>
                <w:bCs/>
                <w:color w:val="auto"/>
                <w:sz w:val="24"/>
              </w:rPr>
              <w:t>不能证明其报价合理性的，磋商小组应当将其作为无效投标处理。</w:t>
            </w:r>
          </w:p>
        </w:tc>
      </w:tr>
      <w:tr>
        <w:trPr>
          <w:trHeight w:val="2456" w:hRule="atLeast"/>
          <w:jc w:val="center"/>
        </w:trPr>
        <w:tc>
          <w:tcPr>
            <w:tcW w:w="750" w:type="dxa"/>
            <w:vAlign w:val="center"/>
          </w:tcPr>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技术部分</w:t>
            </w:r>
          </w:p>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（50分）</w:t>
            </w:r>
          </w:p>
        </w:tc>
        <w:tc>
          <w:tcPr>
            <w:tcW w:w="1497" w:type="dxa"/>
            <w:tcBorders>
              <w:bottom w:val="single" w:color="auto" w:sz="4" w:space="0"/>
              <w:right w:val="single" w:color="auto" w:sz="4" w:space="0"/>
            </w:tcBorders>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技术指标（50分）</w:t>
            </w:r>
          </w:p>
        </w:tc>
        <w:tc>
          <w:tcPr>
            <w:tcW w:w="7144" w:type="dxa"/>
            <w:tcBorders>
              <w:left w:val="single" w:color="auto" w:sz="4" w:space="0"/>
              <w:bottom w:val="single" w:color="auto" w:sz="4" w:space="0"/>
            </w:tcBorders>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1、根据</w:t>
            </w:r>
            <w:r>
              <w:rPr>
                <w:rFonts w:hint="eastAsia" w:ascii="宋体" w:hAnsi="宋体" w:cs="宋体"/>
                <w:color w:val="auto"/>
                <w:sz w:val="24"/>
                <w:shd w:val="clear" w:color="auto" w:fill="FFFFFF" w:themeFill="background1"/>
                <w:lang w:val="en-US" w:eastAsia="zh-CN"/>
              </w:rPr>
              <w:t>供应商</w:t>
            </w:r>
            <w:r>
              <w:rPr>
                <w:rFonts w:hint="eastAsia" w:ascii="宋体" w:hAnsi="宋体" w:cs="宋体"/>
                <w:color w:val="auto"/>
                <w:sz w:val="24"/>
                <w:shd w:val="clear" w:color="auto" w:fill="FFFFFF" w:themeFill="background1"/>
              </w:rPr>
              <w:t>提交的产品参数指标进行评审；响应参数完全满足竞争性磋商文件要求得</w:t>
            </w:r>
            <w:r>
              <w:rPr>
                <w:rFonts w:hint="eastAsia" w:ascii="宋体" w:hAnsi="宋体" w:cs="宋体"/>
                <w:color w:val="auto"/>
                <w:sz w:val="24"/>
                <w:shd w:val="clear" w:color="auto" w:fill="FFFFFF" w:themeFill="background1"/>
                <w:lang w:val="en-US" w:eastAsia="zh-CN"/>
              </w:rPr>
              <w:t>42</w:t>
            </w:r>
            <w:r>
              <w:rPr>
                <w:rFonts w:hint="eastAsia" w:ascii="宋体" w:hAnsi="宋体" w:cs="宋体"/>
                <w:color w:val="auto"/>
                <w:sz w:val="24"/>
                <w:shd w:val="clear" w:color="auto" w:fill="FFFFFF" w:themeFill="background1"/>
              </w:rPr>
              <w:t>分。“</w:t>
            </w:r>
            <w:r>
              <w:rPr>
                <w:rFonts w:hint="eastAsia" w:ascii="宋体" w:hAnsi="宋体" w:cs="宋体"/>
                <w:color w:val="auto"/>
                <w:sz w:val="24"/>
              </w:rPr>
              <w:t>*</w:t>
            </w:r>
            <w:r>
              <w:rPr>
                <w:rFonts w:hint="eastAsia" w:ascii="宋体" w:hAnsi="宋体" w:cs="宋体"/>
                <w:color w:val="auto"/>
                <w:sz w:val="24"/>
                <w:shd w:val="clear" w:color="auto" w:fill="FFFFFF" w:themeFill="background1"/>
              </w:rPr>
              <w:t>”条款有1项不满足扣1分，其他条款有1项不满足扣0.5分，扣完为止。</w:t>
            </w:r>
          </w:p>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2、满足参数指标中“</w:t>
            </w:r>
            <w:r>
              <w:rPr>
                <w:rFonts w:hint="eastAsia" w:ascii="宋体" w:hAnsi="宋体" w:cs="宋体"/>
                <w:color w:val="auto"/>
                <w:sz w:val="24"/>
              </w:rPr>
              <w:t>▲</w:t>
            </w:r>
            <w:r>
              <w:rPr>
                <w:rFonts w:hint="eastAsia" w:ascii="宋体" w:hAnsi="宋体" w:cs="宋体"/>
                <w:color w:val="auto"/>
                <w:sz w:val="24"/>
                <w:shd w:val="clear" w:color="auto" w:fill="FFFFFF" w:themeFill="background1"/>
              </w:rPr>
              <w:t>”条款的，每项加2分，满分</w:t>
            </w:r>
            <w:r>
              <w:rPr>
                <w:rFonts w:hint="eastAsia" w:ascii="宋体" w:hAnsi="宋体" w:cs="宋体"/>
                <w:color w:val="auto"/>
                <w:sz w:val="24"/>
                <w:shd w:val="clear" w:color="auto" w:fill="FFFFFF" w:themeFill="background1"/>
                <w:lang w:val="en-US" w:eastAsia="zh-CN"/>
              </w:rPr>
              <w:t>8</w:t>
            </w:r>
            <w:r>
              <w:rPr>
                <w:rFonts w:hint="eastAsia" w:ascii="宋体" w:hAnsi="宋体" w:cs="宋体"/>
                <w:color w:val="auto"/>
                <w:sz w:val="24"/>
                <w:shd w:val="clear" w:color="auto" w:fill="FFFFFF" w:themeFill="background1"/>
              </w:rPr>
              <w:t>分。</w:t>
            </w:r>
          </w:p>
          <w:p>
            <w:pPr>
              <w:pStyle w:val="13"/>
              <w:ind w:firstLine="0"/>
              <w:rPr>
                <w:rFonts w:hint="eastAsia" w:ascii="宋体" w:hAnsi="宋体" w:eastAsia="宋体" w:cs="宋体"/>
                <w:color w:val="auto"/>
                <w:sz w:val="24"/>
                <w:szCs w:val="24"/>
              </w:rPr>
            </w:pPr>
            <w:r>
              <w:rPr>
                <w:rFonts w:hint="eastAsia" w:ascii="宋体" w:hAnsi="宋体" w:eastAsia="宋体" w:cs="宋体"/>
                <w:color w:val="auto"/>
                <w:kern w:val="2"/>
                <w:sz w:val="24"/>
                <w:szCs w:val="24"/>
                <w:shd w:val="clear" w:color="auto" w:fill="FFFFFF" w:themeFill="background1"/>
              </w:rPr>
              <w:t>参数要求提供功能截图演示的，未提供视为对应参数不满足，按照以上评分办法扣除。</w:t>
            </w:r>
          </w:p>
        </w:tc>
      </w:tr>
      <w:tr>
        <w:trPr>
          <w:trHeight w:val="416" w:hRule="atLeast"/>
          <w:jc w:val="center"/>
        </w:trPr>
        <w:tc>
          <w:tcPr>
            <w:tcW w:w="750" w:type="dxa"/>
            <w:vMerge w:val="restart"/>
            <w:tcBorders>
              <w:top w:val="single" w:color="auto" w:sz="4" w:space="0"/>
            </w:tcBorders>
            <w:vAlign w:val="center"/>
          </w:tcPr>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商务部分</w:t>
            </w:r>
          </w:p>
          <w:p>
            <w:pPr>
              <w:spacing w:line="400" w:lineRule="exact"/>
              <w:jc w:val="lef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（25分）</w:t>
            </w:r>
          </w:p>
        </w:tc>
        <w:tc>
          <w:tcPr>
            <w:tcW w:w="1497" w:type="dxa"/>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企业业绩（6分）</w:t>
            </w:r>
          </w:p>
        </w:tc>
        <w:tc>
          <w:tcPr>
            <w:tcW w:w="7144" w:type="dxa"/>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lang w:eastAsia="zh-CN"/>
              </w:rPr>
              <w:t>供应商</w:t>
            </w:r>
            <w:r>
              <w:rPr>
                <w:rFonts w:hint="eastAsia" w:ascii="宋体" w:hAnsi="宋体" w:cs="宋体"/>
                <w:color w:val="auto"/>
                <w:sz w:val="24"/>
                <w:shd w:val="clear" w:color="auto" w:fill="FFFFFF" w:themeFill="background1"/>
              </w:rPr>
              <w:t>自2020年1月1日以来完成</w:t>
            </w:r>
            <w:r>
              <w:rPr>
                <w:rFonts w:hint="eastAsia" w:ascii="宋体" w:hAnsi="宋体" w:cs="宋体"/>
                <w:color w:val="auto"/>
                <w:sz w:val="24"/>
                <w:shd w:val="clear" w:color="auto" w:fill="FFFFFF" w:themeFill="background1"/>
                <w:lang w:val="en-US" w:eastAsia="zh-CN"/>
              </w:rPr>
              <w:t>类似</w:t>
            </w:r>
            <w:r>
              <w:rPr>
                <w:rFonts w:hint="eastAsia" w:ascii="宋体" w:hAnsi="宋体" w:cs="宋体"/>
                <w:color w:val="auto"/>
                <w:sz w:val="24"/>
                <w:shd w:val="clear" w:color="auto" w:fill="FFFFFF" w:themeFill="background1"/>
              </w:rPr>
              <w:t>业绩的，每提供一项得2分，最多得6分。（提供含网址的中标公告截图、中标通知书和合同协议书，磋商响应文件附扫描件）</w:t>
            </w:r>
          </w:p>
        </w:tc>
      </w:tr>
      <w:tr>
        <w:trPr>
          <w:trHeight w:val="416" w:hRule="atLeast"/>
          <w:jc w:val="center"/>
        </w:trPr>
        <w:tc>
          <w:tcPr>
            <w:tcW w:w="750" w:type="dxa"/>
            <w:vMerge w:val="continue"/>
            <w:vAlign w:val="center"/>
          </w:tcPr>
          <w:p>
            <w:pPr>
              <w:spacing w:line="400" w:lineRule="exact"/>
              <w:jc w:val="left"/>
              <w:rPr>
                <w:rFonts w:hint="eastAsia" w:ascii="宋体" w:hAnsi="宋体" w:cs="宋体"/>
                <w:color w:val="auto"/>
                <w:sz w:val="24"/>
                <w:shd w:val="clear" w:color="auto" w:fill="FFFFFF" w:themeFill="background1"/>
              </w:rPr>
            </w:pPr>
          </w:p>
        </w:tc>
        <w:tc>
          <w:tcPr>
            <w:tcW w:w="1497" w:type="dxa"/>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质量保障体系</w:t>
            </w:r>
          </w:p>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（3分）</w:t>
            </w:r>
          </w:p>
        </w:tc>
        <w:tc>
          <w:tcPr>
            <w:tcW w:w="7144" w:type="dxa"/>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为了保证项目实施质量，</w:t>
            </w:r>
            <w:r>
              <w:rPr>
                <w:rFonts w:hint="eastAsia" w:ascii="宋体" w:hAnsi="宋体" w:cs="宋体"/>
                <w:color w:val="auto"/>
                <w:sz w:val="24"/>
                <w:shd w:val="clear" w:color="auto" w:fill="FFFFFF" w:themeFill="background1"/>
                <w:lang w:eastAsia="zh-CN"/>
              </w:rPr>
              <w:t>供应商</w:t>
            </w:r>
            <w:r>
              <w:rPr>
                <w:rFonts w:hint="eastAsia" w:ascii="宋体" w:hAnsi="宋体" w:cs="宋体"/>
                <w:color w:val="auto"/>
                <w:sz w:val="24"/>
                <w:shd w:val="clear" w:color="auto" w:fill="FFFFFF" w:themeFill="background1"/>
              </w:rPr>
              <w:t>需具备相应的ISO9001质量管理体系认证、ISO14001环境管理体系认证、ISO45001职业健康安全管理体系认证，每提供一份得1分，全部提供得3分，未提供不得分。【(以上体系认证证书需在有效期内，同时应提供全国认证认可信息公共服务平台网站查询管理体系认证证书公众查询结果的截图, 且查询结果的内容状态显示有效为准，否则不得分。】。</w:t>
            </w:r>
          </w:p>
        </w:tc>
      </w:tr>
      <w:tr>
        <w:trPr>
          <w:trHeight w:val="1805" w:hRule="atLeast"/>
          <w:jc w:val="center"/>
        </w:trPr>
        <w:tc>
          <w:tcPr>
            <w:tcW w:w="750" w:type="dxa"/>
            <w:vMerge w:val="continue"/>
            <w:vAlign w:val="center"/>
          </w:tcPr>
          <w:p>
            <w:pPr>
              <w:spacing w:line="400" w:lineRule="exact"/>
              <w:jc w:val="left"/>
              <w:rPr>
                <w:rFonts w:hint="eastAsia" w:ascii="宋体" w:hAnsi="宋体" w:cs="宋体"/>
                <w:color w:val="auto"/>
                <w:sz w:val="24"/>
                <w:shd w:val="clear" w:color="auto" w:fill="FFFFFF" w:themeFill="background1"/>
              </w:rPr>
            </w:pPr>
          </w:p>
        </w:tc>
        <w:tc>
          <w:tcPr>
            <w:tcW w:w="1497" w:type="dxa"/>
            <w:tcBorders>
              <w:bottom w:val="single" w:color="auto" w:sz="4" w:space="0"/>
            </w:tcBorders>
            <w:vAlign w:val="center"/>
          </w:tcPr>
          <w:p>
            <w:pPr>
              <w:snapToGrid w:val="0"/>
              <w:spacing w:line="440" w:lineRule="exact"/>
              <w:rPr>
                <w:rFonts w:hint="eastAsia" w:ascii="宋体" w:hAnsi="宋体" w:cs="宋体"/>
                <w:color w:val="auto"/>
                <w:sz w:val="24"/>
              </w:rPr>
            </w:pPr>
            <w:r>
              <w:rPr>
                <w:rFonts w:hint="eastAsia" w:ascii="宋体" w:hAnsi="宋体" w:cs="宋体"/>
                <w:color w:val="auto"/>
                <w:sz w:val="24"/>
                <w:shd w:val="clear" w:color="auto" w:fill="FFFFFF" w:themeFill="background1"/>
              </w:rPr>
              <w:t>售后服务水平及承诺（8分）</w:t>
            </w:r>
          </w:p>
        </w:tc>
        <w:tc>
          <w:tcPr>
            <w:tcW w:w="7144" w:type="dxa"/>
            <w:tcBorders>
              <w:bottom w:val="single" w:color="auto" w:sz="4" w:space="0"/>
            </w:tcBorders>
            <w:vAlign w:val="center"/>
          </w:tcPr>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1.保修期内售后服务方案及承诺(4分)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根据供应商制定的售后服务方案(服务内容承诺、服务体系、售后服务机构信息、响应方式、响应时间、服务质量、备机服务、质量保证体系及风险控制体系等)的完整性、可靠性以及服务承诺的合理性、可行性等进行综合评价：</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售后服务方案非常合理成熟、先进可靠，质量保证体系及风险控制体系非常完善，服务承诺内容非常齐全，可控性、可行性强，响应程度高的，得</w:t>
            </w:r>
            <w:r>
              <w:rPr>
                <w:rFonts w:hint="eastAsia" w:ascii="宋体" w:hAnsi="宋体" w:eastAsia="宋体" w:cs="宋体"/>
                <w:color w:val="auto"/>
                <w:spacing w:val="14"/>
                <w:sz w:val="24"/>
                <w:szCs w:val="24"/>
                <w:lang w:val="en-US" w:eastAsia="zh-CN"/>
              </w:rPr>
              <w:t>2-</w:t>
            </w:r>
            <w:r>
              <w:rPr>
                <w:rFonts w:hint="eastAsia" w:ascii="宋体" w:hAnsi="宋体" w:eastAsia="宋体" w:cs="宋体"/>
                <w:color w:val="auto"/>
                <w:spacing w:val="14"/>
                <w:sz w:val="24"/>
                <w:szCs w:val="24"/>
              </w:rPr>
              <w:t>4分；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售后服务方案合理，质量保证体系及风险控制体系一般，服务承诺内容完整、可行性一般，响应程度一般的，得</w:t>
            </w:r>
            <w:r>
              <w:rPr>
                <w:rFonts w:hint="eastAsia" w:ascii="宋体" w:hAnsi="宋体" w:eastAsia="宋体" w:cs="宋体"/>
                <w:color w:val="auto"/>
                <w:spacing w:val="14"/>
                <w:sz w:val="24"/>
                <w:szCs w:val="24"/>
                <w:lang w:val="en-US" w:eastAsia="zh-CN"/>
              </w:rPr>
              <w:t>0-2</w:t>
            </w:r>
            <w:r>
              <w:rPr>
                <w:rFonts w:hint="eastAsia" w:ascii="宋体" w:hAnsi="宋体" w:eastAsia="宋体" w:cs="宋体"/>
                <w:color w:val="auto"/>
                <w:spacing w:val="14"/>
                <w:sz w:val="24"/>
                <w:szCs w:val="24"/>
              </w:rPr>
              <w:t>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未提供的不得分。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2.保修期外售后服务(4分)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根据供应商对保修期外售后服务的承诺和处理方法的完整性、合理性、可靠性等进行综合评价：</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对保修期外售后服务的承诺非常详尽完整、内容非常成熟合理、先进可靠；售后处理方法的合理性、可靠性高，响应程度高的，得</w:t>
            </w:r>
            <w:r>
              <w:rPr>
                <w:rFonts w:hint="eastAsia" w:ascii="宋体" w:hAnsi="宋体" w:eastAsia="宋体" w:cs="宋体"/>
                <w:color w:val="auto"/>
                <w:spacing w:val="14"/>
                <w:sz w:val="24"/>
                <w:szCs w:val="24"/>
                <w:lang w:val="en-US" w:eastAsia="zh-CN"/>
              </w:rPr>
              <w:t>2-</w:t>
            </w:r>
            <w:r>
              <w:rPr>
                <w:rFonts w:hint="eastAsia" w:ascii="宋体" w:hAnsi="宋体" w:eastAsia="宋体" w:cs="宋体"/>
                <w:color w:val="auto"/>
                <w:spacing w:val="14"/>
                <w:sz w:val="24"/>
                <w:szCs w:val="24"/>
              </w:rPr>
              <w:t>4分；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对保修期外售后服务的承诺内容一般，合理性、先进性一般；售后处理方法的合理性、可靠性一般，响应程度一般的，得</w:t>
            </w:r>
            <w:r>
              <w:rPr>
                <w:rFonts w:hint="eastAsia" w:ascii="宋体" w:hAnsi="宋体" w:eastAsia="宋体" w:cs="宋体"/>
                <w:color w:val="auto"/>
                <w:spacing w:val="14"/>
                <w:sz w:val="24"/>
                <w:szCs w:val="24"/>
                <w:lang w:val="en-US" w:eastAsia="zh-CN"/>
              </w:rPr>
              <w:t>0-</w:t>
            </w:r>
            <w:r>
              <w:rPr>
                <w:rFonts w:hint="eastAsia" w:ascii="宋体" w:hAnsi="宋体" w:eastAsia="宋体" w:cs="宋体"/>
                <w:color w:val="auto"/>
                <w:spacing w:val="14"/>
                <w:sz w:val="24"/>
                <w:szCs w:val="24"/>
              </w:rPr>
              <w:t>2分；</w:t>
            </w:r>
          </w:p>
          <w:p>
            <w:pPr>
              <w:pStyle w:val="25"/>
              <w:spacing w:line="340" w:lineRule="exact"/>
              <w:ind w:firstLine="0"/>
              <w:rPr>
                <w:rFonts w:hint="eastAsia" w:ascii="宋体" w:hAnsi="宋体" w:eastAsia="宋体" w:cs="宋体"/>
                <w:color w:val="auto"/>
                <w:sz w:val="24"/>
                <w:szCs w:val="24"/>
              </w:rPr>
            </w:pPr>
            <w:r>
              <w:rPr>
                <w:rFonts w:hint="eastAsia" w:ascii="宋体" w:hAnsi="宋体" w:eastAsia="宋体" w:cs="宋体"/>
                <w:color w:val="auto"/>
                <w:spacing w:val="14"/>
                <w:sz w:val="24"/>
                <w:szCs w:val="24"/>
              </w:rPr>
              <w:t>未提供的不得分。</w:t>
            </w:r>
          </w:p>
        </w:tc>
      </w:tr>
      <w:tr>
        <w:trPr>
          <w:trHeight w:val="350" w:hRule="atLeast"/>
          <w:jc w:val="center"/>
        </w:trPr>
        <w:tc>
          <w:tcPr>
            <w:tcW w:w="750" w:type="dxa"/>
            <w:vMerge w:val="continue"/>
            <w:vAlign w:val="center"/>
          </w:tcPr>
          <w:p>
            <w:pPr>
              <w:spacing w:line="400" w:lineRule="exact"/>
              <w:jc w:val="left"/>
              <w:rPr>
                <w:rFonts w:hint="eastAsia" w:ascii="宋体" w:hAnsi="宋体" w:cs="宋体"/>
                <w:color w:val="auto"/>
                <w:sz w:val="24"/>
                <w:shd w:val="clear" w:color="auto" w:fill="FFFFFF" w:themeFill="background1"/>
              </w:rPr>
            </w:pPr>
          </w:p>
        </w:tc>
        <w:tc>
          <w:tcPr>
            <w:tcW w:w="1497" w:type="dxa"/>
            <w:tcBorders>
              <w:top w:val="single" w:color="auto" w:sz="4" w:space="0"/>
            </w:tcBorders>
            <w:vAlign w:val="center"/>
          </w:tcPr>
          <w:p>
            <w:pPr>
              <w:snapToGrid w:val="0"/>
              <w:spacing w:line="440" w:lineRule="exact"/>
              <w:rPr>
                <w:rFonts w:hint="eastAsia" w:ascii="宋体" w:hAnsi="宋体" w:cs="宋体"/>
                <w:color w:val="auto"/>
                <w:sz w:val="24"/>
                <w:shd w:val="clear" w:color="auto" w:fill="FFFFFF" w:themeFill="background1"/>
              </w:rPr>
            </w:pPr>
            <w:r>
              <w:rPr>
                <w:rFonts w:hint="eastAsia" w:ascii="宋体" w:hAnsi="宋体" w:cs="宋体"/>
                <w:color w:val="auto"/>
                <w:sz w:val="24"/>
                <w:shd w:val="clear" w:color="auto" w:fill="FFFFFF" w:themeFill="background1"/>
              </w:rPr>
              <w:t>技术服务方案（8分）</w:t>
            </w:r>
          </w:p>
        </w:tc>
        <w:tc>
          <w:tcPr>
            <w:tcW w:w="7144" w:type="dxa"/>
            <w:tcBorders>
              <w:top w:val="single" w:color="auto" w:sz="4" w:space="0"/>
            </w:tcBorders>
          </w:tcPr>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1.根据供应商提供的供货措施及质量保证措施进行评审：</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供应商针对本项目提供的供货和质量控制所采取的措施详细、计划合理、供货周期有保障的，得</w:t>
            </w:r>
            <w:r>
              <w:rPr>
                <w:rFonts w:hint="eastAsia" w:ascii="宋体" w:hAnsi="宋体" w:eastAsia="宋体" w:cs="宋体"/>
                <w:color w:val="auto"/>
                <w:spacing w:val="14"/>
                <w:sz w:val="24"/>
                <w:szCs w:val="24"/>
                <w:lang w:val="en-US" w:eastAsia="zh-CN"/>
              </w:rPr>
              <w:t>2-</w:t>
            </w:r>
            <w:r>
              <w:rPr>
                <w:rFonts w:hint="eastAsia" w:ascii="宋体" w:hAnsi="宋体" w:eastAsia="宋体" w:cs="宋体"/>
                <w:color w:val="auto"/>
                <w:spacing w:val="14"/>
                <w:sz w:val="24"/>
                <w:szCs w:val="24"/>
              </w:rPr>
              <w:t>4分；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供应商针对本项目提供的供货和质量控制所采取的措施较详细、计划一般、供货周期有一定保障的，得</w:t>
            </w:r>
            <w:r>
              <w:rPr>
                <w:rFonts w:hint="eastAsia" w:ascii="宋体" w:hAnsi="宋体" w:eastAsia="宋体" w:cs="宋体"/>
                <w:color w:val="auto"/>
                <w:spacing w:val="14"/>
                <w:sz w:val="24"/>
                <w:szCs w:val="24"/>
                <w:lang w:val="en-US" w:eastAsia="zh-CN"/>
              </w:rPr>
              <w:t>0-</w:t>
            </w:r>
            <w:r>
              <w:rPr>
                <w:rFonts w:hint="eastAsia" w:ascii="宋体" w:hAnsi="宋体" w:eastAsia="宋体" w:cs="宋体"/>
                <w:color w:val="auto"/>
                <w:spacing w:val="14"/>
                <w:sz w:val="24"/>
                <w:szCs w:val="24"/>
              </w:rPr>
              <w:t>2分；</w:t>
            </w:r>
          </w:p>
          <w:p>
            <w:pPr>
              <w:snapToGrid w:val="0"/>
              <w:spacing w:line="440" w:lineRule="exact"/>
              <w:rPr>
                <w:rFonts w:hint="eastAsia" w:ascii="宋体" w:hAnsi="宋体" w:cs="宋体"/>
                <w:color w:val="auto"/>
                <w:spacing w:val="14"/>
                <w:sz w:val="24"/>
              </w:rPr>
            </w:pPr>
            <w:r>
              <w:rPr>
                <w:rFonts w:hint="eastAsia" w:ascii="宋体" w:hAnsi="宋体" w:cs="宋体"/>
                <w:color w:val="auto"/>
                <w:spacing w:val="14"/>
                <w:sz w:val="24"/>
              </w:rPr>
              <w:t>未提供的不得分。</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2.供应商提供培训计划方案，培训方案详尽，培训计划明确，配备专业的、有实地培训经验的人员。</w:t>
            </w:r>
          </w:p>
          <w:p>
            <w:pPr>
              <w:pStyle w:val="25"/>
              <w:spacing w:line="340" w:lineRule="exact"/>
              <w:ind w:firstLine="0"/>
              <w:rPr>
                <w:rFonts w:hint="eastAsia" w:ascii="宋体" w:hAnsi="宋体" w:eastAsia="宋体" w:cs="宋体"/>
                <w:color w:val="auto"/>
                <w:spacing w:val="14"/>
                <w:sz w:val="24"/>
                <w:szCs w:val="24"/>
              </w:rPr>
            </w:pPr>
            <w:r>
              <w:rPr>
                <w:rFonts w:hint="eastAsia" w:ascii="宋体" w:hAnsi="宋体" w:eastAsia="宋体" w:cs="宋体"/>
                <w:color w:val="auto"/>
                <w:spacing w:val="14"/>
                <w:sz w:val="24"/>
                <w:szCs w:val="24"/>
              </w:rPr>
              <w:t>内容合理、详细，培训范围全面，可实施性针对性强，得</w:t>
            </w:r>
            <w:r>
              <w:rPr>
                <w:rFonts w:hint="eastAsia" w:ascii="宋体" w:hAnsi="宋体" w:eastAsia="宋体" w:cs="宋体"/>
                <w:color w:val="auto"/>
                <w:spacing w:val="14"/>
                <w:sz w:val="24"/>
                <w:szCs w:val="24"/>
                <w:lang w:val="en-US" w:eastAsia="zh-CN"/>
              </w:rPr>
              <w:t>2-</w:t>
            </w:r>
            <w:r>
              <w:rPr>
                <w:rFonts w:hint="eastAsia" w:ascii="宋体" w:hAnsi="宋体" w:eastAsia="宋体" w:cs="宋体"/>
                <w:color w:val="auto"/>
                <w:spacing w:val="14"/>
                <w:sz w:val="24"/>
                <w:szCs w:val="24"/>
              </w:rPr>
              <w:t>4分；内容不够合理、不够详细，培训范围不够全面，可实施性一般，针对性不够明显的，得</w:t>
            </w:r>
            <w:r>
              <w:rPr>
                <w:rFonts w:hint="eastAsia" w:ascii="宋体" w:hAnsi="宋体" w:eastAsia="宋体" w:cs="宋体"/>
                <w:color w:val="auto"/>
                <w:spacing w:val="14"/>
                <w:sz w:val="24"/>
                <w:szCs w:val="24"/>
                <w:lang w:val="en-US" w:eastAsia="zh-CN"/>
              </w:rPr>
              <w:t>0-</w:t>
            </w:r>
            <w:r>
              <w:rPr>
                <w:rFonts w:hint="eastAsia" w:ascii="宋体" w:hAnsi="宋体" w:eastAsia="宋体" w:cs="宋体"/>
                <w:color w:val="auto"/>
                <w:spacing w:val="14"/>
                <w:sz w:val="24"/>
                <w:szCs w:val="24"/>
              </w:rPr>
              <w:t>2分；</w:t>
            </w:r>
          </w:p>
          <w:p>
            <w:pPr>
              <w:pStyle w:val="25"/>
              <w:spacing w:line="340" w:lineRule="exact"/>
              <w:ind w:firstLine="0"/>
              <w:rPr>
                <w:rFonts w:hint="eastAsia" w:ascii="宋体" w:hAnsi="宋体" w:eastAsia="宋体" w:cs="宋体"/>
                <w:color w:val="auto"/>
                <w:sz w:val="24"/>
                <w:szCs w:val="24"/>
              </w:rPr>
            </w:pPr>
            <w:r>
              <w:rPr>
                <w:rFonts w:hint="eastAsia" w:ascii="宋体" w:hAnsi="宋体" w:eastAsia="宋体" w:cs="宋体"/>
                <w:color w:val="auto"/>
                <w:spacing w:val="14"/>
                <w:sz w:val="24"/>
                <w:szCs w:val="24"/>
              </w:rPr>
              <w:t>未提供的不得分。</w:t>
            </w:r>
          </w:p>
        </w:tc>
      </w:tr>
    </w:tbl>
    <w:p>
      <w:pPr>
        <w:rPr>
          <w:color w:val="auto"/>
        </w:rPr>
      </w:pPr>
    </w:p>
    <w:p>
      <w:pPr>
        <w:spacing w:line="360" w:lineRule="auto"/>
        <w:ind w:firstLine="480" w:firstLineChars="200"/>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 xml:space="preserve">1. </w:t>
      </w:r>
      <w:r>
        <w:rPr>
          <w:rFonts w:hint="eastAsia" w:ascii="宋体" w:hAnsi="宋体" w:eastAsia="宋体" w:cs="宋体"/>
          <w:b/>
          <w:color w:val="auto"/>
          <w:sz w:val="24"/>
          <w:highlight w:val="none"/>
          <w:shd w:val="clear" w:color="auto" w:fill="FFFFFF" w:themeFill="background1"/>
          <w:lang w:val="en-US" w:eastAsia="zh-CN"/>
        </w:rPr>
        <w:t>磋商</w:t>
      </w:r>
      <w:r>
        <w:rPr>
          <w:rFonts w:hint="eastAsia" w:ascii="宋体" w:hAnsi="宋体" w:eastAsia="宋体" w:cs="宋体"/>
          <w:b/>
          <w:color w:val="auto"/>
          <w:sz w:val="24"/>
          <w:highlight w:val="none"/>
          <w:shd w:val="clear" w:color="auto" w:fill="FFFFFF" w:themeFill="background1"/>
        </w:rPr>
        <w:t>方法</w:t>
      </w:r>
      <w:bookmarkEnd w:id="50"/>
      <w:bookmarkEnd w:id="51"/>
      <w:bookmarkEnd w:id="52"/>
      <w:bookmarkEnd w:id="53"/>
      <w:bookmarkEnd w:id="54"/>
      <w:bookmarkEnd w:id="55"/>
      <w:bookmarkEnd w:id="56"/>
      <w:bookmarkEnd w:id="57"/>
      <w:bookmarkEnd w:id="58"/>
      <w:bookmarkEnd w:id="59"/>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本次</w:t>
      </w: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采用综合评分法。磋商小组对满足磋商文件实质性要求的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，按照本章规定的评分标准进行打分，并按得分由高到低顺序推荐</w:t>
      </w:r>
      <w:r>
        <w:rPr>
          <w:rFonts w:hint="eastAsia" w:ascii="宋体" w:hAnsi="宋体" w:eastAsia="宋体" w:cs="宋体"/>
          <w:color w:val="auto"/>
          <w:sz w:val="24"/>
          <w:highlight w:val="none"/>
          <w:shd w:val="clear" w:color="auto" w:fill="FFFFFF" w:themeFill="background1"/>
          <w:lang w:val="en-US" w:eastAsia="zh-CN"/>
        </w:rPr>
        <w:t>3</w:t>
      </w:r>
      <w:r>
        <w:rPr>
          <w:rFonts w:hint="eastAsia" w:ascii="宋体" w:hAnsi="宋体" w:eastAsia="宋体" w:cs="宋体"/>
          <w:color w:val="auto"/>
          <w:sz w:val="24"/>
          <w:highlight w:val="none"/>
          <w:shd w:val="clear" w:color="auto" w:fill="FFFFFF" w:themeFill="background1"/>
        </w:rPr>
        <w:t>名</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。如果因</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rPr>
        <w:t>不足三</w:t>
      </w:r>
      <w:r>
        <w:rPr>
          <w:rFonts w:hint="eastAsia" w:ascii="宋体" w:hAnsi="宋体" w:eastAsia="宋体" w:cs="宋体"/>
          <w:color w:val="auto"/>
          <w:sz w:val="24"/>
          <w:highlight w:val="none"/>
          <w:shd w:val="clear" w:color="auto" w:fill="FFFFFF" w:themeFill="background1"/>
          <w:lang w:val="en-US" w:eastAsia="zh-CN"/>
        </w:rPr>
        <w:t>家</w:t>
      </w:r>
      <w:r>
        <w:rPr>
          <w:rFonts w:hint="eastAsia" w:ascii="宋体" w:hAnsi="宋体" w:eastAsia="宋体" w:cs="宋体"/>
          <w:color w:val="auto"/>
          <w:sz w:val="24"/>
          <w:highlight w:val="none"/>
          <w:shd w:val="clear" w:color="auto" w:fill="FFFFFF" w:themeFill="background1"/>
        </w:rPr>
        <w:t>使得</w:t>
      </w:r>
      <w:r>
        <w:rPr>
          <w:rFonts w:hint="eastAsia" w:ascii="宋体" w:hAnsi="宋体" w:eastAsia="宋体" w:cs="宋体"/>
          <w:color w:val="auto"/>
          <w:sz w:val="24"/>
          <w:highlight w:val="none"/>
          <w:shd w:val="clear" w:color="auto" w:fill="FFFFFF" w:themeFill="background1"/>
          <w:lang w:val="en-US" w:eastAsia="zh-CN"/>
        </w:rPr>
        <w:t>磋商</w:t>
      </w:r>
      <w:r>
        <w:rPr>
          <w:rFonts w:hint="eastAsia" w:ascii="宋体" w:hAnsi="宋体" w:eastAsia="宋体" w:cs="宋体"/>
          <w:color w:val="auto"/>
          <w:sz w:val="24"/>
          <w:highlight w:val="none"/>
          <w:shd w:val="clear" w:color="auto" w:fill="FFFFFF" w:themeFill="background1"/>
        </w:rPr>
        <w:t>明显缺乏竞争的，磋商小组可以建议采购人重新</w:t>
      </w: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；或</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lang w:val="en-US" w:eastAsia="zh-CN"/>
        </w:rPr>
        <w:t>供应商</w:t>
      </w:r>
      <w:r>
        <w:rPr>
          <w:rFonts w:hint="eastAsia" w:ascii="宋体" w:hAnsi="宋体" w:eastAsia="宋体" w:cs="宋体"/>
          <w:color w:val="auto"/>
          <w:sz w:val="24"/>
          <w:highlight w:val="none"/>
          <w:shd w:val="clear" w:color="auto" w:fill="FFFFFF" w:themeFill="background1"/>
        </w:rPr>
        <w:t>不足三</w:t>
      </w:r>
      <w:r>
        <w:rPr>
          <w:rFonts w:hint="eastAsia" w:ascii="宋体" w:hAnsi="宋体" w:eastAsia="宋体" w:cs="宋体"/>
          <w:color w:val="auto"/>
          <w:sz w:val="24"/>
          <w:highlight w:val="none"/>
          <w:shd w:val="clear" w:color="auto" w:fill="FFFFFF" w:themeFill="background1"/>
          <w:lang w:val="en-US" w:eastAsia="zh-CN"/>
        </w:rPr>
        <w:t>家</w:t>
      </w:r>
      <w:r>
        <w:rPr>
          <w:rFonts w:hint="eastAsia" w:ascii="宋体" w:hAnsi="宋体" w:eastAsia="宋体" w:cs="宋体"/>
          <w:color w:val="auto"/>
          <w:sz w:val="24"/>
          <w:highlight w:val="none"/>
          <w:shd w:val="clear" w:color="auto" w:fill="FFFFFF" w:themeFill="background1"/>
        </w:rPr>
        <w:t>，但磋商小组仍认为有竞争力的，磋商小组可以就仅有的</w:t>
      </w:r>
      <w:r>
        <w:rPr>
          <w:rFonts w:hint="eastAsia" w:ascii="宋体" w:hAnsi="宋体" w:eastAsia="宋体" w:cs="宋体"/>
          <w:color w:val="auto"/>
          <w:sz w:val="24"/>
          <w:highlight w:val="none"/>
          <w:shd w:val="clear" w:color="auto" w:fill="FFFFFF" w:themeFill="background1"/>
          <w:lang w:eastAsia="zh-CN"/>
        </w:rPr>
        <w:t>有效磋商</w:t>
      </w:r>
      <w:r>
        <w:rPr>
          <w:rFonts w:hint="eastAsia" w:ascii="宋体" w:hAnsi="宋体" w:eastAsia="宋体" w:cs="宋体"/>
          <w:color w:val="auto"/>
          <w:sz w:val="24"/>
          <w:highlight w:val="none"/>
          <w:shd w:val="clear" w:color="auto" w:fill="FFFFFF" w:themeFill="background1"/>
          <w:lang w:val="en-US" w:eastAsia="zh-CN"/>
        </w:rPr>
        <w:t>供应商</w:t>
      </w:r>
      <w:r>
        <w:rPr>
          <w:rFonts w:hint="eastAsia" w:ascii="宋体" w:hAnsi="宋体" w:eastAsia="宋体" w:cs="宋体"/>
          <w:color w:val="auto"/>
          <w:sz w:val="24"/>
          <w:highlight w:val="none"/>
          <w:shd w:val="clear" w:color="auto" w:fill="FFFFFF" w:themeFill="background1"/>
        </w:rPr>
        <w:t>按最终得分由高至低的次序作为</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向采购人推荐。</w:t>
      </w:r>
      <w:r>
        <w:rPr>
          <w:rFonts w:hint="eastAsia" w:ascii="宋体" w:hAnsi="宋体" w:eastAsia="宋体" w:cs="宋体"/>
          <w:color w:val="auto"/>
          <w:kern w:val="10"/>
          <w:sz w:val="24"/>
          <w:highlight w:val="none"/>
          <w:shd w:val="clear" w:color="auto" w:fill="FFFFFF" w:themeFill="background1"/>
        </w:rPr>
        <w:t>评审得分相同的，按照最后报价由低到高的顺序推荐。评审得分且最后报价相同的，按照技术指标优劣顺序推荐。</w:t>
      </w:r>
    </w:p>
    <w:p>
      <w:pPr>
        <w:spacing w:line="360" w:lineRule="auto"/>
        <w:ind w:firstLine="480" w:firstLineChars="200"/>
        <w:rPr>
          <w:rFonts w:hint="eastAsia" w:ascii="宋体" w:hAnsi="宋体" w:eastAsia="宋体" w:cs="宋体"/>
          <w:b/>
          <w:color w:val="auto"/>
          <w:sz w:val="24"/>
          <w:highlight w:val="none"/>
          <w:shd w:val="clear" w:color="auto" w:fill="FFFFFF" w:themeFill="background1"/>
        </w:rPr>
      </w:pPr>
      <w:bookmarkStart w:id="63" w:name="_Toc358707207"/>
      <w:bookmarkStart w:id="64" w:name="_Toc152045601"/>
      <w:bookmarkStart w:id="65" w:name="_Toc246996987"/>
      <w:bookmarkStart w:id="66" w:name="_Toc246996244"/>
      <w:bookmarkStart w:id="67" w:name="_Toc179632619"/>
      <w:bookmarkStart w:id="68" w:name="_Toc152042378"/>
      <w:bookmarkStart w:id="69" w:name="_Toc4725"/>
      <w:bookmarkStart w:id="70" w:name="_Toc247085759"/>
      <w:bookmarkStart w:id="71" w:name="_Toc144974568"/>
      <w:bookmarkStart w:id="72" w:name="_Toc7518075"/>
      <w:r>
        <w:rPr>
          <w:rFonts w:hint="eastAsia" w:ascii="宋体" w:hAnsi="宋体" w:eastAsia="宋体" w:cs="宋体"/>
          <w:b/>
          <w:color w:val="auto"/>
          <w:sz w:val="24"/>
          <w:highlight w:val="none"/>
          <w:shd w:val="clear" w:color="auto" w:fill="FFFFFF" w:themeFill="background1"/>
        </w:rPr>
        <w:t>2. 评审标准</w:t>
      </w:r>
      <w:bookmarkEnd w:id="63"/>
      <w:bookmarkEnd w:id="64"/>
      <w:bookmarkEnd w:id="65"/>
      <w:bookmarkEnd w:id="66"/>
      <w:bookmarkEnd w:id="67"/>
      <w:bookmarkEnd w:id="68"/>
      <w:bookmarkEnd w:id="69"/>
      <w:bookmarkEnd w:id="70"/>
      <w:bookmarkEnd w:id="71"/>
      <w:bookmarkEnd w:id="72"/>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73" w:name="_Toc247085760"/>
      <w:bookmarkStart w:id="74" w:name="_Toc152042379"/>
      <w:bookmarkStart w:id="75" w:name="_Toc246996245"/>
      <w:bookmarkStart w:id="76" w:name="_Toc144974569"/>
      <w:bookmarkStart w:id="77" w:name="_Toc246996988"/>
      <w:bookmarkStart w:id="78" w:name="_Toc358707208"/>
      <w:bookmarkStart w:id="79" w:name="_Toc152045602"/>
      <w:bookmarkStart w:id="80" w:name="_Toc179632620"/>
      <w:r>
        <w:rPr>
          <w:rFonts w:hint="eastAsia" w:ascii="宋体" w:hAnsi="宋体" w:eastAsia="宋体" w:cs="宋体"/>
          <w:color w:val="auto"/>
          <w:sz w:val="24"/>
          <w:highlight w:val="none"/>
          <w:shd w:val="clear" w:color="auto" w:fill="FFFFFF" w:themeFill="background1"/>
        </w:rPr>
        <w:t>2.1 初步评审标准</w:t>
      </w:r>
      <w:bookmarkEnd w:id="73"/>
      <w:bookmarkEnd w:id="74"/>
      <w:bookmarkEnd w:id="75"/>
      <w:bookmarkEnd w:id="76"/>
      <w:bookmarkEnd w:id="77"/>
      <w:bookmarkEnd w:id="78"/>
      <w:bookmarkEnd w:id="79"/>
      <w:bookmarkEnd w:id="80"/>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2.1.1 符合性评审标准：见评标办法前附表。</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2.1.2 资格评审标准：见评标办法前附表。</w:t>
      </w:r>
    </w:p>
    <w:p>
      <w:pPr>
        <w:spacing w:line="360" w:lineRule="auto"/>
        <w:ind w:firstLine="476" w:firstLineChars="200"/>
        <w:rPr>
          <w:rFonts w:hint="eastAsia" w:ascii="宋体" w:hAnsi="宋体" w:eastAsia="宋体" w:cs="宋体"/>
          <w:color w:val="auto"/>
          <w:spacing w:val="-1"/>
          <w:kern w:val="0"/>
          <w:sz w:val="24"/>
          <w:highlight w:val="none"/>
          <w:shd w:val="clear" w:color="auto" w:fill="FFFFFF" w:themeFill="background1"/>
        </w:rPr>
      </w:pPr>
      <w:r>
        <w:rPr>
          <w:rFonts w:hint="eastAsia" w:ascii="宋体" w:hAnsi="宋体" w:eastAsia="宋体" w:cs="宋体"/>
          <w:color w:val="auto"/>
          <w:spacing w:val="-1"/>
          <w:kern w:val="0"/>
          <w:sz w:val="24"/>
          <w:highlight w:val="none"/>
          <w:shd w:val="clear" w:color="auto" w:fill="FFFFFF" w:themeFill="background1"/>
        </w:rPr>
        <w:t>2.1.3 响应性评审标准：见评标办法前附表。</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81" w:name="_Toc246996989"/>
      <w:bookmarkStart w:id="82" w:name="_Toc152045603"/>
      <w:bookmarkStart w:id="83" w:name="_Toc247085761"/>
      <w:bookmarkStart w:id="84" w:name="_Toc152042380"/>
      <w:bookmarkStart w:id="85" w:name="_Toc179632621"/>
      <w:bookmarkStart w:id="86" w:name="_Toc246996246"/>
      <w:bookmarkStart w:id="87" w:name="_Toc144974570"/>
      <w:bookmarkStart w:id="88" w:name="_Toc358707209"/>
      <w:r>
        <w:rPr>
          <w:rFonts w:hint="eastAsia" w:ascii="宋体" w:hAnsi="宋体" w:eastAsia="宋体" w:cs="宋体"/>
          <w:color w:val="auto"/>
          <w:sz w:val="24"/>
          <w:highlight w:val="none"/>
          <w:shd w:val="clear" w:color="auto" w:fill="FFFFFF" w:themeFill="background1"/>
        </w:rPr>
        <w:t xml:space="preserve">2.2 </w:t>
      </w:r>
      <w:bookmarkEnd w:id="81"/>
      <w:bookmarkEnd w:id="82"/>
      <w:bookmarkEnd w:id="83"/>
      <w:bookmarkEnd w:id="84"/>
      <w:bookmarkEnd w:id="85"/>
      <w:bookmarkEnd w:id="86"/>
      <w:bookmarkEnd w:id="87"/>
      <w:bookmarkEnd w:id="88"/>
      <w:r>
        <w:rPr>
          <w:rFonts w:hint="eastAsia" w:ascii="宋体" w:hAnsi="宋体" w:eastAsia="宋体" w:cs="宋体"/>
          <w:color w:val="auto"/>
          <w:sz w:val="24"/>
          <w:highlight w:val="none"/>
          <w:shd w:val="clear" w:color="auto" w:fill="FFFFFF" w:themeFill="background1"/>
        </w:rPr>
        <w:t>评分标准</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2.2.1价格部分评分标准：见评标办法前附表；</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2.2.2技术部分评分标准：见评标办法前附表；</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2.2.3商务部分评分标准：见评标办法前附表。</w:t>
      </w:r>
    </w:p>
    <w:p>
      <w:pPr>
        <w:spacing w:line="360" w:lineRule="auto"/>
        <w:ind w:firstLine="480" w:firstLineChars="200"/>
        <w:rPr>
          <w:rFonts w:hint="eastAsia" w:ascii="宋体" w:hAnsi="宋体" w:eastAsia="宋体" w:cs="宋体"/>
          <w:b/>
          <w:color w:val="auto"/>
          <w:sz w:val="24"/>
          <w:highlight w:val="none"/>
          <w:shd w:val="clear" w:color="auto" w:fill="FFFFFF" w:themeFill="background1"/>
        </w:rPr>
      </w:pPr>
      <w:bookmarkStart w:id="89" w:name="_Toc152042381"/>
      <w:bookmarkStart w:id="90" w:name="_Toc144974571"/>
      <w:bookmarkStart w:id="91" w:name="_Toc246996247"/>
      <w:bookmarkStart w:id="92" w:name="_Toc358707210"/>
      <w:bookmarkStart w:id="93" w:name="_Toc152045604"/>
      <w:bookmarkStart w:id="94" w:name="_Toc7518076"/>
      <w:bookmarkStart w:id="95" w:name="_Toc246996990"/>
      <w:bookmarkStart w:id="96" w:name="_Toc179632622"/>
      <w:bookmarkStart w:id="97" w:name="_Toc247085762"/>
      <w:bookmarkStart w:id="98" w:name="_Toc4463"/>
      <w:r>
        <w:rPr>
          <w:rFonts w:hint="eastAsia" w:ascii="宋体" w:hAnsi="宋体" w:eastAsia="宋体" w:cs="宋体"/>
          <w:b/>
          <w:color w:val="auto"/>
          <w:sz w:val="24"/>
          <w:highlight w:val="none"/>
          <w:shd w:val="clear" w:color="auto" w:fill="FFFFFF" w:themeFill="background1"/>
        </w:rPr>
        <w:t>3. 评标程序</w:t>
      </w:r>
      <w:bookmarkEnd w:id="89"/>
      <w:bookmarkEnd w:id="90"/>
      <w:bookmarkEnd w:id="91"/>
      <w:bookmarkEnd w:id="92"/>
      <w:bookmarkEnd w:id="93"/>
      <w:bookmarkEnd w:id="94"/>
      <w:bookmarkEnd w:id="95"/>
      <w:bookmarkEnd w:id="96"/>
      <w:bookmarkEnd w:id="97"/>
      <w:bookmarkEnd w:id="98"/>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磋商小组依据评标办法前附表第1项、第2项、第3项规定的评审标准对</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进行初步评审。有一项不符合评审标准的，作无效标处理。</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3.2</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有以下情形之一的，其投标作无效标处理：</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（1）串通投标或弄虚作假或有其他违法行为的；</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（2）不按磋商小组要求澄清、说明或补正的。</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3.3投标报价有算术错误的，磋商小组按以下原则对投标报价进行修正，修正的价格经</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书面确认后具有约束力。</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不接受修正价格的，其投标被否决。</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99" w:name="_Toc152042383"/>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中的大写金额与小写金额不一致的，以大写金额为准；</w:t>
      </w:r>
      <w:bookmarkEnd w:id="99"/>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00" w:name="_Toc358707212"/>
      <w:bookmarkStart w:id="101" w:name="_Toc246996992"/>
      <w:bookmarkStart w:id="102" w:name="_Toc152045606"/>
      <w:bookmarkStart w:id="103" w:name="_Toc179632624"/>
      <w:bookmarkStart w:id="104" w:name="_Toc246996249"/>
      <w:bookmarkStart w:id="105" w:name="_Toc152042384"/>
      <w:bookmarkStart w:id="106" w:name="_Toc247085764"/>
      <w:bookmarkStart w:id="107" w:name="_Toc144974573"/>
      <w:r>
        <w:rPr>
          <w:rFonts w:hint="eastAsia" w:ascii="宋体" w:hAnsi="宋体" w:eastAsia="宋体" w:cs="宋体"/>
          <w:color w:val="auto"/>
          <w:sz w:val="24"/>
          <w:highlight w:val="none"/>
          <w:shd w:val="clear" w:color="auto" w:fill="FFFFFF" w:themeFill="background1"/>
        </w:rPr>
        <w:t>3.4详细评审</w:t>
      </w:r>
      <w:bookmarkEnd w:id="100"/>
      <w:bookmarkEnd w:id="101"/>
      <w:bookmarkEnd w:id="102"/>
      <w:bookmarkEnd w:id="103"/>
      <w:bookmarkEnd w:id="104"/>
      <w:bookmarkEnd w:id="105"/>
      <w:bookmarkEnd w:id="106"/>
      <w:bookmarkEnd w:id="107"/>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3.4.1对通过初步评审的</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，磋商小组按本规定的量化因素和分值进行打分，并计算出综合评估得分。每个</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最终得分为各评委打分的算术平均值。</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3.4.2磋商小组发现</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的报价明显低于其他投标报价，或者在设有标底时明显低于标底，使得其投标报价可能低于其个别成本的，应当要求该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作出书面说明并提供相应的证明材料。</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不能合理说明或者不能提供相应证明材料的，磋商小组应当认定该</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以低于成本报价竞标，否决其投标。</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08" w:name="_Toc144974575"/>
      <w:bookmarkStart w:id="109" w:name="_Toc247085765"/>
      <w:bookmarkStart w:id="110" w:name="_Toc152045607"/>
      <w:bookmarkStart w:id="111" w:name="_Toc358707213"/>
      <w:bookmarkStart w:id="112" w:name="_Toc246996250"/>
      <w:bookmarkStart w:id="113" w:name="_Toc179632625"/>
      <w:bookmarkStart w:id="114" w:name="_Toc246996993"/>
      <w:bookmarkStart w:id="115" w:name="_Toc152042385"/>
      <w:r>
        <w:rPr>
          <w:rFonts w:hint="eastAsia" w:ascii="宋体" w:hAnsi="宋体" w:eastAsia="宋体" w:cs="宋体"/>
          <w:color w:val="auto"/>
          <w:sz w:val="24"/>
          <w:highlight w:val="none"/>
          <w:shd w:val="clear" w:color="auto" w:fill="FFFFFF" w:themeFill="background1"/>
        </w:rPr>
        <w:t xml:space="preserve">3.5 </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的澄清</w:t>
      </w:r>
      <w:bookmarkEnd w:id="108"/>
      <w:r>
        <w:rPr>
          <w:rFonts w:hint="eastAsia" w:ascii="宋体" w:hAnsi="宋体" w:eastAsia="宋体" w:cs="宋体"/>
          <w:color w:val="auto"/>
          <w:sz w:val="24"/>
          <w:highlight w:val="none"/>
          <w:shd w:val="clear" w:color="auto" w:fill="FFFFFF" w:themeFill="background1"/>
        </w:rPr>
        <w:t>和补正</w:t>
      </w:r>
      <w:bookmarkEnd w:id="109"/>
      <w:bookmarkEnd w:id="110"/>
      <w:bookmarkEnd w:id="111"/>
      <w:bookmarkEnd w:id="112"/>
      <w:bookmarkEnd w:id="113"/>
      <w:bookmarkEnd w:id="114"/>
      <w:bookmarkEnd w:id="115"/>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3.5.1在评标过程中，磋商小组可以书面形式要求</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对所提交</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中不明确的内容进行书面澄清或说明，或者对细微偏差进行补正。磋商小组不接受</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主动提出的澄清、说明或补正。</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3.5.2 澄清、说明和补正不得改变</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的实质性内容。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的书面澄清、说明和补正属于</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的组成部分。</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3.5.3 磋商小组对</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提交的澄清、说明或补正有疑问的，可以要求</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进一步澄清、说明或补正，直至满足磋商小组的要求。</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bookmarkStart w:id="116" w:name="_Toc247085766"/>
      <w:bookmarkStart w:id="117" w:name="_Toc246996251"/>
      <w:bookmarkStart w:id="118" w:name="_Toc152042386"/>
      <w:bookmarkStart w:id="119" w:name="_Toc179632626"/>
      <w:bookmarkStart w:id="120" w:name="_Toc152045608"/>
      <w:bookmarkStart w:id="121" w:name="_Toc144974576"/>
      <w:bookmarkStart w:id="122" w:name="_Toc246996994"/>
      <w:bookmarkStart w:id="123" w:name="_Toc358707214"/>
      <w:bookmarkStart w:id="124" w:name="_Toc7518077"/>
      <w:r>
        <w:rPr>
          <w:rFonts w:hint="eastAsia" w:ascii="宋体" w:hAnsi="宋体" w:eastAsia="宋体" w:cs="宋体"/>
          <w:color w:val="auto"/>
          <w:sz w:val="24"/>
          <w:highlight w:val="none"/>
          <w:shd w:val="clear" w:color="auto" w:fill="FFFFFF" w:themeFill="background1"/>
        </w:rPr>
        <w:t>3.6 评标结果</w:t>
      </w:r>
      <w:bookmarkEnd w:id="116"/>
      <w:bookmarkEnd w:id="117"/>
      <w:bookmarkEnd w:id="118"/>
      <w:bookmarkEnd w:id="119"/>
      <w:bookmarkEnd w:id="120"/>
      <w:bookmarkEnd w:id="121"/>
      <w:bookmarkEnd w:id="122"/>
      <w:bookmarkEnd w:id="123"/>
      <w:bookmarkEnd w:id="124"/>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3.6.1除第二章“</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须知”前附表授权直接确定</w:t>
      </w:r>
      <w:r>
        <w:rPr>
          <w:rFonts w:hint="eastAsia" w:ascii="宋体" w:hAnsi="宋体" w:eastAsia="宋体" w:cs="宋体"/>
          <w:color w:val="auto"/>
          <w:sz w:val="24"/>
          <w:highlight w:val="none"/>
          <w:shd w:val="clear" w:color="auto" w:fill="FFFFFF" w:themeFill="background1"/>
          <w:lang w:eastAsia="zh-CN"/>
        </w:rPr>
        <w:t>成交人</w:t>
      </w:r>
      <w:r>
        <w:rPr>
          <w:rFonts w:hint="eastAsia" w:ascii="宋体" w:hAnsi="宋体" w:eastAsia="宋体" w:cs="宋体"/>
          <w:color w:val="auto"/>
          <w:sz w:val="24"/>
          <w:highlight w:val="none"/>
          <w:shd w:val="clear" w:color="auto" w:fill="FFFFFF" w:themeFill="background1"/>
        </w:rPr>
        <w:t>外，磋商小组按照得分由高到低的顺序推荐</w:t>
      </w:r>
      <w:r>
        <w:rPr>
          <w:rFonts w:hint="eastAsia" w:ascii="宋体" w:hAnsi="宋体" w:eastAsia="宋体" w:cs="宋体"/>
          <w:color w:val="auto"/>
          <w:sz w:val="24"/>
          <w:highlight w:val="none"/>
          <w:shd w:val="clear" w:color="auto" w:fill="FFFFFF" w:themeFill="background1"/>
          <w:lang w:eastAsia="zh-CN"/>
        </w:rPr>
        <w:t>成交候选供应商</w:t>
      </w:r>
      <w:r>
        <w:rPr>
          <w:rFonts w:hint="eastAsia" w:ascii="宋体" w:hAnsi="宋体" w:eastAsia="宋体" w:cs="宋体"/>
          <w:color w:val="auto"/>
          <w:sz w:val="24"/>
          <w:highlight w:val="none"/>
          <w:shd w:val="clear" w:color="auto" w:fill="FFFFFF" w:themeFill="background1"/>
        </w:rPr>
        <w:t>。</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3.4.2 磋商小组完成评标后，应当向采购人提交书面</w:t>
      </w:r>
      <w:r>
        <w:rPr>
          <w:rFonts w:hint="eastAsia" w:ascii="宋体" w:hAnsi="宋体" w:eastAsia="宋体" w:cs="宋体"/>
          <w:color w:val="auto"/>
          <w:sz w:val="24"/>
          <w:highlight w:val="none"/>
          <w:shd w:val="clear" w:color="auto" w:fill="FFFFFF" w:themeFill="background1"/>
          <w:lang w:eastAsia="zh-CN"/>
        </w:rPr>
        <w:t>评审报告</w:t>
      </w:r>
      <w:r>
        <w:rPr>
          <w:rFonts w:hint="eastAsia" w:ascii="宋体" w:hAnsi="宋体" w:eastAsia="宋体" w:cs="宋体"/>
          <w:color w:val="auto"/>
          <w:sz w:val="24"/>
          <w:highlight w:val="none"/>
          <w:shd w:val="clear" w:color="auto" w:fill="FFFFFF" w:themeFill="background1"/>
        </w:rPr>
        <w:t>。</w:t>
      </w:r>
    </w:p>
    <w:p>
      <w:pPr>
        <w:pStyle w:val="9"/>
        <w:rPr>
          <w:rFonts w:hint="eastAsia" w:ascii="宋体" w:hAnsi="宋体" w:eastAsia="宋体" w:cs="宋体"/>
          <w:color w:val="auto"/>
          <w:sz w:val="24"/>
          <w:highlight w:val="none"/>
          <w:shd w:val="clear" w:color="auto" w:fill="FFFFFF" w:themeFill="background1"/>
        </w:rPr>
      </w:pPr>
    </w:p>
    <w:p>
      <w:pPr>
        <w:rPr>
          <w:rFonts w:hint="eastAsia" w:ascii="宋体" w:hAnsi="宋体" w:eastAsia="宋体" w:cs="宋体"/>
          <w:color w:val="auto"/>
          <w:sz w:val="36"/>
          <w:szCs w:val="36"/>
          <w:highlight w:val="none"/>
          <w:shd w:val="clear" w:color="auto" w:fill="FFFFFF" w:themeFill="background1"/>
          <w:lang w:val="en-US" w:eastAsia="zh-CN"/>
        </w:rPr>
      </w:pPr>
      <w:bookmarkStart w:id="125" w:name="_Toc8739153"/>
      <w:bookmarkStart w:id="126" w:name="_Toc121835978"/>
      <w:r>
        <w:rPr>
          <w:rFonts w:hint="eastAsia" w:ascii="宋体" w:hAnsi="宋体" w:eastAsia="宋体" w:cs="宋体"/>
          <w:color w:val="auto"/>
          <w:sz w:val="36"/>
          <w:szCs w:val="36"/>
          <w:highlight w:val="none"/>
          <w:shd w:val="clear" w:color="auto" w:fill="FFFFFF" w:themeFill="background1"/>
          <w:lang w:val="en-US" w:eastAsia="zh-CN"/>
        </w:rPr>
        <w:br w:type="page"/>
      </w:r>
    </w:p>
    <w:p>
      <w:pPr>
        <w:pStyle w:val="2"/>
        <w:numPr>
          <w:ilvl w:val="0"/>
          <w:numId w:val="0"/>
        </w:numPr>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lang w:val="en-US" w:eastAsia="zh-CN"/>
        </w:rPr>
        <w:t xml:space="preserve">第五章  </w:t>
      </w:r>
      <w:r>
        <w:rPr>
          <w:rFonts w:hint="eastAsia" w:ascii="宋体" w:hAnsi="宋体" w:eastAsia="宋体" w:cs="宋体"/>
          <w:color w:val="auto"/>
          <w:sz w:val="36"/>
          <w:szCs w:val="36"/>
          <w:highlight w:val="none"/>
          <w:shd w:val="clear" w:color="auto" w:fill="FFFFFF" w:themeFill="background1"/>
        </w:rPr>
        <w:t>合同文本格式</w:t>
      </w:r>
      <w:bookmarkEnd w:id="125"/>
      <w:bookmarkEnd w:id="126"/>
    </w:p>
    <w:p>
      <w:pPr>
        <w:pStyle w:val="2"/>
        <w:numPr>
          <w:ilvl w:val="0"/>
          <w:numId w:val="0"/>
        </w:numPr>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w:t>
      </w:r>
      <w:r>
        <w:rPr>
          <w:rFonts w:hint="eastAsia" w:ascii="宋体" w:hAnsi="宋体" w:eastAsia="宋体" w:cs="宋体"/>
          <w:color w:val="auto"/>
          <w:sz w:val="24"/>
          <w:highlight w:val="none"/>
          <w:shd w:val="clear" w:color="auto" w:fill="FFFFFF" w:themeFill="background1"/>
          <w:lang w:val="en-US" w:eastAsia="zh-CN"/>
        </w:rPr>
        <w:t>仅供参考</w:t>
      </w:r>
      <w:r>
        <w:rPr>
          <w:rFonts w:hint="eastAsia" w:ascii="宋体" w:hAnsi="宋体" w:eastAsia="宋体" w:cs="宋体"/>
          <w:color w:val="auto"/>
          <w:sz w:val="24"/>
          <w:highlight w:val="none"/>
          <w:shd w:val="clear" w:color="auto" w:fill="FFFFFF" w:themeFill="background1"/>
          <w:lang w:val="zh-CN"/>
        </w:rPr>
        <w:t>）</w:t>
      </w:r>
      <w:bookmarkStart w:id="127" w:name="_Toc121335579"/>
      <w:bookmarkStart w:id="128" w:name="_Toc121835979"/>
      <w:bookmarkStart w:id="129" w:name="_Toc104891426"/>
      <w:bookmarkStart w:id="130" w:name="_Toc121333394"/>
    </w:p>
    <w:p>
      <w:pPr>
        <w:pStyle w:val="2"/>
        <w:ind w:firstLine="6710" w:firstLineChars="2793"/>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合同编号：</w:t>
      </w:r>
      <w:bookmarkEnd w:id="127"/>
      <w:bookmarkEnd w:id="128"/>
      <w:bookmarkEnd w:id="129"/>
      <w:bookmarkEnd w:id="130"/>
      <w:r>
        <w:rPr>
          <w:rFonts w:hint="eastAsia" w:ascii="宋体" w:hAnsi="宋体" w:eastAsia="宋体" w:cs="宋体"/>
          <w:color w:val="auto"/>
          <w:sz w:val="24"/>
          <w:highlight w:val="none"/>
          <w:u w:val="single"/>
          <w:shd w:val="clear" w:color="auto" w:fill="FFFFFF" w:themeFill="background1"/>
          <w:lang w:val="zh-CN"/>
        </w:rPr>
        <w:t xml:space="preserve">         </w:t>
      </w:r>
    </w:p>
    <w:p>
      <w:pPr>
        <w:autoSpaceDE w:val="0"/>
        <w:autoSpaceDN w:val="0"/>
        <w:spacing w:line="360" w:lineRule="auto"/>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w:t>
      </w:r>
      <w:r>
        <w:rPr>
          <w:rFonts w:hint="eastAsia" w:ascii="宋体" w:hAnsi="宋体" w:eastAsia="宋体" w:cs="宋体"/>
          <w:color w:val="auto"/>
          <w:sz w:val="24"/>
          <w:highlight w:val="none"/>
          <w:shd w:val="clear" w:color="auto" w:fill="FFFFFF" w:themeFill="background1"/>
          <w:lang w:val="en-US" w:eastAsia="zh-CN"/>
        </w:rPr>
        <w:t xml:space="preserve"> 成交人</w:t>
      </w:r>
      <w:r>
        <w:rPr>
          <w:rFonts w:hint="eastAsia" w:ascii="宋体" w:hAnsi="宋体" w:eastAsia="宋体" w:cs="宋体"/>
          <w:color w:val="auto"/>
          <w:sz w:val="24"/>
          <w:highlight w:val="none"/>
          <w:shd w:val="clear" w:color="auto" w:fill="FFFFFF" w:themeFill="background1"/>
          <w:lang w:val="zh-CN"/>
        </w:rPr>
        <w:t>全称）：</w:t>
      </w:r>
      <w:r>
        <w:rPr>
          <w:rFonts w:hint="eastAsia" w:ascii="宋体" w:hAnsi="宋体" w:eastAsia="宋体" w:cs="宋体"/>
          <w:color w:val="auto"/>
          <w:sz w:val="24"/>
          <w:highlight w:val="none"/>
          <w:u w:val="single"/>
          <w:shd w:val="clear" w:color="auto" w:fill="FFFFFF" w:themeFill="background1"/>
          <w:lang w:val="zh-CN"/>
        </w:rPr>
        <w:t xml:space="preserve">                        </w:t>
      </w:r>
    </w:p>
    <w:p>
      <w:pPr>
        <w:autoSpaceDE w:val="0"/>
        <w:autoSpaceDN w:val="0"/>
        <w:spacing w:line="360" w:lineRule="auto"/>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需方（采购人全称）：</w:t>
      </w:r>
      <w:r>
        <w:rPr>
          <w:rFonts w:hint="eastAsia" w:ascii="宋体" w:hAnsi="宋体" w:eastAsia="宋体" w:cs="宋体"/>
          <w:color w:val="auto"/>
          <w:sz w:val="24"/>
          <w:highlight w:val="none"/>
          <w:u w:val="single"/>
          <w:shd w:val="clear" w:color="auto" w:fill="FFFFFF" w:themeFill="background1"/>
          <w:lang w:val="zh-CN"/>
        </w:rPr>
        <w:t xml:space="preserve">                           </w:t>
      </w:r>
    </w:p>
    <w:p>
      <w:pPr>
        <w:autoSpaceDE w:val="0"/>
        <w:autoSpaceDN w:val="0"/>
        <w:spacing w:line="360" w:lineRule="auto"/>
        <w:ind w:firstLine="645"/>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供方持、中标/成交通知书，根据竞争性磋商文件、供方的投标/报价等文件[项目编号：</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]，按照《政府采购法》、《</w:t>
      </w:r>
      <w:r>
        <w:rPr>
          <w:rFonts w:hint="eastAsia" w:ascii="宋体" w:hAnsi="宋体" w:eastAsia="宋体" w:cs="宋体"/>
          <w:color w:val="auto"/>
          <w:sz w:val="24"/>
          <w:highlight w:val="none"/>
          <w:shd w:val="clear" w:color="auto" w:fill="FFFFFF" w:themeFill="background1"/>
          <w:lang w:val="en-US" w:eastAsia="zh-CN"/>
        </w:rPr>
        <w:t>民法典</w:t>
      </w:r>
      <w:r>
        <w:rPr>
          <w:rFonts w:hint="eastAsia" w:ascii="宋体" w:hAnsi="宋体" w:eastAsia="宋体" w:cs="宋体"/>
          <w:color w:val="auto"/>
          <w:sz w:val="24"/>
          <w:highlight w:val="none"/>
          <w:shd w:val="clear" w:color="auto" w:fill="FFFFFF" w:themeFill="background1"/>
          <w:lang w:val="zh-CN"/>
        </w:rPr>
        <w:t>》等有关法律、法规，供需双方经协商一致，达成以下合同条款：</w:t>
      </w:r>
    </w:p>
    <w:p>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一、本合同名称：</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二、本合同总价为人民币</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元（大写：</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pPr>
        <w:autoSpaceDE w:val="0"/>
        <w:autoSpaceDN w:val="0"/>
        <w:spacing w:line="360" w:lineRule="auto"/>
        <w:ind w:firstLine="538"/>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 xml:space="preserve">供货范围、技术规格、及分项价格如下：                           </w:t>
      </w:r>
    </w:p>
    <w:p>
      <w:pPr>
        <w:autoSpaceDE w:val="0"/>
        <w:autoSpaceDN w:val="0"/>
        <w:spacing w:line="440" w:lineRule="exact"/>
        <w:ind w:firstLine="538"/>
        <w:jc w:val="right"/>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单位：人民币元</w:t>
      </w:r>
    </w:p>
    <w:tbl>
      <w:tblPr>
        <w:tblStyle w:val="15"/>
        <w:tblW w:w="5000" w:type="pct"/>
        <w:jc w:val="center"/>
        <w:tblLayout w:type="autofit"/>
        <w:tblCellMar>
          <w:top w:w="0" w:type="dxa"/>
          <w:left w:w="108" w:type="dxa"/>
          <w:bottom w:w="0" w:type="dxa"/>
          <w:right w:w="108" w:type="dxa"/>
        </w:tblCellMar>
      </w:tblPr>
      <w:tblGrid>
        <w:gridCol w:w="1435"/>
        <w:gridCol w:w="1680"/>
        <w:gridCol w:w="1678"/>
        <w:gridCol w:w="933"/>
        <w:gridCol w:w="747"/>
        <w:gridCol w:w="933"/>
        <w:gridCol w:w="747"/>
        <w:gridCol w:w="1101"/>
        <w:gridCol w:w="17"/>
      </w:tblGrid>
      <w:tr>
        <w:trPr>
          <w:jc w:val="center"/>
        </w:trPr>
        <w:tc>
          <w:tcPr>
            <w:tcW w:w="774"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名称</w:t>
            </w:r>
          </w:p>
        </w:tc>
        <w:tc>
          <w:tcPr>
            <w:tcW w:w="906"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品牌/规格/型号</w:t>
            </w:r>
          </w:p>
        </w:tc>
        <w:tc>
          <w:tcPr>
            <w:tcW w:w="905"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技术参数</w:t>
            </w:r>
          </w:p>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(详细配置)</w:t>
            </w: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单位</w:t>
            </w: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单价</w:t>
            </w: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数量</w:t>
            </w: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合计</w:t>
            </w:r>
          </w:p>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p>
        </w:tc>
        <w:tc>
          <w:tcPr>
            <w:tcW w:w="603" w:type="pct"/>
            <w:gridSpan w:val="2"/>
            <w:tcBorders>
              <w:top w:val="single" w:color="auto" w:sz="6" w:space="0"/>
              <w:left w:val="single" w:color="auto" w:sz="6" w:space="0"/>
              <w:bottom w:val="single" w:color="auto" w:sz="6" w:space="0"/>
              <w:right w:val="single" w:color="auto" w:sz="4"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免费质保期</w:t>
            </w:r>
          </w:p>
        </w:tc>
      </w:tr>
      <w:tr>
        <w:trPr>
          <w:jc w:val="center"/>
        </w:trPr>
        <w:tc>
          <w:tcPr>
            <w:tcW w:w="774"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trPr>
          <w:jc w:val="center"/>
        </w:trPr>
        <w:tc>
          <w:tcPr>
            <w:tcW w:w="774"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trPr>
          <w:jc w:val="center"/>
        </w:trPr>
        <w:tc>
          <w:tcPr>
            <w:tcW w:w="774"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6"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905"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5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03" w:type="pc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603" w:type="pct"/>
            <w:gridSpan w:val="2"/>
            <w:tcBorders>
              <w:top w:val="single" w:color="auto" w:sz="6" w:space="0"/>
              <w:left w:val="single" w:color="auto" w:sz="6" w:space="0"/>
              <w:bottom w:val="single" w:color="auto" w:sz="6" w:space="0"/>
              <w:right w:val="single" w:color="auto" w:sz="4"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r>
      <w:tr>
        <w:trPr>
          <w:gridAfter w:val="1"/>
          <w:wAfter w:w="9" w:type="pct"/>
          <w:trHeight w:val="352" w:hRule="atLeast"/>
          <w:jc w:val="center"/>
        </w:trPr>
        <w:tc>
          <w:tcPr>
            <w:tcW w:w="774" w:type="pct"/>
            <w:vMerge w:val="restart"/>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总价（人民币）</w:t>
            </w:r>
          </w:p>
        </w:tc>
        <w:tc>
          <w:tcPr>
            <w:tcW w:w="4217" w:type="pct"/>
            <w:gridSpan w:val="7"/>
            <w:tcBorders>
              <w:top w:val="single" w:color="auto" w:sz="6" w:space="0"/>
              <w:left w:val="single" w:color="auto" w:sz="6" w:space="0"/>
              <w:bottom w:val="single" w:color="auto" w:sz="6" w:space="0"/>
              <w:right w:val="single" w:color="auto" w:sz="4" w:space="0"/>
            </w:tcBorders>
          </w:tcPr>
          <w:p>
            <w:pPr>
              <w:autoSpaceDE w:val="0"/>
              <w:autoSpaceDN w:val="0"/>
              <w:spacing w:line="440" w:lineRule="exact"/>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小写：</w:t>
            </w:r>
          </w:p>
        </w:tc>
      </w:tr>
      <w:tr>
        <w:trPr>
          <w:gridAfter w:val="1"/>
          <w:wAfter w:w="9" w:type="pct"/>
          <w:trHeight w:val="432" w:hRule="atLeast"/>
          <w:jc w:val="center"/>
        </w:trPr>
        <w:tc>
          <w:tcPr>
            <w:tcW w:w="774" w:type="pct"/>
            <w:vMerge w:val="continue"/>
            <w:tcBorders>
              <w:top w:val="single" w:color="auto" w:sz="6" w:space="0"/>
              <w:left w:val="single" w:color="auto" w:sz="6" w:space="0"/>
              <w:bottom w:val="single" w:color="auto" w:sz="6" w:space="0"/>
              <w:right w:val="single" w:color="auto" w:sz="6" w:space="0"/>
            </w:tcBorders>
          </w:tcPr>
          <w:p>
            <w:pPr>
              <w:autoSpaceDE w:val="0"/>
              <w:autoSpaceDN w:val="0"/>
              <w:spacing w:line="440" w:lineRule="exact"/>
              <w:jc w:val="center"/>
              <w:rPr>
                <w:rFonts w:hint="eastAsia" w:ascii="宋体" w:hAnsi="宋体" w:eastAsia="宋体" w:cs="宋体"/>
                <w:color w:val="auto"/>
                <w:sz w:val="24"/>
                <w:highlight w:val="none"/>
                <w:shd w:val="clear" w:color="auto" w:fill="FFFFFF" w:themeFill="background1"/>
              </w:rPr>
            </w:pPr>
          </w:p>
        </w:tc>
        <w:tc>
          <w:tcPr>
            <w:tcW w:w="4217" w:type="pct"/>
            <w:gridSpan w:val="7"/>
            <w:tcBorders>
              <w:top w:val="single" w:color="auto" w:sz="6" w:space="0"/>
              <w:left w:val="single" w:color="auto" w:sz="6" w:space="0"/>
              <w:bottom w:val="single" w:color="auto" w:sz="6" w:space="0"/>
              <w:right w:val="single" w:color="auto" w:sz="4" w:space="0"/>
            </w:tcBorders>
          </w:tcPr>
          <w:p>
            <w:pPr>
              <w:autoSpaceDE w:val="0"/>
              <w:autoSpaceDN w:val="0"/>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 xml:space="preserve">大写： </w:t>
            </w:r>
            <w:r>
              <w:rPr>
                <w:rFonts w:hint="eastAsia" w:ascii="宋体" w:hAnsi="宋体" w:eastAsia="宋体" w:cs="宋体"/>
                <w:color w:val="auto"/>
                <w:sz w:val="24"/>
                <w:highlight w:val="none"/>
                <w:shd w:val="clear" w:color="auto" w:fill="FFFFFF" w:themeFill="background1"/>
              </w:rPr>
              <w:t xml:space="preserve">  佰   </w:t>
            </w:r>
            <w:r>
              <w:rPr>
                <w:rFonts w:hint="eastAsia" w:ascii="宋体" w:hAnsi="宋体" w:eastAsia="宋体" w:cs="宋体"/>
                <w:color w:val="auto"/>
                <w:sz w:val="24"/>
                <w:highlight w:val="none"/>
                <w:shd w:val="clear" w:color="auto" w:fill="FFFFFF" w:themeFill="background1"/>
                <w:lang w:val="zh-CN"/>
              </w:rPr>
              <w:t>拾</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万</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仟</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佰</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拾</w:t>
            </w:r>
            <w:r>
              <w:rPr>
                <w:rFonts w:hint="eastAsia" w:ascii="宋体" w:hAnsi="宋体" w:eastAsia="宋体" w:cs="宋体"/>
                <w:color w:val="auto"/>
                <w:sz w:val="24"/>
                <w:highlight w:val="non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lang w:val="zh-CN"/>
              </w:rPr>
              <w:t>元   角分</w:t>
            </w:r>
          </w:p>
        </w:tc>
      </w:tr>
    </w:tbl>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三、质量要求及供方对质量负责条件和期限：</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所供货物必须首先符合有关国家强制性规定、国家（行业）标准或相关法律法规要求</w:t>
      </w:r>
      <w:r>
        <w:rPr>
          <w:rFonts w:hint="eastAsia" w:ascii="宋体" w:hAnsi="宋体" w:eastAsia="宋体" w:cs="宋体"/>
          <w:color w:val="auto"/>
          <w:sz w:val="24"/>
          <w:highlight w:val="none"/>
          <w:shd w:val="clear" w:color="auto" w:fill="FFFFFF" w:themeFill="background1"/>
          <w:lang w:val="zh-CN"/>
        </w:rPr>
        <w:t>，同时符合竞争性磋商文件规定的质量要求。供方应提供全新未拆封产品（包括零部件、附件、备品备件），如确需拆封的，应在供货前征得采购人同意，否则视为不能交货。供方保证全部按照合同规定的时间和方式向需方提供货物和服务，并负责可能的弥补缺陷。需方对货物规格、型号、质量有异议的应在收到货物后15日内以书面形式向供方提出，需安装调试成套设备的提出异议的期限为</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日。</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四、售后服务承诺：</w:t>
      </w:r>
    </w:p>
    <w:p>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售后服务响应时间：</w:t>
      </w:r>
    </w:p>
    <w:p>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解决问题时间：</w:t>
      </w:r>
    </w:p>
    <w:p>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售后服务机构名称、地址及联系方式：</w:t>
      </w:r>
    </w:p>
    <w:p>
      <w:pPr>
        <w:numPr>
          <w:ilvl w:val="0"/>
          <w:numId w:val="4"/>
        </w:numPr>
        <w:autoSpaceDE w:val="0"/>
        <w:autoSpaceDN w:val="0"/>
        <w:adjustRightInd w:val="0"/>
        <w:spacing w:line="360" w:lineRule="auto"/>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其他服务承诺：</w:t>
      </w:r>
    </w:p>
    <w:p>
      <w:pPr>
        <w:autoSpaceDE w:val="0"/>
        <w:autoSpaceDN w:val="0"/>
        <w:adjustRightInd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五、合同履行地点及进度：合同生效后，供方应于</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年</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月</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日前按需方要求在</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需方指定的地点）完成本项目的交货、安装、调试（或施工）。货物运送的费用由供方负责。需方应在货物到达指定地点后，提供符合安装条件的场地、电源、环境等。</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六、供方在交付货物时应向需方提供货物的使用说明、合格证书及其它相关资料，否则按不能交货对待。</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七、人员培训：供方免费对需方人员进行技术培训，直到需方人员熟练操作或掌握为准。</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培训地点：</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培训时间：</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pPr>
        <w:autoSpaceDE w:val="0"/>
        <w:autoSpaceDN w:val="0"/>
        <w:spacing w:line="360" w:lineRule="auto"/>
        <w:ind w:firstLine="480" w:firstLineChars="200"/>
        <w:rPr>
          <w:rFonts w:hint="eastAsia" w:ascii="宋体" w:hAnsi="宋体" w:eastAsia="宋体" w:cs="宋体"/>
          <w:vanish/>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培训方式：</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w:t>
      </w:r>
    </w:p>
    <w:p>
      <w:pPr>
        <w:autoSpaceDE w:val="0"/>
        <w:autoSpaceDN w:val="0"/>
        <w:spacing w:line="360" w:lineRule="auto"/>
        <w:ind w:firstLine="63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vanish/>
          <w:color w:val="auto"/>
          <w:sz w:val="24"/>
          <w:highlight w:val="none"/>
          <w:shd w:val="clear" w:color="auto" w:fill="FFFFFF" w:themeFill="background1"/>
          <w:lang w:val="zh-CN"/>
        </w:rPr>
        <w:t>方式</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八、验收要求。</w:t>
      </w:r>
    </w:p>
    <w:p>
      <w:pPr>
        <w:autoSpaceDE w:val="0"/>
        <w:autoSpaceDN w:val="0"/>
        <w:spacing w:line="360" w:lineRule="auto"/>
        <w:ind w:firstLine="56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1、供方履约完毕及时向需方提出验收申请。</w:t>
      </w:r>
    </w:p>
    <w:p>
      <w:pPr>
        <w:autoSpaceDE w:val="0"/>
        <w:autoSpaceDN w:val="0"/>
        <w:spacing w:line="360" w:lineRule="auto"/>
        <w:ind w:firstLine="56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2、需方在收到供方验收申请后</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个工作日内组织验收。需方成立3人以上验收工作组（合同金额在50万以上的验收工作组不少于5人），按照竞争性磋商文件规定、成交供应商响应文件承诺，及国家有关规定认真组织验收工作。大型或者复杂的政府采购项目以及需方认为必要的项目，应当邀请国家认可的质量检测机构参加验收工作。如本项目属国家规定的强制性检测项目，需方必须委托国家认可的专业检测机构验收。</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九、付款程序、方式及期限：</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1、供方开具以需方单位名称为抬头的发票。</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2、需方验收完毕后</w:t>
      </w:r>
      <w:r>
        <w:rPr>
          <w:rFonts w:hint="eastAsia" w:ascii="宋体" w:hAnsi="宋体" w:eastAsia="宋体" w:cs="宋体"/>
          <w:color w:val="auto"/>
          <w:sz w:val="24"/>
          <w:highlight w:val="none"/>
          <w:shd w:val="clear" w:color="auto" w:fill="FFFFFF" w:themeFill="background1"/>
        </w:rPr>
        <w:t>到</w:t>
      </w:r>
      <w:r>
        <w:rPr>
          <w:rFonts w:hint="eastAsia" w:ascii="宋体" w:hAnsi="宋体" w:cs="宋体"/>
          <w:color w:val="auto"/>
          <w:sz w:val="24"/>
          <w:highlight w:val="none"/>
          <w:shd w:val="clear" w:color="auto" w:fill="FFFFFF" w:themeFill="background1"/>
          <w:lang w:val="en-US" w:eastAsia="zh-CN"/>
        </w:rPr>
        <w:t>三门峡市</w:t>
      </w:r>
      <w:r>
        <w:rPr>
          <w:rFonts w:hint="eastAsia" w:ascii="宋体" w:hAnsi="宋体" w:eastAsia="宋体" w:cs="宋体"/>
          <w:color w:val="auto"/>
          <w:sz w:val="24"/>
          <w:highlight w:val="none"/>
          <w:shd w:val="clear" w:color="auto" w:fill="FFFFFF" w:themeFill="background1"/>
        </w:rPr>
        <w:t>财政局办理资金支付手续。</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十、违约责任：</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供方所交付的货物品种、型号、规格、质量不符合国家规定标准及合同要求的，或者供方不能交付货物或完成系统安装、调试的，供方应向需方支付合同金额总值</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%的违约金，需方有权解除合同，并要求赔偿损失。供方如逾期完成的，每逾期一日供方应向需方支付合同金额的</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%违约金。</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需方无正当理由拒收货物、拒付货款，需方应向供方偿付拒收拒付部分设备款总额</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%的违约金；需方如逾期付款的，每逾期付款一日的需方应向供方偿付所欠合同金额</w:t>
      </w:r>
      <w:r>
        <w:rPr>
          <w:rFonts w:hint="eastAsia" w:ascii="宋体" w:hAnsi="宋体" w:eastAsia="宋体" w:cs="宋体"/>
          <w:color w:val="auto"/>
          <w:sz w:val="24"/>
          <w:highlight w:val="none"/>
          <w:u w:val="single"/>
          <w:shd w:val="clear" w:color="auto" w:fill="FFFFFF" w:themeFill="background1"/>
          <w:lang w:val="zh-CN"/>
        </w:rPr>
        <w:t xml:space="preserve">   </w:t>
      </w:r>
      <w:r>
        <w:rPr>
          <w:rFonts w:hint="eastAsia" w:ascii="宋体" w:hAnsi="宋体" w:eastAsia="宋体" w:cs="宋体"/>
          <w:color w:val="auto"/>
          <w:sz w:val="24"/>
          <w:highlight w:val="none"/>
          <w:shd w:val="clear" w:color="auto" w:fill="FFFFFF" w:themeFill="background1"/>
          <w:lang w:val="zh-CN"/>
        </w:rPr>
        <w:t>%的违约金。</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十一、供需双方应严格遵守竞争性磋商文件要求，如有违反，按竞争性磋商文件的规定处理。</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十二、因货物的质量问题发生争议，由</w:t>
      </w:r>
      <w:r>
        <w:rPr>
          <w:rFonts w:hint="eastAsia" w:ascii="宋体" w:hAnsi="宋体" w:cs="宋体"/>
          <w:color w:val="auto"/>
          <w:sz w:val="24"/>
          <w:highlight w:val="none"/>
          <w:shd w:val="clear" w:color="auto" w:fill="FFFFFF" w:themeFill="background1"/>
          <w:lang w:val="en-US" w:eastAsia="zh-CN"/>
        </w:rPr>
        <w:t>三门峡市</w:t>
      </w:r>
      <w:r>
        <w:rPr>
          <w:rFonts w:hint="eastAsia" w:ascii="宋体" w:hAnsi="宋体" w:eastAsia="宋体" w:cs="宋体"/>
          <w:color w:val="auto"/>
          <w:sz w:val="24"/>
          <w:highlight w:val="none"/>
          <w:shd w:val="clear" w:color="auto" w:fill="FFFFFF" w:themeFill="background1"/>
          <w:lang w:val="zh-CN"/>
        </w:rPr>
        <w:t>法定的质量检测机构进行质量检测或鉴定。</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十三、项目竞争性磋商文件及其修改和澄清、及供方响应文件、供方在投标中的有关承诺及声明均为本合同的组成部分。</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十四、本合同签订和履行适用中华人民共和国法律，因履行合同发生的争议，由供需双方友好协商解决，如协商不成的，任何一方均可向签订合同地人民法院提起诉讼。</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十五、本合同未尽事宜，供需双方可签订补充协议，与本合同具有同等法律效力，但不能违反竞争性磋商文件及供方的投标或报价文件所规定的实质性条款。</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十六、知识产权：</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供方须保障需方在使用该项目或其任何一部分时不受到第三方关于侵犯专利权、商标权或工业设计</w:t>
      </w:r>
      <w:r>
        <w:rPr>
          <w:rFonts w:hint="eastAsia" w:ascii="宋体" w:hAnsi="宋体" w:eastAsia="宋体" w:cs="宋体"/>
          <w:color w:val="auto"/>
          <w:sz w:val="24"/>
          <w:highlight w:val="none"/>
          <w:shd w:val="clear" w:color="auto" w:fill="FFFFFF" w:themeFill="background1"/>
          <w:lang w:val="zh-CN"/>
        </w:rPr>
        <w:t>权的指控。如果任何第三方提出侵权指控，供方须与第三方交涉并承担可能发生的一切费用。如需方因此而遭致损失的，供方应赔偿该损失。</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十七、合同生效、备案及其它</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lang w:val="zh-CN"/>
        </w:rPr>
        <w:t>1、本合同经双方代表签字并加盖公章后生效。</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val="zh-CN"/>
        </w:rPr>
        <w:t>2、本合同一式六份，供需双方各持三份</w:t>
      </w:r>
      <w:r>
        <w:rPr>
          <w:rFonts w:hint="eastAsia" w:ascii="宋体" w:hAnsi="宋体" w:eastAsia="宋体" w:cs="宋体"/>
          <w:color w:val="auto"/>
          <w:sz w:val="24"/>
          <w:highlight w:val="none"/>
          <w:shd w:val="clear" w:color="auto" w:fill="FFFFFF" w:themeFill="background1"/>
        </w:rPr>
        <w:t>。</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供方（公章）：                          需方（公章）：</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地址：                                  地址：</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法定代表人或授权委托               法定代表人或授权委托</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人（签字）：                        人（签字）：</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电话：                                  电话：</w:t>
      </w:r>
    </w:p>
    <w:p>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开户银行：                              开户银行：</w:t>
      </w:r>
    </w:p>
    <w:p>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账号：                                  账号:</w:t>
      </w:r>
    </w:p>
    <w:p>
      <w:pPr>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签约时间：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 年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spacing w:before="78" w:line="360" w:lineRule="auto"/>
        <w:ind w:left="8" w:right="99" w:firstLine="486"/>
        <w:jc w:val="both"/>
        <w:rPr>
          <w:rFonts w:hint="eastAsia" w:ascii="宋体" w:hAnsi="宋体" w:eastAsia="宋体" w:cs="宋体"/>
          <w:color w:val="auto"/>
          <w:spacing w:val="1"/>
          <w:sz w:val="24"/>
          <w:szCs w:val="24"/>
        </w:rPr>
      </w:pPr>
    </w:p>
    <w:p>
      <w:pPr>
        <w:spacing w:before="78" w:line="360" w:lineRule="auto"/>
        <w:ind w:left="8" w:right="99" w:firstLine="486"/>
        <w:jc w:val="both"/>
        <w:rPr>
          <w:rFonts w:hint="eastAsia" w:ascii="宋体" w:hAnsi="宋体" w:eastAsia="宋体" w:cs="宋体"/>
          <w:color w:val="auto"/>
          <w:sz w:val="24"/>
          <w:szCs w:val="24"/>
        </w:rPr>
      </w:pPr>
      <w:r>
        <w:rPr>
          <w:rFonts w:hint="eastAsia" w:ascii="宋体" w:hAnsi="宋体" w:eastAsia="宋体" w:cs="宋体"/>
          <w:color w:val="auto"/>
          <w:spacing w:val="1"/>
          <w:sz w:val="24"/>
          <w:szCs w:val="24"/>
        </w:rPr>
        <w:t>注:1.按《三门峡市财政局关于市本级政府采购合同备案管理工作的通知》（三财</w:t>
      </w:r>
      <w:r>
        <w:rPr>
          <w:rFonts w:hint="eastAsia" w:ascii="宋体" w:hAnsi="宋体" w:eastAsia="宋体" w:cs="宋体"/>
          <w:color w:val="auto"/>
          <w:spacing w:val="-1"/>
          <w:sz w:val="24"/>
          <w:szCs w:val="24"/>
        </w:rPr>
        <w:t>购[2021]9</w:t>
      </w:r>
      <w:r>
        <w:rPr>
          <w:rFonts w:hint="eastAsia" w:ascii="宋体" w:hAnsi="宋体" w:eastAsia="宋体" w:cs="宋体"/>
          <w:color w:val="auto"/>
          <w:spacing w:val="-27"/>
          <w:sz w:val="24"/>
          <w:szCs w:val="24"/>
        </w:rPr>
        <w:t xml:space="preserve"> </w:t>
      </w:r>
      <w:r>
        <w:rPr>
          <w:rFonts w:hint="eastAsia" w:ascii="宋体" w:hAnsi="宋体" w:eastAsia="宋体" w:cs="宋体"/>
          <w:color w:val="auto"/>
          <w:spacing w:val="-1"/>
          <w:sz w:val="24"/>
          <w:szCs w:val="24"/>
        </w:rPr>
        <w:t>号）文要求，集中采购目录以外政府采购项目，原则上自</w:t>
      </w:r>
      <w:r>
        <w:rPr>
          <w:rFonts w:hint="eastAsia" w:ascii="宋体" w:hAnsi="宋体" w:eastAsia="宋体" w:cs="宋体"/>
          <w:color w:val="auto"/>
          <w:spacing w:val="-1"/>
          <w:sz w:val="24"/>
          <w:szCs w:val="24"/>
          <w:lang w:val="en-US" w:eastAsia="zh-CN"/>
        </w:rPr>
        <w:t>成交</w:t>
      </w:r>
      <w:r>
        <w:rPr>
          <w:rFonts w:hint="eastAsia" w:ascii="宋体" w:hAnsi="宋体" w:eastAsia="宋体" w:cs="宋体"/>
          <w:color w:val="auto"/>
          <w:spacing w:val="-1"/>
          <w:sz w:val="24"/>
          <w:szCs w:val="24"/>
        </w:rPr>
        <w:t>通知书发出之</w:t>
      </w:r>
      <w:r>
        <w:rPr>
          <w:rFonts w:hint="eastAsia" w:ascii="宋体" w:hAnsi="宋体" w:eastAsia="宋体" w:cs="宋体"/>
          <w:color w:val="auto"/>
          <w:spacing w:val="-3"/>
          <w:sz w:val="24"/>
          <w:szCs w:val="24"/>
        </w:rPr>
        <w:t>日起</w:t>
      </w:r>
      <w:r>
        <w:rPr>
          <w:rFonts w:hint="eastAsia" w:ascii="宋体" w:hAnsi="宋体" w:eastAsia="宋体" w:cs="宋体"/>
          <w:color w:val="auto"/>
          <w:spacing w:val="-31"/>
          <w:sz w:val="24"/>
          <w:szCs w:val="24"/>
        </w:rPr>
        <w:t xml:space="preserve"> </w:t>
      </w:r>
      <w:r>
        <w:rPr>
          <w:rFonts w:hint="eastAsia" w:ascii="宋体" w:hAnsi="宋体" w:eastAsia="宋体" w:cs="宋体"/>
          <w:color w:val="auto"/>
          <w:spacing w:val="-3"/>
          <w:sz w:val="24"/>
          <w:szCs w:val="24"/>
        </w:rPr>
        <w:t>2</w:t>
      </w:r>
      <w:r>
        <w:rPr>
          <w:rFonts w:hint="eastAsia" w:ascii="宋体" w:hAnsi="宋体" w:eastAsia="宋体" w:cs="宋体"/>
          <w:color w:val="auto"/>
          <w:spacing w:val="-43"/>
          <w:sz w:val="24"/>
          <w:szCs w:val="24"/>
        </w:rPr>
        <w:t xml:space="preserve"> </w:t>
      </w:r>
      <w:r>
        <w:rPr>
          <w:rFonts w:hint="eastAsia" w:ascii="宋体" w:hAnsi="宋体" w:eastAsia="宋体" w:cs="宋体"/>
          <w:color w:val="auto"/>
          <w:spacing w:val="-3"/>
          <w:sz w:val="24"/>
          <w:szCs w:val="24"/>
        </w:rPr>
        <w:t>个工作日内与成交</w:t>
      </w:r>
      <w:r>
        <w:rPr>
          <w:rFonts w:hint="eastAsia" w:ascii="宋体" w:hAnsi="宋体" w:eastAsia="宋体" w:cs="宋体"/>
          <w:color w:val="auto"/>
          <w:spacing w:val="-3"/>
          <w:sz w:val="24"/>
          <w:szCs w:val="24"/>
          <w:lang w:eastAsia="zh-CN"/>
        </w:rPr>
        <w:t>人</w:t>
      </w:r>
      <w:r>
        <w:rPr>
          <w:rFonts w:hint="eastAsia" w:ascii="宋体" w:hAnsi="宋体" w:eastAsia="宋体" w:cs="宋体"/>
          <w:color w:val="auto"/>
          <w:spacing w:val="-3"/>
          <w:sz w:val="24"/>
          <w:szCs w:val="24"/>
        </w:rPr>
        <w:t>按照采购文件确定的事项与</w:t>
      </w:r>
      <w:r>
        <w:rPr>
          <w:rFonts w:hint="eastAsia" w:ascii="宋体" w:hAnsi="宋体" w:eastAsia="宋体" w:cs="宋体"/>
          <w:color w:val="auto"/>
          <w:spacing w:val="-3"/>
          <w:sz w:val="24"/>
          <w:szCs w:val="24"/>
          <w:lang w:val="en-US" w:eastAsia="zh-CN"/>
        </w:rPr>
        <w:t>供应商</w:t>
      </w:r>
      <w:r>
        <w:rPr>
          <w:rFonts w:hint="eastAsia" w:ascii="宋体" w:hAnsi="宋体" w:eastAsia="宋体" w:cs="宋体"/>
          <w:color w:val="auto"/>
          <w:spacing w:val="-3"/>
          <w:sz w:val="24"/>
          <w:szCs w:val="24"/>
        </w:rPr>
        <w:t>签订政府采</w:t>
      </w:r>
      <w:r>
        <w:rPr>
          <w:rFonts w:hint="eastAsia" w:ascii="宋体" w:hAnsi="宋体" w:eastAsia="宋体" w:cs="宋体"/>
          <w:color w:val="auto"/>
          <w:spacing w:val="-4"/>
          <w:sz w:val="24"/>
          <w:szCs w:val="24"/>
        </w:rPr>
        <w:t>购合同。</w:t>
      </w:r>
    </w:p>
    <w:p>
      <w:pPr>
        <w:spacing w:before="177" w:line="468" w:lineRule="exact"/>
        <w:ind w:left="483"/>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 xml:space="preserve">2. </w:t>
      </w:r>
      <w:r>
        <w:rPr>
          <w:rFonts w:hint="eastAsia" w:ascii="宋体" w:hAnsi="宋体" w:eastAsia="宋体" w:cs="宋体"/>
          <w:color w:val="auto"/>
          <w:spacing w:val="2"/>
          <w:position w:val="17"/>
          <w:sz w:val="24"/>
          <w:szCs w:val="24"/>
          <w:lang w:val="en-US" w:eastAsia="zh-CN"/>
        </w:rPr>
        <w:t>供应商</w:t>
      </w:r>
      <w:r>
        <w:rPr>
          <w:rFonts w:hint="eastAsia" w:ascii="宋体" w:hAnsi="宋体" w:eastAsia="宋体" w:cs="宋体"/>
          <w:color w:val="auto"/>
          <w:spacing w:val="2"/>
          <w:position w:val="17"/>
          <w:sz w:val="24"/>
          <w:szCs w:val="24"/>
        </w:rPr>
        <w:t>违反政府采购合同约定给采购</w:t>
      </w:r>
      <w:r>
        <w:rPr>
          <w:rFonts w:hint="eastAsia" w:ascii="宋体" w:hAnsi="宋体" w:eastAsia="宋体" w:cs="宋体"/>
          <w:color w:val="auto"/>
          <w:spacing w:val="1"/>
          <w:position w:val="17"/>
          <w:sz w:val="24"/>
          <w:szCs w:val="24"/>
        </w:rPr>
        <w:t>人造成损失的,采购人按照合同约定,要求</w:t>
      </w:r>
    </w:p>
    <w:p>
      <w:pPr>
        <w:spacing w:line="360" w:lineRule="auto"/>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color w:val="auto"/>
          <w:spacing w:val="-2"/>
          <w:sz w:val="24"/>
          <w:szCs w:val="24"/>
          <w:lang w:val="en-US" w:eastAsia="zh-CN"/>
        </w:rPr>
        <w:t>供应商</w:t>
      </w:r>
      <w:r>
        <w:rPr>
          <w:rFonts w:hint="eastAsia" w:ascii="宋体" w:hAnsi="宋体" w:eastAsia="宋体" w:cs="宋体"/>
          <w:color w:val="auto"/>
          <w:spacing w:val="-2"/>
          <w:sz w:val="24"/>
          <w:szCs w:val="24"/>
        </w:rPr>
        <w:t>承担赔偿责任。</w:t>
      </w:r>
    </w:p>
    <w:p>
      <w:pPr>
        <w:pStyle w:val="2"/>
        <w:ind w:firstLine="2865" w:firstLineChars="795"/>
        <w:rPr>
          <w:rFonts w:hint="eastAsia" w:ascii="宋体" w:hAnsi="宋体" w:eastAsia="宋体" w:cs="宋体"/>
          <w:color w:val="auto"/>
          <w:sz w:val="36"/>
          <w:szCs w:val="36"/>
          <w:highlight w:val="none"/>
          <w:shd w:val="clear" w:color="auto" w:fill="FFFFFF" w:themeFill="background1"/>
        </w:rPr>
      </w:pPr>
      <w:bookmarkStart w:id="131" w:name="_Toc121835980"/>
    </w:p>
    <w:p>
      <w:pPr>
        <w:pStyle w:val="2"/>
        <w:jc w:val="center"/>
        <w:rPr>
          <w:rFonts w:hint="eastAsia" w:ascii="宋体" w:hAnsi="宋体" w:eastAsia="宋体" w:cs="宋体"/>
          <w:color w:val="auto"/>
          <w:sz w:val="36"/>
          <w:szCs w:val="36"/>
          <w:highlight w:val="none"/>
          <w:shd w:val="clear" w:color="auto" w:fill="FFFFFF" w:themeFill="background1"/>
        </w:rPr>
      </w:pPr>
      <w:r>
        <w:rPr>
          <w:rFonts w:hint="eastAsia" w:ascii="宋体" w:hAnsi="宋体" w:eastAsia="宋体" w:cs="宋体"/>
          <w:color w:val="auto"/>
          <w:sz w:val="36"/>
          <w:szCs w:val="36"/>
          <w:highlight w:val="none"/>
          <w:shd w:val="clear" w:color="auto" w:fill="FFFFFF" w:themeFill="background1"/>
        </w:rPr>
        <w:t>第六章  响应性文件格式</w:t>
      </w:r>
      <w:bookmarkEnd w:id="131"/>
    </w:p>
    <w:p>
      <w:pPr>
        <w:spacing w:line="360" w:lineRule="auto"/>
        <w:ind w:firstLine="200"/>
        <w:rPr>
          <w:rFonts w:hint="eastAsia" w:ascii="宋体" w:hAnsi="宋体" w:eastAsia="宋体" w:cs="宋体"/>
          <w:b/>
          <w:color w:val="auto"/>
          <w:sz w:val="30"/>
          <w:szCs w:val="30"/>
          <w:highlight w:val="none"/>
          <w:shd w:val="clear" w:color="auto" w:fill="FFFFFF" w:themeFill="background1"/>
        </w:rPr>
      </w:pPr>
    </w:p>
    <w:p>
      <w:pPr>
        <w:spacing w:line="360" w:lineRule="auto"/>
        <w:ind w:firstLine="200"/>
        <w:rPr>
          <w:rFonts w:hint="eastAsia" w:ascii="宋体" w:hAnsi="宋体" w:eastAsia="宋体" w:cs="宋体"/>
          <w:b/>
          <w:color w:val="auto"/>
          <w:sz w:val="30"/>
          <w:szCs w:val="30"/>
          <w:highlight w:val="none"/>
          <w:shd w:val="clear" w:color="auto" w:fill="FFFFFF" w:themeFill="background1"/>
        </w:rPr>
      </w:pPr>
    </w:p>
    <w:p>
      <w:pPr>
        <w:spacing w:line="360" w:lineRule="auto"/>
        <w:ind w:firstLine="200"/>
        <w:jc w:val="center"/>
        <w:rPr>
          <w:rFonts w:hint="eastAsia" w:ascii="宋体" w:hAnsi="宋体" w:eastAsia="宋体" w:cs="宋体"/>
          <w:b/>
          <w:color w:val="auto"/>
          <w:sz w:val="30"/>
          <w:szCs w:val="30"/>
          <w:highlight w:val="none"/>
          <w:u w:val="single"/>
          <w:shd w:val="clear" w:color="auto" w:fill="FFFFFF" w:themeFill="background1"/>
        </w:rPr>
      </w:pPr>
      <w:r>
        <w:rPr>
          <w:rFonts w:hint="eastAsia" w:ascii="宋体" w:hAnsi="宋体" w:eastAsia="宋体" w:cs="宋体"/>
          <w:b/>
          <w:color w:val="auto"/>
          <w:sz w:val="30"/>
          <w:szCs w:val="30"/>
          <w:highlight w:val="none"/>
          <w:shd w:val="clear" w:color="auto" w:fill="FFFFFF" w:themeFill="background1"/>
        </w:rPr>
        <w:t>（项目名称）</w:t>
      </w:r>
    </w:p>
    <w:p>
      <w:pPr>
        <w:spacing w:line="360" w:lineRule="auto"/>
        <w:ind w:firstLine="200"/>
        <w:rPr>
          <w:rFonts w:hint="eastAsia" w:ascii="宋体" w:hAnsi="宋体" w:eastAsia="宋体" w:cs="宋体"/>
          <w:b/>
          <w:color w:val="auto"/>
          <w:highlight w:val="none"/>
          <w:shd w:val="clear" w:color="auto" w:fill="FFFFFF" w:themeFill="background1"/>
        </w:rPr>
      </w:pPr>
    </w:p>
    <w:p>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p>
    <w:p>
      <w:pPr>
        <w:spacing w:line="360" w:lineRule="auto"/>
        <w:ind w:firstLine="200"/>
        <w:jc w:val="center"/>
        <w:rPr>
          <w:rFonts w:hint="eastAsia" w:ascii="宋体" w:hAnsi="宋体" w:eastAsia="宋体" w:cs="宋体"/>
          <w:b/>
          <w:color w:val="auto"/>
          <w:sz w:val="44"/>
          <w:szCs w:val="44"/>
          <w:highlight w:val="none"/>
          <w:shd w:val="clear" w:color="auto" w:fill="FFFFFF" w:themeFill="background1"/>
        </w:rPr>
      </w:pPr>
      <w:r>
        <w:rPr>
          <w:rFonts w:hint="eastAsia" w:ascii="宋体" w:hAnsi="宋体" w:eastAsia="宋体" w:cs="宋体"/>
          <w:b/>
          <w:color w:val="auto"/>
          <w:sz w:val="44"/>
          <w:szCs w:val="44"/>
          <w:highlight w:val="none"/>
          <w:shd w:val="clear" w:color="auto" w:fill="FFFFFF" w:themeFill="background1"/>
        </w:rPr>
        <w:t>响应性文件</w:t>
      </w: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200"/>
        <w:jc w:val="center"/>
        <w:rPr>
          <w:rFonts w:hint="eastAsia" w:ascii="宋体" w:hAnsi="宋体" w:eastAsia="宋体" w:cs="宋体"/>
          <w:b/>
          <w:color w:val="auto"/>
          <w:sz w:val="30"/>
          <w:szCs w:val="30"/>
          <w:highlight w:val="none"/>
          <w:shd w:val="clear" w:color="auto" w:fill="FFFFFF" w:themeFill="background1"/>
        </w:rPr>
      </w:pPr>
      <w:r>
        <w:rPr>
          <w:rFonts w:hint="eastAsia" w:ascii="宋体" w:hAnsi="宋体" w:eastAsia="宋体" w:cs="宋体"/>
          <w:b/>
          <w:color w:val="auto"/>
          <w:sz w:val="30"/>
          <w:szCs w:val="30"/>
          <w:highlight w:val="none"/>
          <w:shd w:val="clear" w:color="auto" w:fill="FFFFFF" w:themeFill="background1"/>
        </w:rPr>
        <w:t>项目编号：</w:t>
      </w: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420" w:firstLineChars="200"/>
        <w:rPr>
          <w:rFonts w:hint="eastAsia" w:ascii="宋体" w:hAnsi="宋体" w:eastAsia="宋体" w:cs="宋体"/>
          <w:color w:val="auto"/>
          <w:highlight w:val="none"/>
          <w:shd w:val="clear" w:color="auto" w:fill="FFFFFF" w:themeFill="background1"/>
        </w:rPr>
      </w:pPr>
    </w:p>
    <w:p>
      <w:pPr>
        <w:spacing w:line="360" w:lineRule="auto"/>
        <w:ind w:firstLine="200"/>
        <w:rPr>
          <w:rFonts w:hint="eastAsia" w:ascii="宋体" w:hAnsi="宋体" w:eastAsia="宋体" w:cs="宋体"/>
          <w:color w:val="auto"/>
          <w:highlight w:val="none"/>
          <w:shd w:val="clear" w:color="auto" w:fill="FFFFFF" w:themeFill="background1"/>
        </w:rPr>
      </w:pPr>
    </w:p>
    <w:p>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pPr>
        <w:spacing w:line="360" w:lineRule="auto"/>
        <w:ind w:firstLine="20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月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 xml:space="preserve"> 日</w:t>
      </w:r>
    </w:p>
    <w:p>
      <w:pPr>
        <w:spacing w:line="360" w:lineRule="auto"/>
        <w:ind w:firstLine="200"/>
        <w:jc w:val="center"/>
        <w:rPr>
          <w:rFonts w:hint="eastAsia" w:ascii="宋体" w:hAnsi="宋体" w:eastAsia="宋体" w:cs="宋体"/>
          <w:color w:val="auto"/>
          <w:sz w:val="24"/>
          <w:highlight w:val="none"/>
          <w:shd w:val="clear" w:color="auto" w:fill="FFFFFF" w:themeFill="background1"/>
        </w:rPr>
      </w:pPr>
    </w:p>
    <w:p>
      <w:pPr>
        <w:spacing w:line="360" w:lineRule="auto"/>
        <w:ind w:firstLine="200"/>
        <w:jc w:val="center"/>
        <w:rPr>
          <w:rFonts w:hint="eastAsia" w:ascii="宋体" w:hAnsi="宋体" w:eastAsia="宋体" w:cs="宋体"/>
          <w:color w:val="auto"/>
          <w:sz w:val="24"/>
          <w:highlight w:val="none"/>
          <w:shd w:val="clear" w:color="auto" w:fill="FFFFFF" w:themeFill="background1"/>
        </w:rPr>
      </w:pPr>
    </w:p>
    <w:p>
      <w:pPr>
        <w:spacing w:line="360" w:lineRule="auto"/>
        <w:ind w:firstLine="200"/>
        <w:rPr>
          <w:rFonts w:hint="eastAsia" w:ascii="宋体" w:hAnsi="宋体" w:eastAsia="宋体" w:cs="宋体"/>
          <w:color w:val="auto"/>
          <w:highlight w:val="none"/>
          <w:shd w:val="clear" w:color="auto" w:fill="FFFFFF" w:themeFill="background1"/>
        </w:rPr>
      </w:pPr>
    </w:p>
    <w:p>
      <w:pPr>
        <w:spacing w:line="360" w:lineRule="auto"/>
        <w:ind w:firstLine="200"/>
        <w:rPr>
          <w:rFonts w:hint="eastAsia" w:ascii="宋体" w:hAnsi="宋体" w:eastAsia="宋体" w:cs="宋体"/>
          <w:color w:val="auto"/>
          <w:highlight w:val="none"/>
          <w:shd w:val="clear" w:color="auto" w:fill="FFFFFF" w:themeFill="background1"/>
        </w:rPr>
      </w:pPr>
    </w:p>
    <w:p>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sectPr>
          <w:footerReference r:id="rId4" w:type="default"/>
          <w:pgSz w:w="11906" w:h="16839"/>
          <w:pgMar w:top="1431" w:right="1418" w:bottom="1102" w:left="1433" w:header="0" w:footer="936" w:gutter="0"/>
          <w:pgNumType w:fmt="decimal" w:start="1"/>
          <w:cols w:space="720" w:num="1"/>
        </w:sectPr>
      </w:pPr>
    </w:p>
    <w:p>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pPr>
    </w:p>
    <w:p>
      <w:pPr>
        <w:shd w:val="clear" w:color="auto" w:fill="FFFFFF"/>
        <w:tabs>
          <w:tab w:val="right" w:pos="6077"/>
        </w:tabs>
        <w:autoSpaceDE w:val="0"/>
        <w:autoSpaceDN w:val="0"/>
        <w:spacing w:line="360" w:lineRule="auto"/>
        <w:ind w:firstLine="200"/>
        <w:jc w:val="center"/>
        <w:rPr>
          <w:rFonts w:hint="eastAsia" w:ascii="宋体" w:hAnsi="宋体" w:eastAsia="宋体" w:cs="宋体"/>
          <w:color w:val="auto"/>
          <w:sz w:val="44"/>
          <w:szCs w:val="44"/>
          <w:highlight w:val="none"/>
          <w:shd w:val="clear" w:color="auto" w:fill="FFFFFF" w:themeFill="background1"/>
        </w:rPr>
      </w:pPr>
      <w:r>
        <w:rPr>
          <w:rFonts w:hint="eastAsia" w:ascii="宋体" w:hAnsi="宋体" w:eastAsia="宋体" w:cs="宋体"/>
          <w:color w:val="auto"/>
          <w:sz w:val="44"/>
          <w:szCs w:val="44"/>
          <w:highlight w:val="none"/>
          <w:shd w:val="clear" w:color="auto" w:fill="FFFFFF" w:themeFill="background1"/>
        </w:rPr>
        <w:t xml:space="preserve">目 </w:t>
      </w:r>
      <w:r>
        <w:rPr>
          <w:rFonts w:hint="eastAsia" w:ascii="宋体" w:hAnsi="宋体" w:eastAsia="宋体" w:cs="宋体"/>
          <w:color w:val="auto"/>
          <w:sz w:val="44"/>
          <w:szCs w:val="44"/>
          <w:highlight w:val="none"/>
          <w:shd w:val="clear" w:color="auto" w:fill="FFFFFF" w:themeFill="background1"/>
          <w:lang w:val="en-US" w:eastAsia="zh-CN"/>
        </w:rPr>
        <w:t xml:space="preserve">  </w:t>
      </w:r>
      <w:r>
        <w:rPr>
          <w:rFonts w:hint="eastAsia" w:ascii="宋体" w:hAnsi="宋体" w:eastAsia="宋体" w:cs="宋体"/>
          <w:color w:val="auto"/>
          <w:sz w:val="44"/>
          <w:szCs w:val="44"/>
          <w:highlight w:val="none"/>
          <w:shd w:val="clear" w:color="auto" w:fill="FFFFFF" w:themeFill="background1"/>
        </w:rPr>
        <w:t>录</w:t>
      </w:r>
    </w:p>
    <w:p>
      <w:pPr>
        <w:shd w:val="clear" w:color="auto" w:fill="FFFFFF"/>
        <w:autoSpaceDE w:val="0"/>
        <w:autoSpaceDN w:val="0"/>
        <w:spacing w:line="360" w:lineRule="auto"/>
        <w:ind w:right="600" w:firstLine="200"/>
        <w:rPr>
          <w:rFonts w:hint="eastAsia" w:ascii="宋体" w:hAnsi="宋体" w:eastAsia="宋体" w:cs="宋体"/>
          <w:color w:val="auto"/>
          <w:sz w:val="24"/>
          <w:highlight w:val="none"/>
          <w:shd w:val="clear" w:color="auto" w:fill="FFFFFF" w:themeFill="background1"/>
        </w:rPr>
      </w:pP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一、</w:t>
      </w:r>
      <w:r>
        <w:rPr>
          <w:rFonts w:hint="eastAsia" w:ascii="宋体" w:hAnsi="宋体" w:eastAsia="宋体" w:cs="宋体"/>
          <w:color w:val="auto"/>
          <w:sz w:val="24"/>
          <w:highlight w:val="none"/>
          <w:shd w:val="clear" w:color="auto" w:fill="FFFFFF" w:themeFill="background1"/>
          <w:lang w:eastAsia="zh-CN"/>
        </w:rPr>
        <w:t>磋商函</w:t>
      </w:r>
      <w:r>
        <w:rPr>
          <w:rFonts w:hint="eastAsia" w:ascii="宋体" w:hAnsi="宋体" w:eastAsia="宋体" w:cs="宋体"/>
          <w:color w:val="auto"/>
          <w:sz w:val="24"/>
          <w:highlight w:val="none"/>
          <w:shd w:val="clear" w:color="auto" w:fill="FFFFFF" w:themeFill="background1"/>
        </w:rPr>
        <w:t>、竞争性磋商报价表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二、法定代表人身份证明及授权委托书</w:t>
      </w:r>
      <w:r>
        <w:rPr>
          <w:rFonts w:hint="eastAsia" w:ascii="宋体" w:hAnsi="宋体" w:eastAsia="宋体" w:cs="宋体"/>
          <w:color w:val="auto"/>
          <w:sz w:val="24"/>
          <w:highlight w:val="none"/>
          <w:shd w:val="clear" w:color="auto" w:fill="FFFFFF" w:themeFill="background1"/>
        </w:rPr>
        <w:tab/>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三、报价一览表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四、技术偏离表</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五、供货方案</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六、售后服务计划</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七、政府采购政策</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八、资格审查资料</w:t>
      </w:r>
    </w:p>
    <w:p>
      <w:pPr>
        <w:spacing w:line="360" w:lineRule="auto"/>
        <w:ind w:firstLine="480" w:firstLineChars="200"/>
        <w:contextualSpacing/>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九、其他材料</w:t>
      </w:r>
    </w:p>
    <w:p>
      <w:pPr>
        <w:shd w:val="clear" w:color="auto" w:fill="FFFFFF"/>
        <w:autoSpaceDE w:val="0"/>
        <w:autoSpaceDN w:val="0"/>
        <w:spacing w:line="360" w:lineRule="auto"/>
        <w:ind w:right="600" w:firstLine="200"/>
        <w:rPr>
          <w:rFonts w:hint="eastAsia" w:ascii="宋体" w:hAnsi="宋体" w:eastAsia="宋体" w:cs="宋体"/>
          <w:bCs/>
          <w:color w:val="auto"/>
          <w:sz w:val="24"/>
          <w:highlight w:val="none"/>
          <w:shd w:val="clear" w:color="auto" w:fill="FFFFFF" w:themeFill="background1"/>
        </w:rPr>
      </w:pPr>
    </w:p>
    <w:p>
      <w:pPr>
        <w:shd w:val="clear" w:color="auto" w:fill="FFFFFF"/>
        <w:autoSpaceDE w:val="0"/>
        <w:autoSpaceDN w:val="0"/>
        <w:spacing w:line="360" w:lineRule="auto"/>
        <w:ind w:right="600" w:firstLine="200"/>
        <w:rPr>
          <w:rFonts w:hint="eastAsia" w:ascii="宋体" w:hAnsi="宋体" w:eastAsia="宋体" w:cs="宋体"/>
          <w:bCs/>
          <w:color w:val="auto"/>
          <w:sz w:val="24"/>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ind w:firstLine="200"/>
        <w:rPr>
          <w:rFonts w:hint="eastAsia" w:ascii="宋体" w:hAnsi="宋体" w:eastAsia="宋体" w:cs="宋体"/>
          <w:color w:val="auto"/>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bookmarkStart w:id="132" w:name="_Toc479176291"/>
      <w:bookmarkStart w:id="133" w:name="_Toc8739155"/>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sectPr>
          <w:footerReference r:id="rId5" w:type="default"/>
          <w:pgSz w:w="11906" w:h="16839"/>
          <w:pgMar w:top="1431" w:right="1418" w:bottom="1102" w:left="1433" w:header="0" w:footer="936" w:gutter="0"/>
          <w:pgNumType w:fmt="decimal"/>
          <w:cols w:space="720" w:num="1"/>
        </w:sectPr>
      </w:pPr>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32"/>
          <w:szCs w:val="32"/>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lang w:eastAsia="zh-CN"/>
        </w:rPr>
      </w:pPr>
      <w:bookmarkStart w:id="134" w:name="_Toc121835981"/>
      <w:r>
        <w:rPr>
          <w:rFonts w:hint="eastAsia" w:ascii="宋体" w:hAnsi="宋体" w:eastAsia="宋体" w:cs="宋体"/>
          <w:b/>
          <w:bCs/>
          <w:color w:val="auto"/>
          <w:kern w:val="10"/>
          <w:sz w:val="28"/>
          <w:szCs w:val="28"/>
          <w:highlight w:val="none"/>
          <w:shd w:val="clear" w:color="auto" w:fill="FFFFFF" w:themeFill="background1"/>
        </w:rPr>
        <w:t>一、</w:t>
      </w:r>
      <w:bookmarkEnd w:id="132"/>
      <w:bookmarkEnd w:id="133"/>
      <w:bookmarkEnd w:id="134"/>
      <w:r>
        <w:rPr>
          <w:rFonts w:hint="eastAsia" w:ascii="宋体" w:hAnsi="宋体" w:eastAsia="宋体" w:cs="宋体"/>
          <w:b/>
          <w:bCs/>
          <w:color w:val="auto"/>
          <w:kern w:val="10"/>
          <w:sz w:val="28"/>
          <w:szCs w:val="28"/>
          <w:highlight w:val="none"/>
          <w:shd w:val="clear" w:color="auto" w:fill="FFFFFF" w:themeFill="background1"/>
          <w:lang w:eastAsia="zh-CN"/>
        </w:rPr>
        <w:t>磋商函</w:t>
      </w: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（采购单位名称）：</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1、根据贵方为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w:t>
      </w:r>
      <w:r>
        <w:rPr>
          <w:rFonts w:hint="eastAsia" w:ascii="宋体" w:hAnsi="宋体" w:eastAsia="宋体" w:cs="宋体"/>
          <w:color w:val="auto"/>
          <w:kern w:val="10"/>
          <w:sz w:val="24"/>
          <w:highlight w:val="none"/>
          <w:shd w:val="clear" w:color="auto" w:fill="FFFFFF" w:themeFill="background1"/>
          <w:lang w:val="en-US" w:eastAsia="zh-CN"/>
        </w:rPr>
        <w:t>项目名称</w:t>
      </w:r>
      <w:r>
        <w:rPr>
          <w:rFonts w:hint="eastAsia" w:ascii="宋体" w:hAnsi="宋体" w:eastAsia="宋体" w:cs="宋体"/>
          <w:color w:val="auto"/>
          <w:kern w:val="10"/>
          <w:sz w:val="24"/>
          <w:highlight w:val="none"/>
          <w:shd w:val="clear" w:color="auto" w:fill="FFFFFF" w:themeFill="background1"/>
          <w:lang w:eastAsia="zh-CN"/>
        </w:rPr>
        <w:t>）</w:t>
      </w:r>
      <w:r>
        <w:rPr>
          <w:rFonts w:hint="eastAsia" w:ascii="宋体" w:hAnsi="宋体" w:eastAsia="宋体" w:cs="宋体"/>
          <w:color w:val="auto"/>
          <w:kern w:val="10"/>
          <w:sz w:val="24"/>
          <w:highlight w:val="none"/>
          <w:shd w:val="clear" w:color="auto" w:fill="FFFFFF" w:themeFill="background1"/>
        </w:rPr>
        <w:t xml:space="preserve">的磋商公告（项目编号： </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），遵照《中华人民共和国政府采购法》等有关法律、法规的规定，经认真研究磋商文件后，我方愿意以人民币（大写）</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（小写）</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的</w:t>
      </w:r>
      <w:r>
        <w:rPr>
          <w:rFonts w:hint="eastAsia" w:ascii="宋体" w:hAnsi="宋体" w:eastAsia="宋体" w:cs="宋体"/>
          <w:color w:val="auto"/>
          <w:kern w:val="10"/>
          <w:sz w:val="24"/>
          <w:highlight w:val="none"/>
          <w:shd w:val="clear" w:color="auto" w:fill="FFFFFF" w:themeFill="background1"/>
          <w:lang w:val="en-US" w:eastAsia="zh-CN"/>
        </w:rPr>
        <w:t>磋商</w:t>
      </w:r>
      <w:r>
        <w:rPr>
          <w:rFonts w:hint="eastAsia" w:ascii="宋体" w:hAnsi="宋体" w:eastAsia="宋体" w:cs="宋体"/>
          <w:color w:val="auto"/>
          <w:kern w:val="10"/>
          <w:sz w:val="24"/>
          <w:highlight w:val="none"/>
          <w:shd w:val="clear" w:color="auto" w:fill="FFFFFF" w:themeFill="background1"/>
        </w:rPr>
        <w:t>报价</w:t>
      </w:r>
      <w:r>
        <w:rPr>
          <w:rFonts w:hint="eastAsia" w:ascii="宋体" w:hAnsi="宋体" w:eastAsia="宋体" w:cs="宋体"/>
          <w:color w:val="auto"/>
          <w:sz w:val="24"/>
          <w:highlight w:val="none"/>
          <w:shd w:val="clear" w:color="auto" w:fill="FFFFFF" w:themeFill="background1"/>
        </w:rPr>
        <w:t>按合同约定实施和完成</w:t>
      </w:r>
      <w:r>
        <w:rPr>
          <w:rFonts w:hint="eastAsia" w:ascii="宋体" w:hAnsi="宋体" w:eastAsia="宋体" w:cs="宋体"/>
          <w:color w:val="auto"/>
          <w:sz w:val="24"/>
          <w:highlight w:val="none"/>
          <w:shd w:val="clear" w:color="auto" w:fill="FFFFFF" w:themeFill="background1"/>
          <w:lang w:val="en-US" w:eastAsia="zh-CN"/>
        </w:rPr>
        <w:t>采购</w:t>
      </w:r>
      <w:r>
        <w:rPr>
          <w:rFonts w:hint="eastAsia" w:ascii="宋体" w:hAnsi="宋体" w:eastAsia="宋体" w:cs="宋体"/>
          <w:color w:val="auto"/>
          <w:sz w:val="24"/>
          <w:highlight w:val="none"/>
          <w:shd w:val="clear" w:color="auto" w:fill="FFFFFF" w:themeFill="background1"/>
        </w:rPr>
        <w:t>项目，交货期及安装期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，质量要求</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2、如果我们的响应性文件被接受，我们将履行磋商文件中规定的每一项要求，按期、按质、按量履行合同。</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3、我方愿按《中华人民共和国合同法》履行我方的全部责任。</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4、我方已详细研究全部磋商文件，包括修改文件以及全部参考资料和有关附件。我们完全理解并同意放弃对这方面有不明及误解的权力。</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5、本项目磋商有效期为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6、我方同意提供按照贵方可能要求的与磋商有关的一切数据或资料。</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7、我单位声明参加本次政府采购活动前3年内在经营活动中没有重大违法记录（重大违法记录，是指</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因违法经营受到刑事处罚或者责令停产停业、吊销许可证或者执照、较大数额罚款等行政处罚）。</w:t>
      </w:r>
    </w:p>
    <w:p>
      <w:pPr>
        <w:spacing w:line="360" w:lineRule="auto"/>
        <w:ind w:firstLine="480" w:firstLineChars="200"/>
        <w:rPr>
          <w:rFonts w:hint="eastAsia" w:ascii="宋体" w:hAnsi="宋体" w:eastAsia="宋体" w:cs="宋体"/>
          <w:b/>
          <w:bCs/>
          <w:color w:val="auto"/>
          <w:kern w:val="10"/>
          <w:sz w:val="24"/>
          <w:highlight w:val="none"/>
          <w:shd w:val="clear" w:color="auto" w:fill="FFFFFF" w:themeFill="background1"/>
        </w:rPr>
      </w:pPr>
      <w:r>
        <w:rPr>
          <w:rFonts w:hint="eastAsia" w:ascii="宋体" w:hAnsi="宋体" w:eastAsia="宋体" w:cs="宋体"/>
          <w:b/>
          <w:bCs/>
          <w:color w:val="auto"/>
          <w:kern w:val="10"/>
          <w:sz w:val="24"/>
          <w:highlight w:val="none"/>
          <w:shd w:val="clear" w:color="auto" w:fill="FFFFFF" w:themeFill="background1"/>
        </w:rPr>
        <w:t>8、我方保证响应性文件中的所有资料均为真实、有效的，如有虚假，我方承诺响应性文件无效并愿承担一切责任</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ind w:firstLine="720" w:firstLineChars="300"/>
        <w:rPr>
          <w:rFonts w:hint="eastAsia" w:ascii="宋体" w:hAnsi="宋体" w:eastAsia="宋体" w:cs="宋体"/>
          <w:color w:val="auto"/>
          <w:sz w:val="24"/>
          <w:highlight w:val="none"/>
          <w:shd w:val="clear" w:color="auto" w:fill="FFFFFF" w:themeFill="background1"/>
        </w:rPr>
      </w:pPr>
    </w:p>
    <w:p>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（电子签章）</w:t>
      </w:r>
    </w:p>
    <w:p>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电话：</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adjustRightInd w:val="0"/>
        <w:spacing w:line="360" w:lineRule="auto"/>
        <w:jc w:val="left"/>
        <w:textAlignment w:val="baseline"/>
        <w:rPr>
          <w:rFonts w:hint="eastAsia" w:ascii="宋体" w:hAnsi="宋体" w:eastAsia="宋体" w:cs="宋体"/>
          <w:color w:val="auto"/>
          <w:kern w:val="0"/>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spacing w:line="360" w:lineRule="auto"/>
        <w:rPr>
          <w:rFonts w:hint="eastAsia" w:ascii="宋体" w:hAnsi="宋体" w:eastAsia="宋体" w:cs="宋体"/>
          <w:color w:val="auto"/>
          <w:sz w:val="24"/>
          <w:highlight w:val="none"/>
          <w:u w:val="single"/>
          <w:shd w:val="clear" w:color="auto" w:fill="FFFFFF" w:themeFill="background1"/>
        </w:rPr>
      </w:pPr>
    </w:p>
    <w:p>
      <w:pPr>
        <w:spacing w:line="360" w:lineRule="auto"/>
        <w:rPr>
          <w:rFonts w:hint="eastAsia" w:ascii="宋体" w:hAnsi="宋体" w:eastAsia="宋体" w:cs="宋体"/>
          <w:color w:val="auto"/>
          <w:sz w:val="24"/>
          <w:highlight w:val="none"/>
          <w:u w:val="single"/>
          <w:shd w:val="clear" w:color="auto" w:fill="FFFFFF" w:themeFill="background1"/>
        </w:rPr>
      </w:pPr>
    </w:p>
    <w:p>
      <w:pPr>
        <w:spacing w:line="360" w:lineRule="auto"/>
        <w:rPr>
          <w:rFonts w:hint="eastAsia" w:ascii="宋体" w:hAnsi="宋体" w:eastAsia="宋体" w:cs="宋体"/>
          <w:color w:val="auto"/>
          <w:sz w:val="24"/>
          <w:highlight w:val="none"/>
          <w:u w:val="single"/>
          <w:shd w:val="clear" w:color="auto" w:fill="FFFFFF" w:themeFill="background1"/>
        </w:rPr>
      </w:pPr>
    </w:p>
    <w:p>
      <w:pPr>
        <w:spacing w:line="360" w:lineRule="auto"/>
        <w:jc w:val="center"/>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rPr>
          <w:rFonts w:hint="eastAsia" w:ascii="宋体" w:hAnsi="宋体" w:eastAsia="宋体" w:cs="宋体"/>
          <w:b/>
          <w:bCs/>
          <w:color w:val="auto"/>
          <w:kern w:val="0"/>
          <w:sz w:val="28"/>
          <w:szCs w:val="28"/>
          <w:highlight w:val="none"/>
          <w:shd w:val="clear" w:color="auto" w:fill="FFFFFF" w:themeFill="background1"/>
        </w:rPr>
      </w:pPr>
      <w:r>
        <w:rPr>
          <w:rFonts w:hint="eastAsia" w:ascii="宋体" w:hAnsi="宋体" w:eastAsia="宋体" w:cs="宋体"/>
          <w:b/>
          <w:bCs/>
          <w:color w:val="auto"/>
          <w:kern w:val="0"/>
          <w:sz w:val="28"/>
          <w:szCs w:val="28"/>
          <w:highlight w:val="none"/>
          <w:shd w:val="clear" w:color="auto" w:fill="FFFFFF" w:themeFill="background1"/>
        </w:rPr>
        <w:t>竞争性谈磋商报价表（第一轮）</w:t>
      </w:r>
    </w:p>
    <w:p>
      <w:pPr>
        <w:spacing w:line="360" w:lineRule="auto"/>
        <w:jc w:val="center"/>
        <w:rPr>
          <w:rFonts w:hint="eastAsia" w:ascii="宋体" w:hAnsi="宋体" w:eastAsia="宋体" w:cs="宋体"/>
          <w:b/>
          <w:bCs/>
          <w:color w:val="auto"/>
          <w:kern w:val="0"/>
          <w:sz w:val="28"/>
          <w:szCs w:val="28"/>
          <w:highlight w:val="none"/>
          <w:shd w:val="clear" w:color="auto" w:fill="FFFFFF" w:themeFill="background1"/>
        </w:rPr>
      </w:pPr>
    </w:p>
    <w:tbl>
      <w:tblPr>
        <w:tblStyle w:val="15"/>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6240"/>
      </w:tblGrid>
      <w:tr>
        <w:trPr>
          <w:trHeight w:val="935"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lang w:val="en-US" w:eastAsia="zh-CN"/>
              </w:rPr>
            </w:pPr>
            <w:r>
              <w:rPr>
                <w:rFonts w:hint="eastAsia" w:ascii="宋体" w:hAnsi="宋体" w:eastAsia="宋体" w:cs="宋体"/>
                <w:color w:val="auto"/>
                <w:sz w:val="24"/>
                <w:highlight w:val="none"/>
                <w:shd w:val="clear" w:color="auto" w:fill="FFFFFF" w:themeFill="background1"/>
              </w:rPr>
              <w:t>项目名称</w:t>
            </w:r>
          </w:p>
        </w:tc>
        <w:tc>
          <w:tcPr>
            <w:tcW w:w="6240" w:type="dxa"/>
          </w:tcPr>
          <w:p>
            <w:pPr>
              <w:spacing w:line="360" w:lineRule="auto"/>
              <w:rPr>
                <w:rFonts w:hint="eastAsia" w:ascii="宋体" w:hAnsi="宋体" w:eastAsia="宋体" w:cs="宋体"/>
                <w:color w:val="auto"/>
                <w:sz w:val="24"/>
                <w:highlight w:val="none"/>
                <w:shd w:val="clear" w:color="auto" w:fill="FFFFFF" w:themeFill="background1"/>
              </w:rPr>
            </w:pPr>
          </w:p>
        </w:tc>
      </w:tr>
      <w:tr>
        <w:trPr>
          <w:trHeight w:val="1111"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w:t>
            </w:r>
          </w:p>
        </w:tc>
        <w:tc>
          <w:tcPr>
            <w:tcW w:w="6240" w:type="dxa"/>
          </w:tcPr>
          <w:p>
            <w:pPr>
              <w:spacing w:line="360" w:lineRule="auto"/>
              <w:rPr>
                <w:rFonts w:hint="eastAsia" w:ascii="宋体" w:hAnsi="宋体" w:eastAsia="宋体" w:cs="宋体"/>
                <w:color w:val="auto"/>
                <w:sz w:val="24"/>
                <w:highlight w:val="none"/>
                <w:shd w:val="clear" w:color="auto" w:fill="FFFFFF" w:themeFill="background1"/>
              </w:rPr>
            </w:pPr>
          </w:p>
        </w:tc>
      </w:tr>
      <w:tr>
        <w:trPr>
          <w:trHeight w:val="1550"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报价</w:t>
            </w:r>
          </w:p>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（第一轮）</w:t>
            </w:r>
          </w:p>
        </w:tc>
        <w:tc>
          <w:tcPr>
            <w:tcW w:w="6240" w:type="dxa"/>
            <w:vAlign w:val="center"/>
          </w:tcPr>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小写：</w:t>
            </w: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大写：</w:t>
            </w:r>
          </w:p>
        </w:tc>
      </w:tr>
      <w:tr>
        <w:trPr>
          <w:trHeight w:val="973"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交货期及安装期</w:t>
            </w:r>
          </w:p>
        </w:tc>
        <w:tc>
          <w:tcPr>
            <w:tcW w:w="6240" w:type="dxa"/>
          </w:tcPr>
          <w:p>
            <w:pPr>
              <w:spacing w:line="360" w:lineRule="auto"/>
              <w:rPr>
                <w:rFonts w:hint="eastAsia" w:ascii="宋体" w:hAnsi="宋体" w:eastAsia="宋体" w:cs="宋体"/>
                <w:color w:val="auto"/>
                <w:sz w:val="24"/>
                <w:highlight w:val="none"/>
                <w:shd w:val="clear" w:color="auto" w:fill="FFFFFF" w:themeFill="background1"/>
              </w:rPr>
            </w:pPr>
          </w:p>
        </w:tc>
      </w:tr>
      <w:tr>
        <w:trPr>
          <w:trHeight w:val="986"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质量要求</w:t>
            </w:r>
          </w:p>
        </w:tc>
        <w:tc>
          <w:tcPr>
            <w:tcW w:w="6240" w:type="dxa"/>
          </w:tcPr>
          <w:p>
            <w:pPr>
              <w:spacing w:line="360" w:lineRule="auto"/>
              <w:rPr>
                <w:rFonts w:hint="eastAsia" w:ascii="宋体" w:hAnsi="宋体" w:eastAsia="宋体" w:cs="宋体"/>
                <w:color w:val="auto"/>
                <w:sz w:val="24"/>
                <w:highlight w:val="none"/>
                <w:shd w:val="clear" w:color="auto" w:fill="FFFFFF" w:themeFill="background1"/>
              </w:rPr>
            </w:pPr>
          </w:p>
        </w:tc>
      </w:tr>
      <w:tr>
        <w:trPr>
          <w:trHeight w:val="1114" w:hRule="atLeast"/>
        </w:trPr>
        <w:tc>
          <w:tcPr>
            <w:tcW w:w="2138" w:type="dxa"/>
            <w:vAlign w:val="center"/>
          </w:tcPr>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备注</w:t>
            </w:r>
          </w:p>
        </w:tc>
        <w:tc>
          <w:tcPr>
            <w:tcW w:w="6240" w:type="dxa"/>
          </w:tcPr>
          <w:p>
            <w:pPr>
              <w:spacing w:line="360" w:lineRule="auto"/>
              <w:rPr>
                <w:rFonts w:hint="eastAsia" w:ascii="宋体" w:hAnsi="宋体" w:eastAsia="宋体" w:cs="宋体"/>
                <w:color w:val="auto"/>
                <w:sz w:val="24"/>
                <w:highlight w:val="none"/>
                <w:shd w:val="clear" w:color="auto" w:fill="FFFFFF" w:themeFill="background1"/>
              </w:rPr>
            </w:pPr>
          </w:p>
        </w:tc>
      </w:tr>
    </w:tbl>
    <w:p>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p>
    <w:p>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lang w:eastAsia="zh-CN"/>
        </w:rPr>
        <w:t>供应商</w:t>
      </w:r>
      <w:r>
        <w:rPr>
          <w:rFonts w:hint="eastAsia" w:ascii="宋体" w:hAnsi="宋体" w:eastAsia="宋体" w:cs="宋体"/>
          <w:color w:val="auto"/>
          <w:kern w:val="0"/>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pPr>
        <w:autoSpaceDE w:val="0"/>
        <w:autoSpaceDN w:val="0"/>
        <w:adjustRightInd w:val="0"/>
        <w:spacing w:line="360" w:lineRule="auto"/>
        <w:ind w:right="315"/>
        <w:jc w:val="center"/>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 xml:space="preserve">                                    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kern w:val="0"/>
          <w:sz w:val="24"/>
          <w:highlight w:val="none"/>
          <w:shd w:val="clear" w:color="auto" w:fill="FFFFFF" w:themeFill="background1"/>
        </w:rPr>
        <w:t>（电子签章）</w:t>
      </w:r>
    </w:p>
    <w:p>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u w:val="singl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地址：</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adjustRightInd w:val="0"/>
        <w:spacing w:line="360" w:lineRule="auto"/>
        <w:ind w:firstLine="4800" w:firstLineChars="2000"/>
        <w:jc w:val="left"/>
        <w:textAlignment w:val="baseline"/>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电话：</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adjustRightInd w:val="0"/>
        <w:spacing w:line="360" w:lineRule="auto"/>
        <w:jc w:val="left"/>
        <w:textAlignment w:val="baseline"/>
        <w:rPr>
          <w:rFonts w:hint="eastAsia" w:ascii="宋体" w:hAnsi="宋体" w:eastAsia="宋体" w:cs="宋体"/>
          <w:color w:val="auto"/>
          <w:kern w:val="0"/>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bookmarkStart w:id="135" w:name="_Toc1049891"/>
      <w:bookmarkStart w:id="136" w:name="_Toc8739156"/>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sz w:val="24"/>
          <w:highlight w:val="none"/>
          <w:shd w:val="clear" w:color="auto" w:fill="FFFFFF" w:themeFill="background1"/>
        </w:rPr>
      </w:pPr>
    </w:p>
    <w:p>
      <w:pPr>
        <w:spacing w:line="360" w:lineRule="auto"/>
        <w:jc w:val="center"/>
        <w:rPr>
          <w:rFonts w:hint="eastAsia" w:ascii="宋体" w:hAnsi="宋体" w:eastAsia="宋体" w:cs="宋体"/>
          <w:color w:val="auto"/>
          <w:kern w:val="0"/>
          <w:sz w:val="24"/>
          <w:highlight w:val="none"/>
          <w:shd w:val="clear" w:color="auto" w:fill="FFFFFF" w:themeFill="background1"/>
        </w:rPr>
      </w:pPr>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37" w:name="_Toc121835982"/>
      <w:r>
        <w:rPr>
          <w:rFonts w:hint="eastAsia" w:ascii="宋体" w:hAnsi="宋体" w:eastAsia="宋体" w:cs="宋体"/>
          <w:b/>
          <w:bCs/>
          <w:color w:val="auto"/>
          <w:sz w:val="32"/>
          <w:szCs w:val="32"/>
          <w:highlight w:val="none"/>
          <w:shd w:val="clear" w:color="auto" w:fill="FFFFFF" w:themeFill="background1"/>
        </w:rPr>
        <w:t>二、法定代表人身份证明及授权委托书</w:t>
      </w:r>
      <w:bookmarkEnd w:id="135"/>
      <w:bookmarkEnd w:id="136"/>
      <w:bookmarkEnd w:id="137"/>
      <w:bookmarkStart w:id="138" w:name="_Toc387671317"/>
      <w:bookmarkStart w:id="139" w:name="_Toc387671679"/>
      <w:bookmarkStart w:id="140" w:name="_Toc234382962"/>
      <w:bookmarkStart w:id="141" w:name="_Toc387669603"/>
    </w:p>
    <w:p>
      <w:pPr>
        <w:spacing w:line="360" w:lineRule="auto"/>
        <w:rPr>
          <w:rFonts w:hint="eastAsia" w:ascii="宋体" w:hAnsi="宋体" w:eastAsia="宋体" w:cs="宋体"/>
          <w:b/>
          <w:color w:val="auto"/>
          <w:sz w:val="24"/>
          <w:highlight w:val="none"/>
          <w:shd w:val="clear" w:color="auto" w:fill="FFFFFF" w:themeFill="background1"/>
        </w:rPr>
      </w:pPr>
    </w:p>
    <w:p>
      <w:pPr>
        <w:spacing w:line="360" w:lineRule="auto"/>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 xml:space="preserve">                            （一）法定代表人身份证明</w:t>
      </w:r>
      <w:bookmarkEnd w:id="138"/>
      <w:bookmarkEnd w:id="139"/>
      <w:bookmarkEnd w:id="140"/>
      <w:bookmarkEnd w:id="141"/>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w:t>
      </w:r>
      <w:r>
        <w:rPr>
          <w:rFonts w:hint="eastAsia" w:ascii="宋体" w:hAnsi="宋体" w:eastAsia="宋体" w:cs="宋体"/>
          <w:color w:val="auto"/>
          <w:sz w:val="24"/>
          <w:highlight w:val="none"/>
          <w:u w:val="single"/>
          <w:shd w:val="clear" w:color="auto" w:fill="FFFFFF" w:themeFill="background1"/>
        </w:rPr>
        <w:t xml:space="preserve">            </w:t>
      </w:r>
    </w:p>
    <w:p>
      <w:pPr>
        <w:spacing w:line="360" w:lineRule="auto"/>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pacing w:val="60"/>
          <w:kern w:val="0"/>
          <w:sz w:val="24"/>
          <w:highlight w:val="none"/>
          <w:shd w:val="clear" w:color="auto" w:fill="FFFFFF" w:themeFill="background1"/>
        </w:rPr>
        <w:t>单位性</w:t>
      </w:r>
      <w:r>
        <w:rPr>
          <w:rFonts w:hint="eastAsia" w:ascii="宋体" w:hAnsi="宋体" w:eastAsia="宋体" w:cs="宋体"/>
          <w:color w:val="auto"/>
          <w:kern w:val="0"/>
          <w:sz w:val="24"/>
          <w:highlight w:val="none"/>
          <w:shd w:val="clear" w:color="auto" w:fill="FFFFFF" w:themeFill="background1"/>
        </w:rPr>
        <w:t>质</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pacing w:val="390"/>
          <w:kern w:val="0"/>
          <w:sz w:val="24"/>
          <w:highlight w:val="none"/>
          <w:shd w:val="clear" w:color="auto" w:fill="FFFFFF" w:themeFill="background1"/>
        </w:rPr>
        <w:t>地</w:t>
      </w:r>
      <w:r>
        <w:rPr>
          <w:rFonts w:hint="eastAsia" w:ascii="宋体" w:hAnsi="宋体" w:eastAsia="宋体" w:cs="宋体"/>
          <w:color w:val="auto"/>
          <w:kern w:val="0"/>
          <w:sz w:val="24"/>
          <w:highlight w:val="none"/>
          <w:shd w:val="clear" w:color="auto" w:fill="FFFFFF" w:themeFill="background1"/>
        </w:rPr>
        <w:t>址</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成立时间：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经营期限：</w:t>
      </w:r>
      <w:r>
        <w:rPr>
          <w:rFonts w:hint="eastAsia" w:ascii="宋体" w:hAnsi="宋体" w:eastAsia="宋体" w:cs="宋体"/>
          <w:color w:val="auto"/>
          <w:sz w:val="24"/>
          <w:highlight w:val="none"/>
          <w:u w:val="single"/>
          <w:shd w:val="clear" w:color="auto" w:fill="FFFFFF" w:themeFill="background1"/>
        </w:rPr>
        <w:t xml:space="preserve">            </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姓名：</w:t>
      </w:r>
      <w:r>
        <w:rPr>
          <w:rFonts w:hint="eastAsia" w:ascii="宋体" w:hAnsi="宋体" w:eastAsia="宋体" w:cs="宋体"/>
          <w:color w:val="auto"/>
          <w:sz w:val="24"/>
          <w:highlight w:val="none"/>
          <w:u w:val="singl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法定代表人）</w:t>
      </w:r>
      <w:r>
        <w:rPr>
          <w:rFonts w:hint="eastAsia" w:ascii="宋体" w:hAnsi="宋体" w:eastAsia="宋体" w:cs="宋体"/>
          <w:color w:val="auto"/>
          <w:sz w:val="24"/>
          <w:highlight w:val="none"/>
          <w:shd w:val="clear" w:color="auto" w:fill="FFFFFF" w:themeFill="background1"/>
        </w:rPr>
        <w:t>性别：</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年龄：</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职务：</w:t>
      </w:r>
      <w:r>
        <w:rPr>
          <w:rFonts w:hint="eastAsia" w:ascii="宋体" w:hAnsi="宋体" w:eastAsia="宋体" w:cs="宋体"/>
          <w:color w:val="auto"/>
          <w:sz w:val="24"/>
          <w:highlight w:val="none"/>
          <w:u w:val="single"/>
          <w:shd w:val="clear" w:color="auto" w:fill="FFFFFF" w:themeFill="background1"/>
        </w:rPr>
        <w:t xml:space="preserve">            </w:t>
      </w: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系</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名称）的法定代表人。</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特此证明。</w:t>
      </w:r>
    </w:p>
    <w:p>
      <w:pPr>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附：法定代表人身份证复印件或扫描件</w:t>
      </w: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jc w:val="right"/>
        <w:rPr>
          <w:rFonts w:hint="eastAsia" w:ascii="宋体" w:hAnsi="宋体" w:eastAsia="宋体" w:cs="宋体"/>
          <w:color w:val="auto"/>
          <w:sz w:val="24"/>
          <w:highlight w:val="none"/>
          <w:shd w:val="clear" w:color="auto" w:fill="FFFFFF" w:themeFill="background1"/>
        </w:rPr>
      </w:pPr>
    </w:p>
    <w:p>
      <w:pPr>
        <w:spacing w:line="360" w:lineRule="auto"/>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（电子签章）</w:t>
      </w: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ind w:firstLine="3604" w:firstLineChars="1500"/>
        <w:rPr>
          <w:rFonts w:hint="eastAsia" w:ascii="宋体" w:hAnsi="宋体" w:eastAsia="宋体" w:cs="宋体"/>
          <w:b/>
          <w:bCs/>
          <w:color w:val="auto"/>
          <w:kern w:val="44"/>
          <w:sz w:val="24"/>
          <w:highlight w:val="none"/>
          <w:shd w:val="clear" w:color="auto" w:fill="FFFFFF" w:themeFill="background1"/>
        </w:rPr>
      </w:pPr>
    </w:p>
    <w:p>
      <w:pPr>
        <w:spacing w:line="360" w:lineRule="auto"/>
        <w:ind w:firstLine="3604" w:firstLineChars="1500"/>
        <w:rPr>
          <w:rFonts w:hint="eastAsia" w:ascii="宋体" w:hAnsi="宋体" w:eastAsia="宋体" w:cs="宋体"/>
          <w:color w:val="auto"/>
          <w:szCs w:val="21"/>
          <w:highlight w:val="none"/>
          <w:shd w:val="clear" w:color="auto" w:fill="FFFFFF" w:themeFill="background1"/>
        </w:rPr>
      </w:pPr>
      <w:r>
        <w:rPr>
          <w:rFonts w:hint="eastAsia" w:ascii="宋体" w:hAnsi="宋体" w:eastAsia="宋体" w:cs="宋体"/>
          <w:b/>
          <w:bCs/>
          <w:color w:val="auto"/>
          <w:kern w:val="44"/>
          <w:sz w:val="24"/>
          <w:highlight w:val="none"/>
          <w:shd w:val="clear" w:color="auto" w:fill="FFFFFF" w:themeFill="background1"/>
        </w:rPr>
        <w:t>（二）授权委托书</w:t>
      </w:r>
    </w:p>
    <w:p>
      <w:pPr>
        <w:spacing w:line="360" w:lineRule="auto"/>
        <w:rPr>
          <w:rFonts w:hint="eastAsia" w:ascii="宋体" w:hAnsi="宋体" w:eastAsia="宋体" w:cs="宋体"/>
          <w:color w:val="auto"/>
          <w:sz w:val="24"/>
          <w:highlight w:val="none"/>
          <w:shd w:val="clear" w:color="auto" w:fill="FFFFFF" w:themeFill="background1"/>
        </w:rPr>
      </w:pP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本人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（姓名）系</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（投标供应商名称）的法定代表人，现委托</w:t>
      </w:r>
      <w:r>
        <w:rPr>
          <w:rFonts w:hint="eastAsia" w:ascii="宋体" w:hAnsi="宋体" w:eastAsia="宋体" w:cs="宋体"/>
          <w:color w:val="auto"/>
          <w:sz w:val="24"/>
          <w:highlight w:val="none"/>
          <w:u w:val="single"/>
          <w:shd w:val="clear" w:color="auto" w:fill="FFFFFF" w:themeFill="background1"/>
        </w:rPr>
        <w:t xml:space="preserve">     （姓名）</w:t>
      </w:r>
      <w:r>
        <w:rPr>
          <w:rFonts w:hint="eastAsia" w:ascii="宋体" w:hAnsi="宋体" w:eastAsia="宋体" w:cs="宋体"/>
          <w:color w:val="auto"/>
          <w:sz w:val="24"/>
          <w:highlight w:val="none"/>
          <w:shd w:val="clear" w:color="auto" w:fill="FFFFFF" w:themeFill="background1"/>
        </w:rPr>
        <w:t>为我方代理人。代理人根据授权，以我方名义签署、澄清、说明、补正、递交、撤回、修改</w:t>
      </w:r>
      <w:r>
        <w:rPr>
          <w:rFonts w:hint="eastAsia" w:ascii="宋体" w:hAnsi="宋体" w:eastAsia="宋体" w:cs="宋体"/>
          <w:color w:val="auto"/>
          <w:sz w:val="24"/>
          <w:highlight w:val="none"/>
          <w:u w:val="single"/>
          <w:shd w:val="clear" w:color="auto" w:fill="FFFFFF" w:themeFill="background1"/>
        </w:rPr>
        <w:t xml:space="preserve">       （项目名称）     响应</w:t>
      </w:r>
      <w:r>
        <w:rPr>
          <w:rFonts w:hint="eastAsia" w:ascii="宋体" w:hAnsi="宋体" w:eastAsia="宋体" w:cs="宋体"/>
          <w:color w:val="auto"/>
          <w:sz w:val="24"/>
          <w:highlight w:val="none"/>
          <w:shd w:val="clear" w:color="auto" w:fill="FFFFFF" w:themeFill="background1"/>
        </w:rPr>
        <w:t>文件、签订合同和处理有关事宜，其法律后果由我方承担。</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委托期限：</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代理人无转委托权。</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供应商：</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（签章）</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（签章）</w:t>
      </w:r>
    </w:p>
    <w:p>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z w:val="24"/>
          <w:highlight w:val="none"/>
          <w:shd w:val="clear" w:color="auto" w:fill="FFFFFF" w:themeFill="background1"/>
        </w:rPr>
        <w:t>身份证号码：</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spacing w:line="360" w:lineRule="auto"/>
        <w:ind w:firstLine="480" w:firstLineChars="200"/>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color w:val="auto"/>
          <w:sz w:val="24"/>
          <w:highlight w:val="none"/>
          <w:shd w:val="clear" w:color="auto" w:fill="FFFFFF" w:themeFill="background1"/>
        </w:rPr>
        <w:t>委托人身份证号码：</w:t>
      </w:r>
      <w:r>
        <w:rPr>
          <w:rFonts w:hint="eastAsia" w:ascii="宋体" w:hAnsi="宋体" w:eastAsia="宋体" w:cs="宋体"/>
          <w:color w:val="auto"/>
          <w:sz w:val="24"/>
          <w:highlight w:val="none"/>
          <w:u w:val="single"/>
          <w:shd w:val="clear" w:color="auto" w:fill="FFFFFF" w:themeFill="background1"/>
        </w:rPr>
        <w:t xml:space="preserve">                                   </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p>
    <w:p>
      <w:pPr>
        <w:autoSpaceDE w:val="0"/>
        <w:autoSpaceDN w:val="0"/>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附：委托代理人有效身份证复印件（正反两面复印）</w:t>
      </w:r>
    </w:p>
    <w:p>
      <w:pPr>
        <w:autoSpaceDE w:val="0"/>
        <w:autoSpaceDN w:val="0"/>
        <w:spacing w:line="360" w:lineRule="auto"/>
        <w:rPr>
          <w:rFonts w:hint="eastAsia" w:ascii="宋体" w:hAnsi="宋体" w:eastAsia="宋体" w:cs="宋体"/>
          <w:b/>
          <w:bCs/>
          <w:color w:val="auto"/>
          <w:sz w:val="44"/>
          <w:szCs w:val="44"/>
          <w:highlight w:val="none"/>
          <w:shd w:val="clear" w:color="auto" w:fill="FFFFFF" w:themeFill="background1"/>
          <w:lang w:val="zh-CN"/>
        </w:rPr>
      </w:pPr>
      <w:r>
        <w:rPr>
          <w:rFonts w:hint="eastAsia" w:ascii="宋体" w:hAnsi="宋体" w:eastAsia="宋体" w:cs="宋体"/>
          <w:color w:val="auto"/>
          <w:sz w:val="24"/>
          <w:highlight w:val="none"/>
          <w:shd w:val="clear" w:color="auto" w:fill="FFFFFF" w:themeFill="background1"/>
        </w:rPr>
        <w:t xml:space="preserve">                                                </w:t>
      </w:r>
    </w:p>
    <w:p>
      <w:pPr>
        <w:autoSpaceDE w:val="0"/>
        <w:autoSpaceDN w:val="0"/>
        <w:spacing w:line="360" w:lineRule="auto"/>
        <w:rPr>
          <w:rFonts w:hint="eastAsia" w:ascii="宋体" w:hAnsi="宋体" w:eastAsia="宋体" w:cs="宋体"/>
          <w:b/>
          <w:bCs/>
          <w:color w:val="auto"/>
          <w:sz w:val="44"/>
          <w:szCs w:val="44"/>
          <w:highlight w:val="none"/>
          <w:shd w:val="clear" w:color="auto" w:fill="FFFFFF" w:themeFill="background1"/>
          <w:lang w:val="zh-CN"/>
        </w:rPr>
      </w:pPr>
    </w:p>
    <w:p>
      <w:pPr>
        <w:shd w:val="clear" w:color="auto" w:fill="FFFFFF"/>
        <w:tabs>
          <w:tab w:val="right" w:pos="6077"/>
        </w:tabs>
        <w:autoSpaceDE w:val="0"/>
        <w:autoSpaceDN w:val="0"/>
        <w:spacing w:line="360" w:lineRule="auto"/>
        <w:rPr>
          <w:rFonts w:hint="eastAsia" w:ascii="宋体" w:hAnsi="宋体" w:eastAsia="宋体" w:cs="宋体"/>
          <w:color w:val="auto"/>
          <w:sz w:val="28"/>
          <w:szCs w:val="28"/>
          <w:highlight w:val="none"/>
          <w:shd w:val="clear" w:color="auto" w:fill="FFFFFF" w:themeFill="background1"/>
        </w:rPr>
      </w:pPr>
    </w:p>
    <w:p>
      <w:pPr>
        <w:shd w:val="clear" w:color="auto" w:fill="FFFFFF"/>
        <w:tabs>
          <w:tab w:val="right" w:pos="6077"/>
        </w:tabs>
        <w:autoSpaceDE w:val="0"/>
        <w:autoSpaceDN w:val="0"/>
        <w:spacing w:line="360" w:lineRule="auto"/>
        <w:rPr>
          <w:rFonts w:hint="eastAsia" w:ascii="宋体" w:hAnsi="宋体" w:eastAsia="宋体" w:cs="宋体"/>
          <w:color w:val="auto"/>
          <w:sz w:val="28"/>
          <w:szCs w:val="28"/>
          <w:highlight w:val="none"/>
          <w:shd w:val="clear" w:color="auto" w:fill="FFFFFF" w:themeFill="background1"/>
        </w:rPr>
      </w:pPr>
    </w:p>
    <w:p>
      <w:pPr>
        <w:spacing w:line="360" w:lineRule="auto"/>
        <w:rPr>
          <w:rFonts w:hint="eastAsia" w:ascii="宋体" w:hAnsi="宋体" w:eastAsia="宋体" w:cs="宋体"/>
          <w:color w:val="auto"/>
          <w:sz w:val="28"/>
          <w:szCs w:val="28"/>
          <w:highlight w:val="none"/>
          <w:shd w:val="clear" w:color="auto" w:fill="FFFFFF" w:themeFill="background1"/>
        </w:rPr>
      </w:pPr>
      <w:bookmarkStart w:id="142" w:name="_Toc11013"/>
      <w:bookmarkStart w:id="143" w:name="_Toc27965"/>
      <w:bookmarkStart w:id="144" w:name="_Toc23983"/>
      <w:bookmarkStart w:id="145" w:name="_Toc14627"/>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bookmarkEnd w:id="142"/>
    <w:bookmarkEnd w:id="143"/>
    <w:bookmarkEnd w:id="144"/>
    <w:bookmarkEnd w:id="145"/>
    <w:p>
      <w:pPr>
        <w:shd w:val="clear" w:color="auto" w:fill="FFFFFF"/>
        <w:tabs>
          <w:tab w:val="right" w:pos="6077"/>
        </w:tabs>
        <w:autoSpaceDE w:val="0"/>
        <w:autoSpaceDN w:val="0"/>
        <w:spacing w:line="560" w:lineRule="exact"/>
        <w:outlineLvl w:val="1"/>
        <w:rPr>
          <w:rFonts w:hint="eastAsia" w:ascii="宋体" w:hAnsi="宋体" w:eastAsia="宋体" w:cs="宋体"/>
          <w:color w:val="auto"/>
          <w:kern w:val="0"/>
          <w:sz w:val="24"/>
          <w:highlight w:val="none"/>
          <w:shd w:val="clear" w:color="auto" w:fill="FFFFFF" w:themeFill="background1"/>
        </w:rPr>
      </w:pPr>
    </w:p>
    <w:p>
      <w:pPr>
        <w:shd w:val="clear" w:color="auto" w:fill="FFFFFF"/>
        <w:tabs>
          <w:tab w:val="right" w:pos="6077"/>
        </w:tabs>
        <w:autoSpaceDE w:val="0"/>
        <w:autoSpaceDN w:val="0"/>
        <w:spacing w:line="560" w:lineRule="exact"/>
        <w:outlineLvl w:val="1"/>
        <w:rPr>
          <w:rFonts w:hint="eastAsia" w:ascii="宋体" w:hAnsi="宋体" w:eastAsia="宋体" w:cs="宋体"/>
          <w:color w:val="auto"/>
          <w:kern w:val="0"/>
          <w:sz w:val="24"/>
          <w:highlight w:val="none"/>
          <w:shd w:val="clear" w:color="auto" w:fill="FFFFFF" w:themeFill="background1"/>
        </w:rPr>
      </w:pPr>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46" w:name="_Toc516499667"/>
      <w:bookmarkStart w:id="147" w:name="_Toc121835983"/>
      <w:bookmarkStart w:id="148" w:name="_Toc52200288"/>
      <w:bookmarkStart w:id="149" w:name="_Toc479176297"/>
      <w:bookmarkStart w:id="150" w:name="_Toc8739160"/>
      <w:r>
        <w:rPr>
          <w:rFonts w:hint="eastAsia" w:ascii="宋体" w:hAnsi="宋体" w:eastAsia="宋体" w:cs="宋体"/>
          <w:b/>
          <w:bCs/>
          <w:color w:val="auto"/>
          <w:sz w:val="32"/>
          <w:szCs w:val="32"/>
          <w:highlight w:val="none"/>
          <w:shd w:val="clear" w:color="auto" w:fill="FFFFFF" w:themeFill="background1"/>
        </w:rPr>
        <w:t>三、报价一览表</w:t>
      </w:r>
      <w:bookmarkEnd w:id="146"/>
      <w:bookmarkEnd w:id="147"/>
      <w:bookmarkEnd w:id="148"/>
      <w:r>
        <w:rPr>
          <w:rFonts w:hint="eastAsia" w:ascii="宋体" w:hAnsi="宋体" w:eastAsia="宋体" w:cs="宋体"/>
          <w:b/>
          <w:bCs/>
          <w:color w:val="auto"/>
          <w:sz w:val="32"/>
          <w:szCs w:val="32"/>
          <w:highlight w:val="none"/>
          <w:shd w:val="clear" w:color="auto" w:fill="FFFFFF" w:themeFill="background1"/>
        </w:rPr>
        <w:t xml:space="preserve"> </w:t>
      </w:r>
    </w:p>
    <w:p>
      <w:pPr>
        <w:spacing w:line="360" w:lineRule="auto"/>
        <w:rPr>
          <w:rFonts w:hint="eastAsia" w:ascii="宋体" w:hAnsi="宋体" w:eastAsia="宋体" w:cs="宋体"/>
          <w:b/>
          <w:color w:val="auto"/>
          <w:kern w:val="10"/>
          <w:sz w:val="24"/>
          <w:highlight w:val="none"/>
          <w:shd w:val="clear" w:color="auto" w:fill="FFFFFF" w:themeFill="background1"/>
        </w:rPr>
      </w:pPr>
      <w:r>
        <w:rPr>
          <w:rFonts w:hint="eastAsia" w:ascii="宋体" w:hAnsi="宋体" w:eastAsia="宋体" w:cs="宋体"/>
          <w:b/>
          <w:color w:val="auto"/>
          <w:kern w:val="10"/>
          <w:sz w:val="24"/>
          <w:highlight w:val="none"/>
          <w:shd w:val="clear" w:color="auto" w:fill="FFFFFF" w:themeFill="background1"/>
        </w:rPr>
        <w:t>1、报价一览表</w:t>
      </w:r>
    </w:p>
    <w:tbl>
      <w:tblPr>
        <w:tblStyle w:val="15"/>
        <w:tblpPr w:leftFromText="180" w:rightFromText="180" w:vertAnchor="text" w:horzAnchor="margin" w:tblpXSpec="center" w:tblpY="30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
        <w:gridCol w:w="1096"/>
        <w:gridCol w:w="1003"/>
        <w:gridCol w:w="1168"/>
        <w:gridCol w:w="1174"/>
        <w:gridCol w:w="731"/>
        <w:gridCol w:w="731"/>
        <w:gridCol w:w="1024"/>
        <w:gridCol w:w="907"/>
        <w:gridCol w:w="901"/>
        <w:gridCol w:w="7"/>
      </w:tblGrid>
      <w:tr>
        <w:trPr>
          <w:trHeight w:val="1550" w:hRule="atLeast"/>
        </w:trPr>
        <w:tc>
          <w:tcPr>
            <w:tcW w:w="285"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w:t>
            </w:r>
          </w:p>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号</w:t>
            </w:r>
          </w:p>
        </w:tc>
        <w:tc>
          <w:tcPr>
            <w:tcW w:w="591"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投标货</w:t>
            </w:r>
          </w:p>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物名称</w:t>
            </w:r>
          </w:p>
        </w:tc>
        <w:tc>
          <w:tcPr>
            <w:tcW w:w="541"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品牌规格</w:t>
            </w:r>
          </w:p>
          <w:p>
            <w:pPr>
              <w:snapToGrid w:val="0"/>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型号</w:t>
            </w:r>
          </w:p>
        </w:tc>
        <w:tc>
          <w:tcPr>
            <w:tcW w:w="630" w:type="pct"/>
            <w:vAlign w:val="center"/>
          </w:tcPr>
          <w:p>
            <w:pPr>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产地</w:t>
            </w:r>
          </w:p>
        </w:tc>
        <w:tc>
          <w:tcPr>
            <w:tcW w:w="633" w:type="pct"/>
            <w:vAlign w:val="center"/>
          </w:tcPr>
          <w:p>
            <w:pPr>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制造商</w:t>
            </w:r>
          </w:p>
          <w:p>
            <w:pPr>
              <w:snapToGrid w:val="0"/>
              <w:spacing w:line="240" w:lineRule="exact"/>
              <w:jc w:val="center"/>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color w:val="auto"/>
                <w:sz w:val="24"/>
                <w:szCs w:val="18"/>
                <w:highlight w:val="none"/>
                <w:shd w:val="clear" w:color="auto" w:fill="FFFFFF" w:themeFill="background1"/>
              </w:rPr>
              <w:t>名称（全称）</w:t>
            </w:r>
          </w:p>
        </w:tc>
        <w:tc>
          <w:tcPr>
            <w:tcW w:w="394" w:type="pct"/>
            <w:vAlign w:val="center"/>
          </w:tcPr>
          <w:p>
            <w:pPr>
              <w:spacing w:line="240" w:lineRule="exact"/>
              <w:ind w:firstLine="120" w:firstLineChars="50"/>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单位</w:t>
            </w:r>
          </w:p>
        </w:tc>
        <w:tc>
          <w:tcPr>
            <w:tcW w:w="394"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数量</w:t>
            </w:r>
          </w:p>
        </w:tc>
        <w:tc>
          <w:tcPr>
            <w:tcW w:w="552"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单价</w:t>
            </w:r>
          </w:p>
        </w:tc>
        <w:tc>
          <w:tcPr>
            <w:tcW w:w="489" w:type="pct"/>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小计</w:t>
            </w:r>
          </w:p>
        </w:tc>
        <w:tc>
          <w:tcPr>
            <w:tcW w:w="490" w:type="pct"/>
            <w:gridSpan w:val="2"/>
            <w:vAlign w:val="center"/>
          </w:tcPr>
          <w:p>
            <w:pPr>
              <w:spacing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质保期</w:t>
            </w:r>
          </w:p>
        </w:tc>
      </w:tr>
      <w:tr>
        <w:trPr>
          <w:trHeight w:val="544" w:hRule="atLeast"/>
        </w:trPr>
        <w:tc>
          <w:tcPr>
            <w:tcW w:w="285" w:type="pct"/>
          </w:tcPr>
          <w:p>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1</w:t>
            </w:r>
          </w:p>
        </w:tc>
        <w:tc>
          <w:tcPr>
            <w:tcW w:w="591" w:type="pct"/>
          </w:tcPr>
          <w:p>
            <w:pPr>
              <w:spacing w:line="400" w:lineRule="exact"/>
              <w:rPr>
                <w:rFonts w:hint="eastAsia" w:ascii="宋体" w:hAnsi="宋体" w:eastAsia="宋体" w:cs="宋体"/>
                <w:color w:val="auto"/>
                <w:sz w:val="24"/>
                <w:highlight w:val="none"/>
                <w:shd w:val="clear" w:color="auto" w:fill="FFFFFF" w:themeFill="background1"/>
              </w:rPr>
            </w:pPr>
          </w:p>
        </w:tc>
        <w:tc>
          <w:tcPr>
            <w:tcW w:w="541" w:type="pct"/>
          </w:tcPr>
          <w:p>
            <w:pPr>
              <w:spacing w:line="400" w:lineRule="exact"/>
              <w:rPr>
                <w:rFonts w:hint="eastAsia" w:ascii="宋体" w:hAnsi="宋体" w:eastAsia="宋体" w:cs="宋体"/>
                <w:color w:val="auto"/>
                <w:sz w:val="24"/>
                <w:highlight w:val="none"/>
                <w:shd w:val="clear" w:color="auto" w:fill="FFFFFF" w:themeFill="background1"/>
              </w:rPr>
            </w:pPr>
          </w:p>
        </w:tc>
        <w:tc>
          <w:tcPr>
            <w:tcW w:w="630" w:type="pct"/>
          </w:tcPr>
          <w:p>
            <w:pPr>
              <w:spacing w:line="400" w:lineRule="exact"/>
              <w:rPr>
                <w:rFonts w:hint="eastAsia" w:ascii="宋体" w:hAnsi="宋体" w:eastAsia="宋体" w:cs="宋体"/>
                <w:color w:val="auto"/>
                <w:sz w:val="24"/>
                <w:highlight w:val="none"/>
                <w:shd w:val="clear" w:color="auto" w:fill="FFFFFF" w:themeFill="background1"/>
              </w:rPr>
            </w:pPr>
          </w:p>
        </w:tc>
        <w:tc>
          <w:tcPr>
            <w:tcW w:w="633"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pPr>
              <w:spacing w:line="400" w:lineRule="exact"/>
              <w:rPr>
                <w:rFonts w:hint="eastAsia" w:ascii="宋体" w:hAnsi="宋体" w:eastAsia="宋体" w:cs="宋体"/>
                <w:color w:val="auto"/>
                <w:sz w:val="24"/>
                <w:highlight w:val="none"/>
                <w:shd w:val="clear" w:color="auto" w:fill="FFFFFF" w:themeFill="background1"/>
              </w:rPr>
            </w:pPr>
          </w:p>
        </w:tc>
        <w:tc>
          <w:tcPr>
            <w:tcW w:w="489" w:type="pct"/>
          </w:tcPr>
          <w:p>
            <w:pPr>
              <w:spacing w:line="400" w:lineRule="exact"/>
              <w:rPr>
                <w:rFonts w:hint="eastAsia" w:ascii="宋体" w:hAnsi="宋体" w:eastAsia="宋体" w:cs="宋体"/>
                <w:color w:val="auto"/>
                <w:sz w:val="24"/>
                <w:highlight w:val="none"/>
                <w:shd w:val="clear" w:color="auto" w:fill="FFFFFF" w:themeFill="background1"/>
              </w:rPr>
            </w:pPr>
          </w:p>
        </w:tc>
        <w:tc>
          <w:tcPr>
            <w:tcW w:w="490" w:type="pct"/>
            <w:gridSpan w:val="2"/>
          </w:tcPr>
          <w:p>
            <w:pPr>
              <w:spacing w:line="400" w:lineRule="exact"/>
              <w:rPr>
                <w:rFonts w:hint="eastAsia" w:ascii="宋体" w:hAnsi="宋体" w:eastAsia="宋体" w:cs="宋体"/>
                <w:color w:val="auto"/>
                <w:sz w:val="24"/>
                <w:highlight w:val="none"/>
                <w:shd w:val="clear" w:color="auto" w:fill="FFFFFF" w:themeFill="background1"/>
              </w:rPr>
            </w:pPr>
          </w:p>
        </w:tc>
      </w:tr>
      <w:tr>
        <w:trPr>
          <w:trHeight w:val="571" w:hRule="atLeast"/>
        </w:trPr>
        <w:tc>
          <w:tcPr>
            <w:tcW w:w="285" w:type="pct"/>
          </w:tcPr>
          <w:p>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w:t>
            </w:r>
          </w:p>
        </w:tc>
        <w:tc>
          <w:tcPr>
            <w:tcW w:w="591" w:type="pct"/>
          </w:tcPr>
          <w:p>
            <w:pPr>
              <w:spacing w:line="400" w:lineRule="exact"/>
              <w:rPr>
                <w:rFonts w:hint="eastAsia" w:ascii="宋体" w:hAnsi="宋体" w:eastAsia="宋体" w:cs="宋体"/>
                <w:color w:val="auto"/>
                <w:sz w:val="24"/>
                <w:highlight w:val="none"/>
                <w:shd w:val="clear" w:color="auto" w:fill="FFFFFF" w:themeFill="background1"/>
              </w:rPr>
            </w:pPr>
          </w:p>
        </w:tc>
        <w:tc>
          <w:tcPr>
            <w:tcW w:w="541" w:type="pct"/>
          </w:tcPr>
          <w:p>
            <w:pPr>
              <w:spacing w:line="400" w:lineRule="exact"/>
              <w:rPr>
                <w:rFonts w:hint="eastAsia" w:ascii="宋体" w:hAnsi="宋体" w:eastAsia="宋体" w:cs="宋体"/>
                <w:color w:val="auto"/>
                <w:sz w:val="24"/>
                <w:highlight w:val="none"/>
                <w:shd w:val="clear" w:color="auto" w:fill="FFFFFF" w:themeFill="background1"/>
              </w:rPr>
            </w:pPr>
          </w:p>
        </w:tc>
        <w:tc>
          <w:tcPr>
            <w:tcW w:w="630" w:type="pct"/>
          </w:tcPr>
          <w:p>
            <w:pPr>
              <w:spacing w:line="400" w:lineRule="exact"/>
              <w:rPr>
                <w:rFonts w:hint="eastAsia" w:ascii="宋体" w:hAnsi="宋体" w:eastAsia="宋体" w:cs="宋体"/>
                <w:color w:val="auto"/>
                <w:sz w:val="24"/>
                <w:highlight w:val="none"/>
                <w:shd w:val="clear" w:color="auto" w:fill="FFFFFF" w:themeFill="background1"/>
              </w:rPr>
            </w:pPr>
          </w:p>
        </w:tc>
        <w:tc>
          <w:tcPr>
            <w:tcW w:w="633"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pPr>
              <w:spacing w:line="400" w:lineRule="exact"/>
              <w:rPr>
                <w:rFonts w:hint="eastAsia" w:ascii="宋体" w:hAnsi="宋体" w:eastAsia="宋体" w:cs="宋体"/>
                <w:color w:val="auto"/>
                <w:sz w:val="24"/>
                <w:highlight w:val="none"/>
                <w:shd w:val="clear" w:color="auto" w:fill="FFFFFF" w:themeFill="background1"/>
              </w:rPr>
            </w:pPr>
          </w:p>
        </w:tc>
        <w:tc>
          <w:tcPr>
            <w:tcW w:w="489" w:type="pct"/>
          </w:tcPr>
          <w:p>
            <w:pPr>
              <w:spacing w:line="400" w:lineRule="exact"/>
              <w:rPr>
                <w:rFonts w:hint="eastAsia" w:ascii="宋体" w:hAnsi="宋体" w:eastAsia="宋体" w:cs="宋体"/>
                <w:color w:val="auto"/>
                <w:sz w:val="24"/>
                <w:highlight w:val="none"/>
                <w:shd w:val="clear" w:color="auto" w:fill="FFFFFF" w:themeFill="background1"/>
              </w:rPr>
            </w:pPr>
          </w:p>
        </w:tc>
        <w:tc>
          <w:tcPr>
            <w:tcW w:w="490" w:type="pct"/>
            <w:gridSpan w:val="2"/>
          </w:tcPr>
          <w:p>
            <w:pPr>
              <w:spacing w:line="400" w:lineRule="exact"/>
              <w:rPr>
                <w:rFonts w:hint="eastAsia" w:ascii="宋体" w:hAnsi="宋体" w:eastAsia="宋体" w:cs="宋体"/>
                <w:color w:val="auto"/>
                <w:sz w:val="24"/>
                <w:highlight w:val="none"/>
                <w:shd w:val="clear" w:color="auto" w:fill="FFFFFF" w:themeFill="background1"/>
              </w:rPr>
            </w:pPr>
          </w:p>
        </w:tc>
      </w:tr>
      <w:tr>
        <w:trPr>
          <w:trHeight w:val="551" w:hRule="atLeast"/>
        </w:trPr>
        <w:tc>
          <w:tcPr>
            <w:tcW w:w="285" w:type="pct"/>
          </w:tcPr>
          <w:p>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3</w:t>
            </w:r>
          </w:p>
        </w:tc>
        <w:tc>
          <w:tcPr>
            <w:tcW w:w="591" w:type="pct"/>
          </w:tcPr>
          <w:p>
            <w:pPr>
              <w:spacing w:line="400" w:lineRule="exact"/>
              <w:rPr>
                <w:rFonts w:hint="eastAsia" w:ascii="宋体" w:hAnsi="宋体" w:eastAsia="宋体" w:cs="宋体"/>
                <w:color w:val="auto"/>
                <w:sz w:val="24"/>
                <w:highlight w:val="none"/>
                <w:shd w:val="clear" w:color="auto" w:fill="FFFFFF" w:themeFill="background1"/>
              </w:rPr>
            </w:pPr>
          </w:p>
        </w:tc>
        <w:tc>
          <w:tcPr>
            <w:tcW w:w="541" w:type="pct"/>
          </w:tcPr>
          <w:p>
            <w:pPr>
              <w:spacing w:line="400" w:lineRule="exact"/>
              <w:rPr>
                <w:rFonts w:hint="eastAsia" w:ascii="宋体" w:hAnsi="宋体" w:eastAsia="宋体" w:cs="宋体"/>
                <w:color w:val="auto"/>
                <w:sz w:val="24"/>
                <w:highlight w:val="none"/>
                <w:shd w:val="clear" w:color="auto" w:fill="FFFFFF" w:themeFill="background1"/>
              </w:rPr>
            </w:pPr>
          </w:p>
        </w:tc>
        <w:tc>
          <w:tcPr>
            <w:tcW w:w="630" w:type="pct"/>
          </w:tcPr>
          <w:p>
            <w:pPr>
              <w:spacing w:line="400" w:lineRule="exact"/>
              <w:rPr>
                <w:rFonts w:hint="eastAsia" w:ascii="宋体" w:hAnsi="宋体" w:eastAsia="宋体" w:cs="宋体"/>
                <w:color w:val="auto"/>
                <w:sz w:val="24"/>
                <w:highlight w:val="none"/>
                <w:shd w:val="clear" w:color="auto" w:fill="FFFFFF" w:themeFill="background1"/>
              </w:rPr>
            </w:pPr>
          </w:p>
        </w:tc>
        <w:tc>
          <w:tcPr>
            <w:tcW w:w="633"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pPr>
              <w:spacing w:line="400" w:lineRule="exact"/>
              <w:rPr>
                <w:rFonts w:hint="eastAsia" w:ascii="宋体" w:hAnsi="宋体" w:eastAsia="宋体" w:cs="宋体"/>
                <w:color w:val="auto"/>
                <w:sz w:val="24"/>
                <w:highlight w:val="none"/>
                <w:shd w:val="clear" w:color="auto" w:fill="FFFFFF" w:themeFill="background1"/>
              </w:rPr>
            </w:pPr>
          </w:p>
        </w:tc>
        <w:tc>
          <w:tcPr>
            <w:tcW w:w="489" w:type="pct"/>
          </w:tcPr>
          <w:p>
            <w:pPr>
              <w:spacing w:line="400" w:lineRule="exact"/>
              <w:rPr>
                <w:rFonts w:hint="eastAsia" w:ascii="宋体" w:hAnsi="宋体" w:eastAsia="宋体" w:cs="宋体"/>
                <w:color w:val="auto"/>
                <w:sz w:val="24"/>
                <w:highlight w:val="none"/>
                <w:shd w:val="clear" w:color="auto" w:fill="FFFFFF" w:themeFill="background1"/>
              </w:rPr>
            </w:pPr>
          </w:p>
        </w:tc>
        <w:tc>
          <w:tcPr>
            <w:tcW w:w="490" w:type="pct"/>
            <w:gridSpan w:val="2"/>
          </w:tcPr>
          <w:p>
            <w:pPr>
              <w:spacing w:line="400" w:lineRule="exact"/>
              <w:rPr>
                <w:rFonts w:hint="eastAsia" w:ascii="宋体" w:hAnsi="宋体" w:eastAsia="宋体" w:cs="宋体"/>
                <w:color w:val="auto"/>
                <w:sz w:val="24"/>
                <w:highlight w:val="none"/>
                <w:shd w:val="clear" w:color="auto" w:fill="FFFFFF" w:themeFill="background1"/>
              </w:rPr>
            </w:pPr>
          </w:p>
        </w:tc>
      </w:tr>
      <w:tr>
        <w:trPr>
          <w:trHeight w:val="480" w:hRule="atLeast"/>
        </w:trPr>
        <w:tc>
          <w:tcPr>
            <w:tcW w:w="285" w:type="pct"/>
          </w:tcPr>
          <w:p>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4</w:t>
            </w:r>
          </w:p>
        </w:tc>
        <w:tc>
          <w:tcPr>
            <w:tcW w:w="591" w:type="pct"/>
          </w:tcPr>
          <w:p>
            <w:pPr>
              <w:spacing w:line="400" w:lineRule="exact"/>
              <w:rPr>
                <w:rFonts w:hint="eastAsia" w:ascii="宋体" w:hAnsi="宋体" w:eastAsia="宋体" w:cs="宋体"/>
                <w:color w:val="auto"/>
                <w:sz w:val="24"/>
                <w:highlight w:val="none"/>
                <w:shd w:val="clear" w:color="auto" w:fill="FFFFFF" w:themeFill="background1"/>
              </w:rPr>
            </w:pPr>
          </w:p>
        </w:tc>
        <w:tc>
          <w:tcPr>
            <w:tcW w:w="541" w:type="pct"/>
          </w:tcPr>
          <w:p>
            <w:pPr>
              <w:spacing w:line="400" w:lineRule="exact"/>
              <w:rPr>
                <w:rFonts w:hint="eastAsia" w:ascii="宋体" w:hAnsi="宋体" w:eastAsia="宋体" w:cs="宋体"/>
                <w:color w:val="auto"/>
                <w:sz w:val="24"/>
                <w:highlight w:val="none"/>
                <w:shd w:val="clear" w:color="auto" w:fill="FFFFFF" w:themeFill="background1"/>
              </w:rPr>
            </w:pPr>
          </w:p>
        </w:tc>
        <w:tc>
          <w:tcPr>
            <w:tcW w:w="630" w:type="pct"/>
          </w:tcPr>
          <w:p>
            <w:pPr>
              <w:spacing w:line="400" w:lineRule="exact"/>
              <w:rPr>
                <w:rFonts w:hint="eastAsia" w:ascii="宋体" w:hAnsi="宋体" w:eastAsia="宋体" w:cs="宋体"/>
                <w:color w:val="auto"/>
                <w:sz w:val="24"/>
                <w:highlight w:val="none"/>
                <w:shd w:val="clear" w:color="auto" w:fill="FFFFFF" w:themeFill="background1"/>
              </w:rPr>
            </w:pPr>
          </w:p>
        </w:tc>
        <w:tc>
          <w:tcPr>
            <w:tcW w:w="633"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394" w:type="pct"/>
          </w:tcPr>
          <w:p>
            <w:pPr>
              <w:spacing w:line="400" w:lineRule="exact"/>
              <w:rPr>
                <w:rFonts w:hint="eastAsia" w:ascii="宋体" w:hAnsi="宋体" w:eastAsia="宋体" w:cs="宋体"/>
                <w:color w:val="auto"/>
                <w:sz w:val="24"/>
                <w:highlight w:val="none"/>
                <w:shd w:val="clear" w:color="auto" w:fill="FFFFFF" w:themeFill="background1"/>
              </w:rPr>
            </w:pPr>
          </w:p>
        </w:tc>
        <w:tc>
          <w:tcPr>
            <w:tcW w:w="552" w:type="pct"/>
          </w:tcPr>
          <w:p>
            <w:pPr>
              <w:spacing w:line="400" w:lineRule="exact"/>
              <w:rPr>
                <w:rFonts w:hint="eastAsia" w:ascii="宋体" w:hAnsi="宋体" w:eastAsia="宋体" w:cs="宋体"/>
                <w:color w:val="auto"/>
                <w:sz w:val="24"/>
                <w:highlight w:val="none"/>
                <w:shd w:val="clear" w:color="auto" w:fill="FFFFFF" w:themeFill="background1"/>
              </w:rPr>
            </w:pPr>
          </w:p>
        </w:tc>
        <w:tc>
          <w:tcPr>
            <w:tcW w:w="489" w:type="pct"/>
          </w:tcPr>
          <w:p>
            <w:pPr>
              <w:spacing w:line="400" w:lineRule="exact"/>
              <w:rPr>
                <w:rFonts w:hint="eastAsia" w:ascii="宋体" w:hAnsi="宋体" w:eastAsia="宋体" w:cs="宋体"/>
                <w:color w:val="auto"/>
                <w:sz w:val="24"/>
                <w:highlight w:val="none"/>
                <w:shd w:val="clear" w:color="auto" w:fill="FFFFFF" w:themeFill="background1"/>
              </w:rPr>
            </w:pPr>
          </w:p>
        </w:tc>
        <w:tc>
          <w:tcPr>
            <w:tcW w:w="490" w:type="pct"/>
            <w:gridSpan w:val="2"/>
          </w:tcPr>
          <w:p>
            <w:pPr>
              <w:spacing w:line="400" w:lineRule="exact"/>
              <w:rPr>
                <w:rFonts w:hint="eastAsia" w:ascii="宋体" w:hAnsi="宋体" w:eastAsia="宋体" w:cs="宋体"/>
                <w:color w:val="auto"/>
                <w:sz w:val="24"/>
                <w:highlight w:val="none"/>
                <w:shd w:val="clear" w:color="auto" w:fill="FFFFFF" w:themeFill="background1"/>
              </w:rPr>
            </w:pPr>
          </w:p>
        </w:tc>
      </w:tr>
      <w:tr>
        <w:trPr>
          <w:gridAfter w:val="1"/>
          <w:wAfter w:w="4" w:type="pct"/>
          <w:trHeight w:val="620" w:hRule="atLeast"/>
        </w:trPr>
        <w:tc>
          <w:tcPr>
            <w:tcW w:w="876" w:type="pct"/>
            <w:gridSpan w:val="2"/>
          </w:tcPr>
          <w:p>
            <w:pPr>
              <w:spacing w:line="40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投标总价</w:t>
            </w:r>
          </w:p>
        </w:tc>
        <w:tc>
          <w:tcPr>
            <w:tcW w:w="4119" w:type="pct"/>
            <w:gridSpan w:val="8"/>
          </w:tcPr>
          <w:p>
            <w:pPr>
              <w:spacing w:line="500" w:lineRule="exact"/>
              <w:rPr>
                <w:rFonts w:hint="eastAsia" w:ascii="宋体" w:hAnsi="宋体" w:eastAsia="宋体" w:cs="宋体"/>
                <w:color w:val="auto"/>
                <w:sz w:val="24"/>
                <w:highlight w:val="none"/>
                <w:u w:val="single"/>
                <w:shd w:val="clear" w:color="auto" w:fill="FFFFFF" w:themeFill="background1"/>
              </w:rPr>
            </w:pPr>
            <w:r>
              <w:rPr>
                <w:rFonts w:hint="eastAsia" w:ascii="宋体" w:hAnsi="宋体" w:eastAsia="宋体" w:cs="宋体"/>
                <w:b/>
                <w:color w:val="auto"/>
                <w:sz w:val="24"/>
                <w:highlight w:val="none"/>
                <w:shd w:val="clear" w:color="auto" w:fill="FFFFFF" w:themeFill="background1"/>
              </w:rPr>
              <w:t>大写：</w:t>
            </w:r>
          </w:p>
          <w:p>
            <w:pPr>
              <w:spacing w:line="500" w:lineRule="exact"/>
              <w:rPr>
                <w:rFonts w:hint="eastAsia" w:ascii="宋体" w:hAnsi="宋体" w:eastAsia="宋体" w:cs="宋体"/>
                <w:b/>
                <w:color w:val="auto"/>
                <w:sz w:val="24"/>
                <w:highlight w:val="none"/>
                <w:shd w:val="clear" w:color="auto" w:fill="FFFFFF" w:themeFill="background1"/>
              </w:rPr>
            </w:pPr>
            <w:r>
              <w:rPr>
                <w:rFonts w:hint="eastAsia" w:ascii="宋体" w:hAnsi="宋体" w:eastAsia="宋体" w:cs="宋体"/>
                <w:b/>
                <w:color w:val="auto"/>
                <w:sz w:val="24"/>
                <w:highlight w:val="none"/>
                <w:shd w:val="clear" w:color="auto" w:fill="FFFFFF" w:themeFill="background1"/>
              </w:rPr>
              <w:t>小写：</w:t>
            </w:r>
          </w:p>
        </w:tc>
      </w:tr>
    </w:tbl>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1、投标报价是履行合同的最终报价，无特别注明，均为人民币报价。应包括本招标项目所包含的货物、标准附件、备品备件、专用工具、技术服务，包装、仓储、运输、装卸、保险、税金，货到就位以及安装、调试、培训、保修等一切税金和费用。</w:t>
      </w:r>
    </w:p>
    <w:p>
      <w:pPr>
        <w:spacing w:line="360" w:lineRule="auto"/>
        <w:rPr>
          <w:rFonts w:hint="eastAsia" w:ascii="宋体" w:hAnsi="宋体" w:eastAsia="宋体" w:cs="宋体"/>
          <w:b/>
          <w:color w:val="auto"/>
          <w:kern w:val="10"/>
          <w:sz w:val="24"/>
          <w:highlight w:val="none"/>
          <w:shd w:val="clear" w:color="auto" w:fill="FFFFFF" w:themeFill="background1"/>
        </w:rPr>
      </w:pPr>
      <w:r>
        <w:rPr>
          <w:rFonts w:hint="eastAsia" w:ascii="宋体" w:hAnsi="宋体" w:eastAsia="宋体" w:cs="宋体"/>
          <w:b/>
          <w:color w:val="auto"/>
          <w:kern w:val="10"/>
          <w:sz w:val="24"/>
          <w:highlight w:val="none"/>
          <w:shd w:val="clear" w:color="auto" w:fill="FFFFFF" w:themeFill="background1"/>
        </w:rPr>
        <w:t>2、</w:t>
      </w:r>
      <w:r>
        <w:rPr>
          <w:rFonts w:hint="eastAsia" w:ascii="宋体" w:hAnsi="宋体" w:eastAsia="宋体" w:cs="宋体"/>
          <w:b/>
          <w:color w:val="auto"/>
          <w:kern w:val="10"/>
          <w:sz w:val="24"/>
          <w:highlight w:val="none"/>
          <w:shd w:val="clear" w:color="auto" w:fill="FFFFFF" w:themeFill="background1"/>
          <w:lang w:eastAsia="zh-CN"/>
        </w:rPr>
        <w:t>供应商</w:t>
      </w:r>
      <w:r>
        <w:rPr>
          <w:rFonts w:hint="eastAsia" w:ascii="宋体" w:hAnsi="宋体" w:eastAsia="宋体" w:cs="宋体"/>
          <w:b/>
          <w:color w:val="auto"/>
          <w:kern w:val="10"/>
          <w:sz w:val="24"/>
          <w:highlight w:val="none"/>
          <w:shd w:val="clear" w:color="auto" w:fill="FFFFFF" w:themeFill="background1"/>
        </w:rPr>
        <w:t>应按竞争性磋商文件中采购货物技术参数一览表中所列货物填写本表；</w:t>
      </w: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3、以上表中各项可进一步细分，栏数不够可自加或附表；</w:t>
      </w:r>
    </w:p>
    <w:p>
      <w:pPr>
        <w:spacing w:line="360" w:lineRule="auto"/>
        <w:rPr>
          <w:rFonts w:hint="eastAsia" w:ascii="宋体" w:hAnsi="宋体" w:eastAsia="宋体" w:cs="宋体"/>
          <w:b/>
          <w:color w:val="auto"/>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jc w:val="both"/>
        <w:outlineLvl w:val="1"/>
        <w:rPr>
          <w:rFonts w:hint="eastAsia" w:ascii="宋体" w:hAnsi="宋体" w:eastAsia="宋体" w:cs="宋体"/>
          <w:b/>
          <w:bCs/>
          <w:color w:val="auto"/>
          <w:sz w:val="32"/>
          <w:szCs w:val="32"/>
          <w:highlight w:val="none"/>
          <w:shd w:val="clear" w:color="auto" w:fill="FFFFFF" w:themeFill="background1"/>
        </w:rPr>
      </w:pPr>
      <w:bookmarkStart w:id="151" w:name="_Toc516499668"/>
      <w:bookmarkStart w:id="152" w:name="_Toc52200289"/>
      <w:bookmarkStart w:id="153" w:name="_Toc121835984"/>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b/>
          <w:bCs/>
          <w:color w:val="auto"/>
          <w:sz w:val="32"/>
          <w:szCs w:val="32"/>
          <w:highlight w:val="none"/>
          <w:shd w:val="clear" w:color="auto" w:fill="FFFFFF" w:themeFill="background1"/>
        </w:rPr>
        <w:t>四、技术偏离表</w:t>
      </w:r>
      <w:bookmarkEnd w:id="151"/>
      <w:bookmarkEnd w:id="152"/>
      <w:bookmarkEnd w:id="153"/>
    </w:p>
    <w:tbl>
      <w:tblPr>
        <w:tblStyle w:val="15"/>
        <w:tblpPr w:leftFromText="180" w:rightFromText="180" w:vertAnchor="text" w:horzAnchor="margin" w:tblpY="297"/>
        <w:tblW w:w="5000"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664"/>
        <w:gridCol w:w="1166"/>
        <w:gridCol w:w="2227"/>
        <w:gridCol w:w="1670"/>
        <w:gridCol w:w="1670"/>
        <w:gridCol w:w="1671"/>
      </w:tblGrid>
      <w:tr>
        <w:trPr>
          <w:trHeight w:val="567" w:hRule="atLeast"/>
        </w:trPr>
        <w:tc>
          <w:tcPr>
            <w:tcW w:w="366" w:type="pct"/>
            <w:vAlign w:val="center"/>
          </w:tcPr>
          <w:p>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序</w:t>
            </w:r>
          </w:p>
          <w:p>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号</w:t>
            </w:r>
          </w:p>
        </w:tc>
        <w:tc>
          <w:tcPr>
            <w:tcW w:w="643" w:type="pct"/>
            <w:vAlign w:val="center"/>
          </w:tcPr>
          <w:p>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产品名称</w:t>
            </w:r>
          </w:p>
        </w:tc>
        <w:tc>
          <w:tcPr>
            <w:tcW w:w="1228" w:type="pct"/>
            <w:vAlign w:val="center"/>
          </w:tcPr>
          <w:p>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竞争性磋商文件技术</w:t>
            </w:r>
          </w:p>
          <w:p>
            <w:pPr>
              <w:spacing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要求</w:t>
            </w:r>
          </w:p>
        </w:tc>
        <w:tc>
          <w:tcPr>
            <w:tcW w:w="921" w:type="pct"/>
            <w:vAlign w:val="center"/>
          </w:tcPr>
          <w:p>
            <w:pPr>
              <w:spacing w:before="120" w:line="3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技术响应</w:t>
            </w:r>
          </w:p>
        </w:tc>
        <w:tc>
          <w:tcPr>
            <w:tcW w:w="921" w:type="pct"/>
            <w:tcBorders>
              <w:right w:val="single" w:color="auto" w:sz="4" w:space="0"/>
            </w:tcBorders>
            <w:vAlign w:val="center"/>
          </w:tcPr>
          <w:p>
            <w:pPr>
              <w:spacing w:before="120"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偏差说明</w:t>
            </w:r>
          </w:p>
        </w:tc>
        <w:tc>
          <w:tcPr>
            <w:tcW w:w="921" w:type="pct"/>
            <w:tcBorders>
              <w:right w:val="single" w:color="auto" w:sz="4" w:space="0"/>
            </w:tcBorders>
            <w:vAlign w:val="center"/>
          </w:tcPr>
          <w:p>
            <w:pPr>
              <w:spacing w:before="120" w:line="240" w:lineRule="exact"/>
              <w:jc w:val="center"/>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技术偏差索引</w:t>
            </w:r>
          </w:p>
        </w:tc>
      </w:tr>
      <w:tr>
        <w:trPr>
          <w:trHeight w:val="495" w:hRule="atLeast"/>
        </w:trPr>
        <w:tc>
          <w:tcPr>
            <w:tcW w:w="366" w:type="pct"/>
            <w:tcBorders>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643" w:type="pct"/>
            <w:tcBorders>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1228" w:type="pct"/>
            <w:tcBorders>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r>
      <w:tr>
        <w:trPr>
          <w:trHeight w:val="464" w:hRule="atLeast"/>
        </w:trPr>
        <w:tc>
          <w:tcPr>
            <w:tcW w:w="366"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r>
      <w:tr>
        <w:trPr>
          <w:trHeight w:val="456" w:hRule="atLeast"/>
        </w:trPr>
        <w:tc>
          <w:tcPr>
            <w:tcW w:w="366"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r>
      <w:tr>
        <w:trPr>
          <w:trHeight w:val="448" w:hRule="atLeast"/>
        </w:trPr>
        <w:tc>
          <w:tcPr>
            <w:tcW w:w="366"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643"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1228"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c>
          <w:tcPr>
            <w:tcW w:w="921" w:type="pct"/>
            <w:tcBorders>
              <w:top w:val="single" w:color="auto" w:sz="4" w:space="0"/>
              <w:bottom w:val="single" w:color="auto" w:sz="4" w:space="0"/>
              <w:right w:val="single" w:color="auto" w:sz="4" w:space="0"/>
            </w:tcBorders>
            <w:vAlign w:val="center"/>
          </w:tcPr>
          <w:p>
            <w:pPr>
              <w:jc w:val="center"/>
              <w:rPr>
                <w:rFonts w:hint="eastAsia" w:ascii="宋体" w:hAnsi="宋体" w:eastAsia="宋体" w:cs="宋体"/>
                <w:color w:val="auto"/>
                <w:sz w:val="24"/>
                <w:highlight w:val="none"/>
                <w:shd w:val="clear" w:color="auto" w:fill="FFFFFF" w:themeFill="background1"/>
              </w:rPr>
            </w:pPr>
          </w:p>
        </w:tc>
      </w:tr>
    </w:tbl>
    <w:p>
      <w:pPr>
        <w:autoSpaceDE w:val="0"/>
        <w:autoSpaceDN w:val="0"/>
        <w:spacing w:line="360" w:lineRule="exact"/>
        <w:ind w:right="26"/>
        <w:rPr>
          <w:rFonts w:hint="eastAsia" w:ascii="宋体" w:hAnsi="宋体" w:eastAsia="宋体" w:cs="宋体"/>
          <w:color w:val="auto"/>
          <w:szCs w:val="21"/>
          <w:highlight w:val="none"/>
          <w:shd w:val="clear" w:color="auto" w:fill="FFFFFF" w:themeFill="background1"/>
        </w:rPr>
      </w:pPr>
    </w:p>
    <w:p>
      <w:pPr>
        <w:snapToGrid w:val="0"/>
        <w:spacing w:line="440" w:lineRule="exac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注：1、</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在本表后附</w:t>
      </w:r>
      <w:r>
        <w:rPr>
          <w:rFonts w:hint="eastAsia" w:ascii="宋体" w:hAnsi="宋体" w:eastAsia="宋体" w:cs="宋体"/>
          <w:color w:val="auto"/>
          <w:sz w:val="24"/>
          <w:highlight w:val="none"/>
          <w:shd w:val="clear" w:color="auto" w:fill="FFFFFF" w:themeFill="background1"/>
        </w:rPr>
        <w:t>技术参数证明材料；</w:t>
      </w:r>
    </w:p>
    <w:p>
      <w:pPr>
        <w:snapToGrid w:val="0"/>
        <w:spacing w:line="440" w:lineRule="exac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2、表中的“偏差说明”处填写“正偏离或符合或负偏离”， 带“*”号的参数在“技术偏差索引”处标注对应的技术参数证明材料在</w:t>
      </w:r>
      <w:r>
        <w:rPr>
          <w:rFonts w:hint="eastAsia" w:ascii="宋体" w:hAnsi="宋体" w:eastAsia="宋体" w:cs="宋体"/>
          <w:color w:val="auto"/>
          <w:sz w:val="24"/>
          <w:highlight w:val="none"/>
          <w:shd w:val="clear" w:color="auto" w:fill="FFFFFF" w:themeFill="background1"/>
          <w:lang w:eastAsia="zh-CN"/>
        </w:rPr>
        <w:t>响应文件</w:t>
      </w:r>
      <w:r>
        <w:rPr>
          <w:rFonts w:hint="eastAsia" w:ascii="宋体" w:hAnsi="宋体" w:eastAsia="宋体" w:cs="宋体"/>
          <w:color w:val="auto"/>
          <w:sz w:val="24"/>
          <w:highlight w:val="none"/>
          <w:shd w:val="clear" w:color="auto" w:fill="FFFFFF" w:themeFill="background1"/>
        </w:rPr>
        <w:t>中的页码。</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54" w:name="_Toc121835985"/>
      <w:r>
        <w:rPr>
          <w:rFonts w:hint="eastAsia" w:ascii="宋体" w:hAnsi="宋体" w:eastAsia="宋体" w:cs="宋体"/>
          <w:b/>
          <w:bCs/>
          <w:color w:val="auto"/>
          <w:sz w:val="32"/>
          <w:szCs w:val="32"/>
          <w:highlight w:val="none"/>
          <w:shd w:val="clear" w:color="auto" w:fill="FFFFFF" w:themeFill="background1"/>
        </w:rPr>
        <w:t>五、供货方案</w:t>
      </w:r>
      <w:bookmarkEnd w:id="154"/>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lef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1、安装、调试方案，格式自拟</w:t>
      </w:r>
    </w:p>
    <w:p>
      <w:pPr>
        <w:spacing w:line="360" w:lineRule="auto"/>
        <w:jc w:val="left"/>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2、人员及培训方案，格式自拟</w:t>
      </w:r>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p>
    <w:p>
      <w:pPr>
        <w:spacing w:line="360" w:lineRule="auto"/>
        <w:jc w:val="center"/>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lang w:eastAsia="zh-CN"/>
        </w:rPr>
        <w:t>供应商</w:t>
      </w:r>
      <w:r>
        <w:rPr>
          <w:rFonts w:hint="eastAsia" w:ascii="宋体" w:hAnsi="宋体" w:eastAsia="宋体" w:cs="宋体"/>
          <w:color w:val="auto"/>
          <w:kern w:val="10"/>
          <w:sz w:val="24"/>
          <w:highlight w:val="none"/>
          <w:shd w:val="clear" w:color="auto" w:fill="FFFFFF" w:themeFill="background1"/>
        </w:rPr>
        <w:t>：</w:t>
      </w:r>
      <w:r>
        <w:rPr>
          <w:rFonts w:hint="eastAsia" w:ascii="宋体" w:hAnsi="宋体" w:eastAsia="宋体" w:cs="宋体"/>
          <w:color w:val="auto"/>
          <w:kern w:val="10"/>
          <w:sz w:val="24"/>
          <w:highlight w:val="none"/>
          <w:u w:val="single"/>
          <w:shd w:val="clear" w:color="auto" w:fill="FFFFFF" w:themeFill="background1"/>
        </w:rPr>
        <w:t xml:space="preserve">       （盖章） </w:t>
      </w:r>
    </w:p>
    <w:p>
      <w:pPr>
        <w:spacing w:line="360" w:lineRule="auto"/>
        <w:rPr>
          <w:rFonts w:hint="eastAsia" w:ascii="宋体" w:hAnsi="宋体" w:eastAsia="宋体" w:cs="宋体"/>
          <w:color w:val="auto"/>
          <w:kern w:val="10"/>
          <w:sz w:val="24"/>
          <w:highlight w:val="none"/>
          <w:u w:val="singl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法定代表人：</w:t>
      </w:r>
      <w:r>
        <w:rPr>
          <w:rFonts w:hint="eastAsia" w:ascii="宋体" w:hAnsi="宋体" w:eastAsia="宋体" w:cs="宋体"/>
          <w:color w:val="auto"/>
          <w:kern w:val="10"/>
          <w:sz w:val="24"/>
          <w:highlight w:val="none"/>
          <w:u w:val="single"/>
          <w:shd w:val="clear" w:color="auto" w:fill="FFFFFF" w:themeFill="background1"/>
        </w:rPr>
        <w:t xml:space="preserve">    （签章）</w:t>
      </w:r>
      <w:r>
        <w:rPr>
          <w:rFonts w:hint="eastAsia" w:ascii="宋体" w:hAnsi="宋体" w:eastAsia="宋体" w:cs="宋体"/>
          <w:color w:val="auto"/>
          <w:kern w:val="10"/>
          <w:sz w:val="24"/>
          <w:highlight w:val="none"/>
          <w:shd w:val="clear" w:color="auto" w:fill="FFFFFF" w:themeFill="background1"/>
        </w:rPr>
        <w:t xml:space="preserve">                                    </w:t>
      </w: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                                        日期：</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年  </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 xml:space="preserve"> 月</w:t>
      </w:r>
      <w:r>
        <w:rPr>
          <w:rFonts w:hint="eastAsia" w:ascii="宋体" w:hAnsi="宋体" w:eastAsia="宋体" w:cs="宋体"/>
          <w:color w:val="auto"/>
          <w:kern w:val="10"/>
          <w:sz w:val="24"/>
          <w:highlight w:val="none"/>
          <w:u w:val="single"/>
          <w:shd w:val="clear" w:color="auto" w:fill="FFFFFF" w:themeFill="background1"/>
        </w:rPr>
        <w:t xml:space="preserve">      </w:t>
      </w:r>
      <w:r>
        <w:rPr>
          <w:rFonts w:hint="eastAsia" w:ascii="宋体" w:hAnsi="宋体" w:eastAsia="宋体" w:cs="宋体"/>
          <w:color w:val="auto"/>
          <w:kern w:val="10"/>
          <w:sz w:val="24"/>
          <w:highlight w:val="none"/>
          <w:shd w:val="clear" w:color="auto" w:fill="FFFFFF" w:themeFill="background1"/>
        </w:rPr>
        <w:t>日</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bookmarkEnd w:id="149"/>
    <w:bookmarkEnd w:id="150"/>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55" w:name="_Toc121835986"/>
      <w:bookmarkStart w:id="156" w:name="_Toc479176299"/>
      <w:bookmarkStart w:id="157" w:name="_Toc8739161"/>
      <w:r>
        <w:rPr>
          <w:rFonts w:hint="eastAsia" w:ascii="宋体" w:hAnsi="宋体" w:eastAsia="宋体" w:cs="宋体"/>
          <w:b/>
          <w:bCs/>
          <w:color w:val="auto"/>
          <w:sz w:val="32"/>
          <w:szCs w:val="32"/>
          <w:highlight w:val="none"/>
          <w:shd w:val="clear" w:color="auto" w:fill="FFFFFF" w:themeFill="background1"/>
        </w:rPr>
        <w:t>六、售后服务计划</w:t>
      </w:r>
      <w:bookmarkEnd w:id="155"/>
      <w:bookmarkStart w:id="158" w:name="_Toc234242181"/>
      <w:bookmarkStart w:id="159" w:name="_Toc234382982"/>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bookmarkStart w:id="160" w:name="_Toc121835987"/>
      <w:bookmarkStart w:id="161" w:name="_Toc121335587"/>
      <w:bookmarkStart w:id="162" w:name="_Toc121333402"/>
      <w:r>
        <w:rPr>
          <w:rFonts w:hint="eastAsia" w:ascii="宋体" w:hAnsi="宋体" w:eastAsia="宋体" w:cs="宋体"/>
          <w:bCs/>
          <w:color w:val="auto"/>
          <w:sz w:val="24"/>
          <w:highlight w:val="none"/>
          <w:shd w:val="clear" w:color="auto" w:fill="FFFFFF" w:themeFill="background1"/>
        </w:rPr>
        <w:t>售后服务计划，格式自拟</w:t>
      </w:r>
      <w:bookmarkEnd w:id="160"/>
    </w:p>
    <w:bookmarkEnd w:id="161"/>
    <w:bookmarkEnd w:id="162"/>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left"/>
        <w:outlineLvl w:val="1"/>
        <w:rPr>
          <w:rFonts w:hint="eastAsia" w:ascii="宋体" w:hAnsi="宋体" w:eastAsia="宋体" w:cs="宋体"/>
          <w:bCs/>
          <w:color w:val="auto"/>
          <w:sz w:val="24"/>
          <w:highlight w:val="none"/>
          <w:shd w:val="clear" w:color="auto" w:fill="FFFFFF" w:themeFill="background1"/>
        </w:rPr>
      </w:pPr>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63" w:name="_Toc121835988"/>
      <w:bookmarkStart w:id="164" w:name="_Toc104197256"/>
      <w:r>
        <w:rPr>
          <w:rFonts w:hint="eastAsia" w:ascii="宋体" w:hAnsi="宋体" w:eastAsia="宋体" w:cs="宋体"/>
          <w:b/>
          <w:bCs/>
          <w:color w:val="auto"/>
          <w:sz w:val="32"/>
          <w:szCs w:val="32"/>
          <w:highlight w:val="none"/>
          <w:shd w:val="clear" w:color="auto" w:fill="FFFFFF" w:themeFill="background1"/>
        </w:rPr>
        <w:t>七、政府采购政策</w:t>
      </w:r>
      <w:bookmarkEnd w:id="163"/>
    </w:p>
    <w:p>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65" w:name="_Toc121835989"/>
      <w:r>
        <w:rPr>
          <w:rFonts w:hint="eastAsia" w:ascii="宋体" w:hAnsi="宋体" w:eastAsia="宋体" w:cs="宋体"/>
          <w:b/>
          <w:bCs/>
          <w:color w:val="auto"/>
          <w:kern w:val="10"/>
          <w:sz w:val="28"/>
          <w:szCs w:val="28"/>
          <w:highlight w:val="none"/>
          <w:shd w:val="clear" w:color="auto" w:fill="FFFFFF" w:themeFill="background1"/>
        </w:rPr>
        <w:t>（一）中小企业声明函</w:t>
      </w:r>
      <w:bookmarkEnd w:id="164"/>
      <w:bookmarkEnd w:id="165"/>
    </w:p>
    <w:p>
      <w:pPr>
        <w:spacing w:line="400" w:lineRule="exact"/>
        <w:rPr>
          <w:rFonts w:hint="eastAsia" w:ascii="宋体" w:hAnsi="宋体" w:eastAsia="宋体" w:cs="宋体"/>
          <w:color w:val="auto"/>
          <w:sz w:val="24"/>
          <w:highlight w:val="none"/>
          <w:shd w:val="clear" w:color="auto" w:fill="FFFFFF" w:themeFill="background1"/>
        </w:rPr>
      </w:pP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本公司郑重声明，根据《政府采购促进中小企业发展管理办法》（财库﹝2020﹞46 号）的规定，本公司参加（单位名称）的（项目名称）采购活动，提供的货物全部由符合政策要求的中小企业制造。相关企业的具体情况如下：</w:t>
      </w: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w:t>
      </w:r>
      <w:r>
        <w:rPr>
          <w:rFonts w:hint="eastAsia" w:ascii="宋体" w:hAnsi="宋体" w:eastAsia="宋体" w:cs="宋体"/>
          <w:color w:val="auto"/>
          <w:spacing w:val="6"/>
          <w:sz w:val="24"/>
          <w:highlight w:val="none"/>
          <w:u w:val="single"/>
          <w:shd w:val="clear" w:color="auto" w:fill="FFFFFF" w:themeFill="background1"/>
        </w:rPr>
        <w:t xml:space="preserve">  （标的名称）     </w:t>
      </w:r>
      <w:r>
        <w:rPr>
          <w:rFonts w:hint="eastAsia" w:ascii="宋体" w:hAnsi="宋体" w:eastAsia="宋体" w:cs="宋体"/>
          <w:color w:val="auto"/>
          <w:spacing w:val="6"/>
          <w:sz w:val="24"/>
          <w:highlight w:val="none"/>
          <w:shd w:val="clear" w:color="auto" w:fill="FFFFFF" w:themeFill="background1"/>
        </w:rPr>
        <w:t>，属于</w:t>
      </w:r>
      <w:r>
        <w:rPr>
          <w:rFonts w:hint="eastAsia" w:ascii="宋体" w:hAnsi="宋体" w:eastAsia="宋体" w:cs="宋体"/>
          <w:color w:val="auto"/>
          <w:spacing w:val="6"/>
          <w:sz w:val="24"/>
          <w:highlight w:val="none"/>
          <w:u w:val="single"/>
          <w:shd w:val="clear" w:color="auto" w:fill="FFFFFF" w:themeFill="background1"/>
        </w:rPr>
        <w:t xml:space="preserve">   （采购文件中明确的所属行业）       </w:t>
      </w:r>
      <w:r>
        <w:rPr>
          <w:rFonts w:hint="eastAsia" w:ascii="宋体" w:hAnsi="宋体" w:eastAsia="宋体" w:cs="宋体"/>
          <w:color w:val="auto"/>
          <w:spacing w:val="6"/>
          <w:sz w:val="24"/>
          <w:highlight w:val="none"/>
          <w:shd w:val="clear" w:color="auto" w:fill="FFFFFF" w:themeFill="background1"/>
        </w:rPr>
        <w:t xml:space="preserve"> 行业；制造商为</w:t>
      </w:r>
      <w:r>
        <w:rPr>
          <w:rFonts w:hint="eastAsia" w:ascii="宋体" w:hAnsi="宋体" w:eastAsia="宋体" w:cs="宋体"/>
          <w:color w:val="auto"/>
          <w:spacing w:val="6"/>
          <w:sz w:val="24"/>
          <w:highlight w:val="none"/>
          <w:u w:val="single"/>
          <w:shd w:val="clear" w:color="auto" w:fill="FFFFFF" w:themeFill="background1"/>
        </w:rPr>
        <w:t xml:space="preserve"> （企业名称） </w:t>
      </w:r>
      <w:r>
        <w:rPr>
          <w:rFonts w:hint="eastAsia" w:ascii="宋体" w:hAnsi="宋体" w:eastAsia="宋体" w:cs="宋体"/>
          <w:color w:val="auto"/>
          <w:spacing w:val="6"/>
          <w:sz w:val="24"/>
          <w:highlight w:val="none"/>
          <w:shd w:val="clear" w:color="auto" w:fill="FFFFFF" w:themeFill="background1"/>
        </w:rPr>
        <w:t>，从业人员</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人；营业收入为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万元，资产总额为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 xml:space="preserve"> 万元，属于</w:t>
      </w:r>
      <w:r>
        <w:rPr>
          <w:rFonts w:hint="eastAsia" w:ascii="宋体" w:hAnsi="宋体" w:eastAsia="宋体" w:cs="宋体"/>
          <w:color w:val="auto"/>
          <w:spacing w:val="6"/>
          <w:sz w:val="24"/>
          <w:highlight w:val="none"/>
          <w:u w:val="single"/>
          <w:shd w:val="clear" w:color="auto" w:fill="FFFFFF" w:themeFill="background1"/>
        </w:rPr>
        <w:t>（中型企业、小型企业、微型企业）</w:t>
      </w:r>
      <w:r>
        <w:rPr>
          <w:rFonts w:hint="eastAsia" w:ascii="宋体" w:hAnsi="宋体" w:eastAsia="宋体" w:cs="宋体"/>
          <w:color w:val="auto"/>
          <w:spacing w:val="6"/>
          <w:sz w:val="24"/>
          <w:highlight w:val="none"/>
          <w:shd w:val="clear" w:color="auto" w:fill="FFFFFF" w:themeFill="background1"/>
        </w:rPr>
        <w:t>；</w:t>
      </w: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2、</w:t>
      </w:r>
      <w:r>
        <w:rPr>
          <w:rFonts w:hint="eastAsia" w:ascii="宋体" w:hAnsi="宋体" w:eastAsia="宋体" w:cs="宋体"/>
          <w:color w:val="auto"/>
          <w:spacing w:val="6"/>
          <w:sz w:val="24"/>
          <w:highlight w:val="none"/>
          <w:u w:val="single"/>
          <w:shd w:val="clear" w:color="auto" w:fill="FFFFFF" w:themeFill="background1"/>
        </w:rPr>
        <w:t xml:space="preserve">  （标的名称）     </w:t>
      </w:r>
      <w:r>
        <w:rPr>
          <w:rFonts w:hint="eastAsia" w:ascii="宋体" w:hAnsi="宋体" w:eastAsia="宋体" w:cs="宋体"/>
          <w:color w:val="auto"/>
          <w:spacing w:val="6"/>
          <w:sz w:val="24"/>
          <w:highlight w:val="none"/>
          <w:shd w:val="clear" w:color="auto" w:fill="FFFFFF" w:themeFill="background1"/>
        </w:rPr>
        <w:t>，属于</w:t>
      </w:r>
      <w:r>
        <w:rPr>
          <w:rFonts w:hint="eastAsia" w:ascii="宋体" w:hAnsi="宋体" w:eastAsia="宋体" w:cs="宋体"/>
          <w:color w:val="auto"/>
          <w:spacing w:val="6"/>
          <w:sz w:val="24"/>
          <w:highlight w:val="none"/>
          <w:u w:val="single"/>
          <w:shd w:val="clear" w:color="auto" w:fill="FFFFFF" w:themeFill="background1"/>
        </w:rPr>
        <w:t xml:space="preserve">   （采购文件中明确的所属行业）       </w:t>
      </w:r>
      <w:r>
        <w:rPr>
          <w:rFonts w:hint="eastAsia" w:ascii="宋体" w:hAnsi="宋体" w:eastAsia="宋体" w:cs="宋体"/>
          <w:color w:val="auto"/>
          <w:spacing w:val="6"/>
          <w:sz w:val="24"/>
          <w:highlight w:val="none"/>
          <w:shd w:val="clear" w:color="auto" w:fill="FFFFFF" w:themeFill="background1"/>
        </w:rPr>
        <w:t xml:space="preserve"> 行业；制造商为</w:t>
      </w:r>
      <w:r>
        <w:rPr>
          <w:rFonts w:hint="eastAsia" w:ascii="宋体" w:hAnsi="宋体" w:eastAsia="宋体" w:cs="宋体"/>
          <w:color w:val="auto"/>
          <w:spacing w:val="6"/>
          <w:sz w:val="24"/>
          <w:highlight w:val="none"/>
          <w:u w:val="single"/>
          <w:shd w:val="clear" w:color="auto" w:fill="FFFFFF" w:themeFill="background1"/>
        </w:rPr>
        <w:t xml:space="preserve"> （企业名称） </w:t>
      </w:r>
      <w:r>
        <w:rPr>
          <w:rFonts w:hint="eastAsia" w:ascii="宋体" w:hAnsi="宋体" w:eastAsia="宋体" w:cs="宋体"/>
          <w:color w:val="auto"/>
          <w:spacing w:val="6"/>
          <w:sz w:val="24"/>
          <w:highlight w:val="none"/>
          <w:shd w:val="clear" w:color="auto" w:fill="FFFFFF" w:themeFill="background1"/>
        </w:rPr>
        <w:t>，从业人员</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人；营业收入为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万元，资产总额为</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 xml:space="preserve"> 万元，属于</w:t>
      </w:r>
      <w:r>
        <w:rPr>
          <w:rFonts w:hint="eastAsia" w:ascii="宋体" w:hAnsi="宋体" w:eastAsia="宋体" w:cs="宋体"/>
          <w:color w:val="auto"/>
          <w:spacing w:val="6"/>
          <w:sz w:val="24"/>
          <w:highlight w:val="none"/>
          <w:u w:val="single"/>
          <w:shd w:val="clear" w:color="auto" w:fill="FFFFFF" w:themeFill="background1"/>
        </w:rPr>
        <w:t>（中型企业、小型企业、微型企业）</w:t>
      </w:r>
      <w:r>
        <w:rPr>
          <w:rFonts w:hint="eastAsia" w:ascii="宋体" w:hAnsi="宋体" w:eastAsia="宋体" w:cs="宋体"/>
          <w:color w:val="auto"/>
          <w:spacing w:val="6"/>
          <w:sz w:val="24"/>
          <w:highlight w:val="none"/>
          <w:shd w:val="clear" w:color="auto" w:fill="FFFFFF" w:themeFill="background1"/>
        </w:rPr>
        <w:t>；</w:t>
      </w: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w:t>
      </w: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以上企业，不属于大企业的分支机构，不存在控股股东为大企业的情形，也不存在与大企业的负责人为同一人的情形。</w:t>
      </w:r>
    </w:p>
    <w:p>
      <w:pPr>
        <w:spacing w:line="400" w:lineRule="exact"/>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本公司对上述声明的真实性负责。如有虚假，将承担相应的法律责任。</w:t>
      </w:r>
    </w:p>
    <w:p>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pPr>
        <w:spacing w:line="400" w:lineRule="exact"/>
        <w:ind w:firstLine="480" w:firstLineChars="200"/>
        <w:rPr>
          <w:rFonts w:hint="eastAsia" w:ascii="宋体" w:hAnsi="宋体" w:eastAsia="宋体" w:cs="宋体"/>
          <w:color w:val="auto"/>
          <w:sz w:val="24"/>
          <w:highlight w:val="none"/>
          <w:shd w:val="clear" w:color="auto" w:fill="FFFFFF" w:themeFill="background1"/>
        </w:rPr>
      </w:pPr>
    </w:p>
    <w:p>
      <w:pPr>
        <w:wordWrap w:val="0"/>
        <w:spacing w:line="360" w:lineRule="auto"/>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lang w:eastAsia="zh-CN"/>
        </w:rPr>
        <w:t>供应商</w:t>
      </w:r>
      <w:r>
        <w:rPr>
          <w:rFonts w:hint="eastAsia" w:ascii="宋体" w:hAnsi="宋体" w:eastAsia="宋体" w:cs="宋体"/>
          <w:color w:val="auto"/>
          <w:sz w:val="24"/>
          <w:highlight w:val="none"/>
          <w:shd w:val="clear" w:color="auto" w:fill="FFFFFF" w:themeFill="background1"/>
        </w:rPr>
        <w:t>：</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（盖章）</w:t>
      </w:r>
    </w:p>
    <w:p>
      <w:pPr>
        <w:spacing w:line="400" w:lineRule="exact"/>
        <w:ind w:firstLine="480" w:firstLineChars="200"/>
        <w:jc w:val="right"/>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法定代表人或其委托代理人：</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（签字）</w:t>
      </w:r>
    </w:p>
    <w:p>
      <w:pPr>
        <w:rPr>
          <w:rFonts w:hint="eastAsia" w:ascii="宋体" w:hAnsi="宋体" w:eastAsia="宋体" w:cs="宋体"/>
          <w:b/>
          <w:color w:val="auto"/>
          <w:sz w:val="24"/>
          <w:highlight w:val="none"/>
          <w:shd w:val="clear" w:color="auto" w:fill="FFFFFF" w:themeFill="background1"/>
        </w:rPr>
      </w:pPr>
    </w:p>
    <w:p>
      <w:pPr>
        <w:rPr>
          <w:rFonts w:hint="eastAsia" w:ascii="宋体" w:hAnsi="宋体" w:eastAsia="宋体" w:cs="宋体"/>
          <w:b/>
          <w:color w:val="auto"/>
          <w:sz w:val="24"/>
          <w:highlight w:val="none"/>
          <w:shd w:val="clear" w:color="auto" w:fill="FFFFFF" w:themeFill="background1"/>
        </w:rPr>
      </w:pPr>
    </w:p>
    <w:p>
      <w:pPr>
        <w:spacing w:line="360" w:lineRule="auto"/>
        <w:rPr>
          <w:rFonts w:hint="eastAsia" w:ascii="宋体" w:hAnsi="宋体" w:eastAsia="宋体" w:cs="宋体"/>
          <w:color w:val="auto"/>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sz w:val="24"/>
          <w:highlight w:val="none"/>
          <w:shd w:val="clear" w:color="auto" w:fill="FFFFFF" w:themeFill="background1"/>
        </w:rPr>
        <w:t xml:space="preserve">                                                          _____年</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月</w:t>
      </w:r>
      <w:r>
        <w:rPr>
          <w:rFonts w:hint="eastAsia" w:ascii="宋体" w:hAnsi="宋体" w:eastAsia="宋体" w:cs="宋体"/>
          <w:color w:val="auto"/>
          <w:sz w:val="24"/>
          <w:highlight w:val="none"/>
          <w:u w:val="single"/>
          <w:shd w:val="clear" w:color="auto" w:fill="FFFFFF" w:themeFill="background1"/>
        </w:rPr>
        <w:t xml:space="preserve">   </w:t>
      </w:r>
      <w:r>
        <w:rPr>
          <w:rFonts w:hint="eastAsia" w:ascii="宋体" w:hAnsi="宋体" w:eastAsia="宋体" w:cs="宋体"/>
          <w:color w:val="auto"/>
          <w:sz w:val="24"/>
          <w:highlight w:val="none"/>
          <w:shd w:val="clear" w:color="auto" w:fill="FFFFFF" w:themeFill="background1"/>
        </w:rPr>
        <w:t>日</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（属于中小微企业的填写，不属于的无需填写此项内容）</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注：①从业人员、营业收入、资产总额填报上一年度数据，无上一年度数据的新成立企业可不填报。</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②供应商提供的货物既有中小企业制造货物，也有大型企业制造货物的，不享受《政府采购促进中小企业发展管理办法》规定的中小企业扶持政策。</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 xml:space="preserve">③以联合体形式参加政府采购活动，联合体各方均为中小企业的，联合体视同中小企业。其中，联合体各方均为小微企业的，联合体视同小微企业。 </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④在政府采购活动中，供应商提供的所有货物由小微企业制造，即货物由小微企业生产且使用该小微企业商号或者注册商标的，才能享受《政府采购促进中小企业发展管理办法》规定的价格扣减。</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⑤中小企业声明函格式应严格按照磋商文件提供的格式填写。非单一产品采购的，设备制造商不止一家时，中小企业声明函中须列出所有的设备及制造商，罗列不全的中小企业声明函不予认可。</w:t>
      </w:r>
    </w:p>
    <w:p>
      <w:pPr>
        <w:spacing w:line="360" w:lineRule="auto"/>
        <w:ind w:firstLine="480" w:firstLineChars="200"/>
        <w:rPr>
          <w:rFonts w:hint="eastAsia" w:ascii="宋体" w:hAnsi="宋体" w:eastAsia="宋体" w:cs="宋体"/>
          <w:color w:val="auto"/>
          <w:kern w:val="10"/>
          <w:sz w:val="24"/>
          <w:highlight w:val="none"/>
          <w:shd w:val="clear" w:color="auto" w:fill="FFFFFF" w:themeFill="background1"/>
        </w:rPr>
      </w:pPr>
      <w:r>
        <w:rPr>
          <w:rFonts w:hint="eastAsia" w:ascii="宋体" w:hAnsi="宋体" w:eastAsia="宋体" w:cs="宋体"/>
          <w:color w:val="auto"/>
          <w:kern w:val="10"/>
          <w:sz w:val="24"/>
          <w:highlight w:val="none"/>
          <w:shd w:val="clear" w:color="auto" w:fill="FFFFFF" w:themeFill="background1"/>
        </w:rPr>
        <w:t>⑥在货物采购项目中，货物应当由中小企业制造，不对其中涉及的服务的承接商作出要求。</w:t>
      </w:r>
    </w:p>
    <w:p>
      <w:pPr>
        <w:spacing w:line="360" w:lineRule="auto"/>
        <w:rPr>
          <w:rFonts w:hint="eastAsia" w:ascii="宋体" w:hAnsi="宋体" w:eastAsia="宋体" w:cs="宋体"/>
          <w:color w:val="auto"/>
          <w:kern w:val="10"/>
          <w:sz w:val="24"/>
          <w:highlight w:val="none"/>
          <w:shd w:val="clear" w:color="auto" w:fill="FFFFFF" w:themeFill="background1"/>
        </w:rPr>
      </w:pPr>
    </w:p>
    <w:p>
      <w:pPr>
        <w:spacing w:line="360" w:lineRule="auto"/>
        <w:rPr>
          <w:rFonts w:hint="eastAsia" w:ascii="宋体" w:hAnsi="宋体" w:eastAsia="宋体" w:cs="宋体"/>
          <w:color w:val="auto"/>
          <w:kern w:val="10"/>
          <w:sz w:val="24"/>
          <w:highlight w:val="none"/>
          <w:shd w:val="clear" w:color="auto" w:fill="FFFFFF" w:themeFill="background1"/>
        </w:rPr>
      </w:pPr>
    </w:p>
    <w:p>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66" w:name="_Toc525811574"/>
      <w:bookmarkStart w:id="167" w:name="_Toc522117926"/>
      <w:bookmarkStart w:id="168" w:name="_Toc104197257"/>
      <w:bookmarkStart w:id="169" w:name="_Toc16595"/>
      <w:bookmarkStart w:id="170" w:name="_Toc121835990"/>
    </w:p>
    <w:p>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480" w:lineRule="auto"/>
        <w:ind w:right="140"/>
        <w:jc w:val="center"/>
        <w:outlineLvl w:val="1"/>
        <w:rPr>
          <w:rFonts w:hint="eastAsia" w:ascii="宋体" w:hAnsi="宋体" w:eastAsia="宋体" w:cs="宋体"/>
          <w:b/>
          <w:bCs/>
          <w:color w:val="auto"/>
          <w:kern w:val="10"/>
          <w:sz w:val="28"/>
          <w:szCs w:val="28"/>
          <w:highlight w:val="none"/>
          <w:shd w:val="clear" w:color="auto" w:fill="FFFFFF" w:themeFill="background1"/>
        </w:rPr>
      </w:pPr>
      <w:r>
        <w:rPr>
          <w:rFonts w:hint="eastAsia" w:ascii="宋体" w:hAnsi="宋体" w:eastAsia="宋体" w:cs="宋体"/>
          <w:b/>
          <w:bCs/>
          <w:color w:val="auto"/>
          <w:kern w:val="10"/>
          <w:sz w:val="28"/>
          <w:szCs w:val="28"/>
          <w:highlight w:val="none"/>
          <w:shd w:val="clear" w:color="auto" w:fill="FFFFFF" w:themeFill="background1"/>
        </w:rPr>
        <w:t>（二）监狱企业证明材料</w:t>
      </w:r>
      <w:bookmarkEnd w:id="166"/>
      <w:bookmarkEnd w:id="167"/>
      <w:bookmarkEnd w:id="168"/>
      <w:bookmarkEnd w:id="169"/>
      <w:bookmarkEnd w:id="170"/>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p>
    <w:p>
      <w:pPr>
        <w:spacing w:line="360" w:lineRule="auto"/>
        <w:ind w:firstLine="504" w:firstLineChars="200"/>
        <w:jc w:val="left"/>
        <w:outlineLvl w:val="1"/>
        <w:rPr>
          <w:rFonts w:hint="eastAsia" w:ascii="宋体" w:hAnsi="宋体" w:eastAsia="宋体" w:cs="宋体"/>
          <w:color w:val="auto"/>
          <w:spacing w:val="6"/>
          <w:sz w:val="24"/>
          <w:highlight w:val="none"/>
          <w:shd w:val="clear" w:color="auto" w:fill="FFFFFF" w:themeFill="background1"/>
        </w:rPr>
      </w:pPr>
      <w:bookmarkStart w:id="171" w:name="_Toc121835991"/>
      <w:r>
        <w:rPr>
          <w:rFonts w:hint="eastAsia" w:ascii="宋体" w:hAnsi="宋体" w:eastAsia="宋体" w:cs="宋体"/>
          <w:color w:val="auto"/>
          <w:spacing w:val="6"/>
          <w:sz w:val="24"/>
          <w:highlight w:val="none"/>
          <w:shd w:val="clear" w:color="auto" w:fill="FFFFFF" w:themeFill="background1"/>
        </w:rPr>
        <w:t>监狱企业参加政府采购活动时，应当提供由省级以上监狱管理局、戒毒管理局（含新疆生产建设兵团）出具的属于监狱企业的证明文件。</w:t>
      </w:r>
      <w:bookmarkEnd w:id="171"/>
    </w:p>
    <w:p>
      <w:pPr>
        <w:spacing w:line="360" w:lineRule="auto"/>
        <w:ind w:firstLine="561" w:firstLineChars="200"/>
        <w:jc w:val="left"/>
        <w:outlineLvl w:val="1"/>
        <w:rPr>
          <w:rFonts w:hint="eastAsia" w:ascii="宋体" w:hAnsi="宋体" w:eastAsia="宋体" w:cs="宋体"/>
          <w:b/>
          <w:bCs/>
          <w:color w:val="auto"/>
          <w:kern w:val="10"/>
          <w:sz w:val="28"/>
          <w:szCs w:val="28"/>
          <w:highlight w:val="none"/>
          <w:shd w:val="clear" w:color="auto" w:fill="FFFFFF" w:themeFill="background1"/>
          <w:lang w:val="en-GB"/>
        </w:rPr>
      </w:pPr>
    </w:p>
    <w:p>
      <w:pPr>
        <w:widowControl/>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（提醒：如果</w:t>
      </w:r>
      <w:r>
        <w:rPr>
          <w:rFonts w:hint="eastAsia" w:ascii="宋体" w:hAnsi="宋体" w:eastAsia="宋体" w:cs="宋体"/>
          <w:b/>
          <w:color w:val="auto"/>
          <w:sz w:val="24"/>
          <w:highlight w:val="none"/>
          <w:lang w:eastAsia="zh-CN"/>
        </w:rPr>
        <w:t>供应商</w:t>
      </w:r>
      <w:r>
        <w:rPr>
          <w:rFonts w:hint="eastAsia" w:ascii="宋体" w:hAnsi="宋体" w:eastAsia="宋体" w:cs="宋体"/>
          <w:b/>
          <w:color w:val="auto"/>
          <w:spacing w:val="10"/>
          <w:kern w:val="0"/>
          <w:sz w:val="24"/>
          <w:highlight w:val="none"/>
        </w:rPr>
        <w:t>不是</w:t>
      </w:r>
      <w:r>
        <w:rPr>
          <w:rFonts w:hint="eastAsia" w:ascii="宋体" w:hAnsi="宋体" w:eastAsia="宋体" w:cs="宋体"/>
          <w:b/>
          <w:bCs/>
          <w:color w:val="auto"/>
          <w:sz w:val="24"/>
          <w:highlight w:val="none"/>
          <w:lang w:val="en-GB"/>
        </w:rPr>
        <w:t>监狱企业</w:t>
      </w:r>
      <w:r>
        <w:rPr>
          <w:rFonts w:hint="eastAsia" w:ascii="宋体" w:hAnsi="宋体" w:eastAsia="宋体" w:cs="宋体"/>
          <w:b/>
          <w:color w:val="auto"/>
          <w:sz w:val="24"/>
          <w:highlight w:val="none"/>
        </w:rPr>
        <w:t>，则不需要提供</w:t>
      </w:r>
      <w:r>
        <w:rPr>
          <w:rFonts w:hint="eastAsia" w:ascii="宋体" w:hAnsi="宋体" w:eastAsia="宋体" w:cs="宋体"/>
          <w:b/>
          <w:color w:val="auto"/>
          <w:sz w:val="24"/>
          <w:highlight w:val="none"/>
          <w:lang w:val="en-GB"/>
        </w:rPr>
        <w:t>监狱企业证明材料</w:t>
      </w:r>
      <w:r>
        <w:rPr>
          <w:rFonts w:hint="eastAsia" w:ascii="宋体" w:hAnsi="宋体" w:eastAsia="宋体" w:cs="宋体"/>
          <w:b/>
          <w:color w:val="auto"/>
          <w:sz w:val="24"/>
          <w:highlight w:val="none"/>
        </w:rPr>
        <w:t>）</w:t>
      </w: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rPr>
          <w:rFonts w:hint="eastAsia" w:ascii="宋体" w:hAnsi="宋体" w:eastAsia="宋体" w:cs="宋体"/>
          <w:b/>
          <w:bCs/>
          <w:color w:val="auto"/>
          <w:kern w:val="10"/>
          <w:sz w:val="28"/>
          <w:szCs w:val="28"/>
          <w:highlight w:val="none"/>
          <w:shd w:val="clear" w:color="auto" w:fill="FFFFFF" w:themeFill="background1"/>
        </w:rPr>
      </w:pPr>
      <w:r>
        <w:rPr>
          <w:rFonts w:hint="eastAsia" w:ascii="宋体" w:hAnsi="宋体" w:eastAsia="宋体" w:cs="宋体"/>
          <w:b/>
          <w:bCs/>
          <w:color w:val="auto"/>
          <w:kern w:val="10"/>
          <w:sz w:val="28"/>
          <w:szCs w:val="28"/>
          <w:highlight w:val="none"/>
          <w:shd w:val="clear" w:color="auto" w:fill="FFFFFF" w:themeFill="background1"/>
        </w:rPr>
        <w:br w:type="page"/>
      </w: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both"/>
        <w:outlineLvl w:val="1"/>
        <w:rPr>
          <w:rFonts w:hint="eastAsia" w:ascii="宋体" w:hAnsi="宋体" w:eastAsia="宋体" w:cs="宋体"/>
          <w:b/>
          <w:bCs/>
          <w:color w:val="auto"/>
          <w:kern w:val="10"/>
          <w:sz w:val="28"/>
          <w:szCs w:val="28"/>
          <w:highlight w:val="none"/>
          <w:shd w:val="clear" w:color="auto" w:fill="FFFFFF" w:themeFill="background1"/>
        </w:rPr>
      </w:pPr>
    </w:p>
    <w:p>
      <w:pPr>
        <w:spacing w:line="360" w:lineRule="auto"/>
        <w:jc w:val="center"/>
        <w:outlineLvl w:val="1"/>
        <w:rPr>
          <w:rFonts w:hint="eastAsia" w:ascii="宋体" w:hAnsi="宋体" w:eastAsia="宋体" w:cs="宋体"/>
          <w:b/>
          <w:bCs/>
          <w:color w:val="auto"/>
          <w:kern w:val="10"/>
          <w:sz w:val="28"/>
          <w:szCs w:val="28"/>
          <w:highlight w:val="none"/>
          <w:shd w:val="clear" w:color="auto" w:fill="FFFFFF" w:themeFill="background1"/>
        </w:rPr>
      </w:pPr>
      <w:bookmarkStart w:id="172" w:name="_Toc121835992"/>
      <w:r>
        <w:rPr>
          <w:rFonts w:hint="eastAsia" w:ascii="宋体" w:hAnsi="宋体" w:eastAsia="宋体" w:cs="宋体"/>
          <w:b/>
          <w:bCs/>
          <w:color w:val="auto"/>
          <w:kern w:val="10"/>
          <w:sz w:val="28"/>
          <w:szCs w:val="28"/>
          <w:highlight w:val="none"/>
          <w:shd w:val="clear" w:color="auto" w:fill="FFFFFF" w:themeFill="background1"/>
        </w:rPr>
        <w:t>（三）残疾人福利性单位声明函</w:t>
      </w:r>
      <w:bookmarkEnd w:id="172"/>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单位的</w:t>
      </w:r>
      <w:r>
        <w:rPr>
          <w:rFonts w:hint="eastAsia" w:ascii="宋体" w:hAnsi="宋体" w:eastAsia="宋体" w:cs="宋体"/>
          <w:color w:val="auto"/>
          <w:spacing w:val="6"/>
          <w:sz w:val="24"/>
          <w:highlight w:val="none"/>
          <w:u w:val="single"/>
          <w:shd w:val="clear" w:color="auto" w:fill="FFFFFF" w:themeFill="background1"/>
        </w:rPr>
        <w:t xml:space="preserve">      </w:t>
      </w:r>
      <w:r>
        <w:rPr>
          <w:rFonts w:hint="eastAsia" w:ascii="宋体" w:hAnsi="宋体" w:eastAsia="宋体" w:cs="宋体"/>
          <w:color w:val="auto"/>
          <w:spacing w:val="6"/>
          <w:sz w:val="24"/>
          <w:highlight w:val="none"/>
          <w:shd w:val="clear" w:color="auto" w:fill="FFFFFF" w:themeFill="background1"/>
        </w:rPr>
        <w:t>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本单位对上述声明的真实性负责。如有虚假，将依法承担相应责任。</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p>
    <w:p>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 xml:space="preserve">        单位名称（盖章）：</w:t>
      </w:r>
    </w:p>
    <w:p>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日  期：</w:t>
      </w:r>
    </w:p>
    <w:p>
      <w:pPr>
        <w:spacing w:line="360" w:lineRule="auto"/>
        <w:ind w:firstLine="504" w:firstLineChars="200"/>
        <w:jc w:val="center"/>
        <w:rPr>
          <w:rFonts w:hint="eastAsia" w:ascii="宋体" w:hAnsi="宋体" w:eastAsia="宋体" w:cs="宋体"/>
          <w:color w:val="auto"/>
          <w:spacing w:val="6"/>
          <w:sz w:val="24"/>
          <w:highlight w:val="none"/>
          <w:shd w:val="clear" w:color="auto" w:fill="FFFFFF" w:themeFill="background1"/>
        </w:rPr>
      </w:pPr>
    </w:p>
    <w:p>
      <w:pPr>
        <w:spacing w:line="360" w:lineRule="auto"/>
        <w:ind w:firstLine="504" w:firstLineChars="200"/>
        <w:rPr>
          <w:rFonts w:hint="eastAsia" w:ascii="宋体" w:hAnsi="宋体" w:eastAsia="宋体" w:cs="宋体"/>
          <w:b/>
          <w:color w:val="auto"/>
          <w:spacing w:val="6"/>
          <w:sz w:val="24"/>
          <w:highlight w:val="none"/>
          <w:shd w:val="clear" w:color="auto" w:fill="FFFFFF" w:themeFill="background1"/>
        </w:rPr>
      </w:pPr>
      <w:r>
        <w:rPr>
          <w:rFonts w:hint="eastAsia" w:ascii="宋体" w:hAnsi="宋体" w:eastAsia="宋体" w:cs="宋体"/>
          <w:b/>
          <w:color w:val="auto"/>
          <w:spacing w:val="6"/>
          <w:sz w:val="24"/>
          <w:highlight w:val="none"/>
          <w:shd w:val="clear" w:color="auto" w:fill="FFFFFF" w:themeFill="background1"/>
        </w:rPr>
        <w:t>（提醒：如果</w:t>
      </w:r>
      <w:r>
        <w:rPr>
          <w:rFonts w:hint="eastAsia" w:ascii="宋体" w:hAnsi="宋体" w:eastAsia="宋体" w:cs="宋体"/>
          <w:b/>
          <w:color w:val="auto"/>
          <w:spacing w:val="6"/>
          <w:sz w:val="24"/>
          <w:highlight w:val="none"/>
          <w:shd w:val="clear" w:color="auto" w:fill="FFFFFF" w:themeFill="background1"/>
          <w:lang w:eastAsia="zh-CN"/>
        </w:rPr>
        <w:t>供应商</w:t>
      </w:r>
      <w:r>
        <w:rPr>
          <w:rFonts w:hint="eastAsia" w:ascii="宋体" w:hAnsi="宋体" w:eastAsia="宋体" w:cs="宋体"/>
          <w:b/>
          <w:color w:val="auto"/>
          <w:spacing w:val="6"/>
          <w:sz w:val="24"/>
          <w:highlight w:val="none"/>
          <w:shd w:val="clear" w:color="auto" w:fill="FFFFFF" w:themeFill="background1"/>
        </w:rPr>
        <w:t>不是残疾人福利性单位，则不需要提供本声明函。）</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《财政部民政部中国残疾人联合会关于促进残疾人就业政府采购政策的通知》（财库（2017〔141〕号）的规定：</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 享受政府采购支持政策的残疾人福利性单位应当同时满足以下条件：</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（1）安置的残疾人占本单位在职职工人数的比例不低于25%（含25%），并且安置的残疾人人数不少于10人（含10人）；</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（2）依法与安置的每位残疾人签订了一年以上（含一年）的劳动合同或服务协议；</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（3）为安置的每位残疾人按月足额缴纳了基本养老保险、基本医疗保险、失业保险、工伤保险和生育保险等社会保险费；</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（4）通过银行等金融机构向安置的每位残疾人，按月支付了不低于单位所在区县适用的经省级人民政府批准的月最低工资标准的工资；</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（5）提供本单位制造的货物、承担的工程或者服务（以下简称产品），或者提供其他残疾人福利性单位制造的货物（不包括使用非残疾人福利性单位注册商标的货物）。</w:t>
      </w:r>
    </w:p>
    <w:p>
      <w:pPr>
        <w:spacing w:line="360" w:lineRule="auto"/>
        <w:ind w:firstLine="504" w:firstLineChars="200"/>
        <w:rPr>
          <w:rFonts w:hint="eastAsia" w:ascii="宋体" w:hAnsi="宋体" w:eastAsia="宋体" w:cs="宋体"/>
          <w:color w:val="auto"/>
          <w:spacing w:val="6"/>
          <w:sz w:val="24"/>
          <w:highlight w:val="none"/>
          <w:shd w:val="clear" w:color="auto" w:fill="FFFFFF" w:themeFill="background1"/>
        </w:rPr>
      </w:pPr>
      <w:r>
        <w:rPr>
          <w:rFonts w:hint="eastAsia" w:ascii="宋体" w:hAnsi="宋体" w:eastAsia="宋体" w:cs="宋体"/>
          <w:color w:val="auto"/>
          <w:spacing w:val="6"/>
          <w:sz w:val="24"/>
          <w:highlight w:val="none"/>
          <w:shd w:val="clear" w:color="auto" w:fill="FFFFFF" w:themeFill="background1"/>
        </w:rPr>
        <w:t xml:space="preserve">2. </w:t>
      </w:r>
      <w:r>
        <w:rPr>
          <w:rFonts w:hint="eastAsia" w:ascii="宋体" w:hAnsi="宋体" w:eastAsia="宋体" w:cs="宋体"/>
          <w:color w:val="auto"/>
          <w:spacing w:val="6"/>
          <w:sz w:val="24"/>
          <w:highlight w:val="none"/>
          <w:shd w:val="clear" w:color="auto" w:fill="FFFFFF" w:themeFill="background1"/>
          <w:lang w:eastAsia="zh-CN"/>
        </w:rPr>
        <w:t>成交人</w:t>
      </w:r>
      <w:r>
        <w:rPr>
          <w:rFonts w:hint="eastAsia" w:ascii="宋体" w:hAnsi="宋体" w:eastAsia="宋体" w:cs="宋体"/>
          <w:color w:val="auto"/>
          <w:spacing w:val="6"/>
          <w:sz w:val="24"/>
          <w:highlight w:val="none"/>
          <w:shd w:val="clear" w:color="auto" w:fill="FFFFFF" w:themeFill="background1"/>
        </w:rPr>
        <w:t>为残疾人福利性单位的，采购人或者其委托的采购代理机构应当随成交结果同时公告其《残疾人福利性单位声明函》，接受社会监督。</w:t>
      </w:r>
    </w:p>
    <w:bookmarkEnd w:id="156"/>
    <w:bookmarkEnd w:id="157"/>
    <w:bookmarkEnd w:id="158"/>
    <w:bookmarkEnd w:id="159"/>
    <w:p>
      <w:pPr>
        <w:rPr>
          <w:rFonts w:hint="eastAsia" w:ascii="宋体" w:hAnsi="宋体" w:eastAsia="宋体" w:cs="宋体"/>
          <w:b/>
          <w:bCs/>
          <w:color w:val="auto"/>
          <w:sz w:val="32"/>
          <w:szCs w:val="32"/>
          <w:highlight w:val="none"/>
          <w:shd w:val="clear" w:color="auto" w:fill="FFFFFF" w:themeFill="background1"/>
        </w:rPr>
      </w:pPr>
      <w:bookmarkStart w:id="173" w:name="_Toc8739162"/>
      <w:bookmarkStart w:id="174" w:name="_Toc1049896"/>
      <w:bookmarkStart w:id="175" w:name="_Toc121835993"/>
      <w:r>
        <w:rPr>
          <w:rFonts w:hint="eastAsia" w:ascii="宋体" w:hAnsi="宋体" w:eastAsia="宋体" w:cs="宋体"/>
          <w:b/>
          <w:bCs/>
          <w:color w:val="auto"/>
          <w:sz w:val="32"/>
          <w:szCs w:val="32"/>
          <w:highlight w:val="none"/>
          <w:shd w:val="clear" w:color="auto" w:fill="FFFFFF" w:themeFill="background1"/>
        </w:rPr>
        <w:br w:type="page"/>
      </w:r>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r>
        <w:rPr>
          <w:rFonts w:hint="eastAsia" w:ascii="宋体" w:hAnsi="宋体" w:eastAsia="宋体" w:cs="宋体"/>
          <w:b/>
          <w:bCs/>
          <w:color w:val="auto"/>
          <w:sz w:val="32"/>
          <w:szCs w:val="32"/>
          <w:highlight w:val="none"/>
          <w:shd w:val="clear" w:color="auto" w:fill="FFFFFF" w:themeFill="background1"/>
        </w:rPr>
        <w:t>八、资格证明文件</w:t>
      </w:r>
      <w:bookmarkEnd w:id="173"/>
      <w:bookmarkEnd w:id="174"/>
      <w:bookmarkEnd w:id="175"/>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1、满足《中华人民共和国政府采购法》第二十二条规定</w:t>
      </w:r>
      <w:r>
        <w:rPr>
          <w:rFonts w:hint="eastAsia" w:ascii="宋体" w:hAnsi="宋体" w:eastAsia="宋体" w:cs="宋体"/>
          <w:color w:val="auto"/>
          <w:kern w:val="0"/>
          <w:sz w:val="24"/>
          <w:highlight w:val="none"/>
          <w:shd w:val="clear" w:color="auto" w:fill="FFFFFF" w:themeFill="background1"/>
          <w:lang w:eastAsia="zh-CN"/>
        </w:rPr>
        <w:t>，</w:t>
      </w:r>
      <w:r>
        <w:rPr>
          <w:rFonts w:hint="eastAsia" w:ascii="宋体" w:hAnsi="宋体" w:eastAsia="宋体" w:cs="宋体"/>
          <w:color w:val="auto"/>
          <w:kern w:val="0"/>
          <w:sz w:val="24"/>
          <w:highlight w:val="none"/>
          <w:shd w:val="clear" w:color="auto" w:fill="FFFFFF" w:themeFill="background1"/>
          <w:lang w:val="en-US" w:eastAsia="zh-CN"/>
        </w:rPr>
        <w:t>供应商应提供承诺书</w:t>
      </w:r>
      <w:r>
        <w:rPr>
          <w:rFonts w:hint="eastAsia" w:ascii="宋体" w:hAnsi="宋体" w:eastAsia="宋体" w:cs="宋体"/>
          <w:color w:val="auto"/>
          <w:kern w:val="0"/>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2、落实政府采购政策满足的资格要求：本项目支持小微（监狱、残疾人福利性单位）企业扶持等相关政府采购政策。</w:t>
      </w:r>
    </w:p>
    <w:p>
      <w:pPr>
        <w:widowControl/>
        <w:spacing w:line="360" w:lineRule="auto"/>
        <w:ind w:firstLine="480" w:firstLineChars="200"/>
        <w:rPr>
          <w:rFonts w:hint="eastAsia" w:ascii="宋体" w:hAnsi="宋体" w:eastAsia="宋体" w:cs="宋体"/>
          <w:color w:val="auto"/>
          <w:kern w:val="0"/>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3、本项目的特定资格要求</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.1</w:t>
      </w:r>
      <w:r>
        <w:rPr>
          <w:rFonts w:hint="eastAsia" w:ascii="宋体" w:hAnsi="宋体" w:eastAsia="宋体" w:cs="宋体"/>
          <w:color w:val="auto"/>
          <w:kern w:val="0"/>
          <w:sz w:val="24"/>
          <w:highlight w:val="none"/>
          <w:shd w:val="clear" w:color="auto" w:fill="FFFFFF" w:themeFill="background1"/>
        </w:rPr>
        <w:t xml:space="preserve"> 供应商具有合格有效</w:t>
      </w:r>
      <w:r>
        <w:rPr>
          <w:rFonts w:hint="eastAsia" w:ascii="宋体" w:hAnsi="宋体" w:eastAsia="宋体" w:cs="宋体"/>
          <w:color w:val="auto"/>
          <w:sz w:val="24"/>
          <w:highlight w:val="none"/>
          <w:shd w:val="clear" w:color="auto" w:fill="FFFFFF" w:themeFill="background1"/>
        </w:rPr>
        <w:t>的营业执照；</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2</w:t>
      </w:r>
      <w:r>
        <w:rPr>
          <w:rFonts w:hint="eastAsia" w:ascii="宋体" w:hAnsi="宋体" w:eastAsia="宋体" w:cs="宋体"/>
          <w:color w:val="auto"/>
          <w:sz w:val="24"/>
          <w:highlight w:val="none"/>
          <w:shd w:val="clear" w:color="auto" w:fill="FFFFFF" w:themeFill="background1"/>
        </w:rPr>
        <w:t xml:space="preserve"> 提供本企业无商业贿赂和不正当竞争行为承诺书；</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3根据《关于在政府采购活动中查询及使用信用记录有关问题的通知》 (财库 [2016]125 号)和豫财购【2016】15 号的规定，对列入失信被执行人、重大税收违法失信主体、政府采购严重违法失信行为记录名单的投标人，拒绝参与本项目采购活动；须提供中国执行信息公开网（http://zxgk.court.gov.cn/）关于“失信被执行人 ”查询 截图；信用中国(www.creditchina.gov.cn）关于“重大税收违法失信主体 ”查询截图; 中国政府采购网（www.ccgp.gov.cn）关于“政府采购严重违法失信行为记录名单 ”查询截图。查询日期自公告发布之日起，查询截止时间为投标截止时间止</w:t>
      </w:r>
      <w:r>
        <w:rPr>
          <w:rFonts w:hint="eastAsia" w:ascii="宋体" w:hAnsi="宋体" w:eastAsia="宋体" w:cs="宋体"/>
          <w:color w:val="auto"/>
          <w:sz w:val="24"/>
          <w:highlight w:val="none"/>
          <w:shd w:val="clear" w:color="auto" w:fill="FFFFFF" w:themeFill="background1"/>
        </w:rPr>
        <w:t>；</w:t>
      </w:r>
    </w:p>
    <w:p>
      <w:pPr>
        <w:widowControl/>
        <w:spacing w:line="360" w:lineRule="auto"/>
        <w:ind w:firstLine="480" w:firstLineChars="200"/>
        <w:rPr>
          <w:rFonts w:hint="eastAsia" w:ascii="宋体" w:hAnsi="宋体" w:eastAsia="宋体" w:cs="宋体"/>
          <w:color w:val="auto"/>
          <w:sz w:val="24"/>
          <w:highlight w:val="none"/>
          <w:shd w:val="clear" w:color="auto" w:fill="FFFFFF" w:themeFill="background1"/>
        </w:rPr>
      </w:pPr>
      <w:r>
        <w:rPr>
          <w:rFonts w:hint="eastAsia" w:ascii="宋体" w:hAnsi="宋体" w:eastAsia="宋体" w:cs="宋体"/>
          <w:color w:val="auto"/>
          <w:kern w:val="0"/>
          <w:sz w:val="24"/>
          <w:highlight w:val="none"/>
          <w:shd w:val="clear" w:color="auto" w:fill="FFFFFF" w:themeFill="background1"/>
        </w:rPr>
        <w:t>3.</w:t>
      </w:r>
      <w:r>
        <w:rPr>
          <w:rFonts w:hint="eastAsia" w:ascii="宋体" w:hAnsi="宋体" w:eastAsia="宋体" w:cs="宋体"/>
          <w:color w:val="auto"/>
          <w:kern w:val="0"/>
          <w:sz w:val="24"/>
          <w:highlight w:val="none"/>
          <w:shd w:val="clear" w:color="auto" w:fill="FFFFFF" w:themeFill="background1"/>
          <w:lang w:val="en-US" w:eastAsia="zh-CN"/>
        </w:rPr>
        <w:t>4</w:t>
      </w:r>
      <w:r>
        <w:rPr>
          <w:rFonts w:hint="eastAsia" w:ascii="宋体" w:hAnsi="宋体" w:eastAsia="宋体" w:cs="宋体"/>
          <w:color w:val="auto"/>
          <w:sz w:val="24"/>
          <w:highlight w:val="none"/>
          <w:shd w:val="clear" w:color="auto" w:fill="FFFFFF" w:themeFill="background1"/>
        </w:rPr>
        <w:t xml:space="preserve"> 本项目不接受</w:t>
      </w:r>
      <w:r>
        <w:rPr>
          <w:rFonts w:hint="eastAsia" w:ascii="宋体" w:hAnsi="宋体" w:eastAsia="宋体" w:cs="宋体"/>
          <w:color w:val="auto"/>
          <w:sz w:val="24"/>
          <w:highlight w:val="none"/>
          <w:shd w:val="clear" w:color="auto" w:fill="FFFFFF" w:themeFill="background1"/>
          <w:lang w:val="en-US" w:eastAsia="zh-CN"/>
        </w:rPr>
        <w:t>联合体磋商</w:t>
      </w:r>
      <w:r>
        <w:rPr>
          <w:rFonts w:hint="eastAsia" w:ascii="宋体" w:hAnsi="宋体" w:eastAsia="宋体" w:cs="宋体"/>
          <w:color w:val="auto"/>
          <w:sz w:val="24"/>
          <w:highlight w:val="none"/>
          <w:shd w:val="clear" w:color="auto" w:fill="FFFFFF" w:themeFill="background1"/>
        </w:rPr>
        <w:t>；</w:t>
      </w:r>
    </w:p>
    <w:p>
      <w:pPr>
        <w:pStyle w:val="3"/>
        <w:spacing w:line="291" w:lineRule="auto"/>
        <w:rPr>
          <w:rFonts w:hint="eastAsia" w:ascii="宋体" w:hAnsi="宋体" w:eastAsia="宋体" w:cs="宋体"/>
          <w:color w:val="auto"/>
        </w:rPr>
      </w:pPr>
    </w:p>
    <w:p>
      <w:pPr>
        <w:spacing w:before="202" w:line="222" w:lineRule="auto"/>
        <w:ind w:left="3330"/>
        <w:rPr>
          <w:rFonts w:hint="eastAsia" w:ascii="宋体" w:hAnsi="宋体" w:eastAsia="宋体" w:cs="宋体"/>
          <w:b/>
          <w:bCs/>
          <w:color w:val="auto"/>
          <w:spacing w:val="-4"/>
          <w:sz w:val="24"/>
          <w:szCs w:val="24"/>
          <w:lang w:eastAsia="zh-CN"/>
        </w:rPr>
      </w:pPr>
    </w:p>
    <w:p>
      <w:pPr>
        <w:rPr>
          <w:rFonts w:hint="eastAsia" w:ascii="宋体" w:hAnsi="宋体" w:eastAsia="宋体" w:cs="宋体"/>
          <w:b/>
          <w:bCs/>
          <w:color w:val="auto"/>
          <w:spacing w:val="-4"/>
          <w:sz w:val="24"/>
          <w:szCs w:val="24"/>
          <w:lang w:eastAsia="zh-CN"/>
        </w:rPr>
      </w:pPr>
      <w:r>
        <w:rPr>
          <w:rFonts w:hint="eastAsia" w:ascii="宋体" w:hAnsi="宋体" w:eastAsia="宋体" w:cs="宋体"/>
          <w:b/>
          <w:bCs/>
          <w:color w:val="auto"/>
          <w:spacing w:val="-4"/>
          <w:sz w:val="24"/>
          <w:szCs w:val="24"/>
          <w:lang w:eastAsia="zh-CN"/>
        </w:rPr>
        <w:br w:type="page"/>
      </w:r>
    </w:p>
    <w:p>
      <w:pPr>
        <w:spacing w:before="202" w:line="222" w:lineRule="auto"/>
        <w:ind w:left="3330"/>
        <w:rPr>
          <w:rFonts w:hint="eastAsia" w:ascii="宋体" w:hAnsi="宋体" w:eastAsia="宋体" w:cs="宋体"/>
          <w:color w:val="auto"/>
          <w:sz w:val="28"/>
          <w:szCs w:val="28"/>
        </w:rPr>
      </w:pPr>
      <w:r>
        <w:rPr>
          <w:rFonts w:hint="eastAsia" w:ascii="宋体" w:hAnsi="宋体" w:eastAsia="宋体" w:cs="宋体"/>
          <w:b/>
          <w:bCs/>
          <w:color w:val="auto"/>
          <w:spacing w:val="-4"/>
          <w:sz w:val="28"/>
          <w:szCs w:val="28"/>
          <w:lang w:eastAsia="zh-CN"/>
        </w:rPr>
        <w:t>供应商</w:t>
      </w:r>
      <w:r>
        <w:rPr>
          <w:rFonts w:hint="eastAsia" w:ascii="宋体" w:hAnsi="宋体" w:eastAsia="宋体" w:cs="宋体"/>
          <w:b/>
          <w:bCs/>
          <w:color w:val="auto"/>
          <w:spacing w:val="-4"/>
          <w:sz w:val="28"/>
          <w:szCs w:val="28"/>
        </w:rPr>
        <w:t>承诺书（格式）</w:t>
      </w:r>
    </w:p>
    <w:p>
      <w:pPr>
        <w:pStyle w:val="3"/>
        <w:spacing w:line="292" w:lineRule="auto"/>
        <w:rPr>
          <w:rFonts w:hint="eastAsia" w:ascii="宋体" w:hAnsi="宋体" w:eastAsia="宋体" w:cs="宋体"/>
          <w:color w:val="auto"/>
        </w:rPr>
      </w:pPr>
    </w:p>
    <w:p>
      <w:pPr>
        <w:pStyle w:val="3"/>
        <w:spacing w:line="292" w:lineRule="auto"/>
        <w:rPr>
          <w:rFonts w:hint="eastAsia" w:ascii="宋体" w:hAnsi="宋体" w:eastAsia="宋体" w:cs="宋体"/>
          <w:color w:val="auto"/>
        </w:rPr>
      </w:pPr>
    </w:p>
    <w:p>
      <w:pPr>
        <w:spacing w:before="78" w:line="221" w:lineRule="auto"/>
        <w:ind w:left="3"/>
        <w:rPr>
          <w:rFonts w:hint="eastAsia" w:ascii="宋体" w:hAnsi="宋体" w:eastAsia="宋体" w:cs="宋体"/>
          <w:color w:val="auto"/>
          <w:sz w:val="24"/>
          <w:szCs w:val="24"/>
        </w:rPr>
      </w:pPr>
      <w:r>
        <w:rPr>
          <w:rFonts w:hint="eastAsia" w:ascii="宋体" w:hAnsi="宋体" w:eastAsia="宋体" w:cs="宋体"/>
          <w:color w:val="auto"/>
          <w:spacing w:val="1"/>
          <w:sz w:val="24"/>
          <w:szCs w:val="24"/>
        </w:rPr>
        <w:t>致</w:t>
      </w:r>
      <w:r>
        <w:rPr>
          <w:rFonts w:hint="eastAsia" w:ascii="宋体" w:hAnsi="宋体" w:eastAsia="宋体" w:cs="宋体"/>
          <w:color w:val="auto"/>
          <w:sz w:val="24"/>
          <w:szCs w:val="24"/>
        </w:rPr>
        <w:t>：</w:t>
      </w:r>
      <w:r>
        <w:rPr>
          <w:rFonts w:hint="eastAsia" w:ascii="宋体" w:hAnsi="宋体" w:eastAsia="宋体" w:cs="宋体"/>
          <w:color w:val="auto"/>
          <w:sz w:val="24"/>
          <w:szCs w:val="24"/>
          <w:u w:val="single" w:color="auto"/>
        </w:rPr>
        <w:t>（</w:t>
      </w:r>
      <w:r>
        <w:rPr>
          <w:rFonts w:hint="eastAsia" w:ascii="宋体" w:hAnsi="宋体" w:eastAsia="宋体" w:cs="宋体"/>
          <w:color w:val="auto"/>
          <w:spacing w:val="1"/>
          <w:sz w:val="24"/>
          <w:szCs w:val="24"/>
          <w:u w:val="single" w:color="auto"/>
        </w:rPr>
        <w:t>采购人名称/代理机构名称</w:t>
      </w:r>
      <w:r>
        <w:rPr>
          <w:rFonts w:hint="eastAsia" w:ascii="宋体" w:hAnsi="宋体" w:eastAsia="宋体" w:cs="宋体"/>
          <w:color w:val="auto"/>
          <w:sz w:val="24"/>
          <w:szCs w:val="24"/>
          <w:u w:val="single" w:color="auto"/>
        </w:rPr>
        <w:t>）：</w:t>
      </w:r>
    </w:p>
    <w:p>
      <w:pPr>
        <w:pStyle w:val="3"/>
        <w:spacing w:line="256" w:lineRule="auto"/>
        <w:rPr>
          <w:rFonts w:hint="eastAsia" w:ascii="宋体" w:hAnsi="宋体" w:eastAsia="宋体" w:cs="宋体"/>
          <w:color w:val="auto"/>
        </w:rPr>
      </w:pPr>
    </w:p>
    <w:p>
      <w:pPr>
        <w:spacing w:before="78" w:line="222" w:lineRule="auto"/>
        <w:ind w:left="489"/>
        <w:rPr>
          <w:rFonts w:hint="eastAsia" w:ascii="宋体" w:hAnsi="宋体" w:eastAsia="宋体" w:cs="宋体"/>
          <w:color w:val="auto"/>
          <w:sz w:val="24"/>
          <w:szCs w:val="24"/>
        </w:rPr>
      </w:pPr>
      <w:r>
        <w:rPr>
          <w:rFonts w:hint="eastAsia" w:ascii="宋体" w:hAnsi="宋体" w:eastAsia="宋体" w:cs="宋体"/>
          <w:color w:val="auto"/>
          <w:spacing w:val="-1"/>
          <w:sz w:val="24"/>
          <w:szCs w:val="24"/>
        </w:rPr>
        <w:t>我方承诺，我方满足 《中华人民共和国政府采购法》第二十二条的所有规定。</w:t>
      </w:r>
    </w:p>
    <w:p>
      <w:pPr>
        <w:spacing w:before="256" w:line="222"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(一)具有独立承担民事责任的能力；</w:t>
      </w:r>
    </w:p>
    <w:p>
      <w:pPr>
        <w:spacing w:before="179" w:line="468" w:lineRule="exact"/>
        <w:ind w:left="515"/>
        <w:rPr>
          <w:rFonts w:hint="eastAsia" w:ascii="宋体" w:hAnsi="宋体" w:eastAsia="宋体" w:cs="宋体"/>
          <w:color w:val="auto"/>
          <w:sz w:val="24"/>
          <w:szCs w:val="24"/>
        </w:rPr>
      </w:pPr>
      <w:r>
        <w:rPr>
          <w:rFonts w:hint="eastAsia" w:ascii="宋体" w:hAnsi="宋体" w:eastAsia="宋体" w:cs="宋体"/>
          <w:color w:val="auto"/>
          <w:spacing w:val="-3"/>
          <w:position w:val="17"/>
          <w:sz w:val="24"/>
          <w:szCs w:val="24"/>
        </w:rPr>
        <w:t>(二)具有良好的商业信誉和健全的财务会计制度；</w:t>
      </w:r>
    </w:p>
    <w:p>
      <w:pPr>
        <w:spacing w:before="1" w:line="220"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(三)具有履行合同所必需的设备和专业技术能力；</w:t>
      </w:r>
    </w:p>
    <w:p>
      <w:pPr>
        <w:spacing w:before="181" w:line="221"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(四)有依法缴纳税收和社会保障资金的良好记录；</w:t>
      </w:r>
    </w:p>
    <w:p>
      <w:pPr>
        <w:spacing w:before="181" w:line="468" w:lineRule="exact"/>
        <w:ind w:left="515"/>
        <w:rPr>
          <w:rFonts w:hint="eastAsia" w:ascii="宋体" w:hAnsi="宋体" w:eastAsia="宋体" w:cs="宋体"/>
          <w:color w:val="auto"/>
          <w:sz w:val="24"/>
          <w:szCs w:val="24"/>
        </w:rPr>
      </w:pPr>
      <w:r>
        <w:rPr>
          <w:rFonts w:hint="eastAsia" w:ascii="宋体" w:hAnsi="宋体" w:eastAsia="宋体" w:cs="宋体"/>
          <w:color w:val="auto"/>
          <w:spacing w:val="-2"/>
          <w:position w:val="17"/>
          <w:sz w:val="24"/>
          <w:szCs w:val="24"/>
        </w:rPr>
        <w:t>(五)参加政府采购活动前三年内，在经营活动中没有重大违法记录；</w:t>
      </w:r>
    </w:p>
    <w:p>
      <w:pPr>
        <w:spacing w:before="1" w:line="220" w:lineRule="auto"/>
        <w:ind w:left="515"/>
        <w:rPr>
          <w:rFonts w:hint="eastAsia" w:ascii="宋体" w:hAnsi="宋体" w:eastAsia="宋体" w:cs="宋体"/>
          <w:color w:val="auto"/>
          <w:sz w:val="24"/>
          <w:szCs w:val="24"/>
        </w:rPr>
      </w:pPr>
      <w:r>
        <w:rPr>
          <w:rFonts w:hint="eastAsia" w:ascii="宋体" w:hAnsi="宋体" w:eastAsia="宋体" w:cs="宋体"/>
          <w:color w:val="auto"/>
          <w:spacing w:val="-3"/>
          <w:sz w:val="24"/>
          <w:szCs w:val="24"/>
        </w:rPr>
        <w:t>(六)法律、行政法规规定的其他条件。</w:t>
      </w:r>
    </w:p>
    <w:p>
      <w:pPr>
        <w:spacing w:before="260" w:line="624" w:lineRule="exact"/>
        <w:jc w:val="right"/>
        <w:rPr>
          <w:rFonts w:hint="eastAsia" w:ascii="宋体" w:hAnsi="宋体" w:eastAsia="宋体" w:cs="宋体"/>
          <w:color w:val="auto"/>
          <w:sz w:val="24"/>
          <w:szCs w:val="24"/>
        </w:rPr>
      </w:pPr>
      <w:r>
        <w:rPr>
          <w:rFonts w:hint="eastAsia" w:ascii="宋体" w:hAnsi="宋体" w:eastAsia="宋体" w:cs="宋体"/>
          <w:color w:val="auto"/>
          <w:spacing w:val="-2"/>
          <w:position w:val="29"/>
          <w:sz w:val="24"/>
          <w:szCs w:val="24"/>
        </w:rPr>
        <w:t>我方保证上述信息的真实和准确，并愿意承担因我方就此弄虚作假所引起</w:t>
      </w:r>
      <w:r>
        <w:rPr>
          <w:rFonts w:hint="eastAsia" w:ascii="宋体" w:hAnsi="宋体" w:eastAsia="宋体" w:cs="宋体"/>
          <w:color w:val="auto"/>
          <w:spacing w:val="-3"/>
          <w:position w:val="29"/>
          <w:sz w:val="24"/>
          <w:szCs w:val="24"/>
        </w:rPr>
        <w:t>的一切法</w:t>
      </w:r>
    </w:p>
    <w:p>
      <w:pPr>
        <w:spacing w:before="1" w:line="222" w:lineRule="auto"/>
        <w:rPr>
          <w:rFonts w:hint="eastAsia" w:ascii="宋体" w:hAnsi="宋体" w:eastAsia="宋体" w:cs="宋体"/>
          <w:color w:val="auto"/>
          <w:sz w:val="24"/>
          <w:szCs w:val="24"/>
        </w:rPr>
      </w:pPr>
      <w:r>
        <w:rPr>
          <w:rFonts w:hint="eastAsia" w:ascii="宋体" w:hAnsi="宋体" w:eastAsia="宋体" w:cs="宋体"/>
          <w:color w:val="auto"/>
          <w:spacing w:val="-4"/>
          <w:sz w:val="24"/>
          <w:szCs w:val="24"/>
        </w:rPr>
        <w:t>律后果。</w:t>
      </w:r>
    </w:p>
    <w:p>
      <w:pPr>
        <w:pStyle w:val="3"/>
        <w:spacing w:line="255" w:lineRule="auto"/>
        <w:rPr>
          <w:rFonts w:hint="eastAsia" w:ascii="宋体" w:hAnsi="宋体" w:eastAsia="宋体" w:cs="宋体"/>
          <w:color w:val="auto"/>
        </w:rPr>
      </w:pPr>
    </w:p>
    <w:p>
      <w:pPr>
        <w:spacing w:before="78" w:line="224" w:lineRule="auto"/>
        <w:ind w:left="480"/>
        <w:rPr>
          <w:rFonts w:hint="eastAsia" w:ascii="宋体" w:hAnsi="宋体" w:eastAsia="宋体" w:cs="宋体"/>
          <w:color w:val="auto"/>
          <w:sz w:val="24"/>
          <w:szCs w:val="24"/>
        </w:rPr>
      </w:pPr>
      <w:r>
        <w:rPr>
          <w:rFonts w:hint="eastAsia" w:ascii="宋体" w:hAnsi="宋体" w:eastAsia="宋体" w:cs="宋体"/>
          <w:color w:val="auto"/>
          <w:spacing w:val="-4"/>
          <w:sz w:val="24"/>
          <w:szCs w:val="24"/>
        </w:rPr>
        <w:t>特此承诺。</w:t>
      </w:r>
    </w:p>
    <w:p>
      <w:pPr>
        <w:pStyle w:val="3"/>
        <w:spacing w:line="270" w:lineRule="auto"/>
        <w:rPr>
          <w:rFonts w:hint="eastAsia" w:ascii="宋体" w:hAnsi="宋体" w:eastAsia="宋体" w:cs="宋体"/>
          <w:color w:val="auto"/>
        </w:rPr>
      </w:pPr>
    </w:p>
    <w:p>
      <w:pPr>
        <w:pStyle w:val="3"/>
        <w:spacing w:line="270" w:lineRule="auto"/>
        <w:rPr>
          <w:rFonts w:hint="eastAsia" w:ascii="宋体" w:hAnsi="宋体" w:eastAsia="宋体" w:cs="宋体"/>
          <w:color w:val="auto"/>
        </w:rPr>
      </w:pPr>
    </w:p>
    <w:p>
      <w:pPr>
        <w:pStyle w:val="3"/>
        <w:spacing w:line="270" w:lineRule="auto"/>
        <w:rPr>
          <w:rFonts w:hint="eastAsia" w:ascii="宋体" w:hAnsi="宋体" w:eastAsia="宋体" w:cs="宋体"/>
          <w:color w:val="auto"/>
        </w:rPr>
      </w:pPr>
    </w:p>
    <w:p>
      <w:pPr>
        <w:pStyle w:val="3"/>
        <w:spacing w:line="271" w:lineRule="auto"/>
        <w:rPr>
          <w:rFonts w:hint="eastAsia" w:ascii="宋体" w:hAnsi="宋体" w:eastAsia="宋体" w:cs="宋体"/>
          <w:color w:val="auto"/>
        </w:rPr>
      </w:pPr>
    </w:p>
    <w:p>
      <w:pPr>
        <w:pStyle w:val="3"/>
        <w:spacing w:line="271" w:lineRule="auto"/>
        <w:rPr>
          <w:rFonts w:hint="eastAsia" w:ascii="宋体" w:hAnsi="宋体" w:eastAsia="宋体" w:cs="宋体"/>
          <w:color w:val="auto"/>
        </w:rPr>
      </w:pPr>
    </w:p>
    <w:p>
      <w:pPr>
        <w:spacing w:before="78" w:line="222" w:lineRule="auto"/>
        <w:ind w:left="5555"/>
        <w:rPr>
          <w:rFonts w:hint="eastAsia" w:ascii="宋体" w:hAnsi="宋体" w:eastAsia="宋体" w:cs="宋体"/>
          <w:color w:val="auto"/>
          <w:sz w:val="24"/>
          <w:szCs w:val="24"/>
        </w:rPr>
      </w:pP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pPr>
        <w:pStyle w:val="3"/>
        <w:spacing w:line="255" w:lineRule="auto"/>
        <w:rPr>
          <w:rFonts w:hint="eastAsia" w:ascii="宋体" w:hAnsi="宋体" w:eastAsia="宋体" w:cs="宋体"/>
          <w:color w:val="auto"/>
        </w:rPr>
      </w:pPr>
    </w:p>
    <w:p>
      <w:pPr>
        <w:spacing w:before="79" w:line="624" w:lineRule="exact"/>
        <w:ind w:left="5562"/>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pPr>
        <w:spacing w:line="222" w:lineRule="auto"/>
        <w:ind w:left="5604"/>
        <w:rPr>
          <w:rFonts w:hint="eastAsia" w:ascii="宋体" w:hAnsi="宋体" w:eastAsia="宋体" w:cs="宋体"/>
          <w:color w:val="auto"/>
          <w:spacing w:val="-20"/>
          <w:sz w:val="24"/>
          <w:szCs w:val="24"/>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p>
    <w:p>
      <w:pPr>
        <w:jc w:val="center"/>
        <w:rPr>
          <w:rFonts w:hint="eastAsia" w:ascii="宋体" w:hAnsi="宋体" w:eastAsia="宋体" w:cs="宋体"/>
          <w:b/>
          <w:bCs/>
          <w:color w:val="auto"/>
          <w:spacing w:val="-4"/>
          <w:sz w:val="28"/>
          <w:szCs w:val="28"/>
          <w:lang w:eastAsia="zh-CN"/>
        </w:rPr>
      </w:pPr>
      <w:r>
        <w:rPr>
          <w:rFonts w:hint="eastAsia" w:ascii="宋体" w:hAnsi="宋体" w:eastAsia="宋体" w:cs="宋体"/>
          <w:color w:val="auto"/>
          <w:spacing w:val="-20"/>
          <w:sz w:val="24"/>
          <w:szCs w:val="24"/>
        </w:rPr>
        <w:br w:type="page"/>
      </w:r>
      <w:r>
        <w:rPr>
          <w:rFonts w:hint="eastAsia" w:ascii="宋体" w:hAnsi="宋体" w:eastAsia="宋体" w:cs="宋体"/>
          <w:b/>
          <w:bCs/>
          <w:color w:val="auto"/>
          <w:spacing w:val="-4"/>
          <w:sz w:val="28"/>
          <w:szCs w:val="28"/>
          <w:lang w:eastAsia="zh-CN"/>
        </w:rPr>
        <w:t>无商业贿赂和不正当竞争行为承诺书（格式）</w:t>
      </w:r>
    </w:p>
    <w:p>
      <w:pPr>
        <w:spacing w:line="480" w:lineRule="exac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spacing w:line="80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我公司郑重承诺：自公司成立以来</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供应商</w:t>
      </w:r>
      <w:r>
        <w:rPr>
          <w:rFonts w:hint="eastAsia" w:ascii="宋体" w:hAnsi="宋体" w:eastAsia="宋体" w:cs="宋体"/>
          <w:color w:val="auto"/>
          <w:sz w:val="24"/>
          <w:highlight w:val="none"/>
          <w:u w:val="single"/>
          <w:lang w:bidi="ar"/>
        </w:rPr>
        <w:t xml:space="preserve">名称）  </w:t>
      </w:r>
      <w:r>
        <w:rPr>
          <w:rFonts w:hint="eastAsia" w:ascii="宋体" w:hAnsi="宋体" w:eastAsia="宋体" w:cs="宋体"/>
          <w:color w:val="auto"/>
          <w:sz w:val="24"/>
          <w:highlight w:val="none"/>
          <w:lang w:bidi="ar"/>
        </w:rPr>
        <w:t>、法定代表人</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 没有出现过商业贿赂和不正当竞争行为。</w:t>
      </w:r>
    </w:p>
    <w:p>
      <w:pPr>
        <w:spacing w:line="80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spacing w:line="480" w:lineRule="exact"/>
        <w:ind w:firstLine="480" w:firstLineChars="200"/>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特此承诺 </w:t>
      </w:r>
    </w:p>
    <w:p>
      <w:pPr>
        <w:spacing w:line="480" w:lineRule="exact"/>
        <w:textAlignment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 xml:space="preserve"> </w:t>
      </w:r>
    </w:p>
    <w:p>
      <w:pPr>
        <w:spacing w:before="78" w:line="222"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pPr>
        <w:pStyle w:val="3"/>
        <w:spacing w:line="255" w:lineRule="auto"/>
        <w:jc w:val="center"/>
        <w:rPr>
          <w:rFonts w:hint="eastAsia" w:ascii="宋体" w:hAnsi="宋体" w:eastAsia="宋体" w:cs="宋体"/>
          <w:color w:val="auto"/>
        </w:rPr>
      </w:pPr>
    </w:p>
    <w:p>
      <w:pPr>
        <w:spacing w:before="79" w:line="624" w:lineRule="exact"/>
        <w:jc w:val="center"/>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lang w:val="en-US" w:eastAsia="zh-CN"/>
        </w:rPr>
        <w:t xml:space="preserve">                                                                 </w:t>
      </w: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pPr>
        <w:spacing w:line="480" w:lineRule="exact"/>
        <w:ind w:firstLine="6800" w:firstLineChars="3400"/>
        <w:textAlignment w:val="center"/>
        <w:rPr>
          <w:rFonts w:hint="eastAsia" w:ascii="宋体" w:hAnsi="宋体" w:eastAsia="宋体" w:cs="宋体"/>
          <w:color w:val="auto"/>
          <w:sz w:val="24"/>
          <w:highlight w:val="none"/>
        </w:r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r>
        <w:rPr>
          <w:rFonts w:hint="eastAsia" w:ascii="宋体" w:hAnsi="宋体" w:eastAsia="宋体" w:cs="宋体"/>
          <w:color w:val="auto"/>
          <w:sz w:val="24"/>
          <w:highlight w:val="none"/>
          <w:lang w:bidi="ar"/>
        </w:rPr>
        <w:t xml:space="preserve"> </w:t>
      </w:r>
    </w:p>
    <w:p>
      <w:pPr>
        <w:rPr>
          <w:rFonts w:hint="eastAsia" w:ascii="宋体" w:hAnsi="宋体" w:eastAsia="宋体" w:cs="宋体"/>
          <w:color w:val="auto"/>
          <w:spacing w:val="-20"/>
          <w:sz w:val="24"/>
          <w:szCs w:val="24"/>
        </w:rPr>
      </w:pPr>
    </w:p>
    <w:p>
      <w:pPr>
        <w:spacing w:line="480" w:lineRule="exact"/>
        <w:jc w:val="center"/>
        <w:textAlignment w:val="center"/>
        <w:rPr>
          <w:rFonts w:hint="eastAsia" w:ascii="宋体" w:hAnsi="宋体" w:eastAsia="宋体" w:cs="宋体"/>
          <w:color w:val="auto"/>
          <w:kern w:val="0"/>
          <w:sz w:val="28"/>
          <w:szCs w:val="28"/>
          <w:highlight w:val="none"/>
          <w:lang w:bidi="ar"/>
        </w:rPr>
      </w:pPr>
    </w:p>
    <w:p>
      <w:pPr>
        <w:spacing w:line="480" w:lineRule="exact"/>
        <w:jc w:val="center"/>
        <w:textAlignment w:val="center"/>
        <w:rPr>
          <w:rFonts w:hint="eastAsia" w:ascii="宋体" w:hAnsi="宋体" w:eastAsia="宋体" w:cs="宋体"/>
          <w:color w:val="auto"/>
          <w:kern w:val="0"/>
          <w:sz w:val="28"/>
          <w:szCs w:val="28"/>
          <w:highlight w:val="none"/>
          <w:lang w:bidi="ar"/>
        </w:rPr>
      </w:pPr>
    </w:p>
    <w:p>
      <w:pPr>
        <w:rPr>
          <w:rFonts w:hint="eastAsia" w:ascii="宋体" w:hAnsi="宋体" w:eastAsia="宋体" w:cs="宋体"/>
          <w:color w:val="auto"/>
          <w:kern w:val="0"/>
          <w:sz w:val="28"/>
          <w:szCs w:val="28"/>
          <w:highlight w:val="none"/>
          <w:lang w:bidi="ar"/>
        </w:rPr>
      </w:pPr>
      <w:r>
        <w:rPr>
          <w:rFonts w:hint="eastAsia" w:ascii="宋体" w:hAnsi="宋体" w:eastAsia="宋体" w:cs="宋体"/>
          <w:color w:val="auto"/>
          <w:kern w:val="0"/>
          <w:sz w:val="28"/>
          <w:szCs w:val="28"/>
          <w:highlight w:val="none"/>
          <w:lang w:bidi="ar"/>
        </w:rPr>
        <w:br w:type="page"/>
      </w:r>
    </w:p>
    <w:p>
      <w:pPr>
        <w:spacing w:line="480" w:lineRule="exact"/>
        <w:jc w:val="center"/>
        <w:textAlignment w:val="center"/>
        <w:rPr>
          <w:rFonts w:hint="eastAsia" w:ascii="宋体" w:hAnsi="宋体" w:eastAsia="宋体" w:cs="宋体"/>
          <w:b/>
          <w:bCs/>
          <w:color w:val="auto"/>
          <w:kern w:val="0"/>
          <w:sz w:val="28"/>
          <w:szCs w:val="28"/>
          <w:highlight w:val="none"/>
          <w:lang w:eastAsia="zh-CN" w:bidi="ar"/>
        </w:rPr>
      </w:pPr>
      <w:r>
        <w:rPr>
          <w:rFonts w:hint="eastAsia" w:ascii="宋体" w:hAnsi="宋体" w:eastAsia="宋体" w:cs="宋体"/>
          <w:b/>
          <w:bCs/>
          <w:color w:val="auto"/>
          <w:kern w:val="0"/>
          <w:sz w:val="28"/>
          <w:szCs w:val="28"/>
          <w:highlight w:val="none"/>
          <w:lang w:bidi="ar"/>
        </w:rPr>
        <w:t>非联合体承诺书</w:t>
      </w:r>
      <w:r>
        <w:rPr>
          <w:rFonts w:hint="eastAsia" w:ascii="宋体" w:hAnsi="宋体" w:eastAsia="宋体" w:cs="宋体"/>
          <w:b/>
          <w:bCs/>
          <w:color w:val="auto"/>
          <w:kern w:val="0"/>
          <w:sz w:val="28"/>
          <w:szCs w:val="28"/>
          <w:highlight w:val="none"/>
          <w:lang w:eastAsia="zh-CN" w:bidi="ar"/>
        </w:rPr>
        <w:t>（</w:t>
      </w:r>
      <w:r>
        <w:rPr>
          <w:rFonts w:hint="eastAsia" w:ascii="宋体" w:hAnsi="宋体" w:eastAsia="宋体" w:cs="宋体"/>
          <w:b/>
          <w:bCs/>
          <w:color w:val="auto"/>
          <w:kern w:val="0"/>
          <w:sz w:val="28"/>
          <w:szCs w:val="28"/>
          <w:highlight w:val="none"/>
          <w:lang w:val="en-US" w:eastAsia="zh-CN" w:bidi="ar"/>
        </w:rPr>
        <w:t>格式</w:t>
      </w:r>
      <w:r>
        <w:rPr>
          <w:rFonts w:hint="eastAsia" w:ascii="宋体" w:hAnsi="宋体" w:eastAsia="宋体" w:cs="宋体"/>
          <w:b/>
          <w:bCs/>
          <w:color w:val="auto"/>
          <w:kern w:val="0"/>
          <w:sz w:val="28"/>
          <w:szCs w:val="28"/>
          <w:highlight w:val="none"/>
          <w:lang w:eastAsia="zh-CN" w:bidi="ar"/>
        </w:rPr>
        <w:t>）</w:t>
      </w:r>
    </w:p>
    <w:p>
      <w:pPr>
        <w:spacing w:line="480" w:lineRule="exact"/>
        <w:jc w:val="center"/>
        <w:textAlignment w:val="center"/>
        <w:rPr>
          <w:rFonts w:hint="eastAsia" w:ascii="宋体" w:hAnsi="宋体" w:eastAsia="宋体" w:cs="宋体"/>
          <w:color w:val="auto"/>
          <w:kern w:val="0"/>
          <w:sz w:val="28"/>
          <w:szCs w:val="28"/>
          <w:highlight w:val="none"/>
          <w:lang w:bidi="ar"/>
        </w:rPr>
      </w:pPr>
    </w:p>
    <w:p>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 xml:space="preserve">致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u w:val="single"/>
          <w:lang w:val="en-US" w:eastAsia="zh-CN" w:bidi="ar"/>
        </w:rPr>
        <w:t xml:space="preserve">  </w:t>
      </w:r>
      <w:r>
        <w:rPr>
          <w:rFonts w:hint="eastAsia" w:ascii="宋体" w:hAnsi="宋体" w:eastAsia="宋体" w:cs="宋体"/>
          <w:color w:val="auto"/>
          <w:sz w:val="24"/>
          <w:highlight w:val="none"/>
          <w:lang w:bidi="ar"/>
        </w:rPr>
        <w:t>（</w:t>
      </w:r>
      <w:r>
        <w:rPr>
          <w:rFonts w:hint="eastAsia" w:ascii="宋体" w:hAnsi="宋体" w:eastAsia="宋体" w:cs="宋体"/>
          <w:color w:val="auto"/>
          <w:sz w:val="24"/>
          <w:highlight w:val="none"/>
          <w:lang w:val="en-US" w:eastAsia="zh-CN" w:bidi="ar"/>
        </w:rPr>
        <w:t>采购人</w:t>
      </w:r>
      <w:r>
        <w:rPr>
          <w:rFonts w:hint="eastAsia" w:ascii="宋体" w:hAnsi="宋体" w:eastAsia="宋体" w:cs="宋体"/>
          <w:color w:val="auto"/>
          <w:sz w:val="24"/>
          <w:highlight w:val="none"/>
          <w:lang w:bidi="ar"/>
        </w:rPr>
        <w:t>）  ：</w:t>
      </w:r>
    </w:p>
    <w:p>
      <w:pPr>
        <w:spacing w:line="520" w:lineRule="exact"/>
        <w:ind w:firstLine="960" w:firstLineChars="400"/>
        <w:rPr>
          <w:rFonts w:hint="eastAsia" w:ascii="宋体" w:hAnsi="宋体" w:eastAsia="宋体" w:cs="宋体"/>
          <w:color w:val="auto"/>
          <w:sz w:val="24"/>
          <w:highlight w:val="none"/>
          <w:lang w:bidi="ar"/>
        </w:rPr>
      </w:pPr>
    </w:p>
    <w:p>
      <w:pPr>
        <w:spacing w:line="520" w:lineRule="exact"/>
        <w:ind w:firstLine="960" w:firstLineChars="4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我单位于</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年</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月</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 xml:space="preserve">日参加 </w:t>
      </w:r>
      <w:r>
        <w:rPr>
          <w:rFonts w:hint="eastAsia" w:ascii="宋体" w:hAnsi="宋体" w:eastAsia="宋体" w:cs="宋体"/>
          <w:color w:val="auto"/>
          <w:sz w:val="24"/>
          <w:highlight w:val="none"/>
          <w:u w:val="single"/>
          <w:lang w:bidi="ar"/>
        </w:rPr>
        <w:t xml:space="preserve">         </w:t>
      </w:r>
      <w:r>
        <w:rPr>
          <w:rFonts w:hint="eastAsia" w:ascii="宋体" w:hAnsi="宋体" w:eastAsia="宋体" w:cs="宋体"/>
          <w:color w:val="auto"/>
          <w:sz w:val="24"/>
          <w:highlight w:val="none"/>
          <w:lang w:bidi="ar"/>
        </w:rPr>
        <w:t>（项目名称</w:t>
      </w:r>
      <w:r>
        <w:rPr>
          <w:rFonts w:hint="eastAsia" w:ascii="宋体" w:hAnsi="宋体" w:eastAsia="宋体" w:cs="宋体"/>
          <w:color w:val="auto"/>
          <w:sz w:val="24"/>
          <w:highlight w:val="none"/>
          <w:lang w:eastAsia="zh-CN" w:bidi="ar"/>
        </w:rPr>
        <w:t>）</w:t>
      </w:r>
      <w:r>
        <w:rPr>
          <w:rFonts w:hint="eastAsia" w:ascii="宋体" w:hAnsi="宋体" w:eastAsia="宋体" w:cs="宋体"/>
          <w:color w:val="auto"/>
          <w:sz w:val="24"/>
          <w:highlight w:val="none"/>
          <w:lang w:val="en-US" w:eastAsia="zh-CN" w:bidi="ar"/>
        </w:rPr>
        <w:t>竞争性磋商</w:t>
      </w:r>
      <w:r>
        <w:rPr>
          <w:rFonts w:hint="eastAsia" w:ascii="宋体" w:hAnsi="宋体" w:eastAsia="宋体" w:cs="宋体"/>
          <w:color w:val="auto"/>
          <w:sz w:val="24"/>
          <w:highlight w:val="none"/>
          <w:lang w:bidi="ar"/>
        </w:rPr>
        <w:t>活动。</w:t>
      </w:r>
    </w:p>
    <w:p>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我方承诺：本次</w:t>
      </w:r>
      <w:r>
        <w:rPr>
          <w:rFonts w:hint="eastAsia" w:ascii="宋体" w:hAnsi="宋体" w:eastAsia="宋体" w:cs="宋体"/>
          <w:color w:val="auto"/>
          <w:sz w:val="24"/>
          <w:highlight w:val="none"/>
          <w:lang w:val="en-US" w:eastAsia="zh-CN" w:bidi="ar"/>
        </w:rPr>
        <w:t>竞争性磋商过程中，</w:t>
      </w:r>
      <w:r>
        <w:rPr>
          <w:rFonts w:hint="eastAsia" w:ascii="宋体" w:hAnsi="宋体" w:eastAsia="宋体" w:cs="宋体"/>
          <w:color w:val="auto"/>
          <w:sz w:val="24"/>
          <w:highlight w:val="none"/>
          <w:lang w:bidi="ar"/>
        </w:rPr>
        <w:t>我方非联合体参与</w:t>
      </w:r>
      <w:r>
        <w:rPr>
          <w:rFonts w:hint="eastAsia" w:ascii="宋体" w:hAnsi="宋体" w:eastAsia="宋体" w:cs="宋体"/>
          <w:color w:val="auto"/>
          <w:sz w:val="24"/>
          <w:highlight w:val="none"/>
          <w:lang w:val="en-US" w:eastAsia="zh-CN" w:bidi="ar"/>
        </w:rPr>
        <w:t>磋商</w:t>
      </w:r>
      <w:r>
        <w:rPr>
          <w:rFonts w:hint="eastAsia" w:ascii="宋体" w:hAnsi="宋体" w:eastAsia="宋体" w:cs="宋体"/>
          <w:color w:val="auto"/>
          <w:sz w:val="24"/>
          <w:highlight w:val="none"/>
          <w:lang w:bidi="ar"/>
        </w:rPr>
        <w:t>。</w:t>
      </w:r>
    </w:p>
    <w:p>
      <w:pPr>
        <w:spacing w:line="520" w:lineRule="exact"/>
        <w:ind w:firstLine="480" w:firstLineChars="200"/>
        <w:rPr>
          <w:rFonts w:hint="eastAsia" w:ascii="宋体" w:hAnsi="宋体" w:eastAsia="宋体" w:cs="宋体"/>
          <w:color w:val="auto"/>
          <w:sz w:val="24"/>
          <w:highlight w:val="none"/>
          <w:lang w:val="en-US" w:eastAsia="zh-CN" w:bidi="ar"/>
        </w:rPr>
      </w:pPr>
    </w:p>
    <w:p>
      <w:pPr>
        <w:spacing w:line="520" w:lineRule="exact"/>
        <w:ind w:firstLine="480" w:firstLineChars="200"/>
        <w:rPr>
          <w:rFonts w:hint="eastAsia" w:ascii="宋体" w:hAnsi="宋体" w:eastAsia="宋体" w:cs="宋体"/>
          <w:color w:val="auto"/>
          <w:sz w:val="24"/>
          <w:highlight w:val="none"/>
          <w:lang w:bidi="ar"/>
        </w:rPr>
      </w:pPr>
      <w:r>
        <w:rPr>
          <w:rFonts w:hint="eastAsia" w:ascii="宋体" w:hAnsi="宋体" w:eastAsia="宋体" w:cs="宋体"/>
          <w:color w:val="auto"/>
          <w:sz w:val="24"/>
          <w:highlight w:val="none"/>
          <w:lang w:bidi="ar"/>
        </w:rPr>
        <w:t>特此承诺</w:t>
      </w:r>
    </w:p>
    <w:p>
      <w:pPr>
        <w:spacing w:line="520" w:lineRule="exact"/>
        <w:ind w:firstLine="480" w:firstLineChars="200"/>
        <w:rPr>
          <w:rFonts w:hint="eastAsia" w:ascii="宋体" w:hAnsi="宋体" w:eastAsia="宋体" w:cs="宋体"/>
          <w:color w:val="auto"/>
          <w:sz w:val="24"/>
          <w:highlight w:val="none"/>
          <w:lang w:bidi="ar"/>
        </w:rPr>
      </w:pPr>
    </w:p>
    <w:p>
      <w:pPr>
        <w:spacing w:before="78" w:line="222" w:lineRule="auto"/>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 xml:space="preserve">                                                     </w:t>
      </w:r>
      <w:r>
        <w:rPr>
          <w:rFonts w:hint="eastAsia" w:ascii="宋体" w:hAnsi="宋体" w:eastAsia="宋体" w:cs="宋体"/>
          <w:color w:val="auto"/>
          <w:spacing w:val="-3"/>
          <w:sz w:val="24"/>
          <w:szCs w:val="24"/>
          <w:lang w:eastAsia="zh-CN"/>
        </w:rPr>
        <w:t>供应商</w:t>
      </w:r>
      <w:r>
        <w:rPr>
          <w:rFonts w:hint="eastAsia" w:ascii="宋体" w:hAnsi="宋体" w:eastAsia="宋体" w:cs="宋体"/>
          <w:color w:val="auto"/>
          <w:spacing w:val="-3"/>
          <w:sz w:val="24"/>
          <w:szCs w:val="24"/>
        </w:rPr>
        <w:t>(盖章)：</w:t>
      </w:r>
    </w:p>
    <w:p>
      <w:pPr>
        <w:pStyle w:val="3"/>
        <w:spacing w:line="255" w:lineRule="auto"/>
        <w:jc w:val="center"/>
        <w:rPr>
          <w:rFonts w:hint="eastAsia" w:ascii="宋体" w:hAnsi="宋体" w:eastAsia="宋体" w:cs="宋体"/>
          <w:color w:val="auto"/>
        </w:rPr>
      </w:pPr>
    </w:p>
    <w:p>
      <w:pPr>
        <w:spacing w:before="79" w:line="624" w:lineRule="exact"/>
        <w:jc w:val="center"/>
        <w:rPr>
          <w:rFonts w:hint="eastAsia" w:ascii="宋体" w:hAnsi="宋体" w:eastAsia="宋体" w:cs="宋体"/>
          <w:color w:val="auto"/>
          <w:sz w:val="24"/>
          <w:szCs w:val="24"/>
        </w:rPr>
      </w:pPr>
      <w:r>
        <w:rPr>
          <w:rFonts w:hint="eastAsia" w:ascii="宋体" w:hAnsi="宋体" w:eastAsia="宋体" w:cs="宋体"/>
          <w:color w:val="auto"/>
          <w:spacing w:val="-8"/>
          <w:position w:val="29"/>
          <w:sz w:val="24"/>
          <w:szCs w:val="24"/>
          <w:lang w:val="en-US" w:eastAsia="zh-CN"/>
        </w:rPr>
        <w:t xml:space="preserve">                                                              </w:t>
      </w:r>
      <w:r>
        <w:rPr>
          <w:rFonts w:hint="eastAsia" w:ascii="宋体" w:hAnsi="宋体" w:eastAsia="宋体" w:cs="宋体"/>
          <w:color w:val="auto"/>
          <w:spacing w:val="-8"/>
          <w:position w:val="29"/>
          <w:sz w:val="24"/>
          <w:szCs w:val="24"/>
        </w:rPr>
        <w:t>法定代表人</w:t>
      </w:r>
      <w:r>
        <w:rPr>
          <w:rFonts w:hint="eastAsia" w:ascii="宋体" w:hAnsi="宋体" w:eastAsia="宋体" w:cs="宋体"/>
          <w:color w:val="auto"/>
          <w:spacing w:val="55"/>
          <w:position w:val="29"/>
          <w:sz w:val="24"/>
          <w:szCs w:val="24"/>
        </w:rPr>
        <w:t xml:space="preserve"> </w:t>
      </w:r>
      <w:r>
        <w:rPr>
          <w:rFonts w:hint="eastAsia" w:ascii="宋体" w:hAnsi="宋体" w:eastAsia="宋体" w:cs="宋体"/>
          <w:color w:val="auto"/>
          <w:spacing w:val="-8"/>
          <w:position w:val="29"/>
          <w:sz w:val="24"/>
          <w:szCs w:val="24"/>
        </w:rPr>
        <w:t>(签章)：</w:t>
      </w:r>
    </w:p>
    <w:p>
      <w:pPr>
        <w:spacing w:line="222" w:lineRule="auto"/>
        <w:ind w:firstLine="6600" w:firstLineChars="3300"/>
        <w:rPr>
          <w:rFonts w:hint="eastAsia" w:ascii="宋体" w:hAnsi="宋体" w:eastAsia="宋体" w:cs="宋体"/>
          <w:color w:val="auto"/>
          <w:spacing w:val="-20"/>
          <w:sz w:val="24"/>
          <w:szCs w:val="24"/>
        </w:rPr>
        <w:sectPr>
          <w:footerReference r:id="rId6" w:type="default"/>
          <w:pgSz w:w="11906" w:h="16839"/>
          <w:pgMar w:top="1431" w:right="1418" w:bottom="1102" w:left="1433" w:header="0" w:footer="936" w:gutter="0"/>
          <w:pgNumType w:fmt="decimal"/>
          <w:cols w:space="720" w:num="1"/>
        </w:sectPr>
      </w:pPr>
      <w:r>
        <w:rPr>
          <w:rFonts w:hint="eastAsia" w:ascii="宋体" w:hAnsi="宋体" w:eastAsia="宋体" w:cs="宋体"/>
          <w:color w:val="auto"/>
          <w:spacing w:val="-20"/>
          <w:sz w:val="24"/>
          <w:szCs w:val="24"/>
        </w:rPr>
        <w:t>日期：</w:t>
      </w:r>
      <w:r>
        <w:rPr>
          <w:rFonts w:hint="eastAsia" w:ascii="宋体" w:hAnsi="宋体" w:eastAsia="宋体" w:cs="宋体"/>
          <w:color w:val="auto"/>
          <w:spacing w:val="12"/>
          <w:sz w:val="24"/>
          <w:szCs w:val="24"/>
        </w:rPr>
        <w:t xml:space="preserve">  </w:t>
      </w:r>
      <w:r>
        <w:rPr>
          <w:rFonts w:hint="eastAsia" w:ascii="宋体" w:hAnsi="宋体" w:eastAsia="宋体" w:cs="宋体"/>
          <w:color w:val="auto"/>
          <w:spacing w:val="-20"/>
          <w:sz w:val="24"/>
          <w:szCs w:val="24"/>
        </w:rPr>
        <w:t>年</w:t>
      </w:r>
      <w:r>
        <w:rPr>
          <w:rFonts w:hint="eastAsia" w:ascii="宋体" w:hAnsi="宋体" w:eastAsia="宋体" w:cs="宋体"/>
          <w:color w:val="auto"/>
          <w:spacing w:val="14"/>
          <w:sz w:val="24"/>
          <w:szCs w:val="24"/>
        </w:rPr>
        <w:t xml:space="preserve">  </w:t>
      </w:r>
      <w:r>
        <w:rPr>
          <w:rFonts w:hint="eastAsia" w:ascii="宋体" w:hAnsi="宋体" w:eastAsia="宋体" w:cs="宋体"/>
          <w:color w:val="auto"/>
          <w:spacing w:val="-20"/>
          <w:sz w:val="24"/>
          <w:szCs w:val="24"/>
        </w:rPr>
        <w:t>月</w:t>
      </w:r>
      <w:r>
        <w:rPr>
          <w:rFonts w:hint="eastAsia" w:ascii="宋体" w:hAnsi="宋体" w:eastAsia="宋体" w:cs="宋体"/>
          <w:color w:val="auto"/>
          <w:spacing w:val="33"/>
          <w:sz w:val="24"/>
          <w:szCs w:val="24"/>
        </w:rPr>
        <w:t xml:space="preserve">  </w:t>
      </w:r>
      <w:r>
        <w:rPr>
          <w:rFonts w:hint="eastAsia" w:ascii="宋体" w:hAnsi="宋体" w:eastAsia="宋体" w:cs="宋体"/>
          <w:color w:val="auto"/>
          <w:spacing w:val="-20"/>
          <w:sz w:val="24"/>
          <w:szCs w:val="24"/>
        </w:rPr>
        <w:t>日</w:t>
      </w:r>
    </w:p>
    <w:p>
      <w:pPr>
        <w:spacing w:line="360" w:lineRule="auto"/>
        <w:jc w:val="both"/>
        <w:outlineLvl w:val="1"/>
        <w:rPr>
          <w:rFonts w:hint="eastAsia" w:ascii="宋体" w:hAnsi="宋体" w:eastAsia="宋体" w:cs="宋体"/>
          <w:b/>
          <w:bCs/>
          <w:color w:val="auto"/>
          <w:kern w:val="10"/>
          <w:sz w:val="28"/>
          <w:szCs w:val="28"/>
          <w:highlight w:val="none"/>
          <w:shd w:val="clear" w:color="auto" w:fill="FFFFFF" w:themeFill="background1"/>
        </w:rPr>
      </w:pPr>
      <w:bookmarkStart w:id="176" w:name="_Toc8739163"/>
      <w:bookmarkStart w:id="177" w:name="_Toc479176301"/>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bookmarkStart w:id="178" w:name="_Toc121835994"/>
      <w:r>
        <w:rPr>
          <w:rFonts w:hint="eastAsia" w:ascii="宋体" w:hAnsi="宋体" w:eastAsia="宋体" w:cs="宋体"/>
          <w:b/>
          <w:bCs/>
          <w:color w:val="auto"/>
          <w:sz w:val="32"/>
          <w:szCs w:val="32"/>
          <w:highlight w:val="none"/>
          <w:shd w:val="clear" w:color="auto" w:fill="FFFFFF" w:themeFill="background1"/>
        </w:rPr>
        <w:t>九、其他材料</w:t>
      </w:r>
      <w:bookmarkEnd w:id="176"/>
      <w:bookmarkEnd w:id="177"/>
      <w:bookmarkEnd w:id="178"/>
    </w:p>
    <w:p>
      <w:pPr>
        <w:spacing w:line="360" w:lineRule="auto"/>
        <w:jc w:val="center"/>
        <w:outlineLvl w:val="1"/>
        <w:rPr>
          <w:rFonts w:hint="eastAsia" w:ascii="宋体" w:hAnsi="宋体" w:eastAsia="宋体" w:cs="宋体"/>
          <w:b/>
          <w:bCs/>
          <w:color w:val="auto"/>
          <w:sz w:val="32"/>
          <w:szCs w:val="32"/>
          <w:highlight w:val="none"/>
          <w:shd w:val="clear" w:color="auto" w:fill="FFFFFF" w:themeFill="background1"/>
        </w:rPr>
      </w:pPr>
    </w:p>
    <w:p>
      <w:pPr>
        <w:spacing w:line="360" w:lineRule="auto"/>
        <w:jc w:val="center"/>
        <w:rPr>
          <w:rFonts w:hint="eastAsia" w:ascii="宋体" w:hAnsi="宋体" w:eastAsia="宋体" w:cs="宋体"/>
          <w:bCs/>
          <w:color w:val="auto"/>
          <w:kern w:val="10"/>
          <w:sz w:val="24"/>
          <w:highlight w:val="none"/>
          <w:shd w:val="clear" w:color="auto" w:fill="FFFFFF" w:themeFill="background1"/>
        </w:rPr>
      </w:pPr>
      <w:r>
        <w:rPr>
          <w:rFonts w:hint="eastAsia" w:ascii="宋体" w:hAnsi="宋体" w:eastAsia="宋体" w:cs="宋体"/>
          <w:bCs/>
          <w:color w:val="auto"/>
          <w:kern w:val="10"/>
          <w:sz w:val="24"/>
          <w:highlight w:val="none"/>
          <w:shd w:val="clear" w:color="auto" w:fill="FFFFFF" w:themeFill="background1"/>
          <w:lang w:eastAsia="zh-CN"/>
        </w:rPr>
        <w:t>供应商</w:t>
      </w:r>
      <w:r>
        <w:rPr>
          <w:rFonts w:hint="eastAsia" w:ascii="宋体" w:hAnsi="宋体" w:eastAsia="宋体" w:cs="宋体"/>
          <w:bCs/>
          <w:color w:val="auto"/>
          <w:kern w:val="10"/>
          <w:sz w:val="24"/>
          <w:highlight w:val="none"/>
          <w:shd w:val="clear" w:color="auto" w:fill="FFFFFF" w:themeFill="background1"/>
        </w:rPr>
        <w:t>认为需要提供的其他资料（如有）</w:t>
      </w:r>
    </w:p>
    <w:p>
      <w:pPr>
        <w:shd w:val="clear" w:color="auto" w:fill="FFFFFF"/>
        <w:tabs>
          <w:tab w:val="right" w:pos="6077"/>
        </w:tabs>
        <w:autoSpaceDE w:val="0"/>
        <w:autoSpaceDN w:val="0"/>
        <w:spacing w:line="360" w:lineRule="auto"/>
        <w:rPr>
          <w:rFonts w:hint="eastAsia" w:ascii="宋体" w:hAnsi="宋体" w:eastAsia="宋体" w:cs="宋体"/>
          <w:color w:val="auto"/>
          <w:highlight w:val="none"/>
          <w:shd w:val="clear" w:color="auto" w:fill="FFFFFF" w:themeFill="background1"/>
        </w:rPr>
      </w:pPr>
    </w:p>
    <w:p>
      <w:pPr>
        <w:rPr>
          <w:rFonts w:hint="eastAsia" w:ascii="宋体" w:hAnsi="宋体" w:eastAsia="宋体" w:cs="宋体"/>
          <w:color w:val="auto"/>
          <w:highlight w:val="none"/>
        </w:rPr>
      </w:pPr>
    </w:p>
    <w:bookmarkEnd w:id="179"/>
    <w:sectPr>
      <w:headerReference r:id="rId7" w:type="default"/>
      <w:footerReference r:id="rId8" w:type="default"/>
      <w:pgSz w:w="11906" w:h="16838"/>
      <w:pgMar w:top="1531" w:right="1274" w:bottom="1531" w:left="1418" w:header="1134"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Cambria">
    <w:altName w:val="苹方-简"/>
    <w:panose1 w:val="02040503050406030204"/>
    <w:charset w:val="00"/>
    <w:family w:val="roman"/>
    <w:pitch w:val="default"/>
    <w:sig w:usb0="00000000" w:usb1="00000000"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微软雅黑">
    <w:altName w:val="汉仪旗黑"/>
    <w:panose1 w:val="020B0503020204020204"/>
    <w:charset w:val="86"/>
    <w:family w:val="swiss"/>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旗黑">
    <w:panose1 w:val="00020600040101010101"/>
    <w:charset w:val="86"/>
    <w:family w:val="auto"/>
    <w:pitch w:val="default"/>
    <w:sig w:usb0="A00002BF" w:usb1="1ACF7CFA" w:usb2="00000016"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6wA4ejECAABj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s/vGR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&#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bP7xkTECAABjBAAADgAAAAAAAAABACAAAAA1&#10;AQAAZHJzL2Uyb0RvYy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435"/>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5WZn4yAgAAYw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CMFE50yAgAAYwQAAA4AAAAAAAAAAQAgAAAA&#10;NQEAAGRycy9lMm9Eb2MueG1sUEsFBgAAAAAGAAYAWQEAANk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2E890"/>
    <w:multiLevelType w:val="singleLevel"/>
    <w:tmpl w:val="8692E890"/>
    <w:lvl w:ilvl="0" w:tentative="0">
      <w:start w:val="1"/>
      <w:numFmt w:val="decimal"/>
      <w:suff w:val="nothing"/>
      <w:lvlText w:val="%1、"/>
      <w:lvlJc w:val="left"/>
    </w:lvl>
  </w:abstractNum>
  <w:abstractNum w:abstractNumId="1">
    <w:nsid w:val="BFDFA524"/>
    <w:multiLevelType w:val="singleLevel"/>
    <w:tmpl w:val="BFDFA524"/>
    <w:lvl w:ilvl="0" w:tentative="0">
      <w:start w:val="3"/>
      <w:numFmt w:val="chineseCounting"/>
      <w:suff w:val="space"/>
      <w:lvlText w:val="第%1章"/>
      <w:lvlJc w:val="left"/>
      <w:rPr>
        <w:rFonts w:hint="eastAsia"/>
      </w:rPr>
    </w:lvl>
  </w:abstractNum>
  <w:abstractNum w:abstractNumId="2">
    <w:nsid w:val="C96AB09B"/>
    <w:multiLevelType w:val="singleLevel"/>
    <w:tmpl w:val="C96AB09B"/>
    <w:lvl w:ilvl="0" w:tentative="0">
      <w:start w:val="3"/>
      <w:numFmt w:val="decimal"/>
      <w:suff w:val="nothing"/>
      <w:lvlText w:val="%1、"/>
      <w:lvlJc w:val="left"/>
    </w:lvl>
  </w:abstractNum>
  <w:abstractNum w:abstractNumId="3">
    <w:nsid w:val="64334728"/>
    <w:multiLevelType w:val="multilevel"/>
    <w:tmpl w:val="64334728"/>
    <w:lvl w:ilvl="0" w:tentative="0">
      <w:start w:val="1"/>
      <w:numFmt w:val="decimal"/>
      <w:lvlText w:val="%1、"/>
      <w:lvlJc w:val="left"/>
      <w:pPr>
        <w:tabs>
          <w:tab w:val="left" w:pos="1065"/>
        </w:tabs>
        <w:ind w:left="1065" w:hanging="435"/>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MzU2NjM0ODdmZDI5MTU5NGJmNDNjNWRkNDZhMjgifQ=="/>
  </w:docVars>
  <w:rsids>
    <w:rsidRoot w:val="00000000"/>
    <w:rsid w:val="00C9289D"/>
    <w:rsid w:val="040D4E97"/>
    <w:rsid w:val="05352A51"/>
    <w:rsid w:val="0653BF67"/>
    <w:rsid w:val="079B437E"/>
    <w:rsid w:val="0B7F29C0"/>
    <w:rsid w:val="0D335069"/>
    <w:rsid w:val="0F7F81AF"/>
    <w:rsid w:val="12C16C73"/>
    <w:rsid w:val="16341045"/>
    <w:rsid w:val="167F7F20"/>
    <w:rsid w:val="17793FB3"/>
    <w:rsid w:val="180333DF"/>
    <w:rsid w:val="19EF13FC"/>
    <w:rsid w:val="1B3D85CC"/>
    <w:rsid w:val="1D7F8350"/>
    <w:rsid w:val="1DBD3B9B"/>
    <w:rsid w:val="1DF5A7A0"/>
    <w:rsid w:val="1EBCBFBD"/>
    <w:rsid w:val="1F7DD0CC"/>
    <w:rsid w:val="1FB14145"/>
    <w:rsid w:val="1FFB5617"/>
    <w:rsid w:val="23843736"/>
    <w:rsid w:val="23EF63F0"/>
    <w:rsid w:val="24282E0E"/>
    <w:rsid w:val="267E1E31"/>
    <w:rsid w:val="27F9B26D"/>
    <w:rsid w:val="28B37E07"/>
    <w:rsid w:val="29FBE260"/>
    <w:rsid w:val="2BD355F5"/>
    <w:rsid w:val="2CED9E17"/>
    <w:rsid w:val="2D4FFDCF"/>
    <w:rsid w:val="2DB0C36D"/>
    <w:rsid w:val="2FCF1FD6"/>
    <w:rsid w:val="2FF308E5"/>
    <w:rsid w:val="2FFFA1EA"/>
    <w:rsid w:val="303643A5"/>
    <w:rsid w:val="34D2044A"/>
    <w:rsid w:val="36F946E0"/>
    <w:rsid w:val="36FF2269"/>
    <w:rsid w:val="36FFBE23"/>
    <w:rsid w:val="377FD9B9"/>
    <w:rsid w:val="37AED37B"/>
    <w:rsid w:val="37F54CB9"/>
    <w:rsid w:val="3A231A6F"/>
    <w:rsid w:val="3ACF4DBA"/>
    <w:rsid w:val="3BFD767D"/>
    <w:rsid w:val="3CDEFB72"/>
    <w:rsid w:val="3D976C58"/>
    <w:rsid w:val="3DBFB810"/>
    <w:rsid w:val="3DBFEB12"/>
    <w:rsid w:val="3EB767FD"/>
    <w:rsid w:val="3EFB4F41"/>
    <w:rsid w:val="3F043BAC"/>
    <w:rsid w:val="3FCBDF54"/>
    <w:rsid w:val="3FD3F086"/>
    <w:rsid w:val="3FDC8A79"/>
    <w:rsid w:val="3FEBCFE6"/>
    <w:rsid w:val="3FEFA917"/>
    <w:rsid w:val="3FFB81A0"/>
    <w:rsid w:val="3FFBCDFF"/>
    <w:rsid w:val="3FFD3728"/>
    <w:rsid w:val="403C0DD2"/>
    <w:rsid w:val="429338D8"/>
    <w:rsid w:val="446C0AB4"/>
    <w:rsid w:val="457F25AC"/>
    <w:rsid w:val="485FBCE8"/>
    <w:rsid w:val="4A23146D"/>
    <w:rsid w:val="4B3FA87F"/>
    <w:rsid w:val="4CA87F80"/>
    <w:rsid w:val="4E56CA73"/>
    <w:rsid w:val="4FD309FF"/>
    <w:rsid w:val="4FDF14AB"/>
    <w:rsid w:val="513A0137"/>
    <w:rsid w:val="513B6A55"/>
    <w:rsid w:val="52043EAB"/>
    <w:rsid w:val="52854106"/>
    <w:rsid w:val="5293636C"/>
    <w:rsid w:val="53BB886B"/>
    <w:rsid w:val="53EDC7CF"/>
    <w:rsid w:val="54EC305B"/>
    <w:rsid w:val="55FFE102"/>
    <w:rsid w:val="57C43B87"/>
    <w:rsid w:val="57EEB36B"/>
    <w:rsid w:val="57FFDFFC"/>
    <w:rsid w:val="596FDA94"/>
    <w:rsid w:val="5A5E527C"/>
    <w:rsid w:val="5A7355BE"/>
    <w:rsid w:val="5BE8A0F5"/>
    <w:rsid w:val="5C243556"/>
    <w:rsid w:val="5CFB8AC4"/>
    <w:rsid w:val="5D963CE5"/>
    <w:rsid w:val="5DB71D20"/>
    <w:rsid w:val="5DF29E14"/>
    <w:rsid w:val="5E714792"/>
    <w:rsid w:val="5EB55130"/>
    <w:rsid w:val="5F33F775"/>
    <w:rsid w:val="5FDB5B0A"/>
    <w:rsid w:val="5FEB5588"/>
    <w:rsid w:val="5FEF6265"/>
    <w:rsid w:val="5FF6FE41"/>
    <w:rsid w:val="5FFD7869"/>
    <w:rsid w:val="5FFDBDCB"/>
    <w:rsid w:val="5FFF5B60"/>
    <w:rsid w:val="60B3541A"/>
    <w:rsid w:val="63F3060C"/>
    <w:rsid w:val="64DE67DD"/>
    <w:rsid w:val="65FBEE98"/>
    <w:rsid w:val="66EE7A99"/>
    <w:rsid w:val="66F65ECB"/>
    <w:rsid w:val="696F1F2A"/>
    <w:rsid w:val="6BBC89BF"/>
    <w:rsid w:val="6BDB3F89"/>
    <w:rsid w:val="6BEFC600"/>
    <w:rsid w:val="6D39BA3A"/>
    <w:rsid w:val="6D7B6F36"/>
    <w:rsid w:val="6DC2473E"/>
    <w:rsid w:val="6DD82418"/>
    <w:rsid w:val="6DF1375F"/>
    <w:rsid w:val="6DF64533"/>
    <w:rsid w:val="6E67168F"/>
    <w:rsid w:val="6E7FFC4E"/>
    <w:rsid w:val="6EA57B6D"/>
    <w:rsid w:val="6ED0E97A"/>
    <w:rsid w:val="6EFF1114"/>
    <w:rsid w:val="6EFF4B28"/>
    <w:rsid w:val="6EFF606C"/>
    <w:rsid w:val="6F3C038A"/>
    <w:rsid w:val="6F5F099E"/>
    <w:rsid w:val="6F7DDE38"/>
    <w:rsid w:val="6F8727AA"/>
    <w:rsid w:val="6FBD58ED"/>
    <w:rsid w:val="6FD71006"/>
    <w:rsid w:val="6FEB11F3"/>
    <w:rsid w:val="6FFB8491"/>
    <w:rsid w:val="6FFFDB18"/>
    <w:rsid w:val="70FCB95C"/>
    <w:rsid w:val="723E9B5E"/>
    <w:rsid w:val="72E790CC"/>
    <w:rsid w:val="73AFF2EA"/>
    <w:rsid w:val="73BF3F52"/>
    <w:rsid w:val="75AF43C5"/>
    <w:rsid w:val="75BF12FC"/>
    <w:rsid w:val="76BF03BC"/>
    <w:rsid w:val="76D3E0A7"/>
    <w:rsid w:val="779CED05"/>
    <w:rsid w:val="77C31A79"/>
    <w:rsid w:val="77DB0320"/>
    <w:rsid w:val="77DE444E"/>
    <w:rsid w:val="77EF6926"/>
    <w:rsid w:val="77F6BD27"/>
    <w:rsid w:val="77FFBEB9"/>
    <w:rsid w:val="7AB26954"/>
    <w:rsid w:val="7ACA47EB"/>
    <w:rsid w:val="7AD6E08D"/>
    <w:rsid w:val="7B76A697"/>
    <w:rsid w:val="7B7CF2EB"/>
    <w:rsid w:val="7B7D301B"/>
    <w:rsid w:val="7BBD361E"/>
    <w:rsid w:val="7BF650DE"/>
    <w:rsid w:val="7C364112"/>
    <w:rsid w:val="7CBF832E"/>
    <w:rsid w:val="7CD7D082"/>
    <w:rsid w:val="7CF33819"/>
    <w:rsid w:val="7D3F9327"/>
    <w:rsid w:val="7D6F40E8"/>
    <w:rsid w:val="7D71804D"/>
    <w:rsid w:val="7D77A6ED"/>
    <w:rsid w:val="7D7EAFF2"/>
    <w:rsid w:val="7DDE33AC"/>
    <w:rsid w:val="7DE7636B"/>
    <w:rsid w:val="7DFFF3DC"/>
    <w:rsid w:val="7ED720EB"/>
    <w:rsid w:val="7ED738DA"/>
    <w:rsid w:val="7EDD79BC"/>
    <w:rsid w:val="7EEDA803"/>
    <w:rsid w:val="7EFDF8D4"/>
    <w:rsid w:val="7F25137F"/>
    <w:rsid w:val="7F57B335"/>
    <w:rsid w:val="7F675310"/>
    <w:rsid w:val="7F6755CA"/>
    <w:rsid w:val="7F6DA43C"/>
    <w:rsid w:val="7F7BC96D"/>
    <w:rsid w:val="7F7D2454"/>
    <w:rsid w:val="7F7F2BE0"/>
    <w:rsid w:val="7F8FC560"/>
    <w:rsid w:val="7FAF53FE"/>
    <w:rsid w:val="7FB76A4B"/>
    <w:rsid w:val="7FBF1DDF"/>
    <w:rsid w:val="7FCF1A81"/>
    <w:rsid w:val="7FDD51BF"/>
    <w:rsid w:val="7FEBBDEA"/>
    <w:rsid w:val="7FECBE2D"/>
    <w:rsid w:val="7FEF1574"/>
    <w:rsid w:val="7FEFB888"/>
    <w:rsid w:val="7FFB4B6F"/>
    <w:rsid w:val="7FFBB252"/>
    <w:rsid w:val="7FFC4FD6"/>
    <w:rsid w:val="7FFF8701"/>
    <w:rsid w:val="7FFF8D5F"/>
    <w:rsid w:val="7FFFC836"/>
    <w:rsid w:val="89BF01AF"/>
    <w:rsid w:val="8FAC074A"/>
    <w:rsid w:val="95EFB65D"/>
    <w:rsid w:val="97DF2DB0"/>
    <w:rsid w:val="98DC32B7"/>
    <w:rsid w:val="9C59F235"/>
    <w:rsid w:val="9FD6A70A"/>
    <w:rsid w:val="9FFD3435"/>
    <w:rsid w:val="A3733D03"/>
    <w:rsid w:val="A3FB4D5B"/>
    <w:rsid w:val="A7DB85F1"/>
    <w:rsid w:val="AE6DE72A"/>
    <w:rsid w:val="AFF52CC6"/>
    <w:rsid w:val="B15DB8BD"/>
    <w:rsid w:val="B1E8AD3D"/>
    <w:rsid w:val="B3EB4E51"/>
    <w:rsid w:val="B6EF7586"/>
    <w:rsid w:val="B77BD8D5"/>
    <w:rsid w:val="B7BBA204"/>
    <w:rsid w:val="B7BD5178"/>
    <w:rsid w:val="B7CF2799"/>
    <w:rsid w:val="B97E09E1"/>
    <w:rsid w:val="BBB62198"/>
    <w:rsid w:val="BBBF3F58"/>
    <w:rsid w:val="BD5D9E64"/>
    <w:rsid w:val="BD7D22AD"/>
    <w:rsid w:val="BDEFE54B"/>
    <w:rsid w:val="BDFE096C"/>
    <w:rsid w:val="BEA70AC7"/>
    <w:rsid w:val="BEDFF0F6"/>
    <w:rsid w:val="BEFF1D5C"/>
    <w:rsid w:val="BF79F36A"/>
    <w:rsid w:val="BF7EE136"/>
    <w:rsid w:val="BFBF49BB"/>
    <w:rsid w:val="BFD57452"/>
    <w:rsid w:val="BFF77031"/>
    <w:rsid w:val="C3FE6FE3"/>
    <w:rsid w:val="C5FB53FC"/>
    <w:rsid w:val="C77FCD3E"/>
    <w:rsid w:val="C7B13DAB"/>
    <w:rsid w:val="CCFF9495"/>
    <w:rsid w:val="CD7DFFF3"/>
    <w:rsid w:val="CD9F6440"/>
    <w:rsid w:val="CE87271C"/>
    <w:rsid w:val="CEFF8B10"/>
    <w:rsid w:val="CFF75E8E"/>
    <w:rsid w:val="CFFF444F"/>
    <w:rsid w:val="D3FF07ED"/>
    <w:rsid w:val="D4F744F3"/>
    <w:rsid w:val="D6EBD86B"/>
    <w:rsid w:val="D75F278A"/>
    <w:rsid w:val="DAD2529D"/>
    <w:rsid w:val="DBAFC0E3"/>
    <w:rsid w:val="DCEBFE46"/>
    <w:rsid w:val="DD934CC0"/>
    <w:rsid w:val="DDFE4D95"/>
    <w:rsid w:val="DDFF6A4C"/>
    <w:rsid w:val="DEF33B13"/>
    <w:rsid w:val="DF571B78"/>
    <w:rsid w:val="DF5BB560"/>
    <w:rsid w:val="DF6F650B"/>
    <w:rsid w:val="DFAFDF43"/>
    <w:rsid w:val="DFBDFC91"/>
    <w:rsid w:val="DFD397A5"/>
    <w:rsid w:val="DFEF0562"/>
    <w:rsid w:val="DFF19296"/>
    <w:rsid w:val="DFF3F391"/>
    <w:rsid w:val="DFF9D0BB"/>
    <w:rsid w:val="E4599EB5"/>
    <w:rsid w:val="E4F77F96"/>
    <w:rsid w:val="E54B2E44"/>
    <w:rsid w:val="E65BBB48"/>
    <w:rsid w:val="E6972593"/>
    <w:rsid w:val="E72FA1D2"/>
    <w:rsid w:val="E7FF81D9"/>
    <w:rsid w:val="E7FF9295"/>
    <w:rsid w:val="E95E1500"/>
    <w:rsid w:val="E9BDF0EB"/>
    <w:rsid w:val="E9D33C16"/>
    <w:rsid w:val="EA7D589D"/>
    <w:rsid w:val="EAFC75B9"/>
    <w:rsid w:val="EAFE7C94"/>
    <w:rsid w:val="EBCEBE51"/>
    <w:rsid w:val="EC7FEE02"/>
    <w:rsid w:val="EE54B78E"/>
    <w:rsid w:val="EE7E0747"/>
    <w:rsid w:val="EEC7045D"/>
    <w:rsid w:val="EED5FD41"/>
    <w:rsid w:val="EF63FEB4"/>
    <w:rsid w:val="EF769854"/>
    <w:rsid w:val="EF7FE466"/>
    <w:rsid w:val="EF90B003"/>
    <w:rsid w:val="EFFD09BF"/>
    <w:rsid w:val="EFFFA2C6"/>
    <w:rsid w:val="EFFFBB06"/>
    <w:rsid w:val="F2BFD8AF"/>
    <w:rsid w:val="F2DD264C"/>
    <w:rsid w:val="F356A891"/>
    <w:rsid w:val="F3AFC857"/>
    <w:rsid w:val="F3FA3D69"/>
    <w:rsid w:val="F4B3B41C"/>
    <w:rsid w:val="F52BAB42"/>
    <w:rsid w:val="F5EF3746"/>
    <w:rsid w:val="F5FF4697"/>
    <w:rsid w:val="F6DD3A8F"/>
    <w:rsid w:val="F6FDEDD7"/>
    <w:rsid w:val="F779331C"/>
    <w:rsid w:val="F7BFDF15"/>
    <w:rsid w:val="F7EBA40A"/>
    <w:rsid w:val="F7F86900"/>
    <w:rsid w:val="F7FF1FF4"/>
    <w:rsid w:val="F877F64E"/>
    <w:rsid w:val="F99F80D7"/>
    <w:rsid w:val="F9DFBFFD"/>
    <w:rsid w:val="F9FEE016"/>
    <w:rsid w:val="FA57E4F1"/>
    <w:rsid w:val="FA77743B"/>
    <w:rsid w:val="FA9FDCC6"/>
    <w:rsid w:val="FAFA935A"/>
    <w:rsid w:val="FBA81C10"/>
    <w:rsid w:val="FBBBFFE8"/>
    <w:rsid w:val="FBBF0EC8"/>
    <w:rsid w:val="FBF702C1"/>
    <w:rsid w:val="FBF74B65"/>
    <w:rsid w:val="FBFA2B3A"/>
    <w:rsid w:val="FC5FF9CB"/>
    <w:rsid w:val="FCFF6E66"/>
    <w:rsid w:val="FD6DB307"/>
    <w:rsid w:val="FDBDBC03"/>
    <w:rsid w:val="FDBF680B"/>
    <w:rsid w:val="FDD749D7"/>
    <w:rsid w:val="FDEF08D9"/>
    <w:rsid w:val="FDF7C6DC"/>
    <w:rsid w:val="FDFFAAA0"/>
    <w:rsid w:val="FE67926E"/>
    <w:rsid w:val="FE6B1C30"/>
    <w:rsid w:val="FE9F8598"/>
    <w:rsid w:val="FEDF03FB"/>
    <w:rsid w:val="FEF5EB63"/>
    <w:rsid w:val="FF3074EB"/>
    <w:rsid w:val="FF33FDF4"/>
    <w:rsid w:val="FF57E0E1"/>
    <w:rsid w:val="FF5E8249"/>
    <w:rsid w:val="FF6DE243"/>
    <w:rsid w:val="FF98FCE7"/>
    <w:rsid w:val="FFAF5282"/>
    <w:rsid w:val="FFAF7206"/>
    <w:rsid w:val="FFBF1598"/>
    <w:rsid w:val="FFD22DCD"/>
    <w:rsid w:val="FFD91AC6"/>
    <w:rsid w:val="FFDF43F9"/>
    <w:rsid w:val="FFE142AB"/>
    <w:rsid w:val="FFEB63A5"/>
    <w:rsid w:val="FFECEC84"/>
    <w:rsid w:val="FFFB9209"/>
    <w:rsid w:val="FFFDFD36"/>
    <w:rsid w:val="FFFE9276"/>
    <w:rsid w:val="FFFF9257"/>
    <w:rsid w:val="FFFFC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jc w:val="left"/>
      <w:outlineLvl w:val="0"/>
    </w:pPr>
    <w:rPr>
      <w:rFonts w:ascii="宋体" w:hAnsi="宋体"/>
      <w:b/>
      <w:kern w:val="44"/>
      <w:sz w:val="42"/>
      <w:szCs w:val="4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Body Text Indent"/>
    <w:basedOn w:val="1"/>
    <w:next w:val="5"/>
    <w:unhideWhenUsed/>
    <w:qFormat/>
    <w:uiPriority w:val="99"/>
    <w:pPr>
      <w:spacing w:after="120"/>
      <w:ind w:left="420" w:leftChars="200"/>
    </w:pPr>
  </w:style>
  <w:style w:type="paragraph" w:styleId="5">
    <w:name w:val="envelope return"/>
    <w:basedOn w:val="1"/>
    <w:uiPriority w:val="0"/>
    <w:pPr>
      <w:snapToGrid w:val="0"/>
    </w:pPr>
    <w:rPr>
      <w:rFonts w:ascii="Arial" w:hAnsi="Arial" w:eastAsia="宋体" w:cs="Times New Roman"/>
    </w:rPr>
  </w:style>
  <w:style w:type="paragraph" w:styleId="6">
    <w:name w:val="footer"/>
    <w:basedOn w:val="1"/>
    <w:unhideWhenUsed/>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footnote text"/>
    <w:basedOn w:val="1"/>
    <w:qFormat/>
    <w:uiPriority w:val="0"/>
    <w:rPr>
      <w:kern w:val="0"/>
      <w:sz w:val="20"/>
      <w:szCs w:val="20"/>
    </w:rPr>
  </w:style>
  <w:style w:type="paragraph" w:styleId="10">
    <w:name w:val="toc 2"/>
    <w:basedOn w:val="1"/>
    <w:next w:val="1"/>
    <w:qFormat/>
    <w:uiPriority w:val="39"/>
    <w:pPr>
      <w:ind w:left="420" w:leftChars="200"/>
    </w:pPr>
  </w:style>
  <w:style w:type="paragraph" w:styleId="11">
    <w:name w:val="Message Header"/>
    <w:basedOn w:val="1"/>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3"/>
    <w:next w:val="14"/>
    <w:qFormat/>
    <w:uiPriority w:val="0"/>
    <w:pPr>
      <w:spacing w:line="360" w:lineRule="auto"/>
      <w:ind w:firstLine="420"/>
    </w:pPr>
    <w:rPr>
      <w:rFonts w:ascii="Calibri" w:hAnsi="Calibri" w:eastAsia="Arial Unicode MS" w:cs="Times New Roman"/>
      <w:color w:val="000000"/>
      <w:kern w:val="0"/>
      <w:sz w:val="28"/>
      <w:szCs w:val="28"/>
    </w:rPr>
  </w:style>
  <w:style w:type="paragraph" w:styleId="14">
    <w:name w:val="Body Text First Indent 2"/>
    <w:basedOn w:val="4"/>
    <w:next w:val="1"/>
    <w:semiHidden/>
    <w:qFormat/>
    <w:uiPriority w:val="0"/>
    <w:pPr>
      <w:spacing w:before="100" w:beforeAutospacing="1" w:line="360" w:lineRule="auto"/>
      <w:ind w:firstLine="420"/>
    </w:pPr>
    <w:rPr>
      <w:rFonts w:ascii="Calibri" w:hAnsi="Calibri" w:eastAsia="Arial Unicode MS" w:cs="Times New Roman"/>
      <w:color w:val="000000"/>
      <w:kern w:val="0"/>
      <w:sz w:val="20"/>
      <w:szCs w:val="21"/>
    </w:rPr>
  </w:style>
  <w:style w:type="table" w:styleId="16">
    <w:name w:val="Table Grid"/>
    <w:basedOn w:val="1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rPr>
      <w:rFonts w:cs="Times New Roman"/>
    </w:rPr>
  </w:style>
  <w:style w:type="character" w:styleId="19">
    <w:name w:val="Hyperlink"/>
    <w:basedOn w:val="17"/>
    <w:qFormat/>
    <w:uiPriority w:val="99"/>
    <w:rPr>
      <w:rFonts w:cs="Times New Roman"/>
      <w:color w:val="0000FF"/>
      <w:u w:val="single"/>
    </w:rPr>
  </w:style>
  <w:style w:type="paragraph" w:customStyle="1" w:styleId="20">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1">
    <w:name w:val="纯文本1"/>
    <w:basedOn w:val="1"/>
    <w:qFormat/>
    <w:uiPriority w:val="99"/>
    <w:rPr>
      <w:rFonts w:ascii="宋体" w:hAnsi="Courier New" w:eastAsiaTheme="minorEastAsia" w:cstheme="minorBidi"/>
      <w:szCs w:val="21"/>
    </w:rPr>
  </w:style>
  <w:style w:type="paragraph" w:customStyle="1" w:styleId="22">
    <w:name w:val="正文 1.1.1"/>
    <w:basedOn w:val="1"/>
    <w:next w:val="1"/>
    <w:qFormat/>
    <w:uiPriority w:val="99"/>
    <w:pPr>
      <w:widowControl/>
      <w:tabs>
        <w:tab w:val="left" w:pos="1211"/>
      </w:tabs>
      <w:spacing w:after="200" w:line="276" w:lineRule="auto"/>
      <w:ind w:left="360"/>
      <w:jc w:val="left"/>
      <w:outlineLvl w:val="2"/>
    </w:pPr>
    <w:rPr>
      <w:rFonts w:hAnsi="宋体"/>
      <w:color w:val="FF0000"/>
      <w:kern w:val="0"/>
      <w:sz w:val="22"/>
      <w:szCs w:val="22"/>
      <w:lang w:eastAsia="en-US"/>
    </w:rPr>
  </w:style>
  <w:style w:type="paragraph" w:customStyle="1" w:styleId="23">
    <w:name w:val="正文空4格  1）"/>
    <w:basedOn w:val="1"/>
    <w:qFormat/>
    <w:uiPriority w:val="99"/>
    <w:pPr>
      <w:widowControl/>
      <w:spacing w:after="200" w:line="276" w:lineRule="auto"/>
      <w:ind w:firstLine="1120" w:firstLineChars="400"/>
      <w:jc w:val="left"/>
    </w:pPr>
    <w:rPr>
      <w:rFonts w:cs="宋体"/>
      <w:kern w:val="0"/>
      <w:sz w:val="22"/>
      <w:szCs w:val="20"/>
      <w:lang w:eastAsia="en-US"/>
    </w:rPr>
  </w:style>
  <w:style w:type="paragraph" w:customStyle="1" w:styleId="24">
    <w:name w:val="正文 A"/>
    <w:next w:val="20"/>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25">
    <w:name w:val="*正文"/>
    <w:basedOn w:val="1"/>
    <w:next w:val="1"/>
    <w:qFormat/>
    <w:uiPriority w:val="0"/>
    <w:pPr>
      <w:widowControl/>
      <w:ind w:firstLine="482"/>
    </w:pPr>
    <w:rPr>
      <w:rFonts w:ascii="微软雅黑" w:hAnsi="微软雅黑" w:eastAsia="微软雅黑"/>
      <w:kern w:val="0"/>
      <w:szCs w:val="21"/>
    </w:rPr>
  </w:style>
  <w:style w:type="character" w:customStyle="1" w:styleId="26">
    <w:name w:val="font71"/>
    <w:basedOn w:val="17"/>
    <w:uiPriority w:val="0"/>
    <w:rPr>
      <w:rFonts w:hint="eastAsia" w:ascii="宋体" w:hAnsi="宋体" w:eastAsia="宋体" w:cs="宋体"/>
      <w:color w:val="000000"/>
      <w:sz w:val="20"/>
      <w:szCs w:val="20"/>
      <w:u w:val="none"/>
    </w:rPr>
  </w:style>
  <w:style w:type="character" w:customStyle="1" w:styleId="27">
    <w:name w:val="font8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23001</Words>
  <Characters>24895</Characters>
  <Lines>0</Lines>
  <Paragraphs>0</Paragraphs>
  <TotalTime>6</TotalTime>
  <ScaleCrop>false</ScaleCrop>
  <LinksUpToDate>false</LinksUpToDate>
  <CharactersWithSpaces>27313</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2022-12-31T06:53:00Z</dcterms:created>
  <dc:creator>DELL</dc:creator>
  <cp:lastModifiedBy>羋安</cp:lastModifiedBy>
  <dcterms:modified xsi:type="dcterms:W3CDTF">2024-08-26T16:43:55Z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BD88C7FAA32BBA2BAFC96E657F52C02B_43</vt:lpwstr>
  </property>
</Properties>
</file>