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06F9C">
      <w:pPr>
        <w:spacing w:line="480" w:lineRule="auto"/>
        <w:jc w:val="right"/>
        <w:rPr>
          <w:rFonts w:hint="eastAsia" w:ascii="宋体" w:hAnsi="宋体" w:cs="宋体"/>
          <w:b/>
          <w:bCs/>
          <w:color w:val="auto"/>
          <w:sz w:val="36"/>
          <w:szCs w:val="36"/>
          <w:highlight w:val="none"/>
        </w:rPr>
      </w:pPr>
      <w:bookmarkStart w:id="365" w:name="_GoBack"/>
      <w:bookmarkEnd w:id="365"/>
    </w:p>
    <w:p w14:paraId="11FC234C">
      <w:pPr>
        <w:spacing w:line="720" w:lineRule="auto"/>
        <w:jc w:val="center"/>
        <w:outlineLvl w:val="0"/>
        <w:rPr>
          <w:rFonts w:hint="eastAsia" w:ascii="宋体" w:hAnsi="宋体" w:cs="宋体"/>
          <w:b/>
          <w:bCs/>
          <w:color w:val="auto"/>
          <w:sz w:val="52"/>
          <w:szCs w:val="52"/>
          <w:highlight w:val="none"/>
          <w:lang w:eastAsia="zh-CN"/>
        </w:rPr>
      </w:pPr>
      <w:bookmarkStart w:id="0" w:name="_Toc10441"/>
      <w:r>
        <w:rPr>
          <w:rFonts w:hint="eastAsia" w:ascii="宋体" w:hAnsi="宋体" w:cs="宋体"/>
          <w:b/>
          <w:bCs/>
          <w:color w:val="auto"/>
          <w:sz w:val="52"/>
          <w:szCs w:val="52"/>
          <w:highlight w:val="none"/>
          <w:lang w:eastAsia="zh-CN"/>
        </w:rPr>
        <w:t>灵宝市2025年中央水库移民扶持基金</w:t>
      </w:r>
      <w:bookmarkEnd w:id="0"/>
    </w:p>
    <w:p w14:paraId="1321F7AA">
      <w:pPr>
        <w:spacing w:line="720" w:lineRule="auto"/>
        <w:jc w:val="center"/>
        <w:outlineLvl w:val="0"/>
        <w:rPr>
          <w:rFonts w:hint="eastAsia" w:ascii="宋体" w:hAnsi="宋体" w:eastAsia="宋体"/>
          <w:b/>
          <w:color w:val="auto"/>
          <w:sz w:val="28"/>
          <w:szCs w:val="28"/>
          <w:highlight w:val="none"/>
          <w:lang w:eastAsia="zh-CN"/>
        </w:rPr>
      </w:pPr>
      <w:bookmarkStart w:id="1" w:name="_Toc28438"/>
      <w:r>
        <w:rPr>
          <w:rFonts w:hint="eastAsia" w:ascii="宋体" w:hAnsi="宋体" w:cs="宋体"/>
          <w:b/>
          <w:bCs/>
          <w:color w:val="auto"/>
          <w:sz w:val="52"/>
          <w:szCs w:val="52"/>
          <w:highlight w:val="none"/>
          <w:lang w:eastAsia="zh-CN"/>
        </w:rPr>
        <w:t>项目设计</w:t>
      </w:r>
      <w:bookmarkEnd w:id="1"/>
    </w:p>
    <w:p w14:paraId="4F047C30">
      <w:pPr>
        <w:jc w:val="center"/>
        <w:rPr>
          <w:rFonts w:ascii="宋体" w:hAnsi="宋体"/>
          <w:b/>
          <w:color w:val="auto"/>
          <w:sz w:val="44"/>
          <w:szCs w:val="44"/>
          <w:highlight w:val="none"/>
        </w:rPr>
      </w:pPr>
    </w:p>
    <w:p w14:paraId="4BD80712">
      <w:pPr>
        <w:pStyle w:val="2"/>
        <w:rPr>
          <w:rFonts w:hint="eastAsia"/>
          <w:highlight w:val="none"/>
        </w:rPr>
      </w:pPr>
      <w:bookmarkStart w:id="2" w:name="_Toc24118"/>
      <w:bookmarkStart w:id="3" w:name="_Toc7595"/>
    </w:p>
    <w:p w14:paraId="76BED63C">
      <w:pPr>
        <w:jc w:val="center"/>
        <w:outlineLvl w:val="0"/>
        <w:rPr>
          <w:rFonts w:ascii="宋体" w:hAnsi="宋体" w:cs="宋体"/>
          <w:color w:val="auto"/>
          <w:sz w:val="28"/>
          <w:szCs w:val="28"/>
          <w:highlight w:val="none"/>
        </w:rPr>
      </w:pPr>
      <w:bookmarkStart w:id="4" w:name="_Toc18516"/>
      <w:bookmarkStart w:id="5" w:name="_Toc1088"/>
      <w:r>
        <w:rPr>
          <w:rFonts w:hint="eastAsia" w:ascii="宋体" w:hAnsi="宋体"/>
          <w:b/>
          <w:color w:val="auto"/>
          <w:sz w:val="72"/>
          <w:szCs w:val="72"/>
          <w:highlight w:val="none"/>
        </w:rPr>
        <w:t>竞争性磋商文件</w:t>
      </w:r>
      <w:bookmarkEnd w:id="2"/>
      <w:bookmarkEnd w:id="3"/>
      <w:bookmarkEnd w:id="4"/>
      <w:bookmarkEnd w:id="5"/>
    </w:p>
    <w:p w14:paraId="59F5934C">
      <w:pPr>
        <w:spacing w:line="540" w:lineRule="exact"/>
        <w:jc w:val="center"/>
        <w:rPr>
          <w:rFonts w:hint="eastAsia" w:eastAsia="宋体"/>
          <w:color w:val="auto"/>
          <w:highlight w:val="none"/>
          <w:lang w:val="en-US" w:eastAsia="zh-CN"/>
        </w:rPr>
      </w:pPr>
      <w:r>
        <w:rPr>
          <w:rFonts w:hint="eastAsia" w:ascii="宋体" w:hAnsi="宋体" w:eastAsia="宋体" w:cs="宋体"/>
          <w:color w:val="auto"/>
          <w:sz w:val="28"/>
          <w:szCs w:val="28"/>
          <w:highlight w:val="none"/>
        </w:rPr>
        <w:t>采购项目编号：灵宝竞磋采购-2025-21</w:t>
      </w:r>
      <w:r>
        <w:rPr>
          <w:rFonts w:hint="eastAsia" w:ascii="宋体" w:hAnsi="宋体" w:cs="宋体"/>
          <w:color w:val="auto"/>
          <w:sz w:val="28"/>
          <w:szCs w:val="28"/>
          <w:highlight w:val="none"/>
          <w:lang w:eastAsia="zh-CN"/>
        </w:rPr>
        <w:t>、LBGZ[2025]046-ZC035</w:t>
      </w:r>
    </w:p>
    <w:p w14:paraId="2FA00865">
      <w:pPr>
        <w:spacing w:line="360" w:lineRule="auto"/>
        <w:jc w:val="center"/>
        <w:rPr>
          <w:rFonts w:hint="eastAsia" w:eastAsia="宋体"/>
          <w:color w:val="auto"/>
          <w:highlight w:val="none"/>
          <w:lang w:val="en-US" w:eastAsia="zh-CN"/>
        </w:rPr>
      </w:pPr>
    </w:p>
    <w:p w14:paraId="153C1816">
      <w:pPr>
        <w:spacing w:line="360" w:lineRule="auto"/>
        <w:jc w:val="center"/>
        <w:rPr>
          <w:rFonts w:hint="eastAsia" w:ascii="宋体" w:hAnsi="宋体" w:cs="宋体"/>
          <w:color w:val="auto"/>
          <w:sz w:val="30"/>
          <w:szCs w:val="30"/>
          <w:highlight w:val="none"/>
        </w:rPr>
      </w:pPr>
      <w:r>
        <w:rPr>
          <w:rFonts w:hint="eastAsia" w:ascii="宋体" w:hAnsi="宋体" w:eastAsia="宋体" w:cs="宋体"/>
          <w:b/>
          <w:sz w:val="32"/>
          <w:szCs w:val="32"/>
          <w:highlight w:val="none"/>
          <w:lang w:eastAsia="zh-CN"/>
        </w:rPr>
        <w:drawing>
          <wp:anchor distT="0" distB="0" distL="114300" distR="114300" simplePos="0" relativeHeight="251659264" behindDoc="1" locked="0" layoutInCell="1" allowOverlap="1">
            <wp:simplePos x="0" y="0"/>
            <wp:positionH relativeFrom="column">
              <wp:posOffset>1621155</wp:posOffset>
            </wp:positionH>
            <wp:positionV relativeFrom="paragraph">
              <wp:posOffset>177165</wp:posOffset>
            </wp:positionV>
            <wp:extent cx="2474595" cy="2468880"/>
            <wp:effectExtent l="0" t="0" r="1905" b="7620"/>
            <wp:wrapNone/>
            <wp:docPr id="1" name="图片 2" descr="94071e0c0f5fa67400142b89049ff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4071e0c0f5fa67400142b89049ff54"/>
                    <pic:cNvPicPr>
                      <a:picLocks noChangeAspect="1"/>
                    </pic:cNvPicPr>
                  </pic:nvPicPr>
                  <pic:blipFill>
                    <a:blip r:embed="rId12"/>
                    <a:stretch>
                      <a:fillRect/>
                    </a:stretch>
                  </pic:blipFill>
                  <pic:spPr>
                    <a:xfrm>
                      <a:off x="0" y="0"/>
                      <a:ext cx="2474595" cy="2468880"/>
                    </a:xfrm>
                    <a:prstGeom prst="rect">
                      <a:avLst/>
                    </a:prstGeom>
                    <a:noFill/>
                    <a:ln>
                      <a:noFill/>
                    </a:ln>
                  </pic:spPr>
                </pic:pic>
              </a:graphicData>
            </a:graphic>
          </wp:anchor>
        </w:drawing>
      </w:r>
    </w:p>
    <w:p w14:paraId="0A91A43D">
      <w:pPr>
        <w:spacing w:line="360" w:lineRule="auto"/>
        <w:ind w:firstLine="900" w:firstLineChars="300"/>
        <w:rPr>
          <w:rFonts w:hint="eastAsia" w:ascii="宋体" w:hAnsi="宋体" w:cs="宋体"/>
          <w:color w:val="auto"/>
          <w:sz w:val="30"/>
          <w:szCs w:val="30"/>
          <w:highlight w:val="none"/>
        </w:rPr>
      </w:pPr>
    </w:p>
    <w:p w14:paraId="417C82CA">
      <w:pPr>
        <w:pStyle w:val="10"/>
        <w:ind w:left="0" w:leftChars="0" w:firstLine="0" w:firstLineChars="0"/>
        <w:rPr>
          <w:rFonts w:hint="eastAsia" w:ascii="宋体" w:hAnsi="宋体" w:cs="宋体"/>
          <w:color w:val="auto"/>
          <w:sz w:val="30"/>
          <w:szCs w:val="30"/>
          <w:highlight w:val="none"/>
        </w:rPr>
      </w:pPr>
    </w:p>
    <w:p w14:paraId="5E9AB68A">
      <w:pPr>
        <w:pStyle w:val="10"/>
        <w:rPr>
          <w:rFonts w:hint="eastAsia" w:ascii="宋体" w:hAnsi="宋体" w:cs="宋体"/>
          <w:color w:val="auto"/>
          <w:sz w:val="30"/>
          <w:szCs w:val="30"/>
          <w:highlight w:val="none"/>
        </w:rPr>
      </w:pPr>
    </w:p>
    <w:p w14:paraId="442407C5">
      <w:pPr>
        <w:pStyle w:val="10"/>
        <w:rPr>
          <w:rFonts w:hint="eastAsia" w:ascii="宋体" w:hAnsi="宋体" w:cs="宋体"/>
          <w:color w:val="auto"/>
          <w:sz w:val="30"/>
          <w:szCs w:val="30"/>
          <w:highlight w:val="none"/>
        </w:rPr>
      </w:pPr>
    </w:p>
    <w:p w14:paraId="43EA4A24">
      <w:pPr>
        <w:pStyle w:val="10"/>
        <w:rPr>
          <w:rFonts w:hint="eastAsia" w:ascii="宋体" w:hAnsi="宋体" w:cs="宋体"/>
          <w:color w:val="auto"/>
          <w:sz w:val="30"/>
          <w:szCs w:val="30"/>
          <w:highlight w:val="none"/>
        </w:rPr>
      </w:pPr>
    </w:p>
    <w:p w14:paraId="2476819B">
      <w:pPr>
        <w:pStyle w:val="10"/>
        <w:ind w:left="0" w:leftChars="0" w:firstLine="0" w:firstLineChars="0"/>
        <w:rPr>
          <w:rFonts w:hint="eastAsia" w:ascii="宋体" w:hAnsi="宋体" w:cs="宋体"/>
          <w:color w:val="auto"/>
          <w:sz w:val="30"/>
          <w:szCs w:val="30"/>
          <w:highlight w:val="none"/>
        </w:rPr>
      </w:pPr>
    </w:p>
    <w:p w14:paraId="73B360A9">
      <w:pPr>
        <w:spacing w:line="360" w:lineRule="auto"/>
        <w:ind w:firstLine="2100" w:firstLineChars="700"/>
        <w:rPr>
          <w:rFonts w:hint="eastAsia" w:ascii="宋体" w:hAnsi="宋体" w:cs="宋体"/>
          <w:color w:val="auto"/>
          <w:sz w:val="30"/>
          <w:szCs w:val="30"/>
          <w:highlight w:val="none"/>
        </w:rPr>
      </w:pPr>
    </w:p>
    <w:p w14:paraId="02E9DC13">
      <w:pPr>
        <w:spacing w:line="360" w:lineRule="auto"/>
        <w:ind w:firstLine="2100" w:firstLineChars="700"/>
        <w:rPr>
          <w:rFonts w:hint="eastAsia" w:ascii="宋体" w:hAnsi="宋体" w:cs="宋体"/>
          <w:color w:val="auto"/>
          <w:sz w:val="30"/>
          <w:szCs w:val="30"/>
          <w:highlight w:val="none"/>
        </w:rPr>
      </w:pPr>
    </w:p>
    <w:p w14:paraId="7C897B1B">
      <w:pPr>
        <w:spacing w:line="360" w:lineRule="auto"/>
        <w:ind w:firstLine="2100" w:firstLineChars="700"/>
        <w:rPr>
          <w:rFonts w:hint="eastAsia" w:ascii="宋体" w:hAnsi="宋体" w:eastAsia="宋体" w:cs="宋体"/>
          <w:color w:val="auto"/>
          <w:spacing w:val="10"/>
          <w:sz w:val="30"/>
          <w:szCs w:val="30"/>
          <w:highlight w:val="none"/>
          <w:lang w:eastAsia="zh-CN"/>
        </w:rPr>
      </w:pPr>
      <w:r>
        <w:rPr>
          <w:rFonts w:hint="eastAsia" w:ascii="宋体" w:hAnsi="宋体" w:cs="宋体"/>
          <w:color w:val="auto"/>
          <w:sz w:val="30"/>
          <w:szCs w:val="30"/>
          <w:highlight w:val="none"/>
        </w:rPr>
        <w:t>招</w:t>
      </w:r>
      <w:r>
        <w:rPr>
          <w:rFonts w:hint="eastAsia" w:ascii="宋体" w:hAnsi="宋体" w:cs="宋体"/>
          <w:color w:val="auto"/>
          <w:sz w:val="30"/>
          <w:szCs w:val="30"/>
          <w:highlight w:val="none"/>
          <w:lang w:val="en-US" w:eastAsia="zh-CN"/>
        </w:rPr>
        <w:t xml:space="preserve">   </w:t>
      </w:r>
      <w:r>
        <w:rPr>
          <w:rFonts w:hint="eastAsia" w:ascii="宋体" w:hAnsi="宋体" w:cs="宋体"/>
          <w:color w:val="auto"/>
          <w:sz w:val="30"/>
          <w:szCs w:val="30"/>
          <w:highlight w:val="none"/>
        </w:rPr>
        <w:t>标</w:t>
      </w:r>
      <w:r>
        <w:rPr>
          <w:rFonts w:hint="eastAsia" w:ascii="宋体" w:hAnsi="宋体" w:cs="宋体"/>
          <w:color w:val="auto"/>
          <w:sz w:val="30"/>
          <w:szCs w:val="30"/>
          <w:highlight w:val="none"/>
          <w:lang w:val="en-US" w:eastAsia="zh-CN"/>
        </w:rPr>
        <w:t xml:space="preserve">   </w:t>
      </w:r>
      <w:r>
        <w:rPr>
          <w:rFonts w:hint="eastAsia" w:ascii="宋体" w:hAnsi="宋体" w:cs="宋体"/>
          <w:color w:val="auto"/>
          <w:sz w:val="30"/>
          <w:szCs w:val="30"/>
          <w:highlight w:val="none"/>
        </w:rPr>
        <w:t>人：</w:t>
      </w:r>
      <w:r>
        <w:rPr>
          <w:rFonts w:hint="eastAsia" w:ascii="宋体" w:hAnsi="宋体" w:cs="宋体"/>
          <w:color w:val="auto"/>
          <w:sz w:val="30"/>
          <w:szCs w:val="30"/>
          <w:highlight w:val="none"/>
          <w:lang w:eastAsia="zh-CN"/>
        </w:rPr>
        <w:t>灵宝市黄河河务局</w:t>
      </w:r>
    </w:p>
    <w:p w14:paraId="4BCC6583">
      <w:pPr>
        <w:spacing w:line="360" w:lineRule="auto"/>
        <w:ind w:firstLine="2100" w:firstLineChars="700"/>
        <w:rPr>
          <w:rFonts w:hint="eastAsia" w:ascii="宋体" w:hAnsi="宋体" w:cs="宋体"/>
          <w:color w:val="auto"/>
          <w:spacing w:val="10"/>
          <w:sz w:val="30"/>
          <w:szCs w:val="30"/>
          <w:highlight w:val="none"/>
        </w:rPr>
      </w:pPr>
      <w:r>
        <w:rPr>
          <w:rFonts w:hint="eastAsia" w:ascii="宋体" w:hAnsi="宋体" w:cs="宋体"/>
          <w:color w:val="auto"/>
          <w:sz w:val="30"/>
          <w:szCs w:val="30"/>
          <w:highlight w:val="none"/>
        </w:rPr>
        <w:t>招标代理机构：</w:t>
      </w:r>
      <w:r>
        <w:rPr>
          <w:rFonts w:hint="eastAsia" w:ascii="宋体" w:hAnsi="宋体" w:cs="宋体"/>
          <w:color w:val="auto"/>
          <w:spacing w:val="10"/>
          <w:sz w:val="30"/>
          <w:szCs w:val="30"/>
          <w:highlight w:val="none"/>
          <w:lang w:eastAsia="zh-CN"/>
        </w:rPr>
        <w:t>河南精开咨询有限公司</w:t>
      </w:r>
      <w:r>
        <w:rPr>
          <w:rFonts w:hint="eastAsia" w:ascii="宋体" w:hAnsi="宋体" w:cs="宋体"/>
          <w:color w:val="auto"/>
          <w:spacing w:val="10"/>
          <w:sz w:val="30"/>
          <w:szCs w:val="30"/>
          <w:highlight w:val="none"/>
        </w:rPr>
        <w:t xml:space="preserve"> </w:t>
      </w:r>
    </w:p>
    <w:p w14:paraId="38F83839">
      <w:pPr>
        <w:tabs>
          <w:tab w:val="left" w:pos="8820"/>
          <w:tab w:val="left" w:pos="9000"/>
        </w:tabs>
        <w:spacing w:line="360" w:lineRule="auto"/>
        <w:ind w:firstLine="2100" w:firstLineChars="700"/>
        <w:rPr>
          <w:rFonts w:hint="eastAsia" w:hAnsi="宋体" w:cs="宋体"/>
          <w:b/>
          <w:bCs/>
          <w:color w:val="auto"/>
          <w:sz w:val="28"/>
          <w:szCs w:val="28"/>
          <w:highlight w:val="none"/>
        </w:rPr>
        <w:sectPr>
          <w:footerReference r:id="rId5" w:type="first"/>
          <w:headerReference r:id="rId3" w:type="default"/>
          <w:footerReference r:id="rId4" w:type="default"/>
          <w:pgSz w:w="11907" w:h="16840"/>
          <w:pgMar w:top="1400" w:right="1418" w:bottom="1089" w:left="1418" w:header="624" w:footer="747" w:gutter="0"/>
          <w:pgNumType w:fmt="decimal"/>
          <w:cols w:space="720" w:num="1"/>
          <w:titlePg/>
          <w:docGrid w:type="linesAndChars" w:linePitch="312" w:charSpace="0"/>
        </w:sectPr>
      </w:pPr>
      <w:r>
        <w:rPr>
          <w:rFonts w:hint="eastAsia" w:ascii="宋体" w:hAnsi="宋体" w:cs="宋体"/>
          <w:color w:val="auto"/>
          <w:sz w:val="30"/>
          <w:szCs w:val="30"/>
          <w:highlight w:val="none"/>
        </w:rPr>
        <w:t xml:space="preserve">日 </w:t>
      </w:r>
      <w:r>
        <w:rPr>
          <w:rFonts w:hint="eastAsia" w:ascii="宋体" w:hAnsi="宋体" w:cs="宋体"/>
          <w:color w:val="auto"/>
          <w:sz w:val="30"/>
          <w:szCs w:val="30"/>
          <w:highlight w:val="none"/>
          <w:lang w:val="en-US" w:eastAsia="zh-CN"/>
        </w:rPr>
        <w:t xml:space="preserve">      </w:t>
      </w:r>
      <w:r>
        <w:rPr>
          <w:rFonts w:hint="eastAsia" w:ascii="宋体" w:hAnsi="宋体" w:cs="宋体"/>
          <w:color w:val="auto"/>
          <w:sz w:val="30"/>
          <w:szCs w:val="30"/>
          <w:highlight w:val="none"/>
        </w:rPr>
        <w:t xml:space="preserve"> 期：</w:t>
      </w:r>
      <w:r>
        <w:rPr>
          <w:rFonts w:hint="eastAsia" w:ascii="宋体" w:hAnsi="宋体" w:cs="宋体"/>
          <w:color w:val="auto"/>
          <w:spacing w:val="20"/>
          <w:sz w:val="30"/>
          <w:szCs w:val="30"/>
          <w:highlight w:val="none"/>
        </w:rPr>
        <w:t>二〇二</w:t>
      </w:r>
      <w:r>
        <w:rPr>
          <w:rFonts w:hint="eastAsia" w:ascii="宋体" w:hAnsi="宋体" w:cs="宋体"/>
          <w:color w:val="auto"/>
          <w:spacing w:val="20"/>
          <w:sz w:val="30"/>
          <w:szCs w:val="30"/>
          <w:highlight w:val="none"/>
          <w:lang w:val="en-US" w:eastAsia="zh-CN"/>
        </w:rPr>
        <w:t>五</w:t>
      </w:r>
      <w:r>
        <w:rPr>
          <w:rFonts w:hint="eastAsia" w:ascii="宋体" w:hAnsi="宋体" w:cs="宋体"/>
          <w:color w:val="auto"/>
          <w:spacing w:val="20"/>
          <w:sz w:val="30"/>
          <w:szCs w:val="30"/>
          <w:highlight w:val="none"/>
        </w:rPr>
        <w:t>年</w:t>
      </w:r>
      <w:r>
        <w:rPr>
          <w:rFonts w:hint="eastAsia" w:ascii="宋体" w:hAnsi="宋体" w:cs="宋体"/>
          <w:color w:val="auto"/>
          <w:spacing w:val="20"/>
          <w:sz w:val="30"/>
          <w:szCs w:val="30"/>
          <w:highlight w:val="none"/>
          <w:lang w:val="en-US" w:eastAsia="zh-CN"/>
        </w:rPr>
        <w:t>三</w:t>
      </w:r>
      <w:r>
        <w:rPr>
          <w:rFonts w:hint="eastAsia" w:ascii="宋体" w:hAnsi="宋体" w:cs="宋体"/>
          <w:color w:val="auto"/>
          <w:spacing w:val="20"/>
          <w:sz w:val="30"/>
          <w:szCs w:val="30"/>
          <w:highlight w:val="none"/>
        </w:rPr>
        <w:t>月</w:t>
      </w:r>
    </w:p>
    <w:p w14:paraId="683D4169">
      <w:pPr>
        <w:spacing w:line="720" w:lineRule="auto"/>
        <w:jc w:val="center"/>
        <w:rPr>
          <w:highlight w:val="none"/>
        </w:rPr>
      </w:pPr>
      <w:r>
        <w:rPr>
          <w:rFonts w:hint="eastAsia" w:ascii="宋体" w:hAnsi="宋体" w:eastAsia="宋体" w:cs="宋体"/>
          <w:b/>
          <w:bCs/>
          <w:color w:val="auto"/>
          <w:kern w:val="0"/>
          <w:sz w:val="30"/>
          <w:szCs w:val="30"/>
          <w:highlight w:val="none"/>
        </w:rPr>
        <w:t>目   录</w:t>
      </w:r>
      <w:r>
        <w:rPr>
          <w:color w:val="auto"/>
          <w:highlight w:val="none"/>
        </w:rPr>
        <w:fldChar w:fldCharType="begin"/>
      </w:r>
      <w:r>
        <w:rPr>
          <w:color w:val="auto"/>
          <w:highlight w:val="none"/>
        </w:rPr>
        <w:instrText xml:space="preserve">TOC \o "1-2" \h \u </w:instrText>
      </w:r>
      <w:r>
        <w:rPr>
          <w:color w:val="auto"/>
          <w:highlight w:val="none"/>
        </w:rPr>
        <w:fldChar w:fldCharType="separate"/>
      </w:r>
    </w:p>
    <w:p w14:paraId="5A9BE075">
      <w:pPr>
        <w:pStyle w:val="13"/>
        <w:tabs>
          <w:tab w:val="right" w:leader="hyphen" w:pos="9632"/>
        </w:tabs>
        <w:spacing w:line="360" w:lineRule="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_Toc31621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第一章  竞争性磋商公告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_Toc31621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28"/>
          <w:highlight w:val="none"/>
        </w:rPr>
        <w:fldChar w:fldCharType="end"/>
      </w:r>
    </w:p>
    <w:p w14:paraId="507B29F3">
      <w:pPr>
        <w:pStyle w:val="13"/>
        <w:tabs>
          <w:tab w:val="right" w:leader="hyphen" w:pos="9632"/>
        </w:tabs>
        <w:spacing w:line="360" w:lineRule="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_Toc25756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第二章  响应人须知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_Toc25756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6</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28"/>
          <w:highlight w:val="none"/>
        </w:rPr>
        <w:fldChar w:fldCharType="end"/>
      </w:r>
    </w:p>
    <w:p w14:paraId="5BE9FFAE">
      <w:pPr>
        <w:pStyle w:val="13"/>
        <w:tabs>
          <w:tab w:val="right" w:leader="hyphen" w:pos="9632"/>
        </w:tabs>
        <w:spacing w:line="360" w:lineRule="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_Toc5077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第三章  磋商办法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_Toc5077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24</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28"/>
          <w:highlight w:val="none"/>
        </w:rPr>
        <w:fldChar w:fldCharType="end"/>
      </w:r>
    </w:p>
    <w:p w14:paraId="14A36B04">
      <w:pPr>
        <w:pStyle w:val="13"/>
        <w:tabs>
          <w:tab w:val="right" w:leader="hyphen" w:pos="9632"/>
        </w:tabs>
        <w:spacing w:line="360" w:lineRule="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_Toc23739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第四章  合同条款及格式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_Toc23739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32</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28"/>
          <w:highlight w:val="none"/>
        </w:rPr>
        <w:fldChar w:fldCharType="end"/>
      </w:r>
    </w:p>
    <w:p w14:paraId="68A62D70">
      <w:pPr>
        <w:pStyle w:val="13"/>
        <w:tabs>
          <w:tab w:val="right" w:leader="hyphen" w:pos="9632"/>
        </w:tabs>
        <w:spacing w:line="360" w:lineRule="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_Toc17708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第五章  技术要求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_Toc17708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37</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28"/>
          <w:highlight w:val="none"/>
        </w:rPr>
        <w:fldChar w:fldCharType="end"/>
      </w:r>
    </w:p>
    <w:p w14:paraId="72B88537">
      <w:pPr>
        <w:pStyle w:val="13"/>
        <w:tabs>
          <w:tab w:val="right" w:leader="hyphen" w:pos="9632"/>
        </w:tabs>
        <w:spacing w:line="360" w:lineRule="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_Toc21759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第六章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_Toc21759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38</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28"/>
          <w:highlight w:val="none"/>
        </w:rPr>
        <w:fldChar w:fldCharType="end"/>
      </w:r>
    </w:p>
    <w:p w14:paraId="51CA668B">
      <w:pPr>
        <w:jc w:val="center"/>
        <w:outlineLvl w:val="0"/>
        <w:rPr>
          <w:color w:val="auto"/>
          <w:highlight w:val="none"/>
        </w:rPr>
      </w:pPr>
      <w:r>
        <w:rPr>
          <w:color w:val="auto"/>
          <w:highlight w:val="none"/>
        </w:rPr>
        <w:fldChar w:fldCharType="end"/>
      </w:r>
      <w:bookmarkStart w:id="6" w:name="_Toc28999"/>
      <w:bookmarkStart w:id="7" w:name="_Toc30097"/>
      <w:bookmarkStart w:id="8" w:name="_Toc16802"/>
      <w:bookmarkStart w:id="9" w:name="_Toc11402"/>
    </w:p>
    <w:p w14:paraId="0CB73A43">
      <w:pPr>
        <w:jc w:val="center"/>
        <w:outlineLvl w:val="0"/>
        <w:rPr>
          <w:rFonts w:hint="eastAsia"/>
          <w:b/>
          <w:bCs/>
          <w:color w:val="auto"/>
          <w:sz w:val="36"/>
          <w:szCs w:val="36"/>
          <w:highlight w:val="none"/>
        </w:rPr>
        <w:sectPr>
          <w:headerReference r:id="rId6" w:type="default"/>
          <w:footerReference r:id="rId7" w:type="default"/>
          <w:pgSz w:w="11900" w:h="16838"/>
          <w:pgMar w:top="1077" w:right="1134" w:bottom="1077" w:left="1134" w:header="720" w:footer="720" w:gutter="0"/>
          <w:pgNumType w:fmt="decimal"/>
          <w:cols w:space="720" w:num="1"/>
          <w:docGrid w:type="lines" w:linePitch="360" w:charSpace="0"/>
        </w:sectPr>
      </w:pPr>
    </w:p>
    <w:p w14:paraId="293E49DB">
      <w:pPr>
        <w:jc w:val="center"/>
        <w:outlineLvl w:val="0"/>
        <w:rPr>
          <w:rFonts w:hint="eastAsia" w:ascii="宋体" w:hAnsi="宋体" w:cs="宋体"/>
          <w:b/>
          <w:bCs/>
          <w:color w:val="auto"/>
          <w:kern w:val="0"/>
          <w:sz w:val="36"/>
          <w:szCs w:val="36"/>
          <w:highlight w:val="none"/>
        </w:rPr>
      </w:pPr>
      <w:bookmarkStart w:id="10" w:name="_Toc31621"/>
      <w:r>
        <w:rPr>
          <w:rFonts w:hint="eastAsia"/>
          <w:b/>
          <w:bCs/>
          <w:color w:val="auto"/>
          <w:sz w:val="36"/>
          <w:szCs w:val="36"/>
          <w:highlight w:val="none"/>
        </w:rPr>
        <w:t>第一章  竞争性磋商公告</w:t>
      </w:r>
      <w:bookmarkEnd w:id="6"/>
      <w:bookmarkEnd w:id="7"/>
      <w:bookmarkEnd w:id="8"/>
      <w:bookmarkEnd w:id="9"/>
      <w:bookmarkEnd w:id="10"/>
    </w:p>
    <w:p w14:paraId="7FBF1152">
      <w:pPr>
        <w:spacing w:line="300" w:lineRule="exact"/>
        <w:rPr>
          <w:rFonts w:ascii="宋体" w:hAnsi="宋体" w:cs="宋体"/>
          <w:color w:val="auto"/>
          <w:sz w:val="10"/>
          <w:szCs w:val="10"/>
          <w:highlight w:val="none"/>
        </w:rPr>
      </w:pPr>
    </w:p>
    <w:p w14:paraId="5D9FD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项目概况</w:t>
      </w:r>
    </w:p>
    <w:p w14:paraId="04A61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灵宝市2025年中央水库移民扶持基金项目设计</w:t>
      </w:r>
      <w:r>
        <w:rPr>
          <w:rFonts w:hint="eastAsia" w:ascii="宋体" w:hAnsi="宋体" w:eastAsia="宋体" w:cs="宋体"/>
          <w:color w:val="auto"/>
          <w:sz w:val="24"/>
          <w:szCs w:val="24"/>
          <w:highlight w:val="none"/>
        </w:rPr>
        <w:t>的潜在</w:t>
      </w: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sz w:val="24"/>
          <w:szCs w:val="24"/>
          <w:highlight w:val="none"/>
        </w:rPr>
        <w:t>应在三门峡市公共资源交易中心gzjy.smx.gov.cn获取</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文件，并于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rPr>
        <w:t>日08时30分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北京时间）前递交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w:t>
      </w:r>
    </w:p>
    <w:p w14:paraId="335647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4A08FD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1、采购项目编号：灵宝竞磋采购-2025-21</w:t>
      </w:r>
      <w:r>
        <w:rPr>
          <w:rFonts w:hint="eastAsia" w:ascii="宋体" w:hAnsi="宋体" w:cs="宋体"/>
          <w:color w:val="auto"/>
          <w:sz w:val="24"/>
          <w:szCs w:val="24"/>
          <w:highlight w:val="none"/>
          <w:lang w:eastAsia="zh-CN"/>
        </w:rPr>
        <w:t>、LBGZ[2025]046-ZC035</w:t>
      </w:r>
    </w:p>
    <w:p w14:paraId="73549E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2、采购项目名称：</w:t>
      </w:r>
      <w:r>
        <w:rPr>
          <w:rFonts w:hint="eastAsia" w:ascii="宋体" w:hAnsi="宋体" w:eastAsia="宋体" w:cs="宋体"/>
          <w:color w:val="auto"/>
          <w:sz w:val="24"/>
          <w:szCs w:val="24"/>
          <w:highlight w:val="none"/>
          <w:lang w:eastAsia="zh-CN"/>
        </w:rPr>
        <w:t>灵宝市2025年中央水库移民扶持基金项目设计</w:t>
      </w:r>
    </w:p>
    <w:p w14:paraId="6679A5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3、采购方式：</w:t>
      </w:r>
      <w:r>
        <w:rPr>
          <w:rFonts w:hint="eastAsia" w:ascii="宋体" w:hAnsi="宋体" w:eastAsia="宋体" w:cs="宋体"/>
          <w:color w:val="auto"/>
          <w:sz w:val="24"/>
          <w:szCs w:val="24"/>
          <w:highlight w:val="none"/>
          <w:lang w:val="en-US" w:eastAsia="zh-CN"/>
        </w:rPr>
        <w:t>竞争性磋商</w:t>
      </w:r>
    </w:p>
    <w:p w14:paraId="5A6596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4、最高限价：</w:t>
      </w:r>
      <w:r>
        <w:rPr>
          <w:rFonts w:hint="eastAsia" w:ascii="宋体" w:hAnsi="宋体" w:eastAsia="宋体" w:cs="宋体"/>
          <w:snapToGrid w:val="0"/>
          <w:color w:val="auto"/>
          <w:sz w:val="24"/>
          <w:szCs w:val="24"/>
          <w:highlight w:val="none"/>
          <w:lang w:val="en-US" w:eastAsia="zh-CN"/>
        </w:rPr>
        <w:t>773487</w:t>
      </w:r>
      <w:r>
        <w:rPr>
          <w:rFonts w:hint="eastAsia" w:ascii="宋体" w:hAnsi="宋体" w:eastAsia="宋体" w:cs="宋体"/>
          <w:snapToGrid w:val="0"/>
          <w:color w:val="auto"/>
          <w:sz w:val="24"/>
          <w:szCs w:val="24"/>
          <w:highlight w:val="none"/>
          <w:lang w:eastAsia="zh-CN"/>
        </w:rPr>
        <w:t>.00</w:t>
      </w:r>
      <w:r>
        <w:rPr>
          <w:rFonts w:hint="eastAsia" w:ascii="宋体" w:hAnsi="宋体" w:eastAsia="宋体" w:cs="宋体"/>
          <w:color w:val="auto"/>
          <w:sz w:val="24"/>
          <w:szCs w:val="24"/>
          <w:highlight w:val="none"/>
        </w:rPr>
        <w:t>元</w:t>
      </w:r>
    </w:p>
    <w:tbl>
      <w:tblPr>
        <w:tblStyle w:val="18"/>
        <w:tblW w:w="864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6"/>
        <w:gridCol w:w="5529"/>
        <w:gridCol w:w="2235"/>
      </w:tblGrid>
      <w:tr w14:paraId="02E525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CB50B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52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A06A4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包名称</w:t>
            </w:r>
          </w:p>
        </w:tc>
        <w:tc>
          <w:tcPr>
            <w:tcW w:w="22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4F326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元）</w:t>
            </w:r>
          </w:p>
        </w:tc>
      </w:tr>
      <w:tr w14:paraId="3B15D4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0"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DA74C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52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EF1C5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灵宝市2025年中央水库移民扶持基金项目设计</w:t>
            </w:r>
          </w:p>
        </w:tc>
        <w:tc>
          <w:tcPr>
            <w:tcW w:w="22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ADAF2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773487</w:t>
            </w:r>
            <w:r>
              <w:rPr>
                <w:rFonts w:hint="eastAsia" w:ascii="宋体" w:hAnsi="宋体" w:eastAsia="宋体" w:cs="宋体"/>
                <w:snapToGrid w:val="0"/>
                <w:color w:val="auto"/>
                <w:sz w:val="24"/>
                <w:szCs w:val="24"/>
                <w:highlight w:val="none"/>
                <w:lang w:eastAsia="zh-CN"/>
              </w:rPr>
              <w:t>.00</w:t>
            </w:r>
          </w:p>
        </w:tc>
      </w:tr>
    </w:tbl>
    <w:p w14:paraId="32775B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包括但不限于标的的名称、数量、简要技术需求或服务要求等）</w:t>
      </w:r>
    </w:p>
    <w:p w14:paraId="4E3C934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项目概况</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rPr>
        <w:t>灵宝市2025年中央水库移民扶持基金项目设计，项目总投资约2758.2万元；本项目为灵宝市境内部分行政村项目施工图设计等工作，具体内容：小中原村道路硬化项目、墙底村道路硬化项目、西闫乡道路硬化项目、郎寨村道路硬化项目、南阳平村道路硬化项目、太张村道路硬化项目、杜家村道路硬化项目、柴原村亮化项目、匣里村亮化项目、窝头村老年日照服务中心项目、寺洼村民宿提升项目、</w:t>
      </w:r>
      <w:r>
        <w:rPr>
          <w:rFonts w:hint="eastAsia" w:ascii="宋体" w:hAnsi="宋体" w:cs="宋体"/>
          <w:color w:val="auto"/>
          <w:kern w:val="0"/>
          <w:sz w:val="24"/>
          <w:szCs w:val="24"/>
          <w:highlight w:val="none"/>
          <w:lang w:val="en-US" w:eastAsia="zh-CN"/>
        </w:rPr>
        <w:t>川口乡</w:t>
      </w:r>
      <w:r>
        <w:rPr>
          <w:rFonts w:hint="eastAsia" w:ascii="宋体" w:hAnsi="宋体" w:eastAsia="宋体" w:cs="宋体"/>
          <w:color w:val="auto"/>
          <w:kern w:val="0"/>
          <w:sz w:val="24"/>
          <w:szCs w:val="24"/>
          <w:highlight w:val="none"/>
          <w:lang w:val="en-US" w:eastAsia="zh-CN"/>
        </w:rPr>
        <w:t>樱桃冷链加工厂房项目、梨湾源村水果分拣车间项目、安家底村市场提升项目、豫灵镇商业综合体项目、开方口村道路硬化及亮化项目、唐窑村场地硬化及亮化项目、东村村场地硬化项目、寺河乡亮化项目等</w:t>
      </w:r>
      <w:r>
        <w:rPr>
          <w:rFonts w:hint="eastAsia" w:ascii="宋体" w:hAnsi="宋体" w:eastAsia="宋体" w:cs="宋体"/>
          <w:color w:val="auto"/>
          <w:sz w:val="24"/>
          <w:szCs w:val="24"/>
          <w:highlight w:val="none"/>
          <w:lang w:eastAsia="zh-CN"/>
        </w:rPr>
        <w:t>；</w:t>
      </w:r>
    </w:p>
    <w:p w14:paraId="03D7DFB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招标范围：包含灵宝市2025年中央水库移民扶持基金项目、灵宝市2025年中央水库移民扶持基金（直补结余）项目；不仅限于项目初步设计、提供向所有相关职能部门报审报建的相关设计资料、施工图设计、施工招标配合服务、施工期配合服务（含设计变更的造价估算）、后期咨询服务、配合完成初步设计评审、施工图审查及相关配合服务等；</w:t>
      </w:r>
    </w:p>
    <w:p w14:paraId="31BEEC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资金来源：</w:t>
      </w:r>
      <w:r>
        <w:rPr>
          <w:rFonts w:hint="eastAsia" w:ascii="宋体" w:hAnsi="宋体" w:eastAsia="宋体" w:cs="宋体"/>
          <w:snapToGrid w:val="0"/>
          <w:color w:val="auto"/>
          <w:sz w:val="24"/>
          <w:szCs w:val="24"/>
          <w:highlight w:val="none"/>
        </w:rPr>
        <w:t>财政资金，已落实；</w:t>
      </w:r>
      <w:r>
        <w:rPr>
          <w:rFonts w:hint="eastAsia" w:ascii="宋体" w:hAnsi="宋体" w:eastAsia="宋体" w:cs="宋体"/>
          <w:color w:val="auto"/>
          <w:sz w:val="24"/>
          <w:szCs w:val="24"/>
          <w:highlight w:val="none"/>
        </w:rPr>
        <w:t>  </w:t>
      </w:r>
    </w:p>
    <w:p w14:paraId="31670D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4项目</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灵宝市境内</w:t>
      </w:r>
      <w:r>
        <w:rPr>
          <w:rFonts w:hint="eastAsia" w:ascii="宋体" w:hAnsi="宋体" w:eastAsia="宋体" w:cs="宋体"/>
          <w:color w:val="auto"/>
          <w:sz w:val="24"/>
          <w:szCs w:val="24"/>
          <w:highlight w:val="none"/>
          <w:lang w:eastAsia="zh-CN"/>
        </w:rPr>
        <w:t>；</w:t>
      </w:r>
    </w:p>
    <w:p w14:paraId="38D1FA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snapToGrid w:val="0"/>
          <w:color w:val="auto"/>
          <w:sz w:val="24"/>
          <w:szCs w:val="24"/>
          <w:highlight w:val="none"/>
        </w:rPr>
        <w:t>质量要求：符合国家、行业、地方政府有关法律法规及技术规范要求</w:t>
      </w:r>
      <w:r>
        <w:rPr>
          <w:rFonts w:hint="eastAsia" w:ascii="宋体" w:hAnsi="宋体" w:eastAsia="宋体" w:cs="宋体"/>
          <w:snapToGrid w:val="0"/>
          <w:color w:val="auto"/>
          <w:sz w:val="24"/>
          <w:szCs w:val="24"/>
          <w:highlight w:val="none"/>
          <w:lang w:eastAsia="zh-CN"/>
        </w:rPr>
        <w:t>；</w:t>
      </w:r>
    </w:p>
    <w:p w14:paraId="449FF6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6</w:t>
      </w:r>
      <w:r>
        <w:rPr>
          <w:rFonts w:hint="eastAsia" w:ascii="宋体" w:hAnsi="宋体" w:eastAsia="宋体" w:cs="宋体"/>
          <w:snapToGrid w:val="0"/>
          <w:color w:val="auto"/>
          <w:sz w:val="24"/>
          <w:szCs w:val="24"/>
          <w:highlight w:val="none"/>
          <w:lang w:val="en-US" w:eastAsia="zh-CN"/>
        </w:rPr>
        <w:t>设计周期</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合同签订后30日历天内提交成果文件；</w:t>
      </w:r>
    </w:p>
    <w:p w14:paraId="35F17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val="en-US" w:eastAsia="zh-CN"/>
        </w:rPr>
        <w:t>共1</w:t>
      </w:r>
      <w:r>
        <w:rPr>
          <w:rFonts w:hint="eastAsia" w:ascii="宋体" w:hAnsi="宋体" w:eastAsia="宋体" w:cs="宋体"/>
          <w:color w:val="auto"/>
          <w:sz w:val="24"/>
          <w:szCs w:val="24"/>
          <w:highlight w:val="none"/>
        </w:rPr>
        <w:t>个标段</w:t>
      </w:r>
      <w:r>
        <w:rPr>
          <w:rFonts w:hint="eastAsia" w:ascii="宋体" w:hAnsi="宋体" w:eastAsia="宋体" w:cs="宋体"/>
          <w:color w:val="auto"/>
          <w:sz w:val="24"/>
          <w:szCs w:val="24"/>
          <w:highlight w:val="none"/>
          <w:lang w:eastAsia="zh-CN"/>
        </w:rPr>
        <w:t>。</w:t>
      </w:r>
    </w:p>
    <w:p w14:paraId="7CB499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6、合同履行期限：同服务期限</w:t>
      </w:r>
    </w:p>
    <w:p w14:paraId="1133A5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：否</w:t>
      </w:r>
    </w:p>
    <w:p w14:paraId="40C650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7B1D8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9、是否专门面向中小企业：否</w:t>
      </w:r>
    </w:p>
    <w:p w14:paraId="10C86D9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二、申请</w:t>
      </w:r>
      <w:r>
        <w:rPr>
          <w:rFonts w:hint="eastAsia" w:ascii="宋体" w:hAnsi="宋体" w:eastAsia="宋体" w:cs="宋体"/>
          <w:color w:val="auto"/>
          <w:kern w:val="0"/>
          <w:sz w:val="24"/>
          <w:szCs w:val="24"/>
          <w:highlight w:val="none"/>
          <w:lang w:val="en-US" w:eastAsia="zh-CN"/>
        </w:rPr>
        <w:t>人资格要求：  </w:t>
      </w:r>
    </w:p>
    <w:p w14:paraId="6C9656E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1、满足《中华人民共和国政府采购法》第二十二条规定：</w:t>
      </w:r>
    </w:p>
    <w:p w14:paraId="6886213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2、落实政府采购政策满足的资格要求：本项目执行促进中小型企业发展政策（监狱企业、残疾人福利性企业视同小微企业）、优先采购节能环保产品等政府采购政策；</w:t>
      </w:r>
    </w:p>
    <w:p w14:paraId="4182EAC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3、本项目的特定资格要求</w:t>
      </w:r>
    </w:p>
    <w:p w14:paraId="7762F5D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3.1、响应人须具备独立法人资格或事业法人资格，具有有效的营业执照或事业单位法人证书；</w:t>
      </w:r>
    </w:p>
    <w:p w14:paraId="230BD76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3.2、响应人须具备</w:t>
      </w:r>
      <w:r>
        <w:rPr>
          <w:rFonts w:hint="eastAsia" w:ascii="宋体" w:hAnsi="宋体" w:eastAsia="宋体" w:cs="宋体"/>
          <w:color w:val="auto"/>
          <w:sz w:val="24"/>
          <w:szCs w:val="24"/>
          <w:highlight w:val="none"/>
          <w:lang w:val="en-US" w:eastAsia="zh-CN"/>
        </w:rPr>
        <w:t>建筑行业</w:t>
      </w:r>
      <w:r>
        <w:rPr>
          <w:rFonts w:hint="eastAsia" w:ascii="宋体" w:hAnsi="宋体" w:cs="宋体"/>
          <w:color w:val="auto"/>
          <w:sz w:val="24"/>
          <w:szCs w:val="24"/>
          <w:highlight w:val="none"/>
          <w:lang w:val="en-US" w:eastAsia="zh-CN"/>
        </w:rPr>
        <w:t>（建筑工程）</w:t>
      </w:r>
      <w:r>
        <w:rPr>
          <w:rFonts w:hint="eastAsia" w:ascii="宋体" w:hAnsi="宋体" w:eastAsia="宋体" w:cs="宋体"/>
          <w:color w:val="auto"/>
          <w:sz w:val="24"/>
          <w:szCs w:val="24"/>
          <w:highlight w:val="none"/>
          <w:lang w:val="en-US" w:eastAsia="zh-CN"/>
        </w:rPr>
        <w:t>乙级</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以上资质和市政行业</w:t>
      </w:r>
      <w:r>
        <w:rPr>
          <w:rFonts w:hint="eastAsia" w:ascii="宋体" w:hAnsi="宋体" w:cs="宋体"/>
          <w:color w:val="auto"/>
          <w:sz w:val="24"/>
          <w:szCs w:val="24"/>
          <w:highlight w:val="none"/>
          <w:lang w:val="en-US" w:eastAsia="zh-CN"/>
        </w:rPr>
        <w:t>（道路工程）专业</w:t>
      </w:r>
      <w:r>
        <w:rPr>
          <w:rFonts w:hint="eastAsia" w:ascii="宋体" w:hAnsi="宋体" w:eastAsia="宋体" w:cs="宋体"/>
          <w:color w:val="auto"/>
          <w:sz w:val="24"/>
          <w:szCs w:val="24"/>
          <w:highlight w:val="none"/>
          <w:lang w:val="en-US" w:eastAsia="zh-CN"/>
        </w:rPr>
        <w:t>乙级</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以上资质</w:t>
      </w:r>
      <w:r>
        <w:rPr>
          <w:rFonts w:hint="eastAsia" w:ascii="宋体" w:hAnsi="宋体" w:eastAsia="宋体" w:cs="宋体"/>
          <w:color w:val="auto"/>
          <w:kern w:val="0"/>
          <w:sz w:val="24"/>
          <w:szCs w:val="24"/>
          <w:highlight w:val="none"/>
        </w:rPr>
        <w:t>；</w:t>
      </w:r>
    </w:p>
    <w:p w14:paraId="7E99732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3.3、拟派项目负责人</w:t>
      </w:r>
      <w:r>
        <w:rPr>
          <w:rFonts w:hint="eastAsia" w:ascii="宋体" w:hAnsi="宋体" w:eastAsia="宋体" w:cs="宋体"/>
          <w:color w:val="auto"/>
          <w:sz w:val="24"/>
          <w:szCs w:val="24"/>
          <w:highlight w:val="none"/>
        </w:rPr>
        <w:t>为本单位正式员工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rPr>
        <w:t>须具备</w:t>
      </w:r>
      <w:r>
        <w:rPr>
          <w:rFonts w:hint="eastAsia" w:ascii="宋体" w:hAnsi="宋体" w:eastAsia="宋体" w:cs="宋体"/>
          <w:color w:val="auto"/>
          <w:sz w:val="24"/>
          <w:szCs w:val="24"/>
          <w:highlight w:val="none"/>
          <w:lang w:val="en-US" w:eastAsia="zh-CN"/>
        </w:rPr>
        <w:t>市政</w:t>
      </w:r>
      <w:r>
        <w:rPr>
          <w:rFonts w:hint="eastAsia" w:ascii="宋体" w:hAnsi="宋体" w:eastAsia="宋体" w:cs="宋体"/>
          <w:color w:val="auto"/>
          <w:kern w:val="0"/>
          <w:sz w:val="24"/>
          <w:szCs w:val="24"/>
          <w:highlight w:val="none"/>
          <w:lang w:val="en-US" w:eastAsia="zh-CN"/>
        </w:rPr>
        <w:t>专业中级及以上技术职称，同时</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与响应人签订的</w:t>
      </w:r>
      <w:r>
        <w:rPr>
          <w:rFonts w:hint="eastAsia" w:ascii="宋体" w:hAnsi="宋体" w:eastAsia="宋体" w:cs="宋体"/>
          <w:color w:val="auto"/>
          <w:sz w:val="24"/>
          <w:szCs w:val="24"/>
          <w:highlight w:val="none"/>
        </w:rPr>
        <w:t>劳动合同</w:t>
      </w:r>
      <w:r>
        <w:rPr>
          <w:rFonts w:hint="eastAsia" w:ascii="宋体" w:hAnsi="宋体" w:eastAsia="宋体" w:cs="宋体"/>
          <w:color w:val="auto"/>
          <w:sz w:val="24"/>
          <w:szCs w:val="24"/>
          <w:highlight w:val="none"/>
          <w:lang w:eastAsia="zh-CN"/>
        </w:rPr>
        <w:t>；</w:t>
      </w:r>
    </w:p>
    <w:p w14:paraId="2D18588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3.4单位负责人为同一人或者存在控股、管理关系的不同响应人，不得同时参加本项目政府采购活动（磋商文件内附“国家企业信用信息”中公示的公司信息、股东或投资人信息截图，查询时间自公告发布之日起）；</w:t>
      </w:r>
    </w:p>
    <w:p w14:paraId="6AE2690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3.5具有履行本项目服务内容所必须的设备和专业技术服务能力（提供证明材料或承诺书）；</w:t>
      </w:r>
    </w:p>
    <w:p w14:paraId="2EA944F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3.6具有良好的商业信誉和健全的财务会计制度，提供承诺书（格式自拟）；</w:t>
      </w:r>
    </w:p>
    <w:p w14:paraId="6022B7D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3.7响应人依法缴纳税收和社会保障资金，提供承诺书（格式自拟）；</w:t>
      </w:r>
    </w:p>
    <w:p w14:paraId="42C9609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3.8本企业无商业贿赂及无不正当竞争行为，提供承诺书（格式自拟）；</w:t>
      </w:r>
    </w:p>
    <w:p w14:paraId="62332D2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3.9须提供本企业无行贿犯罪记录在中国裁判文书网自行查询结果或自行承诺（查询对象：企业、法定代表人）；</w:t>
      </w:r>
    </w:p>
    <w:p w14:paraId="1B839E7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3.10根据《关于在政府采购活动中查询及使用信用记录有关问题的通知》(财库[2016]125号)和豫财购【2016】15号的规定，对列入失信被执行人、重大税收违法失信主体、政府采购严重违法失信行为记录名单的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color w:val="auto"/>
          <w:kern w:val="0"/>
          <w:sz w:val="24"/>
          <w:szCs w:val="24"/>
          <w:highlight w:val="none"/>
          <w:lang w:val="en-US" w:eastAsia="zh-CN"/>
        </w:rPr>
        <w:t>响应人</w:t>
      </w:r>
      <w:r>
        <w:rPr>
          <w:rFonts w:hint="eastAsia" w:ascii="宋体" w:hAnsi="宋体" w:eastAsia="宋体" w:cs="宋体"/>
          <w:color w:val="auto"/>
          <w:kern w:val="0"/>
          <w:sz w:val="24"/>
          <w:szCs w:val="24"/>
          <w:highlight w:val="none"/>
          <w:lang w:val="en-US" w:eastAsia="zh-CN"/>
        </w:rPr>
        <w:t>，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7F2E9B3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4、本项目不接受联合体</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val="en-US" w:eastAsia="zh-CN"/>
        </w:rPr>
        <w:t>，提供承诺书（格式自拟）</w:t>
      </w:r>
      <w:r>
        <w:rPr>
          <w:rFonts w:hint="eastAsia" w:ascii="宋体" w:hAnsi="宋体" w:cs="宋体"/>
          <w:color w:val="auto"/>
          <w:kern w:val="0"/>
          <w:sz w:val="24"/>
          <w:szCs w:val="24"/>
          <w:highlight w:val="none"/>
          <w:lang w:val="en-US" w:eastAsia="zh-CN"/>
        </w:rPr>
        <w:t>；</w:t>
      </w:r>
    </w:p>
    <w:p w14:paraId="07509B8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5、本次磋商实行资格后审，资格审查的具体要求见磋商文件</w:t>
      </w:r>
      <w:r>
        <w:rPr>
          <w:rFonts w:hint="eastAsia" w:ascii="宋体" w:hAnsi="宋体" w:cs="宋体"/>
          <w:color w:val="auto"/>
          <w:kern w:val="0"/>
          <w:sz w:val="24"/>
          <w:szCs w:val="24"/>
          <w:highlight w:val="none"/>
          <w:lang w:val="en-US" w:eastAsia="zh-CN"/>
        </w:rPr>
        <w:t>；</w:t>
      </w:r>
    </w:p>
    <w:p w14:paraId="01FB9C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磋商文件获取方式</w:t>
      </w:r>
    </w:p>
    <w:p w14:paraId="584F96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1、磋商文件获取方式：本项目没有报名环节，</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凭CA数字证书通过三门峡市公共资源交易中心网（网址：http://gzjy.smx.gov.cn/），点击交易平台选择“市场主体登录”，在所参与项目右侧点击参与</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，即可直接下载本项目</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。办理CA证书：http://gzjy.smx.gov.cn/fwzn/004003/20201019/a8fae6a0-baed-499b-bb50-8ecc8828a2ca.html</w:t>
      </w:r>
    </w:p>
    <w:p w14:paraId="717FF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2、磋商文件下载时间：2025年</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日至2025年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日08时30分。</w:t>
      </w:r>
    </w:p>
    <w:p w14:paraId="2E612B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注：开标当日，</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无需到开标现场参加开标会议，</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应当在</w:t>
      </w:r>
      <w:r>
        <w:rPr>
          <w:rFonts w:hint="eastAsia" w:ascii="宋体" w:hAnsi="宋体" w:cs="宋体"/>
          <w:color w:val="auto"/>
          <w:sz w:val="24"/>
          <w:szCs w:val="24"/>
          <w:highlight w:val="none"/>
          <w:lang w:val="en-US" w:eastAsia="zh-CN"/>
        </w:rPr>
        <w:t>响应截止</w:t>
      </w:r>
      <w:r>
        <w:rPr>
          <w:rFonts w:hint="eastAsia" w:ascii="宋体" w:hAnsi="宋体" w:eastAsia="宋体" w:cs="宋体"/>
          <w:color w:val="auto"/>
          <w:sz w:val="24"/>
          <w:szCs w:val="24"/>
          <w:highlight w:val="none"/>
          <w:lang w:val="en-US" w:eastAsia="zh-CN"/>
        </w:rPr>
        <w:t>时间前，登陆不见面开标大厅选择登陆三门峡市公共资源电子招投标系统进行登陆（网址为http://120.194.249.36:10094/BidOpening/bidopeninghallaction/hall/login）,在线准时参加开标活动并进行</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解密等。每位</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的解密时间为开标时间起30分钟内完成。因</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原因未能解密、解密失败或解密超时的将被拒绝。</w:t>
      </w:r>
    </w:p>
    <w:p w14:paraId="44852A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3、根据《关于进一步加强公共资源交易管理持续优化营商环境的通知》（三公管办〔2020〕2号）文件的要求,磋商文件费用不再收取。</w:t>
      </w:r>
    </w:p>
    <w:p w14:paraId="12C04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4、本项目实行资格后审，审查内容以</w:t>
      </w:r>
      <w:r>
        <w:rPr>
          <w:rFonts w:hint="eastAsia" w:ascii="宋体" w:hAnsi="宋体" w:cs="宋体"/>
          <w:color w:val="auto"/>
          <w:sz w:val="24"/>
          <w:szCs w:val="24"/>
          <w:highlight w:val="none"/>
          <w:lang w:val="en-US" w:eastAsia="zh-CN"/>
        </w:rPr>
        <w:t>响应截止</w:t>
      </w:r>
      <w:r>
        <w:rPr>
          <w:rFonts w:hint="eastAsia" w:ascii="宋体" w:hAnsi="宋体" w:eastAsia="宋体" w:cs="宋体"/>
          <w:color w:val="auto"/>
          <w:sz w:val="24"/>
          <w:szCs w:val="24"/>
          <w:highlight w:val="none"/>
          <w:lang w:val="en-US" w:eastAsia="zh-CN"/>
        </w:rPr>
        <w:t>时间前在三门峡市公共资源交易系统上传的</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的信息为准。其上传资料真实性由</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自行承担，否则由此造成应得分而未得分或资格审查不合格等情况的，由</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承担责任。</w:t>
      </w:r>
    </w:p>
    <w:p w14:paraId="5CA290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、磋商保证金</w:t>
      </w:r>
    </w:p>
    <w:p w14:paraId="725DAA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按照《河南省财政厅关于优化政府采购营商环境有关问题的通知》（豫财购[2019]4号文）的要求本项目不再收取磋商保证金。</w:t>
      </w:r>
    </w:p>
    <w:p w14:paraId="584664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、开标时间和地点</w:t>
      </w:r>
    </w:p>
    <w:p w14:paraId="4D11DA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1、响应文件递交截止时间（开标时间）：2025年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日08时30分（北京时间）</w:t>
      </w:r>
    </w:p>
    <w:p w14:paraId="7D0535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2、开评标地点：灵宝市公共资源交易中心开标</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室、评标</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室（灵宝市金城大道信用合作联社12楼）</w:t>
      </w:r>
    </w:p>
    <w:p w14:paraId="3AFC79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、发布媒体</w:t>
      </w:r>
    </w:p>
    <w:p w14:paraId="410899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本次磋商公告同时在</w:t>
      </w:r>
      <w:r>
        <w:rPr>
          <w:rFonts w:hint="eastAsia" w:ascii="宋体" w:hAnsi="宋体" w:cs="宋体"/>
          <w:color w:val="auto"/>
          <w:sz w:val="24"/>
          <w:szCs w:val="24"/>
          <w:highlight w:val="none"/>
          <w:lang w:eastAsia="zh-CN"/>
        </w:rPr>
        <w:t>《中国采购与招标网》、《河南省政府采购网》、《三门峡市公共资源交易中心网》</w:t>
      </w:r>
      <w:r>
        <w:rPr>
          <w:rFonts w:hint="eastAsia" w:ascii="宋体" w:hAnsi="宋体" w:eastAsia="宋体" w:cs="宋体"/>
          <w:color w:val="auto"/>
          <w:sz w:val="24"/>
          <w:szCs w:val="24"/>
          <w:highlight w:val="none"/>
          <w:lang w:val="en-US" w:eastAsia="zh-CN"/>
        </w:rPr>
        <w:t>上发布。</w:t>
      </w:r>
    </w:p>
    <w:p w14:paraId="3ADCB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、其他</w:t>
      </w:r>
    </w:p>
    <w:p w14:paraId="110B59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应仔细阅读操作手册，在本公告中要求的截止时间前完成网上投标等工作。因</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操作不当等问题造成的无法下载磋商文件、无法投标等一切后果，由</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自行承担。</w:t>
      </w:r>
    </w:p>
    <w:p w14:paraId="6D1C56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递交的响应文件不论中标与否均不予退还。</w:t>
      </w:r>
    </w:p>
    <w:p w14:paraId="303527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3、招标人不组织</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踏勘现场。</w:t>
      </w:r>
    </w:p>
    <w:p w14:paraId="3E1D3F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4、项目所有变更澄清都以网站公布为准，不再另行通知。</w:t>
      </w:r>
    </w:p>
    <w:p w14:paraId="553457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5、本项目资格评审和业绩以</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为准，</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可使用电子营业执照。</w:t>
      </w:r>
    </w:p>
    <w:p w14:paraId="194E1B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6、根据优化营商环境的要求，评标时以</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为准：</w:t>
      </w:r>
    </w:p>
    <w:p w14:paraId="4E357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（1）资格评（预）审部分：资格评（预）审以</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为准，其上传资料真实性由</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自行承担。</w:t>
      </w:r>
    </w:p>
    <w:p w14:paraId="7D4C51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（2）评标打分部分：评标打分部分仍按照100分制原则进行，涉及到资格审查、企业荣誉、人员业绩、企业业绩等计分部分时，以</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单位自行上传到响应文件中的相应内容为准。</w:t>
      </w:r>
    </w:p>
    <w:p w14:paraId="78EA3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（3）响应文件编制部分：在磋商文件中要求</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按照响应文件格式进行响应文件编制时，应明确将</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单位企业基本情况、资质情况、人员情况、财务情况、业绩情况编入响应文件，便于进行资格审查及评标打分。</w:t>
      </w:r>
    </w:p>
    <w:p w14:paraId="49CDAE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温馨提示：本项目为电子化、无纸化交易项目，开标时不再接受任何纸质资料，为保证您能投标成功，请需仔细阅读</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和三门峡市公共资源交易中心官网业务办理指南。</w:t>
      </w:r>
    </w:p>
    <w:p w14:paraId="42068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、联系方式</w:t>
      </w:r>
    </w:p>
    <w:p w14:paraId="4E21103F">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监督部门：灵宝市财政局政府采购监督管理科</w:t>
      </w:r>
    </w:p>
    <w:p w14:paraId="07A85508">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联系电话：0398-8852670</w:t>
      </w:r>
    </w:p>
    <w:p w14:paraId="58D14A50">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监督部门：灵宝市</w:t>
      </w:r>
      <w:r>
        <w:rPr>
          <w:rFonts w:hint="eastAsia" w:ascii="宋体" w:hAnsi="宋体" w:eastAsia="宋体" w:cs="宋体"/>
          <w:color w:val="auto"/>
          <w:kern w:val="0"/>
          <w:sz w:val="24"/>
          <w:szCs w:val="24"/>
          <w:highlight w:val="none"/>
          <w:lang w:eastAsia="zh-CN"/>
        </w:rPr>
        <w:t>水利局</w:t>
      </w:r>
    </w:p>
    <w:p w14:paraId="741E6DC9">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联系电话：0398-</w:t>
      </w:r>
      <w:r>
        <w:rPr>
          <w:rFonts w:hint="eastAsia" w:ascii="宋体" w:hAnsi="宋体" w:eastAsia="宋体" w:cs="宋体"/>
          <w:color w:val="auto"/>
          <w:kern w:val="0"/>
          <w:sz w:val="24"/>
          <w:szCs w:val="24"/>
          <w:highlight w:val="none"/>
          <w:lang w:eastAsia="zh-CN"/>
        </w:rPr>
        <w:t>8851903</w:t>
      </w:r>
    </w:p>
    <w:p w14:paraId="6825D1F2">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eastAsia="zh-CN"/>
        </w:rPr>
        <w:t>灵宝市黄河河务局</w:t>
      </w:r>
    </w:p>
    <w:p w14:paraId="37F0E729">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联系人：樊女士</w:t>
      </w:r>
    </w:p>
    <w:p w14:paraId="4C75D931">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联系电话：0398-8780119</w:t>
      </w:r>
    </w:p>
    <w:p w14:paraId="6BBB17D0">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地址：河南省三门峡灵宝市工业路</w:t>
      </w:r>
      <w:r>
        <w:rPr>
          <w:rFonts w:hint="eastAsia" w:ascii="宋体" w:hAnsi="宋体" w:eastAsia="宋体" w:cs="宋体"/>
          <w:color w:val="auto"/>
          <w:kern w:val="0"/>
          <w:sz w:val="24"/>
          <w:szCs w:val="24"/>
          <w:highlight w:val="none"/>
          <w:lang w:val="en-US" w:eastAsia="zh-CN"/>
        </w:rPr>
        <w:t>九号</w:t>
      </w:r>
    </w:p>
    <w:p w14:paraId="3CC5B1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招标代理机构：河南精开咨询有限公司</w:t>
      </w:r>
    </w:p>
    <w:p w14:paraId="74D979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联系人：白先生</w:t>
      </w:r>
    </w:p>
    <w:p w14:paraId="732906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联系电话：19253988110</w:t>
      </w:r>
    </w:p>
    <w:p w14:paraId="6A3043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地址：河南省三门峡市经济开发区分陕路与北环路交叉口向西200米开发区双创园B栋306</w:t>
      </w:r>
    </w:p>
    <w:p w14:paraId="20CDFE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2312032D">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bookmarkStart w:id="11" w:name="_Toc28522"/>
      <w:bookmarkStart w:id="12" w:name="_Toc16264"/>
      <w:bookmarkStart w:id="13" w:name="_Toc23228"/>
      <w:bookmarkStart w:id="14" w:name="_Toc29913"/>
      <w:r>
        <w:rPr>
          <w:rFonts w:hint="eastAsia" w:ascii="宋体" w:hAnsi="宋体" w:eastAsia="宋体" w:cs="宋体"/>
          <w:b/>
          <w:bCs/>
          <w:color w:val="auto"/>
          <w:sz w:val="24"/>
          <w:szCs w:val="24"/>
          <w:highlight w:val="none"/>
        </w:rPr>
        <w:br w:type="page"/>
      </w:r>
    </w:p>
    <w:p w14:paraId="17DE135B">
      <w:pPr>
        <w:spacing w:line="360" w:lineRule="auto"/>
        <w:jc w:val="center"/>
        <w:outlineLvl w:val="0"/>
        <w:rPr>
          <w:rFonts w:hint="eastAsia"/>
          <w:b/>
          <w:bCs/>
          <w:color w:val="auto"/>
          <w:sz w:val="36"/>
          <w:szCs w:val="36"/>
          <w:highlight w:val="none"/>
        </w:rPr>
      </w:pPr>
      <w:bookmarkStart w:id="15" w:name="_Toc25756"/>
      <w:r>
        <w:rPr>
          <w:rFonts w:hint="eastAsia"/>
          <w:b/>
          <w:bCs/>
          <w:color w:val="auto"/>
          <w:sz w:val="36"/>
          <w:szCs w:val="36"/>
          <w:highlight w:val="none"/>
        </w:rPr>
        <w:t>第二章   响应人须知</w:t>
      </w:r>
      <w:bookmarkEnd w:id="11"/>
      <w:bookmarkEnd w:id="12"/>
      <w:bookmarkEnd w:id="13"/>
      <w:bookmarkEnd w:id="14"/>
      <w:bookmarkEnd w:id="15"/>
    </w:p>
    <w:p w14:paraId="7FCCC859">
      <w:pPr>
        <w:keepNext/>
        <w:keepLines/>
        <w:spacing w:line="360" w:lineRule="auto"/>
        <w:ind w:left="851" w:hanging="284"/>
        <w:jc w:val="center"/>
        <w:outlineLvl w:val="1"/>
        <w:rPr>
          <w:rFonts w:ascii="黑体" w:hAnsi="宋体" w:eastAsia="黑体" w:cs="宋体"/>
          <w:b/>
          <w:bCs/>
          <w:color w:val="auto"/>
          <w:sz w:val="24"/>
          <w:szCs w:val="24"/>
          <w:highlight w:val="none"/>
        </w:rPr>
      </w:pPr>
      <w:bookmarkStart w:id="16" w:name="_Toc6916"/>
      <w:bookmarkStart w:id="17" w:name="_Toc2954"/>
      <w:bookmarkStart w:id="18" w:name="_Toc6394"/>
      <w:bookmarkStart w:id="19" w:name="_Toc31332"/>
      <w:bookmarkStart w:id="20" w:name="_Toc8980"/>
      <w:bookmarkStart w:id="21" w:name="_Toc8624"/>
      <w:r>
        <w:rPr>
          <w:rFonts w:hint="eastAsia" w:ascii="黑体" w:hAnsi="宋体" w:eastAsia="黑体" w:cs="宋体"/>
          <w:b/>
          <w:bCs/>
          <w:color w:val="auto"/>
          <w:sz w:val="24"/>
          <w:szCs w:val="24"/>
          <w:highlight w:val="none"/>
        </w:rPr>
        <w:t>响应人须知前附表</w:t>
      </w:r>
      <w:bookmarkEnd w:id="16"/>
      <w:bookmarkEnd w:id="17"/>
      <w:bookmarkEnd w:id="18"/>
      <w:bookmarkEnd w:id="19"/>
      <w:bookmarkEnd w:id="20"/>
      <w:bookmarkEnd w:id="21"/>
    </w:p>
    <w:tbl>
      <w:tblPr>
        <w:tblStyle w:val="1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878"/>
        <w:gridCol w:w="6986"/>
      </w:tblGrid>
      <w:tr w14:paraId="3280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52A650D2">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条款号</w:t>
            </w:r>
          </w:p>
        </w:tc>
        <w:tc>
          <w:tcPr>
            <w:tcW w:w="1878" w:type="dxa"/>
            <w:tcBorders>
              <w:top w:val="single" w:color="auto" w:sz="4" w:space="0"/>
              <w:left w:val="nil"/>
              <w:bottom w:val="single" w:color="auto" w:sz="4" w:space="0"/>
              <w:right w:val="single" w:color="auto" w:sz="4" w:space="0"/>
            </w:tcBorders>
            <w:noWrap w:val="0"/>
            <w:vAlign w:val="center"/>
          </w:tcPr>
          <w:p w14:paraId="568D501A">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条款名称</w:t>
            </w:r>
          </w:p>
        </w:tc>
        <w:tc>
          <w:tcPr>
            <w:tcW w:w="6986" w:type="dxa"/>
            <w:tcBorders>
              <w:top w:val="single" w:color="auto" w:sz="4" w:space="0"/>
              <w:left w:val="nil"/>
              <w:bottom w:val="single" w:color="auto" w:sz="4" w:space="0"/>
              <w:right w:val="single" w:color="auto" w:sz="4" w:space="0"/>
            </w:tcBorders>
            <w:noWrap w:val="0"/>
            <w:vAlign w:val="center"/>
          </w:tcPr>
          <w:p w14:paraId="24BB1C64">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编  列  内  容</w:t>
            </w:r>
          </w:p>
        </w:tc>
      </w:tr>
      <w:tr w14:paraId="618A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72EF80B1">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spacing w:val="11"/>
                <w:sz w:val="24"/>
                <w:szCs w:val="24"/>
                <w:highlight w:val="none"/>
              </w:rPr>
              <w:t>1</w:t>
            </w:r>
          </w:p>
        </w:tc>
        <w:tc>
          <w:tcPr>
            <w:tcW w:w="1878" w:type="dxa"/>
            <w:tcBorders>
              <w:top w:val="single" w:color="auto" w:sz="4" w:space="0"/>
              <w:left w:val="nil"/>
              <w:bottom w:val="single" w:color="auto" w:sz="4" w:space="0"/>
              <w:right w:val="single" w:color="auto" w:sz="4" w:space="0"/>
            </w:tcBorders>
            <w:noWrap w:val="0"/>
            <w:vAlign w:val="center"/>
          </w:tcPr>
          <w:p w14:paraId="2D156C7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w:t>
            </w:r>
          </w:p>
        </w:tc>
        <w:tc>
          <w:tcPr>
            <w:tcW w:w="6986" w:type="dxa"/>
            <w:tcBorders>
              <w:top w:val="single" w:color="auto" w:sz="4" w:space="0"/>
              <w:left w:val="nil"/>
              <w:bottom w:val="single" w:color="auto" w:sz="4" w:space="0"/>
              <w:right w:val="single" w:color="auto" w:sz="4" w:space="0"/>
            </w:tcBorders>
            <w:noWrap w:val="0"/>
            <w:vAlign w:val="center"/>
          </w:tcPr>
          <w:p w14:paraId="656997FF">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招标人：灵宝市黄河河务局</w:t>
            </w:r>
          </w:p>
          <w:p w14:paraId="65CDF387">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联系人：樊女士</w:t>
            </w:r>
          </w:p>
          <w:p w14:paraId="295DE167">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联系电话：0398-8780119</w:t>
            </w:r>
          </w:p>
          <w:p w14:paraId="479A6525">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地址：河南省三门峡灵宝市工业路九号</w:t>
            </w:r>
          </w:p>
        </w:tc>
      </w:tr>
      <w:tr w14:paraId="26E2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7598C0F8">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spacing w:val="11"/>
                <w:sz w:val="24"/>
                <w:szCs w:val="24"/>
                <w:highlight w:val="none"/>
              </w:rPr>
              <w:t>2</w:t>
            </w:r>
          </w:p>
        </w:tc>
        <w:tc>
          <w:tcPr>
            <w:tcW w:w="1878" w:type="dxa"/>
            <w:tcBorders>
              <w:top w:val="single" w:color="auto" w:sz="4" w:space="0"/>
              <w:left w:val="nil"/>
              <w:bottom w:val="single" w:color="auto" w:sz="4" w:space="0"/>
              <w:right w:val="single" w:color="auto" w:sz="4" w:space="0"/>
            </w:tcBorders>
            <w:noWrap w:val="0"/>
            <w:vAlign w:val="center"/>
          </w:tcPr>
          <w:p w14:paraId="25E85F6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招标代理机构</w:t>
            </w:r>
          </w:p>
        </w:tc>
        <w:tc>
          <w:tcPr>
            <w:tcW w:w="6986" w:type="dxa"/>
            <w:tcBorders>
              <w:top w:val="single" w:color="auto" w:sz="4" w:space="0"/>
              <w:left w:val="nil"/>
              <w:bottom w:val="single" w:color="auto" w:sz="4" w:space="0"/>
              <w:right w:val="single" w:color="auto" w:sz="4" w:space="0"/>
            </w:tcBorders>
            <w:noWrap w:val="0"/>
            <w:vAlign w:val="center"/>
          </w:tcPr>
          <w:p w14:paraId="1D1EBBA9">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招标代理机构：河南精开咨询有限公司</w:t>
            </w:r>
          </w:p>
          <w:p w14:paraId="5ED1582C">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联系人：白先生</w:t>
            </w:r>
          </w:p>
          <w:p w14:paraId="021833F9">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联系电话：19253988110</w:t>
            </w:r>
          </w:p>
          <w:p w14:paraId="3F06050D">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地址：河南省三门峡市经济开发区分陕路与北环路交叉口向西200米开发区双创园B栋306</w:t>
            </w:r>
          </w:p>
        </w:tc>
      </w:tr>
      <w:tr w14:paraId="0F8C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6E55BE8A">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spacing w:val="11"/>
                <w:sz w:val="24"/>
                <w:szCs w:val="24"/>
                <w:highlight w:val="none"/>
              </w:rPr>
              <w:t>3</w:t>
            </w:r>
          </w:p>
        </w:tc>
        <w:tc>
          <w:tcPr>
            <w:tcW w:w="1878" w:type="dxa"/>
            <w:tcBorders>
              <w:top w:val="single" w:color="auto" w:sz="4" w:space="0"/>
              <w:left w:val="nil"/>
              <w:bottom w:val="single" w:color="auto" w:sz="4" w:space="0"/>
              <w:right w:val="single" w:color="auto" w:sz="4" w:space="0"/>
            </w:tcBorders>
            <w:noWrap w:val="0"/>
            <w:vAlign w:val="center"/>
          </w:tcPr>
          <w:p w14:paraId="0DC188A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986" w:type="dxa"/>
            <w:tcBorders>
              <w:top w:val="single" w:color="auto" w:sz="4" w:space="0"/>
              <w:left w:val="nil"/>
              <w:bottom w:val="single" w:color="auto" w:sz="4" w:space="0"/>
              <w:right w:val="single" w:color="auto" w:sz="4" w:space="0"/>
            </w:tcBorders>
            <w:noWrap w:val="0"/>
            <w:vAlign w:val="center"/>
          </w:tcPr>
          <w:p w14:paraId="67E3BDBA">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snapToGrid w:val="0"/>
                <w:color w:val="auto"/>
                <w:sz w:val="24"/>
                <w:szCs w:val="24"/>
                <w:highlight w:val="none"/>
                <w:lang w:eastAsia="zh-CN"/>
              </w:rPr>
              <w:t>灵宝市2025年中央水库移民扶持基金项目设计</w:t>
            </w:r>
          </w:p>
        </w:tc>
      </w:tr>
      <w:tr w14:paraId="4F6D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4E71BF6D">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spacing w:val="11"/>
                <w:sz w:val="24"/>
                <w:szCs w:val="24"/>
                <w:highlight w:val="none"/>
              </w:rPr>
              <w:t>4</w:t>
            </w:r>
          </w:p>
        </w:tc>
        <w:tc>
          <w:tcPr>
            <w:tcW w:w="1878" w:type="dxa"/>
            <w:tcBorders>
              <w:top w:val="single" w:color="auto" w:sz="4" w:space="0"/>
              <w:left w:val="nil"/>
              <w:bottom w:val="single" w:color="auto" w:sz="4" w:space="0"/>
              <w:right w:val="single" w:color="auto" w:sz="4" w:space="0"/>
            </w:tcBorders>
            <w:noWrap w:val="0"/>
            <w:vAlign w:val="center"/>
          </w:tcPr>
          <w:p w14:paraId="5D7C97D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p>
        </w:tc>
        <w:tc>
          <w:tcPr>
            <w:tcW w:w="6986" w:type="dxa"/>
            <w:tcBorders>
              <w:top w:val="single" w:color="auto" w:sz="4" w:space="0"/>
              <w:left w:val="nil"/>
              <w:bottom w:val="single" w:color="auto" w:sz="4" w:space="0"/>
              <w:right w:val="single" w:color="auto" w:sz="4" w:space="0"/>
            </w:tcBorders>
            <w:noWrap w:val="0"/>
            <w:vAlign w:val="center"/>
          </w:tcPr>
          <w:p w14:paraId="1133C7C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snapToGrid w:val="0"/>
                <w:color w:val="auto"/>
                <w:sz w:val="24"/>
                <w:szCs w:val="24"/>
                <w:highlight w:val="none"/>
              </w:rPr>
              <w:t>灵宝市</w:t>
            </w:r>
          </w:p>
        </w:tc>
      </w:tr>
      <w:tr w14:paraId="54ED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16794FD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5</w:t>
            </w:r>
          </w:p>
        </w:tc>
        <w:tc>
          <w:tcPr>
            <w:tcW w:w="1878" w:type="dxa"/>
            <w:tcBorders>
              <w:top w:val="single" w:color="auto" w:sz="4" w:space="0"/>
              <w:left w:val="nil"/>
              <w:bottom w:val="single" w:color="auto" w:sz="4" w:space="0"/>
              <w:right w:val="single" w:color="auto" w:sz="4" w:space="0"/>
            </w:tcBorders>
            <w:noWrap w:val="0"/>
            <w:vAlign w:val="center"/>
          </w:tcPr>
          <w:p w14:paraId="093ADBD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986" w:type="dxa"/>
            <w:tcBorders>
              <w:top w:val="single" w:color="auto" w:sz="4" w:space="0"/>
              <w:left w:val="nil"/>
              <w:bottom w:val="single" w:color="auto" w:sz="4" w:space="0"/>
              <w:right w:val="single" w:color="auto" w:sz="4" w:space="0"/>
            </w:tcBorders>
            <w:noWrap w:val="0"/>
            <w:vAlign w:val="center"/>
          </w:tcPr>
          <w:p w14:paraId="25E7829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财政资金、已落实。</w:t>
            </w:r>
          </w:p>
        </w:tc>
      </w:tr>
      <w:tr w14:paraId="7C93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605DE22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kern w:val="21"/>
                <w:sz w:val="24"/>
                <w:szCs w:val="24"/>
                <w:highlight w:val="none"/>
              </w:rPr>
              <w:t>6</w:t>
            </w:r>
          </w:p>
        </w:tc>
        <w:tc>
          <w:tcPr>
            <w:tcW w:w="1878" w:type="dxa"/>
            <w:tcBorders>
              <w:top w:val="single" w:color="auto" w:sz="4" w:space="0"/>
              <w:left w:val="nil"/>
              <w:bottom w:val="single" w:color="auto" w:sz="4" w:space="0"/>
              <w:right w:val="single" w:color="auto" w:sz="4" w:space="0"/>
            </w:tcBorders>
            <w:noWrap w:val="0"/>
            <w:vAlign w:val="center"/>
          </w:tcPr>
          <w:p w14:paraId="61E34BF7">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w:t>
            </w:r>
          </w:p>
        </w:tc>
        <w:tc>
          <w:tcPr>
            <w:tcW w:w="6986" w:type="dxa"/>
            <w:tcBorders>
              <w:top w:val="single" w:color="auto" w:sz="4" w:space="0"/>
              <w:left w:val="nil"/>
              <w:bottom w:val="single" w:color="auto" w:sz="4" w:space="0"/>
              <w:right w:val="single" w:color="auto" w:sz="4" w:space="0"/>
            </w:tcBorders>
            <w:noWrap w:val="0"/>
            <w:vAlign w:val="center"/>
          </w:tcPr>
          <w:p w14:paraId="58593B20">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见第一章“竞争性磋商公告”</w:t>
            </w:r>
          </w:p>
        </w:tc>
      </w:tr>
      <w:tr w14:paraId="683F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5FDD4A8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7</w:t>
            </w:r>
          </w:p>
        </w:tc>
        <w:tc>
          <w:tcPr>
            <w:tcW w:w="1878" w:type="dxa"/>
            <w:tcBorders>
              <w:top w:val="single" w:color="auto" w:sz="4" w:space="0"/>
              <w:left w:val="nil"/>
              <w:bottom w:val="single" w:color="auto" w:sz="4" w:space="0"/>
              <w:right w:val="single" w:color="auto" w:sz="4" w:space="0"/>
            </w:tcBorders>
            <w:noWrap w:val="0"/>
            <w:vAlign w:val="center"/>
          </w:tcPr>
          <w:p w14:paraId="10416BDD">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设计周期</w:t>
            </w:r>
          </w:p>
        </w:tc>
        <w:tc>
          <w:tcPr>
            <w:tcW w:w="6986" w:type="dxa"/>
            <w:tcBorders>
              <w:top w:val="single" w:color="auto" w:sz="4" w:space="0"/>
              <w:left w:val="nil"/>
              <w:bottom w:val="single" w:color="auto" w:sz="4" w:space="0"/>
              <w:right w:val="single" w:color="auto" w:sz="4" w:space="0"/>
            </w:tcBorders>
            <w:noWrap w:val="0"/>
            <w:vAlign w:val="center"/>
          </w:tcPr>
          <w:p w14:paraId="585BFC1F">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见第一章“竞争性磋商公告”</w:t>
            </w:r>
          </w:p>
        </w:tc>
      </w:tr>
      <w:tr w14:paraId="31A6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5BB597F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8</w:t>
            </w:r>
          </w:p>
        </w:tc>
        <w:tc>
          <w:tcPr>
            <w:tcW w:w="1878" w:type="dxa"/>
            <w:tcBorders>
              <w:top w:val="single" w:color="auto" w:sz="4" w:space="0"/>
              <w:left w:val="nil"/>
              <w:bottom w:val="single" w:color="auto" w:sz="4" w:space="0"/>
              <w:right w:val="single" w:color="auto" w:sz="4" w:space="0"/>
            </w:tcBorders>
            <w:noWrap w:val="0"/>
            <w:vAlign w:val="center"/>
          </w:tcPr>
          <w:p w14:paraId="34D6994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6986" w:type="dxa"/>
            <w:tcBorders>
              <w:top w:val="single" w:color="auto" w:sz="4" w:space="0"/>
              <w:left w:val="nil"/>
              <w:bottom w:val="single" w:color="auto" w:sz="4" w:space="0"/>
              <w:right w:val="single" w:color="auto" w:sz="4" w:space="0"/>
            </w:tcBorders>
            <w:noWrap w:val="0"/>
            <w:vAlign w:val="center"/>
          </w:tcPr>
          <w:p w14:paraId="534540E1">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见第一章“竞争性磋商公告”</w:t>
            </w:r>
          </w:p>
        </w:tc>
      </w:tr>
      <w:tr w14:paraId="0AFF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4B6B4EC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9</w:t>
            </w:r>
          </w:p>
        </w:tc>
        <w:tc>
          <w:tcPr>
            <w:tcW w:w="1878" w:type="dxa"/>
            <w:tcBorders>
              <w:top w:val="single" w:color="auto" w:sz="4" w:space="0"/>
              <w:left w:val="nil"/>
              <w:bottom w:val="single" w:color="auto" w:sz="4" w:space="0"/>
              <w:right w:val="single" w:color="auto" w:sz="4" w:space="0"/>
            </w:tcBorders>
            <w:noWrap w:val="0"/>
            <w:vAlign w:val="center"/>
          </w:tcPr>
          <w:p w14:paraId="00E2620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响应人资质条件、能力和信誉</w:t>
            </w:r>
          </w:p>
        </w:tc>
        <w:tc>
          <w:tcPr>
            <w:tcW w:w="6986" w:type="dxa"/>
            <w:tcBorders>
              <w:top w:val="single" w:color="auto" w:sz="4" w:space="0"/>
              <w:left w:val="nil"/>
              <w:bottom w:val="single" w:color="auto" w:sz="4" w:space="0"/>
              <w:right w:val="single" w:color="auto" w:sz="4" w:space="0"/>
            </w:tcBorders>
            <w:noWrap w:val="0"/>
            <w:vAlign w:val="center"/>
          </w:tcPr>
          <w:p w14:paraId="340A81AF">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见第一章“竞争性磋商公告”</w:t>
            </w:r>
          </w:p>
        </w:tc>
      </w:tr>
      <w:tr w14:paraId="26CB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9199FE">
            <w:pPr>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pacing w:val="11"/>
                <w:sz w:val="24"/>
                <w:szCs w:val="24"/>
                <w:highlight w:val="none"/>
              </w:rPr>
              <w:t>10</w:t>
            </w:r>
          </w:p>
        </w:tc>
        <w:tc>
          <w:tcPr>
            <w:tcW w:w="1878" w:type="dxa"/>
            <w:tcBorders>
              <w:top w:val="single" w:color="auto" w:sz="4" w:space="0"/>
              <w:left w:val="nil"/>
              <w:bottom w:val="single" w:color="auto" w:sz="4" w:space="0"/>
              <w:right w:val="single" w:color="auto" w:sz="4" w:space="0"/>
            </w:tcBorders>
            <w:noWrap w:val="0"/>
            <w:vAlign w:val="center"/>
          </w:tcPr>
          <w:p w14:paraId="1C510F0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付款方式</w:t>
            </w:r>
          </w:p>
        </w:tc>
        <w:tc>
          <w:tcPr>
            <w:tcW w:w="6986" w:type="dxa"/>
            <w:tcBorders>
              <w:top w:val="single" w:color="auto" w:sz="4" w:space="0"/>
              <w:left w:val="nil"/>
              <w:bottom w:val="single" w:color="auto" w:sz="4" w:space="0"/>
              <w:right w:val="single" w:color="auto" w:sz="4" w:space="0"/>
            </w:tcBorders>
            <w:noWrap w:val="0"/>
            <w:vAlign w:val="center"/>
          </w:tcPr>
          <w:p w14:paraId="64D7C749">
            <w:pPr>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000000"/>
                <w:sz w:val="24"/>
                <w:szCs w:val="24"/>
                <w:highlight w:val="none"/>
              </w:rPr>
              <w:t>中标后合同中约定</w:t>
            </w:r>
          </w:p>
        </w:tc>
      </w:tr>
      <w:tr w14:paraId="7514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711106">
            <w:pPr>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pacing w:val="11"/>
                <w:sz w:val="24"/>
                <w:szCs w:val="24"/>
                <w:highlight w:val="none"/>
              </w:rPr>
              <w:t>11</w:t>
            </w:r>
          </w:p>
        </w:tc>
        <w:tc>
          <w:tcPr>
            <w:tcW w:w="1878" w:type="dxa"/>
            <w:tcBorders>
              <w:top w:val="single" w:color="auto" w:sz="4" w:space="0"/>
              <w:left w:val="nil"/>
              <w:bottom w:val="single" w:color="auto" w:sz="4" w:space="0"/>
              <w:right w:val="single" w:color="auto" w:sz="4" w:space="0"/>
            </w:tcBorders>
            <w:noWrap w:val="0"/>
            <w:vAlign w:val="center"/>
          </w:tcPr>
          <w:p w14:paraId="5C5A93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w:t>
            </w:r>
          </w:p>
        </w:tc>
        <w:tc>
          <w:tcPr>
            <w:tcW w:w="6986" w:type="dxa"/>
            <w:tcBorders>
              <w:top w:val="single" w:color="auto" w:sz="4" w:space="0"/>
              <w:left w:val="nil"/>
              <w:bottom w:val="single" w:color="auto" w:sz="4" w:space="0"/>
              <w:right w:val="single" w:color="auto" w:sz="4" w:space="0"/>
            </w:tcBorders>
            <w:noWrap w:val="0"/>
            <w:vAlign w:val="center"/>
          </w:tcPr>
          <w:p w14:paraId="705A970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3865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5A8330">
            <w:pPr>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pacing w:val="11"/>
                <w:sz w:val="24"/>
                <w:szCs w:val="24"/>
                <w:highlight w:val="none"/>
              </w:rPr>
              <w:t>12</w:t>
            </w:r>
          </w:p>
        </w:tc>
        <w:tc>
          <w:tcPr>
            <w:tcW w:w="1878" w:type="dxa"/>
            <w:tcBorders>
              <w:top w:val="single" w:color="auto" w:sz="4" w:space="0"/>
              <w:left w:val="nil"/>
              <w:bottom w:val="single" w:color="auto" w:sz="4" w:space="0"/>
              <w:right w:val="single" w:color="auto" w:sz="4" w:space="0"/>
            </w:tcBorders>
            <w:noWrap w:val="0"/>
            <w:vAlign w:val="center"/>
          </w:tcPr>
          <w:p w14:paraId="0364996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986" w:type="dxa"/>
            <w:tcBorders>
              <w:top w:val="single" w:color="auto" w:sz="4" w:space="0"/>
              <w:left w:val="nil"/>
              <w:bottom w:val="single" w:color="auto" w:sz="4" w:space="0"/>
              <w:right w:val="single" w:color="auto" w:sz="4" w:space="0"/>
            </w:tcBorders>
            <w:noWrap w:val="0"/>
            <w:vAlign w:val="center"/>
          </w:tcPr>
          <w:p w14:paraId="79C6205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不组织，响应人可自行组织踏勘现场并负责在踏勘现场中所发生的人员安全</w:t>
            </w:r>
          </w:p>
        </w:tc>
      </w:tr>
      <w:tr w14:paraId="7EAB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43DC4F">
            <w:pPr>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pacing w:val="11"/>
                <w:sz w:val="24"/>
                <w:szCs w:val="24"/>
                <w:highlight w:val="none"/>
              </w:rPr>
              <w:t>13</w:t>
            </w:r>
          </w:p>
        </w:tc>
        <w:tc>
          <w:tcPr>
            <w:tcW w:w="1878" w:type="dxa"/>
            <w:tcBorders>
              <w:top w:val="single" w:color="auto" w:sz="4" w:space="0"/>
              <w:left w:val="nil"/>
              <w:bottom w:val="single" w:color="auto" w:sz="4" w:space="0"/>
              <w:right w:val="single" w:color="auto" w:sz="4" w:space="0"/>
            </w:tcBorders>
            <w:noWrap w:val="0"/>
            <w:vAlign w:val="center"/>
          </w:tcPr>
          <w:p w14:paraId="5D5A699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磋商预备会</w:t>
            </w:r>
          </w:p>
        </w:tc>
        <w:tc>
          <w:tcPr>
            <w:tcW w:w="6986" w:type="dxa"/>
            <w:tcBorders>
              <w:top w:val="single" w:color="auto" w:sz="4" w:space="0"/>
              <w:left w:val="nil"/>
              <w:bottom w:val="single" w:color="auto" w:sz="4" w:space="0"/>
              <w:right w:val="single" w:color="auto" w:sz="4" w:space="0"/>
            </w:tcBorders>
            <w:noWrap w:val="0"/>
            <w:vAlign w:val="center"/>
          </w:tcPr>
          <w:p w14:paraId="6E0C800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tc>
      </w:tr>
      <w:tr w14:paraId="286D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B5D2CD">
            <w:pPr>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pacing w:val="11"/>
                <w:sz w:val="24"/>
                <w:szCs w:val="24"/>
                <w:highlight w:val="none"/>
              </w:rPr>
              <w:t>14</w:t>
            </w:r>
          </w:p>
        </w:tc>
        <w:tc>
          <w:tcPr>
            <w:tcW w:w="1878" w:type="dxa"/>
            <w:tcBorders>
              <w:top w:val="single" w:color="auto" w:sz="4" w:space="0"/>
              <w:left w:val="nil"/>
              <w:bottom w:val="single" w:color="auto" w:sz="4" w:space="0"/>
              <w:right w:val="single" w:color="auto" w:sz="4" w:space="0"/>
            </w:tcBorders>
            <w:noWrap w:val="0"/>
            <w:vAlign w:val="center"/>
          </w:tcPr>
          <w:p w14:paraId="4751602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  包</w:t>
            </w:r>
          </w:p>
        </w:tc>
        <w:tc>
          <w:tcPr>
            <w:tcW w:w="6986" w:type="dxa"/>
            <w:tcBorders>
              <w:top w:val="single" w:color="auto" w:sz="4" w:space="0"/>
              <w:left w:val="nil"/>
              <w:bottom w:val="single" w:color="auto" w:sz="4" w:space="0"/>
              <w:right w:val="single" w:color="auto" w:sz="4" w:space="0"/>
            </w:tcBorders>
            <w:noWrap w:val="0"/>
            <w:vAlign w:val="center"/>
          </w:tcPr>
          <w:p w14:paraId="43DBA0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61CF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C24950">
            <w:pPr>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pacing w:val="11"/>
                <w:sz w:val="24"/>
                <w:szCs w:val="24"/>
                <w:highlight w:val="none"/>
              </w:rPr>
              <w:t>15</w:t>
            </w:r>
          </w:p>
        </w:tc>
        <w:tc>
          <w:tcPr>
            <w:tcW w:w="1878" w:type="dxa"/>
            <w:tcBorders>
              <w:top w:val="single" w:color="auto" w:sz="4" w:space="0"/>
              <w:left w:val="nil"/>
              <w:bottom w:val="single" w:color="auto" w:sz="4" w:space="0"/>
              <w:right w:val="single" w:color="auto" w:sz="4" w:space="0"/>
            </w:tcBorders>
            <w:noWrap w:val="0"/>
            <w:vAlign w:val="center"/>
          </w:tcPr>
          <w:p w14:paraId="0050B5A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  离</w:t>
            </w:r>
          </w:p>
        </w:tc>
        <w:tc>
          <w:tcPr>
            <w:tcW w:w="6986" w:type="dxa"/>
            <w:tcBorders>
              <w:top w:val="single" w:color="auto" w:sz="4" w:space="0"/>
              <w:left w:val="nil"/>
              <w:bottom w:val="single" w:color="auto" w:sz="4" w:space="0"/>
              <w:right w:val="single" w:color="auto" w:sz="4" w:space="0"/>
            </w:tcBorders>
            <w:noWrap w:val="0"/>
            <w:vAlign w:val="center"/>
          </w:tcPr>
          <w:p w14:paraId="51D205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58F8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10BA75">
            <w:pPr>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pacing w:val="11"/>
                <w:sz w:val="24"/>
                <w:szCs w:val="24"/>
                <w:highlight w:val="none"/>
              </w:rPr>
              <w:t>16</w:t>
            </w:r>
          </w:p>
        </w:tc>
        <w:tc>
          <w:tcPr>
            <w:tcW w:w="1878" w:type="dxa"/>
            <w:tcBorders>
              <w:top w:val="single" w:color="auto" w:sz="4" w:space="0"/>
              <w:left w:val="nil"/>
              <w:bottom w:val="single" w:color="auto" w:sz="4" w:space="0"/>
              <w:right w:val="single" w:color="auto" w:sz="4" w:space="0"/>
            </w:tcBorders>
            <w:noWrap w:val="0"/>
            <w:vAlign w:val="center"/>
          </w:tcPr>
          <w:p w14:paraId="7DF72C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构成磋商文件的其他材料</w:t>
            </w:r>
          </w:p>
        </w:tc>
        <w:tc>
          <w:tcPr>
            <w:tcW w:w="6986" w:type="dxa"/>
            <w:tcBorders>
              <w:top w:val="single" w:color="auto" w:sz="4" w:space="0"/>
              <w:left w:val="nil"/>
              <w:bottom w:val="single" w:color="auto" w:sz="4" w:space="0"/>
              <w:right w:val="single" w:color="auto" w:sz="4" w:space="0"/>
            </w:tcBorders>
            <w:noWrap w:val="0"/>
            <w:vAlign w:val="center"/>
          </w:tcPr>
          <w:p w14:paraId="4B77CB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对竞争性磋商文件所作的澄清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含答疑）、修改，补充构成竞争性磋商文件的组成部分。</w:t>
            </w:r>
          </w:p>
        </w:tc>
      </w:tr>
      <w:tr w14:paraId="3690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2EA1111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17</w:t>
            </w:r>
          </w:p>
        </w:tc>
        <w:tc>
          <w:tcPr>
            <w:tcW w:w="1878" w:type="dxa"/>
            <w:tcBorders>
              <w:top w:val="single" w:color="auto" w:sz="4" w:space="0"/>
              <w:left w:val="nil"/>
              <w:bottom w:val="single" w:color="auto" w:sz="4" w:space="0"/>
              <w:right w:val="single" w:color="auto" w:sz="4" w:space="0"/>
            </w:tcBorders>
            <w:noWrap w:val="0"/>
            <w:vAlign w:val="center"/>
          </w:tcPr>
          <w:p w14:paraId="102C7ED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响应人要求澄清竞争性磋商文件的截止时间</w:t>
            </w:r>
          </w:p>
        </w:tc>
        <w:tc>
          <w:tcPr>
            <w:tcW w:w="6986" w:type="dxa"/>
            <w:tcBorders>
              <w:top w:val="single" w:color="auto" w:sz="4" w:space="0"/>
              <w:left w:val="nil"/>
              <w:bottom w:val="single" w:color="auto" w:sz="4" w:space="0"/>
              <w:right w:val="single" w:color="auto" w:sz="4" w:space="0"/>
            </w:tcBorders>
            <w:noWrap w:val="0"/>
            <w:vAlign w:val="center"/>
          </w:tcPr>
          <w:p w14:paraId="2F075AE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响应文件递交截止时间5日前</w:t>
            </w:r>
          </w:p>
        </w:tc>
      </w:tr>
      <w:tr w14:paraId="4405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32F82CD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18</w:t>
            </w:r>
          </w:p>
        </w:tc>
        <w:tc>
          <w:tcPr>
            <w:tcW w:w="1878" w:type="dxa"/>
            <w:tcBorders>
              <w:top w:val="single" w:color="auto" w:sz="4" w:space="0"/>
              <w:left w:val="nil"/>
              <w:bottom w:val="single" w:color="auto" w:sz="4" w:space="0"/>
              <w:right w:val="single" w:color="auto" w:sz="4" w:space="0"/>
            </w:tcBorders>
            <w:noWrap w:val="0"/>
            <w:vAlign w:val="center"/>
          </w:tcPr>
          <w:p w14:paraId="0278D119">
            <w:pPr>
              <w:spacing w:line="360" w:lineRule="auto"/>
              <w:ind w:left="240" w:hanging="240" w:hanging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w:t>
            </w:r>
          </w:p>
          <w:p w14:paraId="0DBB645F">
            <w:pPr>
              <w:spacing w:line="360" w:lineRule="auto"/>
              <w:ind w:left="240" w:hanging="240" w:hanging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交截止时间</w:t>
            </w:r>
          </w:p>
        </w:tc>
        <w:tc>
          <w:tcPr>
            <w:tcW w:w="6986" w:type="dxa"/>
            <w:tcBorders>
              <w:top w:val="single" w:color="auto" w:sz="4" w:space="0"/>
              <w:left w:val="nil"/>
              <w:bottom w:val="single" w:color="auto" w:sz="4" w:space="0"/>
              <w:right w:val="single" w:color="auto" w:sz="4" w:space="0"/>
            </w:tcBorders>
            <w:noWrap w:val="0"/>
            <w:vAlign w:val="center"/>
          </w:tcPr>
          <w:p w14:paraId="6F8573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见第一章“竞争性磋商公告”</w:t>
            </w:r>
          </w:p>
        </w:tc>
      </w:tr>
      <w:tr w14:paraId="3577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088F3CC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19</w:t>
            </w:r>
          </w:p>
        </w:tc>
        <w:tc>
          <w:tcPr>
            <w:tcW w:w="1878" w:type="dxa"/>
            <w:tcBorders>
              <w:top w:val="single" w:color="auto" w:sz="4" w:space="0"/>
              <w:left w:val="nil"/>
              <w:bottom w:val="single" w:color="auto" w:sz="4" w:space="0"/>
              <w:right w:val="single" w:color="auto" w:sz="4" w:space="0"/>
            </w:tcBorders>
            <w:noWrap w:val="0"/>
            <w:vAlign w:val="center"/>
          </w:tcPr>
          <w:p w14:paraId="48D3D99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响应人确认收到竞争性磋商文件澄清的时间</w:t>
            </w:r>
          </w:p>
        </w:tc>
        <w:tc>
          <w:tcPr>
            <w:tcW w:w="6986" w:type="dxa"/>
            <w:tcBorders>
              <w:top w:val="single" w:color="auto" w:sz="4" w:space="0"/>
              <w:left w:val="nil"/>
              <w:bottom w:val="single" w:color="auto" w:sz="4" w:space="0"/>
              <w:right w:val="single" w:color="auto" w:sz="4" w:space="0"/>
            </w:tcBorders>
            <w:noWrap w:val="0"/>
            <w:vAlign w:val="center"/>
          </w:tcPr>
          <w:p w14:paraId="25B7FED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在收到相应澄清文件后</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小时内</w:t>
            </w:r>
          </w:p>
        </w:tc>
      </w:tr>
      <w:tr w14:paraId="10BD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46C8D4C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20</w:t>
            </w:r>
          </w:p>
        </w:tc>
        <w:tc>
          <w:tcPr>
            <w:tcW w:w="1878" w:type="dxa"/>
            <w:tcBorders>
              <w:top w:val="single" w:color="auto" w:sz="4" w:space="0"/>
              <w:left w:val="nil"/>
              <w:bottom w:val="single" w:color="auto" w:sz="4" w:space="0"/>
              <w:right w:val="single" w:color="auto" w:sz="4" w:space="0"/>
            </w:tcBorders>
            <w:noWrap w:val="0"/>
            <w:vAlign w:val="center"/>
          </w:tcPr>
          <w:p w14:paraId="592D612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响应人确认收到竞争性磋商文件修改的时间</w:t>
            </w:r>
          </w:p>
        </w:tc>
        <w:tc>
          <w:tcPr>
            <w:tcW w:w="6986" w:type="dxa"/>
            <w:tcBorders>
              <w:top w:val="single" w:color="auto" w:sz="4" w:space="0"/>
              <w:left w:val="nil"/>
              <w:bottom w:val="single" w:color="auto" w:sz="4" w:space="0"/>
              <w:right w:val="single" w:color="auto" w:sz="4" w:space="0"/>
            </w:tcBorders>
            <w:noWrap w:val="0"/>
            <w:vAlign w:val="center"/>
          </w:tcPr>
          <w:p w14:paraId="724254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在收到相应修改文件后</w:t>
            </w:r>
            <w:r>
              <w:rPr>
                <w:rFonts w:hint="eastAsia" w:ascii="宋体" w:hAnsi="宋体" w:eastAsia="宋体" w:cs="宋体"/>
                <w:color w:val="auto"/>
                <w:sz w:val="24"/>
                <w:szCs w:val="24"/>
                <w:highlight w:val="none"/>
                <w:u w:val="single"/>
              </w:rPr>
              <w:t xml:space="preserve"> 24</w:t>
            </w:r>
            <w:r>
              <w:rPr>
                <w:rFonts w:hint="eastAsia" w:ascii="宋体" w:hAnsi="宋体" w:eastAsia="宋体" w:cs="宋体"/>
                <w:color w:val="auto"/>
                <w:sz w:val="24"/>
                <w:szCs w:val="24"/>
                <w:highlight w:val="none"/>
              </w:rPr>
              <w:t>小时内</w:t>
            </w:r>
          </w:p>
        </w:tc>
      </w:tr>
      <w:tr w14:paraId="4B92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7F45CA2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21</w:t>
            </w:r>
          </w:p>
        </w:tc>
        <w:tc>
          <w:tcPr>
            <w:tcW w:w="1878" w:type="dxa"/>
            <w:tcBorders>
              <w:top w:val="single" w:color="auto" w:sz="4" w:space="0"/>
              <w:left w:val="nil"/>
              <w:bottom w:val="single" w:color="auto" w:sz="4" w:space="0"/>
              <w:right w:val="single" w:color="auto" w:sz="4" w:space="0"/>
            </w:tcBorders>
            <w:noWrap w:val="0"/>
            <w:vAlign w:val="center"/>
          </w:tcPr>
          <w:p w14:paraId="2AE7327B">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磋商保证金</w:t>
            </w:r>
          </w:p>
        </w:tc>
        <w:tc>
          <w:tcPr>
            <w:tcW w:w="6986" w:type="dxa"/>
            <w:tcBorders>
              <w:top w:val="single" w:color="auto" w:sz="4" w:space="0"/>
              <w:left w:val="nil"/>
              <w:bottom w:val="single" w:color="auto" w:sz="4" w:space="0"/>
              <w:right w:val="single" w:color="auto" w:sz="4" w:space="0"/>
            </w:tcBorders>
            <w:noWrap w:val="0"/>
            <w:vAlign w:val="top"/>
          </w:tcPr>
          <w:p w14:paraId="743D8FC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w:t>
            </w:r>
          </w:p>
        </w:tc>
      </w:tr>
      <w:tr w14:paraId="39AF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3DB108B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22</w:t>
            </w:r>
          </w:p>
        </w:tc>
        <w:tc>
          <w:tcPr>
            <w:tcW w:w="1878" w:type="dxa"/>
            <w:tcBorders>
              <w:top w:val="single" w:color="auto" w:sz="4" w:space="0"/>
              <w:left w:val="nil"/>
              <w:bottom w:val="single" w:color="auto" w:sz="4" w:space="0"/>
              <w:right w:val="single" w:color="auto" w:sz="4" w:space="0"/>
            </w:tcBorders>
            <w:noWrap w:val="0"/>
            <w:vAlign w:val="center"/>
          </w:tcPr>
          <w:p w14:paraId="50EEC7B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986" w:type="dxa"/>
            <w:tcBorders>
              <w:top w:val="single" w:color="auto" w:sz="4" w:space="0"/>
              <w:left w:val="nil"/>
              <w:bottom w:val="single" w:color="auto" w:sz="4" w:space="0"/>
              <w:right w:val="single" w:color="auto" w:sz="4" w:space="0"/>
            </w:tcBorders>
            <w:noWrap w:val="0"/>
            <w:vAlign w:val="center"/>
          </w:tcPr>
          <w:p w14:paraId="44175D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磋商截止之日起60日历天</w:t>
            </w:r>
          </w:p>
        </w:tc>
      </w:tr>
      <w:tr w14:paraId="0679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66D1731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23</w:t>
            </w:r>
          </w:p>
        </w:tc>
        <w:tc>
          <w:tcPr>
            <w:tcW w:w="1878" w:type="dxa"/>
            <w:tcBorders>
              <w:top w:val="single" w:color="auto" w:sz="4" w:space="0"/>
              <w:left w:val="nil"/>
              <w:bottom w:val="single" w:color="auto" w:sz="4" w:space="0"/>
              <w:right w:val="single" w:color="auto" w:sz="4" w:space="0"/>
            </w:tcBorders>
            <w:noWrap w:val="0"/>
            <w:vAlign w:val="center"/>
          </w:tcPr>
          <w:p w14:paraId="17BC6CB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近年完成的类似项目的年份要求</w:t>
            </w:r>
          </w:p>
        </w:tc>
        <w:tc>
          <w:tcPr>
            <w:tcW w:w="6986" w:type="dxa"/>
            <w:tcBorders>
              <w:top w:val="single" w:color="auto" w:sz="4" w:space="0"/>
              <w:left w:val="nil"/>
              <w:bottom w:val="single" w:color="auto" w:sz="4" w:space="0"/>
              <w:right w:val="single" w:color="auto" w:sz="4" w:space="0"/>
            </w:tcBorders>
            <w:noWrap w:val="0"/>
            <w:vAlign w:val="center"/>
          </w:tcPr>
          <w:p w14:paraId="1FFA76B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近</w:t>
            </w:r>
            <w:r>
              <w:rPr>
                <w:rFonts w:hint="eastAsia" w:ascii="宋体" w:hAnsi="宋体" w:eastAsia="宋体" w:cs="宋体"/>
                <w:color w:val="auto"/>
                <w:sz w:val="24"/>
                <w:szCs w:val="24"/>
                <w:highlight w:val="none"/>
              </w:rPr>
              <w:t>年，指</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日以来</w:t>
            </w:r>
          </w:p>
        </w:tc>
      </w:tr>
      <w:tr w14:paraId="696A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7648A2D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24</w:t>
            </w:r>
          </w:p>
        </w:tc>
        <w:tc>
          <w:tcPr>
            <w:tcW w:w="1878" w:type="dxa"/>
            <w:tcBorders>
              <w:top w:val="single" w:color="auto" w:sz="4" w:space="0"/>
              <w:left w:val="nil"/>
              <w:bottom w:val="single" w:color="auto" w:sz="4" w:space="0"/>
              <w:right w:val="single" w:color="auto" w:sz="4" w:space="0"/>
            </w:tcBorders>
            <w:noWrap w:val="0"/>
            <w:vAlign w:val="center"/>
          </w:tcPr>
          <w:p w14:paraId="4749B70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是否允许递交备选磋商方案</w:t>
            </w:r>
          </w:p>
        </w:tc>
        <w:tc>
          <w:tcPr>
            <w:tcW w:w="6986" w:type="dxa"/>
            <w:tcBorders>
              <w:top w:val="single" w:color="auto" w:sz="4" w:space="0"/>
              <w:left w:val="nil"/>
              <w:bottom w:val="single" w:color="auto" w:sz="4" w:space="0"/>
              <w:right w:val="single" w:color="auto" w:sz="4" w:space="0"/>
            </w:tcBorders>
            <w:noWrap w:val="0"/>
            <w:vAlign w:val="center"/>
          </w:tcPr>
          <w:p w14:paraId="1FC2D3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5FBA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5A813AF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25</w:t>
            </w:r>
          </w:p>
        </w:tc>
        <w:tc>
          <w:tcPr>
            <w:tcW w:w="1878" w:type="dxa"/>
            <w:tcBorders>
              <w:top w:val="single" w:color="auto" w:sz="4" w:space="0"/>
              <w:left w:val="nil"/>
              <w:bottom w:val="single" w:color="auto" w:sz="4" w:space="0"/>
              <w:right w:val="single" w:color="auto" w:sz="4" w:space="0"/>
            </w:tcBorders>
            <w:noWrap w:val="0"/>
            <w:vAlign w:val="center"/>
          </w:tcPr>
          <w:p w14:paraId="64B3D19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电子化响应文件的签章</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签字和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或）盖章要求</w:t>
            </w:r>
          </w:p>
        </w:tc>
        <w:tc>
          <w:tcPr>
            <w:tcW w:w="6986" w:type="dxa"/>
            <w:tcBorders>
              <w:top w:val="single" w:color="auto" w:sz="4" w:space="0"/>
              <w:left w:val="nil"/>
              <w:bottom w:val="single" w:color="auto" w:sz="4" w:space="0"/>
              <w:right w:val="single" w:color="auto" w:sz="4" w:space="0"/>
            </w:tcBorders>
            <w:noWrap w:val="0"/>
            <w:vAlign w:val="center"/>
          </w:tcPr>
          <w:p w14:paraId="1D632A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电子化响应文件的签章：</w:t>
            </w:r>
          </w:p>
          <w:p w14:paraId="4E8A93D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1、响应人在生成电子化响应文件后，应对电子化响应文件进行签章，未对电子化响应文件进行签章的视为无效</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w:t>
            </w:r>
          </w:p>
          <w:p w14:paraId="2D56826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2、竞争性磋商文件中要求法定代表人或授权委托人盖章的，响应人在进行电子化响应文件签章时，以签盖法定代表人签章为准。</w:t>
            </w:r>
          </w:p>
          <w:p w14:paraId="0B46A3A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3、电子化响应文件工具请点击</w:t>
            </w:r>
            <w:r>
              <w:rPr>
                <w:rFonts w:hint="eastAsia" w:ascii="宋体" w:hAnsi="宋体" w:eastAsia="宋体" w:cs="宋体"/>
                <w:sz w:val="24"/>
                <w:szCs w:val="24"/>
                <w:highlight w:val="none"/>
              </w:rPr>
              <w:t>https://download.bqpoint.com/download/downloaddetail.html?SourceFrom=Ztb&amp;ZtbSoftXiaQuCode=1506&amp;ZtbSoftType=tballinclusive</w:t>
            </w:r>
            <w:r>
              <w:rPr>
                <w:rFonts w:hint="eastAsia" w:ascii="宋体" w:hAnsi="宋体" w:eastAsia="宋体" w:cs="宋体"/>
                <w:color w:val="auto"/>
                <w:sz w:val="24"/>
                <w:szCs w:val="24"/>
                <w:highlight w:val="none"/>
              </w:rPr>
              <w:t>进行下载。</w:t>
            </w:r>
          </w:p>
        </w:tc>
      </w:tr>
      <w:tr w14:paraId="5002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6BA3E7A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000000"/>
                <w:spacing w:val="11"/>
                <w:sz w:val="24"/>
                <w:szCs w:val="24"/>
                <w:highlight w:val="none"/>
              </w:rPr>
              <w:t>26</w:t>
            </w:r>
          </w:p>
        </w:tc>
        <w:tc>
          <w:tcPr>
            <w:tcW w:w="1878" w:type="dxa"/>
            <w:tcBorders>
              <w:top w:val="single" w:color="auto" w:sz="4" w:space="0"/>
              <w:left w:val="nil"/>
              <w:bottom w:val="single" w:color="auto" w:sz="4" w:space="0"/>
              <w:right w:val="single" w:color="auto" w:sz="4" w:space="0"/>
            </w:tcBorders>
            <w:noWrap w:val="0"/>
            <w:vAlign w:val="center"/>
          </w:tcPr>
          <w:p w14:paraId="5A03EA5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电子化响应文件的格式及上传</w:t>
            </w:r>
            <w:r>
              <w:rPr>
                <w:rFonts w:hint="eastAsia" w:ascii="宋体" w:hAnsi="宋体" w:cs="宋体"/>
                <w:sz w:val="24"/>
                <w:szCs w:val="24"/>
                <w:highlight w:val="none"/>
                <w:lang w:val="en-US" w:eastAsia="zh-CN"/>
              </w:rPr>
              <w:t>响应文件</w:t>
            </w:r>
          </w:p>
        </w:tc>
        <w:tc>
          <w:tcPr>
            <w:tcW w:w="6986" w:type="dxa"/>
            <w:tcBorders>
              <w:top w:val="single" w:color="auto" w:sz="4" w:space="0"/>
              <w:left w:val="nil"/>
              <w:bottom w:val="single" w:color="auto" w:sz="4" w:space="0"/>
              <w:right w:val="single" w:color="auto" w:sz="4" w:space="0"/>
            </w:tcBorders>
            <w:noWrap w:val="0"/>
            <w:vAlign w:val="center"/>
          </w:tcPr>
          <w:p w14:paraId="72C9093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所上传的电子化响应文件，应是通过中心</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制作系统制作的（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制作工具下载地址：</w:t>
            </w:r>
          </w:p>
          <w:p w14:paraId="2004B5A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www.smxgzjy.cn/spweb/SMX/InformationCenter/indexMore.do?id=35e58aa6-98dd-41b5-b526-c8c629eeff3c），经过签章和加密后生成的电子版响应文件。生成的电子版响应文件包含用于响应文件上传的主文件和用于应急补救的响应文件备份文件，备份文件主要用于电子化开标出现技术问题后的补救。</w:t>
            </w:r>
          </w:p>
          <w:p w14:paraId="2270E7F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投报多个标段的，每个标段均要生成独立的电子响应文件。</w:t>
            </w:r>
          </w:p>
          <w:p w14:paraId="441B8D6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w:t>
            </w:r>
            <w:r>
              <w:rPr>
                <w:rFonts w:hint="eastAsia" w:ascii="宋体" w:hAnsi="宋体" w:cs="宋体"/>
                <w:color w:val="auto"/>
                <w:sz w:val="24"/>
                <w:szCs w:val="24"/>
                <w:highlight w:val="none"/>
                <w:lang w:eastAsia="zh-CN"/>
              </w:rPr>
              <w:t>响应截止</w:t>
            </w:r>
            <w:r>
              <w:rPr>
                <w:rFonts w:hint="eastAsia" w:ascii="宋体" w:hAnsi="宋体" w:eastAsia="宋体" w:cs="宋体"/>
                <w:color w:val="auto"/>
                <w:sz w:val="24"/>
                <w:szCs w:val="24"/>
                <w:highlight w:val="none"/>
              </w:rPr>
              <w:t>时间前成功上传至三门峡市公共资源电子化交易系统。至</w:t>
            </w:r>
            <w:r>
              <w:rPr>
                <w:rFonts w:hint="eastAsia" w:ascii="宋体" w:hAnsi="宋体" w:cs="宋体"/>
                <w:color w:val="auto"/>
                <w:sz w:val="24"/>
                <w:szCs w:val="24"/>
                <w:highlight w:val="none"/>
                <w:lang w:eastAsia="zh-CN"/>
              </w:rPr>
              <w:t>响应截止</w:t>
            </w:r>
            <w:r>
              <w:rPr>
                <w:rFonts w:hint="eastAsia" w:ascii="宋体" w:hAnsi="宋体" w:eastAsia="宋体" w:cs="宋体"/>
                <w:color w:val="auto"/>
                <w:sz w:val="24"/>
                <w:szCs w:val="24"/>
                <w:highlight w:val="none"/>
              </w:rPr>
              <w:t>时间止，仍未上传成功的电子化响应文件将不予接收。</w:t>
            </w:r>
          </w:p>
          <w:p w14:paraId="380138C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w:t>
            </w: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应在</w:t>
            </w:r>
            <w:r>
              <w:rPr>
                <w:rFonts w:hint="eastAsia" w:ascii="宋体" w:hAnsi="宋体" w:cs="宋体"/>
                <w:color w:val="auto"/>
                <w:sz w:val="24"/>
                <w:szCs w:val="24"/>
                <w:highlight w:val="none"/>
                <w:lang w:eastAsia="zh-CN"/>
              </w:rPr>
              <w:t>响应截止</w:t>
            </w:r>
            <w:r>
              <w:rPr>
                <w:rFonts w:hint="eastAsia" w:ascii="宋体" w:hAnsi="宋体" w:eastAsia="宋体" w:cs="宋体"/>
                <w:color w:val="auto"/>
                <w:sz w:val="24"/>
                <w:szCs w:val="24"/>
                <w:highlight w:val="none"/>
              </w:rPr>
              <w:t>时间前尽早的联系中心技术人员，以便有充分的时间进行处理。</w:t>
            </w: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应充分考虑到处理技术问题和上传数据等工作所需的时间问题，响应文件未在</w:t>
            </w:r>
            <w:r>
              <w:rPr>
                <w:rFonts w:hint="eastAsia" w:ascii="宋体" w:hAnsi="宋体" w:cs="宋体"/>
                <w:color w:val="auto"/>
                <w:sz w:val="24"/>
                <w:szCs w:val="24"/>
                <w:highlight w:val="none"/>
                <w:lang w:eastAsia="zh-CN"/>
              </w:rPr>
              <w:t>响应截止</w:t>
            </w:r>
            <w:r>
              <w:rPr>
                <w:rFonts w:hint="eastAsia" w:ascii="宋体" w:hAnsi="宋体" w:eastAsia="宋体" w:cs="宋体"/>
                <w:color w:val="auto"/>
                <w:sz w:val="24"/>
                <w:szCs w:val="24"/>
                <w:highlight w:val="none"/>
              </w:rPr>
              <w:t>时间前成功上传的，其响应文件不予接收。</w:t>
            </w:r>
          </w:p>
          <w:p w14:paraId="0564455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技术联系电话：0398-3117871</w:t>
            </w:r>
          </w:p>
        </w:tc>
      </w:tr>
      <w:tr w14:paraId="7E8B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12AF3ED9">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Cs/>
                <w:color w:val="000000"/>
                <w:spacing w:val="11"/>
                <w:sz w:val="24"/>
                <w:szCs w:val="24"/>
                <w:highlight w:val="none"/>
              </w:rPr>
              <w:t>27</w:t>
            </w:r>
          </w:p>
        </w:tc>
        <w:tc>
          <w:tcPr>
            <w:tcW w:w="1878" w:type="dxa"/>
            <w:tcBorders>
              <w:top w:val="single" w:color="auto" w:sz="4" w:space="0"/>
              <w:left w:val="nil"/>
              <w:bottom w:val="single" w:color="auto" w:sz="4" w:space="0"/>
              <w:right w:val="single" w:color="auto" w:sz="4" w:space="0"/>
            </w:tcBorders>
            <w:noWrap w:val="0"/>
            <w:vAlign w:val="center"/>
          </w:tcPr>
          <w:p w14:paraId="102B13D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递交响应文件地点</w:t>
            </w:r>
          </w:p>
        </w:tc>
        <w:tc>
          <w:tcPr>
            <w:tcW w:w="6986" w:type="dxa"/>
            <w:tcBorders>
              <w:top w:val="single" w:color="auto" w:sz="4" w:space="0"/>
              <w:left w:val="nil"/>
              <w:bottom w:val="single" w:color="auto" w:sz="4" w:space="0"/>
              <w:right w:val="single" w:color="auto" w:sz="4" w:space="0"/>
            </w:tcBorders>
            <w:noWrap w:val="0"/>
            <w:vAlign w:val="center"/>
          </w:tcPr>
          <w:p w14:paraId="0518E3C0">
            <w:pPr>
              <w:spacing w:before="180" w:beforeLines="50"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见第一章“竞争性磋商公告”</w:t>
            </w:r>
          </w:p>
        </w:tc>
      </w:tr>
      <w:tr w14:paraId="0AD8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1D6A16F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28</w:t>
            </w:r>
          </w:p>
        </w:tc>
        <w:tc>
          <w:tcPr>
            <w:tcW w:w="1878" w:type="dxa"/>
            <w:tcBorders>
              <w:top w:val="single" w:color="auto" w:sz="4" w:space="0"/>
              <w:left w:val="nil"/>
              <w:bottom w:val="single" w:color="auto" w:sz="4" w:space="0"/>
              <w:right w:val="single" w:color="auto" w:sz="4" w:space="0"/>
            </w:tcBorders>
            <w:noWrap w:val="0"/>
            <w:vAlign w:val="center"/>
          </w:tcPr>
          <w:p w14:paraId="5E95432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是否退还响应文件</w:t>
            </w:r>
          </w:p>
        </w:tc>
        <w:tc>
          <w:tcPr>
            <w:tcW w:w="6986" w:type="dxa"/>
            <w:tcBorders>
              <w:top w:val="single" w:color="auto" w:sz="4" w:space="0"/>
              <w:left w:val="nil"/>
              <w:bottom w:val="single" w:color="auto" w:sz="4" w:space="0"/>
              <w:right w:val="single" w:color="auto" w:sz="4" w:space="0"/>
            </w:tcBorders>
            <w:noWrap w:val="0"/>
            <w:vAlign w:val="center"/>
          </w:tcPr>
          <w:p w14:paraId="6861585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0B21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21C0641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29</w:t>
            </w:r>
          </w:p>
        </w:tc>
        <w:tc>
          <w:tcPr>
            <w:tcW w:w="1878" w:type="dxa"/>
            <w:tcBorders>
              <w:top w:val="single" w:color="auto" w:sz="4" w:space="0"/>
              <w:left w:val="nil"/>
              <w:bottom w:val="single" w:color="auto" w:sz="4" w:space="0"/>
              <w:right w:val="single" w:color="auto" w:sz="4" w:space="0"/>
            </w:tcBorders>
            <w:noWrap w:val="0"/>
            <w:vAlign w:val="center"/>
          </w:tcPr>
          <w:p w14:paraId="2E6E388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磋商时间和地点</w:t>
            </w:r>
          </w:p>
        </w:tc>
        <w:tc>
          <w:tcPr>
            <w:tcW w:w="6986" w:type="dxa"/>
            <w:tcBorders>
              <w:top w:val="single" w:color="auto" w:sz="4" w:space="0"/>
              <w:left w:val="nil"/>
              <w:bottom w:val="single" w:color="auto" w:sz="4" w:space="0"/>
              <w:right w:val="single" w:color="auto" w:sz="4" w:space="0"/>
            </w:tcBorders>
            <w:noWrap w:val="0"/>
            <w:vAlign w:val="center"/>
          </w:tcPr>
          <w:p w14:paraId="00786815">
            <w:pPr>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见第一章“竞争性磋商公告”</w:t>
            </w:r>
          </w:p>
        </w:tc>
      </w:tr>
      <w:tr w14:paraId="469A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2C16BC7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30</w:t>
            </w:r>
          </w:p>
        </w:tc>
        <w:tc>
          <w:tcPr>
            <w:tcW w:w="1878" w:type="dxa"/>
            <w:tcBorders>
              <w:top w:val="single" w:color="auto" w:sz="4" w:space="0"/>
              <w:left w:val="nil"/>
              <w:bottom w:val="single" w:color="auto" w:sz="4" w:space="0"/>
              <w:right w:val="single" w:color="auto" w:sz="4" w:space="0"/>
            </w:tcBorders>
            <w:noWrap w:val="0"/>
            <w:vAlign w:val="center"/>
          </w:tcPr>
          <w:p w14:paraId="1A4103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开标顺序</w:t>
            </w:r>
          </w:p>
        </w:tc>
        <w:tc>
          <w:tcPr>
            <w:tcW w:w="6986" w:type="dxa"/>
            <w:tcBorders>
              <w:top w:val="single" w:color="auto" w:sz="4" w:space="0"/>
              <w:left w:val="nil"/>
              <w:bottom w:val="single" w:color="auto" w:sz="4" w:space="0"/>
              <w:right w:val="single" w:color="auto" w:sz="4" w:space="0"/>
            </w:tcBorders>
            <w:noWrap w:val="0"/>
            <w:vAlign w:val="center"/>
          </w:tcPr>
          <w:p w14:paraId="0ABA703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按电子响应文件上传的顺序开标</w:t>
            </w:r>
          </w:p>
        </w:tc>
      </w:tr>
      <w:tr w14:paraId="1278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60BA84E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31</w:t>
            </w:r>
          </w:p>
        </w:tc>
        <w:tc>
          <w:tcPr>
            <w:tcW w:w="1878" w:type="dxa"/>
            <w:tcBorders>
              <w:top w:val="single" w:color="auto" w:sz="4" w:space="0"/>
              <w:left w:val="nil"/>
              <w:bottom w:val="single" w:color="auto" w:sz="4" w:space="0"/>
              <w:right w:val="single" w:color="auto" w:sz="4" w:space="0"/>
            </w:tcBorders>
            <w:noWrap w:val="0"/>
            <w:vAlign w:val="center"/>
          </w:tcPr>
          <w:p w14:paraId="0A9F51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磋商小组的组建</w:t>
            </w:r>
          </w:p>
        </w:tc>
        <w:tc>
          <w:tcPr>
            <w:tcW w:w="6986" w:type="dxa"/>
            <w:tcBorders>
              <w:top w:val="single" w:color="auto" w:sz="4" w:space="0"/>
              <w:left w:val="nil"/>
              <w:bottom w:val="single" w:color="auto" w:sz="4" w:space="0"/>
              <w:right w:val="single" w:color="auto" w:sz="4" w:space="0"/>
            </w:tcBorders>
            <w:noWrap w:val="0"/>
            <w:vAlign w:val="center"/>
          </w:tcPr>
          <w:p w14:paraId="613EBD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按照国家相关规定组建，磋商小组由</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代表及有关技术、经济等方面的专家组成，成员为3人。其中：</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代表1人，技术和经济方面专家各1人（技术和经济方面专家从专家库抽取）</w:t>
            </w:r>
          </w:p>
        </w:tc>
      </w:tr>
      <w:tr w14:paraId="7E71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32AA939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p>
        </w:tc>
        <w:tc>
          <w:tcPr>
            <w:tcW w:w="1878" w:type="dxa"/>
            <w:tcBorders>
              <w:top w:val="single" w:color="auto" w:sz="4" w:space="0"/>
              <w:left w:val="nil"/>
              <w:bottom w:val="single" w:color="auto" w:sz="4" w:space="0"/>
              <w:right w:val="single" w:color="auto" w:sz="4" w:space="0"/>
            </w:tcBorders>
            <w:noWrap w:val="0"/>
            <w:vAlign w:val="center"/>
          </w:tcPr>
          <w:p w14:paraId="78C2EE3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w:t>
            </w:r>
            <w:r>
              <w:rPr>
                <w:rFonts w:hint="eastAsia" w:ascii="宋体" w:hAnsi="宋体" w:cs="宋体"/>
                <w:color w:val="auto"/>
                <w:sz w:val="24"/>
                <w:szCs w:val="24"/>
                <w:highlight w:val="none"/>
                <w:lang w:val="en-US" w:eastAsia="zh-CN"/>
              </w:rPr>
              <w:t>成交响应人</w:t>
            </w:r>
          </w:p>
        </w:tc>
        <w:tc>
          <w:tcPr>
            <w:tcW w:w="6986" w:type="dxa"/>
            <w:tcBorders>
              <w:top w:val="single" w:color="auto" w:sz="4" w:space="0"/>
              <w:left w:val="nil"/>
              <w:bottom w:val="single" w:color="auto" w:sz="4" w:space="0"/>
              <w:right w:val="single" w:color="auto" w:sz="4" w:space="0"/>
            </w:tcBorders>
            <w:noWrap w:val="0"/>
            <w:vAlign w:val="center"/>
          </w:tcPr>
          <w:p w14:paraId="2B92EF1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否，按顺序推荐成交候选人3名</w:t>
            </w:r>
          </w:p>
        </w:tc>
      </w:tr>
      <w:tr w14:paraId="30F7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5CF50FDE">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pacing w:val="11"/>
                <w:sz w:val="24"/>
                <w:szCs w:val="24"/>
                <w:highlight w:val="none"/>
              </w:rPr>
              <w:t>33</w:t>
            </w:r>
          </w:p>
        </w:tc>
        <w:tc>
          <w:tcPr>
            <w:tcW w:w="1878" w:type="dxa"/>
            <w:tcBorders>
              <w:top w:val="single" w:color="auto" w:sz="4" w:space="0"/>
              <w:left w:val="nil"/>
              <w:bottom w:val="single" w:color="auto" w:sz="4" w:space="0"/>
              <w:right w:val="single" w:color="auto" w:sz="4" w:space="0"/>
            </w:tcBorders>
            <w:noWrap w:val="0"/>
            <w:vAlign w:val="center"/>
          </w:tcPr>
          <w:p w14:paraId="25CA8B0B">
            <w:pPr>
              <w:spacing w:after="0" w:line="36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磋商文件费</w:t>
            </w:r>
          </w:p>
        </w:tc>
        <w:tc>
          <w:tcPr>
            <w:tcW w:w="6986" w:type="dxa"/>
            <w:tcBorders>
              <w:top w:val="single" w:color="auto" w:sz="4" w:space="0"/>
              <w:left w:val="nil"/>
              <w:bottom w:val="single" w:color="auto" w:sz="4" w:space="0"/>
              <w:right w:val="single" w:color="auto" w:sz="4" w:space="0"/>
            </w:tcBorders>
            <w:noWrap w:val="0"/>
            <w:vAlign w:val="center"/>
          </w:tcPr>
          <w:p w14:paraId="28FFAD24">
            <w:pPr>
              <w:spacing w:after="0"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根据《关于进一步加强公共资源交易管理持续优化营商环境的通知》（三公管办〔2020〕2号）文件的要求,磋商文件费用不再收取。</w:t>
            </w:r>
          </w:p>
        </w:tc>
      </w:tr>
      <w:tr w14:paraId="78F8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7E2E8ED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34</w:t>
            </w:r>
          </w:p>
        </w:tc>
        <w:tc>
          <w:tcPr>
            <w:tcW w:w="1878" w:type="dxa"/>
            <w:tcBorders>
              <w:top w:val="single" w:color="auto" w:sz="4" w:space="0"/>
              <w:left w:val="nil"/>
              <w:bottom w:val="single" w:color="auto" w:sz="4" w:space="0"/>
              <w:right w:val="single" w:color="auto" w:sz="4" w:space="0"/>
            </w:tcBorders>
            <w:noWrap w:val="0"/>
            <w:vAlign w:val="center"/>
          </w:tcPr>
          <w:p w14:paraId="44D19A5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shd w:val="clear" w:color="auto" w:fill="FFFFFF"/>
              </w:rPr>
              <w:t>招标控制价</w:t>
            </w:r>
          </w:p>
        </w:tc>
        <w:tc>
          <w:tcPr>
            <w:tcW w:w="6986" w:type="dxa"/>
            <w:tcBorders>
              <w:top w:val="single" w:color="auto" w:sz="4" w:space="0"/>
              <w:left w:val="nil"/>
              <w:bottom w:val="single" w:color="auto" w:sz="4" w:space="0"/>
              <w:right w:val="single" w:color="auto" w:sz="4" w:space="0"/>
            </w:tcBorders>
            <w:noWrap w:val="0"/>
            <w:vAlign w:val="center"/>
          </w:tcPr>
          <w:p w14:paraId="4DE8376F">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招标控制价：</w:t>
            </w:r>
            <w:r>
              <w:rPr>
                <w:rFonts w:hint="eastAsia" w:ascii="宋体" w:hAnsi="宋体" w:eastAsia="宋体" w:cs="宋体"/>
                <w:b/>
                <w:bCs/>
                <w:color w:val="auto"/>
                <w:sz w:val="24"/>
                <w:szCs w:val="24"/>
                <w:highlight w:val="none"/>
                <w:lang w:val="en-US" w:eastAsia="zh-CN"/>
              </w:rPr>
              <w:t>小写：</w:t>
            </w:r>
            <w:r>
              <w:rPr>
                <w:rFonts w:hint="eastAsia" w:ascii="宋体" w:hAnsi="宋体" w:eastAsia="宋体" w:cs="宋体"/>
                <w:b/>
                <w:bCs/>
                <w:snapToGrid w:val="0"/>
                <w:color w:val="auto"/>
                <w:sz w:val="24"/>
                <w:szCs w:val="24"/>
                <w:highlight w:val="none"/>
                <w:lang w:val="en-US" w:eastAsia="zh-CN"/>
              </w:rPr>
              <w:t>773487</w:t>
            </w:r>
            <w:r>
              <w:rPr>
                <w:rFonts w:hint="eastAsia" w:ascii="宋体" w:hAnsi="宋体" w:eastAsia="宋体" w:cs="宋体"/>
                <w:b/>
                <w:bCs/>
                <w:snapToGrid w:val="0"/>
                <w:color w:val="auto"/>
                <w:sz w:val="24"/>
                <w:szCs w:val="24"/>
                <w:highlight w:val="none"/>
                <w:lang w:eastAsia="zh-CN"/>
              </w:rPr>
              <w:t>.00</w:t>
            </w:r>
            <w:r>
              <w:rPr>
                <w:rFonts w:hint="eastAsia" w:ascii="宋体" w:hAnsi="宋体" w:eastAsia="宋体" w:cs="宋体"/>
                <w:b/>
                <w:bCs/>
                <w:color w:val="auto"/>
                <w:sz w:val="24"/>
                <w:szCs w:val="24"/>
                <w:highlight w:val="none"/>
                <w:lang w:val="en-US" w:eastAsia="zh-CN"/>
              </w:rPr>
              <w:t>元，大写：柒拾柒万叁仟肆佰捌拾柒元整；</w:t>
            </w:r>
          </w:p>
          <w:p w14:paraId="2AAED83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高于招标控制价的其磋商将被否决。一次报价和最终报价高于招标控制价的其磋商将被否决。</w:t>
            </w:r>
          </w:p>
        </w:tc>
      </w:tr>
      <w:tr w14:paraId="4C85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5051178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35</w:t>
            </w:r>
          </w:p>
        </w:tc>
        <w:tc>
          <w:tcPr>
            <w:tcW w:w="1878" w:type="dxa"/>
            <w:tcBorders>
              <w:top w:val="single" w:color="auto" w:sz="4" w:space="0"/>
              <w:left w:val="nil"/>
              <w:bottom w:val="single" w:color="auto" w:sz="4" w:space="0"/>
              <w:right w:val="single" w:color="auto" w:sz="4" w:space="0"/>
            </w:tcBorders>
            <w:noWrap w:val="0"/>
            <w:vAlign w:val="center"/>
          </w:tcPr>
          <w:p w14:paraId="2F96DD0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竞争性磋商文件的解释</w:t>
            </w:r>
          </w:p>
        </w:tc>
        <w:tc>
          <w:tcPr>
            <w:tcW w:w="6986" w:type="dxa"/>
            <w:tcBorders>
              <w:top w:val="single" w:color="auto" w:sz="4" w:space="0"/>
              <w:left w:val="nil"/>
              <w:bottom w:val="single" w:color="auto" w:sz="4" w:space="0"/>
              <w:right w:val="single" w:color="auto" w:sz="4" w:space="0"/>
            </w:tcBorders>
            <w:noWrap w:val="0"/>
            <w:vAlign w:val="center"/>
          </w:tcPr>
          <w:p w14:paraId="23F2B4C1">
            <w:pPr>
              <w:spacing w:line="360" w:lineRule="auto"/>
              <w:ind w:right="-153" w:rightChars="-73"/>
              <w:jc w:val="left"/>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采购磋商阶段的规定，按竞争性磋商公告、</w:t>
            </w:r>
            <w:r>
              <w:rPr>
                <w:rFonts w:hint="eastAsia" w:ascii="宋体" w:hAnsi="宋体" w:eastAsia="宋体" w:cs="宋体"/>
                <w:color w:val="000000"/>
                <w:spacing w:val="11"/>
                <w:sz w:val="24"/>
                <w:szCs w:val="24"/>
                <w:highlight w:val="none"/>
                <w:lang w:val="en-US" w:eastAsia="zh-CN"/>
              </w:rPr>
              <w:t>响应人</w:t>
            </w:r>
            <w:r>
              <w:rPr>
                <w:rFonts w:hint="eastAsia" w:ascii="宋体" w:hAnsi="宋体" w:eastAsia="宋体" w:cs="宋体"/>
                <w:color w:val="000000"/>
                <w:spacing w:val="11"/>
                <w:sz w:val="24"/>
                <w:szCs w:val="24"/>
                <w:highlight w:val="none"/>
              </w:rPr>
              <w:t>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cs="宋体"/>
                <w:color w:val="000000"/>
                <w:spacing w:val="11"/>
                <w:sz w:val="24"/>
                <w:szCs w:val="24"/>
                <w:highlight w:val="none"/>
                <w:lang w:eastAsia="zh-CN"/>
              </w:rPr>
              <w:t>招标人</w:t>
            </w:r>
            <w:r>
              <w:rPr>
                <w:rFonts w:hint="eastAsia" w:ascii="宋体" w:hAnsi="宋体" w:eastAsia="宋体" w:cs="宋体"/>
                <w:color w:val="000000"/>
                <w:spacing w:val="11"/>
                <w:sz w:val="24"/>
                <w:szCs w:val="24"/>
                <w:highlight w:val="none"/>
              </w:rPr>
              <w:t>负责解释。</w:t>
            </w:r>
          </w:p>
        </w:tc>
      </w:tr>
      <w:tr w14:paraId="5117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0E1713EE">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000000"/>
                <w:spacing w:val="11"/>
                <w:sz w:val="24"/>
                <w:szCs w:val="24"/>
                <w:highlight w:val="none"/>
              </w:rPr>
              <w:t>36</w:t>
            </w:r>
          </w:p>
        </w:tc>
        <w:tc>
          <w:tcPr>
            <w:tcW w:w="1878" w:type="dxa"/>
            <w:tcBorders>
              <w:top w:val="single" w:color="auto" w:sz="4" w:space="0"/>
              <w:left w:val="nil"/>
              <w:bottom w:val="single" w:color="auto" w:sz="4" w:space="0"/>
              <w:right w:val="single" w:color="auto" w:sz="4" w:space="0"/>
            </w:tcBorders>
            <w:noWrap w:val="0"/>
            <w:vAlign w:val="center"/>
          </w:tcPr>
          <w:p w14:paraId="5A6CC3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w:t>
            </w:r>
          </w:p>
        </w:tc>
        <w:tc>
          <w:tcPr>
            <w:tcW w:w="6986" w:type="dxa"/>
            <w:tcBorders>
              <w:top w:val="single" w:color="auto" w:sz="4" w:space="0"/>
              <w:left w:val="nil"/>
              <w:bottom w:val="single" w:color="auto" w:sz="4" w:space="0"/>
              <w:right w:val="single" w:color="auto" w:sz="4" w:space="0"/>
            </w:tcBorders>
            <w:noWrap w:val="0"/>
            <w:vAlign w:val="center"/>
          </w:tcPr>
          <w:p w14:paraId="24EEE140">
            <w:pPr>
              <w:spacing w:line="360" w:lineRule="auto"/>
              <w:ind w:right="-153" w:rightChars="-7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需要解答的疑问以书面形式加盖单位公章递交至招标人或代理机构，逾期提交的问题概不做回复。招标人将需要解答的内容以公告形式发至所有潜在响应人。</w:t>
            </w:r>
          </w:p>
        </w:tc>
      </w:tr>
      <w:tr w14:paraId="370A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3B43D9B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pacing w:val="11"/>
                <w:sz w:val="24"/>
                <w:szCs w:val="24"/>
                <w:highlight w:val="none"/>
              </w:rPr>
              <w:t>37</w:t>
            </w:r>
          </w:p>
        </w:tc>
        <w:tc>
          <w:tcPr>
            <w:tcW w:w="1878" w:type="dxa"/>
            <w:tcBorders>
              <w:top w:val="single" w:color="auto" w:sz="4" w:space="0"/>
              <w:left w:val="nil"/>
              <w:bottom w:val="single" w:color="auto" w:sz="4" w:space="0"/>
              <w:right w:val="single" w:color="auto" w:sz="4" w:space="0"/>
            </w:tcBorders>
            <w:noWrap w:val="0"/>
            <w:vAlign w:val="center"/>
          </w:tcPr>
          <w:p w14:paraId="0FA785F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结果公示</w:t>
            </w:r>
          </w:p>
        </w:tc>
        <w:tc>
          <w:tcPr>
            <w:tcW w:w="6986" w:type="dxa"/>
            <w:tcBorders>
              <w:top w:val="single" w:color="auto" w:sz="4" w:space="0"/>
              <w:left w:val="single" w:color="auto" w:sz="4" w:space="0"/>
              <w:bottom w:val="single" w:color="auto" w:sz="4" w:space="0"/>
              <w:right w:val="single" w:color="auto" w:sz="4" w:space="0"/>
            </w:tcBorders>
            <w:noWrap w:val="0"/>
            <w:vAlign w:val="center"/>
          </w:tcPr>
          <w:p w14:paraId="2D10B6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《中国采购与招标网》、《河南省政府采购网》、《三门峡市公共资源交易中心网》</w:t>
            </w:r>
            <w:r>
              <w:rPr>
                <w:rFonts w:hint="eastAsia" w:ascii="宋体" w:hAnsi="宋体" w:eastAsia="宋体" w:cs="宋体"/>
                <w:color w:val="auto"/>
                <w:sz w:val="24"/>
                <w:szCs w:val="24"/>
                <w:highlight w:val="none"/>
              </w:rPr>
              <w:t>同时进行公示，公示期1个工作日。</w:t>
            </w:r>
          </w:p>
        </w:tc>
      </w:tr>
      <w:tr w14:paraId="7FB3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49DC5A7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38</w:t>
            </w:r>
          </w:p>
        </w:tc>
        <w:tc>
          <w:tcPr>
            <w:tcW w:w="1878" w:type="dxa"/>
            <w:tcBorders>
              <w:top w:val="single" w:color="auto" w:sz="4" w:space="0"/>
              <w:left w:val="nil"/>
              <w:bottom w:val="single" w:color="auto" w:sz="4" w:space="0"/>
              <w:right w:val="single" w:color="auto" w:sz="4" w:space="0"/>
            </w:tcBorders>
            <w:noWrap w:val="0"/>
            <w:vAlign w:val="center"/>
          </w:tcPr>
          <w:p w14:paraId="6A61B7C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知识产权</w:t>
            </w:r>
          </w:p>
        </w:tc>
        <w:tc>
          <w:tcPr>
            <w:tcW w:w="6986" w:type="dxa"/>
            <w:tcBorders>
              <w:top w:val="single" w:color="auto" w:sz="4" w:space="0"/>
              <w:left w:val="single" w:color="auto" w:sz="4" w:space="0"/>
              <w:bottom w:val="single" w:color="auto" w:sz="4" w:space="0"/>
              <w:right w:val="single" w:color="auto" w:sz="4" w:space="0"/>
            </w:tcBorders>
            <w:noWrap w:val="0"/>
            <w:vAlign w:val="center"/>
          </w:tcPr>
          <w:p w14:paraId="458CD5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构成本竞争性磋商文件各个组成部分的文件，未经招标人书面同意，响应人不得擅自复印和用于非本招标项目所需的其他目的。招标人全部或者部分使用未中标人响应文件中的技术成果或技术方案时，</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征得其书面同意，并不得擅自复印或提供给第三人。</w:t>
            </w:r>
          </w:p>
        </w:tc>
      </w:tr>
      <w:tr w14:paraId="15AC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08C88C4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39</w:t>
            </w:r>
          </w:p>
        </w:tc>
        <w:tc>
          <w:tcPr>
            <w:tcW w:w="1878" w:type="dxa"/>
            <w:tcBorders>
              <w:top w:val="single" w:color="auto" w:sz="4" w:space="0"/>
              <w:left w:val="nil"/>
              <w:bottom w:val="single" w:color="auto" w:sz="4" w:space="0"/>
              <w:right w:val="single" w:color="auto" w:sz="4" w:space="0"/>
            </w:tcBorders>
            <w:noWrap w:val="0"/>
            <w:vAlign w:val="center"/>
          </w:tcPr>
          <w:p w14:paraId="35E863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重新招标的其他情形</w:t>
            </w:r>
          </w:p>
        </w:tc>
        <w:tc>
          <w:tcPr>
            <w:tcW w:w="6986" w:type="dxa"/>
            <w:tcBorders>
              <w:top w:val="single" w:color="auto" w:sz="4" w:space="0"/>
              <w:left w:val="single" w:color="auto" w:sz="4" w:space="0"/>
              <w:bottom w:val="single" w:color="auto" w:sz="4" w:space="0"/>
              <w:right w:val="single" w:color="auto" w:sz="4" w:space="0"/>
            </w:tcBorders>
            <w:noWrap w:val="0"/>
            <w:vAlign w:val="center"/>
          </w:tcPr>
          <w:p w14:paraId="0E2F4A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除响应人须知正文规定的情形外，除非已经产生中标候选人，在磋商有效期内同意延长磋商有效期的响应人少于三个的，招标人应当依法重新招标。</w:t>
            </w:r>
          </w:p>
        </w:tc>
      </w:tr>
      <w:tr w14:paraId="363C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3DFE681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40</w:t>
            </w:r>
          </w:p>
        </w:tc>
        <w:tc>
          <w:tcPr>
            <w:tcW w:w="1878" w:type="dxa"/>
            <w:tcBorders>
              <w:top w:val="single" w:color="auto" w:sz="4" w:space="0"/>
              <w:left w:val="nil"/>
              <w:bottom w:val="single" w:color="auto" w:sz="4" w:space="0"/>
              <w:right w:val="single" w:color="auto" w:sz="4" w:space="0"/>
            </w:tcBorders>
            <w:noWrap w:val="0"/>
            <w:vAlign w:val="center"/>
          </w:tcPr>
          <w:p w14:paraId="7AEAD0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同义词语</w:t>
            </w:r>
          </w:p>
        </w:tc>
        <w:tc>
          <w:tcPr>
            <w:tcW w:w="6986" w:type="dxa"/>
            <w:tcBorders>
              <w:top w:val="single" w:color="auto" w:sz="4" w:space="0"/>
              <w:left w:val="single" w:color="auto" w:sz="4" w:space="0"/>
              <w:bottom w:val="single" w:color="auto" w:sz="4" w:space="0"/>
              <w:right w:val="single" w:color="auto" w:sz="4" w:space="0"/>
            </w:tcBorders>
            <w:noWrap w:val="0"/>
            <w:vAlign w:val="center"/>
          </w:tcPr>
          <w:p w14:paraId="6CE8C67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竞争性磋商文件</w:t>
            </w:r>
            <w:r>
              <w:rPr>
                <w:rFonts w:hint="eastAsia" w:ascii="宋体" w:hAnsi="宋体" w:eastAsia="宋体" w:cs="宋体"/>
                <w:color w:val="auto"/>
                <w:sz w:val="24"/>
                <w:szCs w:val="24"/>
                <w:highlight w:val="none"/>
                <w:lang w:val="en-US" w:eastAsia="zh-CN"/>
              </w:rPr>
              <w:t>和构成磋商文件组成部分</w:t>
            </w:r>
            <w:r>
              <w:rPr>
                <w:rFonts w:hint="eastAsia" w:ascii="宋体" w:hAnsi="宋体" w:eastAsia="宋体" w:cs="宋体"/>
                <w:color w:val="auto"/>
                <w:sz w:val="24"/>
                <w:szCs w:val="24"/>
                <w:highlight w:val="none"/>
              </w:rPr>
              <w:t>等章节中出现的措辞</w:t>
            </w:r>
            <w:r>
              <w:rPr>
                <w:rFonts w:hint="eastAsia" w:ascii="宋体" w:hAnsi="宋体" w:eastAsia="宋体" w:cs="宋体"/>
                <w:color w:val="auto"/>
                <w:sz w:val="24"/>
                <w:szCs w:val="24"/>
                <w:highlight w:val="none"/>
                <w:lang w:eastAsia="zh-CN"/>
              </w:rPr>
              <w:t>：</w:t>
            </w:r>
          </w:p>
          <w:p w14:paraId="70858AA4">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“发包人”和“承包人”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rPr>
              <w:t>”在招标磋商阶段应当分别按“招标人”和“响应人”进行理解。</w:t>
            </w:r>
          </w:p>
        </w:tc>
      </w:tr>
      <w:tr w14:paraId="488D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4FB6C17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lang w:val="en-US" w:eastAsia="zh-CN"/>
              </w:rPr>
              <w:t>41</w:t>
            </w:r>
          </w:p>
        </w:tc>
        <w:tc>
          <w:tcPr>
            <w:tcW w:w="1878" w:type="dxa"/>
            <w:tcBorders>
              <w:top w:val="single" w:color="auto" w:sz="4" w:space="0"/>
              <w:left w:val="nil"/>
              <w:bottom w:val="single" w:color="auto" w:sz="4" w:space="0"/>
              <w:right w:val="single" w:color="auto" w:sz="4" w:space="0"/>
            </w:tcBorders>
            <w:noWrap w:val="0"/>
            <w:vAlign w:val="center"/>
          </w:tcPr>
          <w:p w14:paraId="2B71381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6986" w:type="dxa"/>
            <w:tcBorders>
              <w:top w:val="single" w:color="auto" w:sz="4" w:space="0"/>
              <w:left w:val="single" w:color="auto" w:sz="4" w:space="0"/>
              <w:bottom w:val="single" w:color="auto" w:sz="4" w:space="0"/>
              <w:right w:val="single" w:color="auto" w:sz="4" w:space="0"/>
            </w:tcBorders>
            <w:noWrap w:val="0"/>
            <w:vAlign w:val="center"/>
          </w:tcPr>
          <w:p w14:paraId="1EF302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本项目的招标磋商活动及其相关当事人应当接受有管辖权的招标投标行政监督部门依法实施的监督。</w:t>
            </w:r>
          </w:p>
        </w:tc>
      </w:tr>
      <w:tr w14:paraId="6E32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112B5B83">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pacing w:val="11"/>
                <w:sz w:val="24"/>
                <w:szCs w:val="24"/>
                <w:highlight w:val="none"/>
                <w:lang w:val="en-US" w:eastAsia="zh-CN"/>
              </w:rPr>
              <w:t>42</w:t>
            </w:r>
          </w:p>
        </w:tc>
        <w:tc>
          <w:tcPr>
            <w:tcW w:w="1878" w:type="dxa"/>
            <w:tcBorders>
              <w:top w:val="single" w:color="auto" w:sz="4" w:space="0"/>
              <w:left w:val="nil"/>
              <w:bottom w:val="single" w:color="auto" w:sz="4" w:space="0"/>
              <w:right w:val="single" w:color="auto" w:sz="4" w:space="0"/>
            </w:tcBorders>
            <w:noWrap w:val="0"/>
            <w:vAlign w:val="center"/>
          </w:tcPr>
          <w:p w14:paraId="29C49D6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招标服务费</w:t>
            </w:r>
          </w:p>
        </w:tc>
        <w:tc>
          <w:tcPr>
            <w:tcW w:w="6986" w:type="dxa"/>
            <w:tcBorders>
              <w:top w:val="single" w:color="auto" w:sz="4" w:space="0"/>
              <w:left w:val="single" w:color="auto" w:sz="4" w:space="0"/>
              <w:bottom w:val="single" w:color="auto" w:sz="4" w:space="0"/>
              <w:right w:val="single" w:color="auto" w:sz="4" w:space="0"/>
            </w:tcBorders>
            <w:noWrap w:val="0"/>
            <w:vAlign w:val="center"/>
          </w:tcPr>
          <w:p w14:paraId="47AC0C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招标代理服务费按照河南省招标投标协会关于印发《河南省招标代理服务收费指导意见》的通知【豫招协（2023）002号】文件中招标代理服务收费标准收取。本项目代理服务费最终收费金额按中标后实际中标价的费率计算由中标单位支付。</w:t>
            </w:r>
          </w:p>
          <w:p w14:paraId="66D953F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支付方式：基本账户对公转账</w:t>
            </w:r>
          </w:p>
          <w:p w14:paraId="631920E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收款单位：河南精开咨询有限公司灵宝分公司</w:t>
            </w:r>
          </w:p>
          <w:p w14:paraId="3D868B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开户行：中国银行股份有限公司灵宝桃林支行</w:t>
            </w:r>
          </w:p>
          <w:p w14:paraId="310C43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账号：248196255393</w:t>
            </w:r>
          </w:p>
        </w:tc>
      </w:tr>
      <w:tr w14:paraId="45DC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vMerge w:val="restart"/>
            <w:tcBorders>
              <w:top w:val="single" w:color="auto" w:sz="4" w:space="0"/>
              <w:left w:val="single" w:color="auto" w:sz="4" w:space="0"/>
              <w:right w:val="single" w:color="auto" w:sz="4" w:space="0"/>
            </w:tcBorders>
            <w:noWrap w:val="0"/>
            <w:vAlign w:val="center"/>
          </w:tcPr>
          <w:p w14:paraId="2E398154">
            <w:pPr>
              <w:adjustRightInd w:val="0"/>
              <w:snapToGrid w:val="0"/>
              <w:spacing w:line="360" w:lineRule="auto"/>
              <w:jc w:val="center"/>
              <w:rPr>
                <w:rFonts w:hint="eastAsia" w:ascii="宋体" w:hAnsi="宋体" w:eastAsia="宋体" w:cs="宋体"/>
                <w:color w:val="000000"/>
                <w:spacing w:val="11"/>
                <w:sz w:val="24"/>
                <w:szCs w:val="24"/>
                <w:highlight w:val="none"/>
                <w:lang w:val="en-US" w:eastAsia="zh-CN"/>
              </w:rPr>
            </w:pPr>
            <w:r>
              <w:rPr>
                <w:rFonts w:hint="eastAsia" w:ascii="宋体" w:hAnsi="宋体" w:eastAsia="宋体" w:cs="宋体"/>
                <w:color w:val="000000"/>
                <w:spacing w:val="11"/>
                <w:sz w:val="24"/>
                <w:szCs w:val="24"/>
                <w:highlight w:val="none"/>
                <w:lang w:val="en-US" w:eastAsia="zh-CN"/>
              </w:rPr>
              <w:t>43</w:t>
            </w:r>
          </w:p>
        </w:tc>
        <w:tc>
          <w:tcPr>
            <w:tcW w:w="1878" w:type="dxa"/>
            <w:tcBorders>
              <w:top w:val="single" w:color="auto" w:sz="4" w:space="0"/>
              <w:left w:val="nil"/>
              <w:bottom w:val="single" w:color="auto" w:sz="4" w:space="0"/>
              <w:right w:val="single" w:color="auto" w:sz="4" w:space="0"/>
            </w:tcBorders>
            <w:noWrap w:val="0"/>
            <w:vAlign w:val="center"/>
          </w:tcPr>
          <w:p w14:paraId="2FCE28B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需要补充的其他内容</w:t>
            </w:r>
          </w:p>
        </w:tc>
        <w:tc>
          <w:tcPr>
            <w:tcW w:w="6986" w:type="dxa"/>
            <w:tcBorders>
              <w:top w:val="single" w:color="auto" w:sz="4" w:space="0"/>
              <w:left w:val="single" w:color="auto" w:sz="4" w:space="0"/>
              <w:bottom w:val="single" w:color="auto" w:sz="4" w:space="0"/>
              <w:right w:val="single" w:color="auto" w:sz="4" w:space="0"/>
            </w:tcBorders>
            <w:noWrap w:val="0"/>
            <w:vAlign w:val="top"/>
          </w:tcPr>
          <w:p w14:paraId="47B934F4">
            <w:pPr>
              <w:adjustRightInd w:val="0"/>
              <w:snapToGrid w:val="0"/>
              <w:spacing w:line="360" w:lineRule="auto"/>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1、</w:t>
            </w:r>
            <w:r>
              <w:rPr>
                <w:rFonts w:hint="eastAsia" w:ascii="宋体" w:hAnsi="宋体" w:cs="宋体"/>
                <w:color w:val="000000"/>
                <w:spacing w:val="11"/>
                <w:sz w:val="24"/>
                <w:szCs w:val="24"/>
                <w:highlight w:val="none"/>
                <w:lang w:eastAsia="zh-CN"/>
              </w:rPr>
              <w:t>响应人</w:t>
            </w:r>
            <w:r>
              <w:rPr>
                <w:rFonts w:hint="eastAsia" w:ascii="宋体" w:hAnsi="宋体" w:eastAsia="宋体" w:cs="宋体"/>
                <w:color w:val="000000"/>
                <w:spacing w:val="11"/>
                <w:sz w:val="24"/>
                <w:szCs w:val="24"/>
                <w:highlight w:val="none"/>
              </w:rPr>
              <w:t>需要开标前用CA在电子平台上上传电子</w:t>
            </w:r>
            <w:r>
              <w:rPr>
                <w:rFonts w:hint="eastAsia" w:ascii="宋体" w:hAnsi="宋体" w:cs="宋体"/>
                <w:color w:val="000000"/>
                <w:spacing w:val="11"/>
                <w:sz w:val="24"/>
                <w:szCs w:val="24"/>
                <w:highlight w:val="none"/>
                <w:lang w:eastAsia="zh-CN"/>
              </w:rPr>
              <w:t>响应文件</w:t>
            </w:r>
            <w:r>
              <w:rPr>
                <w:rFonts w:hint="eastAsia" w:ascii="宋体" w:hAnsi="宋体" w:eastAsia="宋体" w:cs="宋体"/>
                <w:color w:val="000000"/>
                <w:spacing w:val="11"/>
                <w:sz w:val="24"/>
                <w:szCs w:val="24"/>
                <w:highlight w:val="none"/>
              </w:rPr>
              <w:t>。</w:t>
            </w:r>
          </w:p>
          <w:p w14:paraId="1F2A8599">
            <w:pPr>
              <w:adjustRightInd w:val="0"/>
              <w:snapToGrid w:val="0"/>
              <w:spacing w:line="360" w:lineRule="auto"/>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2、开标时不再递交纸质文件。</w:t>
            </w:r>
          </w:p>
          <w:p w14:paraId="6B7BD81A">
            <w:pPr>
              <w:adjustRightInd w:val="0"/>
              <w:snapToGrid w:val="0"/>
              <w:spacing w:line="360" w:lineRule="auto"/>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3、</w:t>
            </w:r>
            <w:r>
              <w:rPr>
                <w:rFonts w:hint="eastAsia" w:ascii="宋体" w:hAnsi="宋体" w:eastAsia="宋体" w:cs="宋体"/>
                <w:color w:val="000000"/>
                <w:spacing w:val="11"/>
                <w:sz w:val="24"/>
                <w:szCs w:val="24"/>
                <w:highlight w:val="none"/>
                <w:lang w:val="en-US" w:eastAsia="zh-CN"/>
              </w:rPr>
              <w:t>响应人</w:t>
            </w:r>
            <w:r>
              <w:rPr>
                <w:rFonts w:hint="eastAsia" w:ascii="宋体" w:hAnsi="宋体" w:eastAsia="宋体" w:cs="宋体"/>
                <w:color w:val="000000"/>
                <w:spacing w:val="11"/>
                <w:sz w:val="24"/>
                <w:szCs w:val="24"/>
                <w:highlight w:val="none"/>
              </w:rPr>
              <w:t>成交后必须向</w:t>
            </w:r>
            <w:r>
              <w:rPr>
                <w:rFonts w:hint="eastAsia" w:ascii="宋体" w:hAnsi="宋体" w:cs="宋体"/>
                <w:color w:val="000000"/>
                <w:spacing w:val="11"/>
                <w:sz w:val="24"/>
                <w:szCs w:val="24"/>
                <w:highlight w:val="none"/>
                <w:lang w:eastAsia="zh-CN"/>
              </w:rPr>
              <w:t>招标人</w:t>
            </w:r>
            <w:r>
              <w:rPr>
                <w:rFonts w:hint="eastAsia" w:ascii="宋体" w:hAnsi="宋体" w:eastAsia="宋体" w:cs="宋体"/>
                <w:color w:val="000000"/>
                <w:spacing w:val="11"/>
                <w:sz w:val="24"/>
                <w:szCs w:val="24"/>
                <w:highlight w:val="none"/>
              </w:rPr>
              <w:t>提供与所投相同的同质量、同品质的服务，如出现不一致的，</w:t>
            </w:r>
            <w:r>
              <w:rPr>
                <w:rFonts w:hint="eastAsia" w:ascii="宋体" w:hAnsi="宋体" w:cs="宋体"/>
                <w:color w:val="000000"/>
                <w:spacing w:val="11"/>
                <w:sz w:val="24"/>
                <w:szCs w:val="24"/>
                <w:highlight w:val="none"/>
                <w:lang w:eastAsia="zh-CN"/>
              </w:rPr>
              <w:t>招标人</w:t>
            </w:r>
            <w:r>
              <w:rPr>
                <w:rFonts w:hint="eastAsia" w:ascii="宋体" w:hAnsi="宋体" w:eastAsia="宋体" w:cs="宋体"/>
                <w:color w:val="000000"/>
                <w:spacing w:val="11"/>
                <w:sz w:val="24"/>
                <w:szCs w:val="24"/>
                <w:highlight w:val="none"/>
              </w:rPr>
              <w:t>有权取消其成交资格。</w:t>
            </w:r>
          </w:p>
          <w:p w14:paraId="1DD31DA6">
            <w:pPr>
              <w:adjustRightInd w:val="0"/>
              <w:snapToGrid w:val="0"/>
              <w:spacing w:line="360" w:lineRule="auto"/>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4、</w:t>
            </w:r>
            <w:r>
              <w:rPr>
                <w:rFonts w:hint="eastAsia" w:ascii="宋体" w:hAnsi="宋体" w:eastAsia="宋体" w:cs="宋体"/>
                <w:color w:val="000000"/>
                <w:spacing w:val="11"/>
                <w:sz w:val="24"/>
                <w:szCs w:val="24"/>
                <w:highlight w:val="none"/>
                <w:lang w:val="en-US" w:eastAsia="zh-CN"/>
              </w:rPr>
              <w:t>成交人</w:t>
            </w:r>
            <w:r>
              <w:rPr>
                <w:rFonts w:hint="eastAsia" w:ascii="宋体" w:hAnsi="宋体" w:eastAsia="宋体" w:cs="宋体"/>
                <w:color w:val="000000"/>
                <w:spacing w:val="11"/>
                <w:sz w:val="24"/>
                <w:szCs w:val="24"/>
                <w:highlight w:val="none"/>
              </w:rPr>
              <w:t>必须在规定时间内对</w:t>
            </w:r>
            <w:r>
              <w:rPr>
                <w:rFonts w:hint="eastAsia" w:ascii="宋体" w:hAnsi="宋体" w:cs="宋体"/>
                <w:color w:val="000000"/>
                <w:spacing w:val="11"/>
                <w:sz w:val="24"/>
                <w:szCs w:val="24"/>
                <w:highlight w:val="none"/>
                <w:lang w:eastAsia="zh-CN"/>
              </w:rPr>
              <w:t>招标人</w:t>
            </w:r>
            <w:r>
              <w:rPr>
                <w:rFonts w:hint="eastAsia" w:ascii="宋体" w:hAnsi="宋体" w:eastAsia="宋体" w:cs="宋体"/>
                <w:color w:val="000000"/>
                <w:spacing w:val="11"/>
                <w:sz w:val="24"/>
                <w:szCs w:val="24"/>
                <w:highlight w:val="none"/>
              </w:rPr>
              <w:t>进行服务，不得拖延。</w:t>
            </w:r>
          </w:p>
          <w:p w14:paraId="4BE9815C">
            <w:pPr>
              <w:adjustRightInd w:val="0"/>
              <w:snapToGrid w:val="0"/>
              <w:spacing w:line="360" w:lineRule="auto"/>
              <w:rPr>
                <w:rFonts w:hint="eastAsia" w:ascii="宋体" w:hAnsi="宋体" w:eastAsia="宋体" w:cs="宋体"/>
                <w:color w:val="000000"/>
                <w:spacing w:val="11"/>
                <w:sz w:val="24"/>
                <w:szCs w:val="24"/>
                <w:highlight w:val="none"/>
                <w:lang w:val="en-US" w:eastAsia="zh-CN"/>
              </w:rPr>
            </w:pPr>
            <w:r>
              <w:rPr>
                <w:rFonts w:hint="eastAsia" w:ascii="宋体" w:hAnsi="宋体" w:eastAsia="宋体" w:cs="宋体"/>
                <w:color w:val="000000"/>
                <w:spacing w:val="11"/>
                <w:sz w:val="24"/>
                <w:szCs w:val="24"/>
                <w:highlight w:val="none"/>
              </w:rPr>
              <w:t>5、磋商文件的最终解释权归</w:t>
            </w:r>
            <w:r>
              <w:rPr>
                <w:rFonts w:hint="eastAsia" w:ascii="宋体" w:hAnsi="宋体" w:cs="宋体"/>
                <w:color w:val="000000"/>
                <w:spacing w:val="11"/>
                <w:sz w:val="24"/>
                <w:szCs w:val="24"/>
                <w:highlight w:val="none"/>
                <w:lang w:eastAsia="zh-CN"/>
              </w:rPr>
              <w:t>招标人</w:t>
            </w:r>
            <w:r>
              <w:rPr>
                <w:rFonts w:hint="eastAsia" w:ascii="宋体" w:hAnsi="宋体" w:eastAsia="宋体" w:cs="宋体"/>
                <w:color w:val="000000"/>
                <w:spacing w:val="11"/>
                <w:sz w:val="24"/>
                <w:szCs w:val="24"/>
                <w:highlight w:val="none"/>
              </w:rPr>
              <w:t>。</w:t>
            </w:r>
          </w:p>
          <w:p w14:paraId="3E88D21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6、其它未尽事宜，按国家有关法律、法规执行。</w:t>
            </w:r>
          </w:p>
        </w:tc>
      </w:tr>
      <w:tr w14:paraId="1FDF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vMerge w:val="continue"/>
            <w:tcBorders>
              <w:left w:val="single" w:color="auto" w:sz="4" w:space="0"/>
              <w:right w:val="single" w:color="auto" w:sz="4" w:space="0"/>
            </w:tcBorders>
            <w:noWrap w:val="0"/>
            <w:vAlign w:val="center"/>
          </w:tcPr>
          <w:p w14:paraId="570F8F51">
            <w:pPr>
              <w:adjustRightInd w:val="0"/>
              <w:snapToGrid w:val="0"/>
              <w:spacing w:line="360" w:lineRule="auto"/>
              <w:jc w:val="center"/>
              <w:rPr>
                <w:rFonts w:hint="eastAsia" w:ascii="宋体" w:hAnsi="宋体" w:eastAsia="宋体" w:cs="宋体"/>
                <w:color w:val="000000"/>
                <w:spacing w:val="11"/>
                <w:sz w:val="24"/>
                <w:szCs w:val="24"/>
                <w:highlight w:val="none"/>
                <w:lang w:val="en-US" w:eastAsia="zh-CN"/>
              </w:rPr>
            </w:pPr>
          </w:p>
        </w:tc>
        <w:tc>
          <w:tcPr>
            <w:tcW w:w="1878" w:type="dxa"/>
            <w:tcBorders>
              <w:top w:val="single" w:color="auto" w:sz="4" w:space="0"/>
              <w:left w:val="nil"/>
              <w:bottom w:val="single" w:color="auto" w:sz="4" w:space="0"/>
              <w:right w:val="single" w:color="auto" w:sz="4" w:space="0"/>
            </w:tcBorders>
            <w:noWrap w:val="0"/>
            <w:vAlign w:val="center"/>
          </w:tcPr>
          <w:p w14:paraId="25BBC0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kern w:val="2"/>
                <w:sz w:val="24"/>
                <w:szCs w:val="24"/>
                <w:highlight w:val="none"/>
              </w:rPr>
              <w:t>三门峡市政府采购合同备案告知函</w:t>
            </w:r>
          </w:p>
        </w:tc>
        <w:tc>
          <w:tcPr>
            <w:tcW w:w="6986" w:type="dxa"/>
            <w:tcBorders>
              <w:top w:val="single" w:color="auto" w:sz="4" w:space="0"/>
              <w:left w:val="single" w:color="auto" w:sz="4" w:space="0"/>
              <w:bottom w:val="single" w:color="auto" w:sz="4" w:space="0"/>
              <w:right w:val="single" w:color="auto" w:sz="4" w:space="0"/>
            </w:tcBorders>
            <w:noWrap w:val="0"/>
            <w:vAlign w:val="center"/>
          </w:tcPr>
          <w:p w14:paraId="1455A3C8">
            <w:pPr>
              <w:adjustRightInd w:val="0"/>
              <w:snapToGrid w:val="0"/>
              <w:spacing w:line="360" w:lineRule="auto"/>
              <w:rPr>
                <w:rFonts w:hint="eastAsia" w:ascii="宋体" w:hAnsi="宋体" w:eastAsia="宋体" w:cs="宋体"/>
                <w:color w:val="000000"/>
                <w:spacing w:val="11"/>
                <w:sz w:val="24"/>
                <w:szCs w:val="24"/>
                <w:highlight w:val="none"/>
              </w:rPr>
            </w:pPr>
            <w:r>
              <w:rPr>
                <w:rFonts w:hint="eastAsia" w:ascii="宋体" w:hAnsi="宋体" w:cs="宋体"/>
                <w:color w:val="000000"/>
                <w:spacing w:val="11"/>
                <w:sz w:val="24"/>
                <w:szCs w:val="24"/>
                <w:highlight w:val="none"/>
                <w:lang w:eastAsia="zh-CN"/>
              </w:rPr>
              <w:t>招标人</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1"/>
                <w:sz w:val="24"/>
                <w:szCs w:val="24"/>
                <w:highlight w:val="none"/>
                <w:lang w:val="en-US" w:eastAsia="zh-CN"/>
              </w:rPr>
              <w:t>响应人（</w:t>
            </w:r>
            <w:r>
              <w:rPr>
                <w:rFonts w:hint="eastAsia" w:ascii="宋体" w:hAnsi="宋体" w:cs="宋体"/>
                <w:color w:val="000000"/>
                <w:spacing w:val="11"/>
                <w:sz w:val="24"/>
                <w:szCs w:val="24"/>
                <w:highlight w:val="none"/>
                <w:lang w:eastAsia="zh-CN"/>
              </w:rPr>
              <w:t>响应人</w:t>
            </w:r>
            <w:r>
              <w:rPr>
                <w:rFonts w:hint="eastAsia" w:ascii="宋体" w:hAnsi="宋体" w:eastAsia="宋体" w:cs="宋体"/>
                <w:color w:val="000000"/>
                <w:spacing w:val="11"/>
                <w:sz w:val="24"/>
                <w:szCs w:val="24"/>
                <w:highlight w:val="none"/>
                <w:lang w:val="en-US" w:eastAsia="zh-CN"/>
              </w:rPr>
              <w:t>）</w:t>
            </w:r>
            <w:r>
              <w:rPr>
                <w:rFonts w:hint="eastAsia" w:ascii="宋体" w:hAnsi="宋体" w:eastAsia="宋体" w:cs="宋体"/>
                <w:color w:val="000000"/>
                <w:spacing w:val="11"/>
                <w:sz w:val="24"/>
                <w:szCs w:val="24"/>
                <w:highlight w:val="none"/>
              </w:rPr>
              <w:t>：</w:t>
            </w:r>
          </w:p>
          <w:p w14:paraId="453DC46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000000"/>
                <w:spacing w:val="11"/>
                <w:sz w:val="24"/>
                <w:szCs w:val="24"/>
                <w:highlight w:val="none"/>
              </w:rPr>
              <w:t>根据《三门峡市财政局关于市本级政府采购合同备案管理工作的通知》（三财购[2021]9号）规定，</w:t>
            </w:r>
            <w:r>
              <w:rPr>
                <w:rFonts w:hint="eastAsia" w:ascii="宋体" w:hAnsi="宋体" w:cs="宋体"/>
                <w:color w:val="000000"/>
                <w:spacing w:val="11"/>
                <w:sz w:val="24"/>
                <w:szCs w:val="24"/>
                <w:highlight w:val="none"/>
                <w:lang w:eastAsia="zh-CN"/>
              </w:rPr>
              <w:t>招标人</w:t>
            </w:r>
            <w:r>
              <w:rPr>
                <w:rFonts w:hint="eastAsia" w:ascii="宋体" w:hAnsi="宋体" w:eastAsia="宋体" w:cs="宋体"/>
                <w:color w:val="000000"/>
                <w:spacing w:val="11"/>
                <w:sz w:val="24"/>
                <w:szCs w:val="24"/>
                <w:highlight w:val="none"/>
              </w:rPr>
              <w:t>采购纳入集中采购目录的政府采购项目，应当在项目评审结束之日起，1个工作日内确定中标（成交）</w:t>
            </w:r>
            <w:r>
              <w:rPr>
                <w:rFonts w:hint="eastAsia" w:ascii="宋体" w:hAnsi="宋体" w:cs="宋体"/>
                <w:color w:val="000000"/>
                <w:spacing w:val="11"/>
                <w:sz w:val="24"/>
                <w:szCs w:val="24"/>
                <w:highlight w:val="none"/>
                <w:lang w:eastAsia="zh-CN"/>
              </w:rPr>
              <w:t>响应人</w:t>
            </w:r>
            <w:r>
              <w:rPr>
                <w:rFonts w:hint="eastAsia" w:ascii="宋体" w:hAnsi="宋体" w:eastAsia="宋体" w:cs="宋体"/>
                <w:color w:val="000000"/>
                <w:spacing w:val="11"/>
                <w:sz w:val="24"/>
                <w:szCs w:val="24"/>
                <w:highlight w:val="none"/>
              </w:rPr>
              <w:t>，发布中标结果公告并发出中标通知书；自中标通知书发出之日起1个工作日内与中标（成交）</w:t>
            </w:r>
            <w:r>
              <w:rPr>
                <w:rFonts w:hint="eastAsia" w:ascii="宋体" w:hAnsi="宋体" w:cs="宋体"/>
                <w:color w:val="000000"/>
                <w:spacing w:val="11"/>
                <w:sz w:val="24"/>
                <w:szCs w:val="24"/>
                <w:highlight w:val="none"/>
                <w:lang w:eastAsia="zh-CN"/>
              </w:rPr>
              <w:t>响应人</w:t>
            </w:r>
            <w:r>
              <w:rPr>
                <w:rFonts w:hint="eastAsia" w:ascii="宋体" w:hAnsi="宋体" w:eastAsia="宋体" w:cs="宋体"/>
                <w:color w:val="000000"/>
                <w:spacing w:val="11"/>
                <w:sz w:val="24"/>
                <w:szCs w:val="24"/>
                <w:highlight w:val="none"/>
              </w:rPr>
              <w:t>按照采购文件确定的事项与</w:t>
            </w:r>
            <w:r>
              <w:rPr>
                <w:rFonts w:hint="eastAsia" w:ascii="宋体" w:hAnsi="宋体" w:cs="宋体"/>
                <w:color w:val="000000"/>
                <w:spacing w:val="11"/>
                <w:sz w:val="24"/>
                <w:szCs w:val="24"/>
                <w:highlight w:val="none"/>
                <w:lang w:eastAsia="zh-CN"/>
              </w:rPr>
              <w:t>响应人</w:t>
            </w:r>
            <w:r>
              <w:rPr>
                <w:rFonts w:hint="eastAsia" w:ascii="宋体" w:hAnsi="宋体" w:eastAsia="宋体" w:cs="宋体"/>
                <w:color w:val="000000"/>
                <w:spacing w:val="11"/>
                <w:sz w:val="24"/>
                <w:szCs w:val="24"/>
                <w:highlight w:val="none"/>
              </w:rPr>
              <w:t>签订政府采购合同。</w:t>
            </w:r>
            <w:r>
              <w:rPr>
                <w:rFonts w:hint="eastAsia" w:ascii="宋体" w:hAnsi="宋体" w:cs="宋体"/>
                <w:color w:val="000000"/>
                <w:spacing w:val="11"/>
                <w:sz w:val="24"/>
                <w:szCs w:val="24"/>
                <w:highlight w:val="none"/>
                <w:lang w:eastAsia="zh-CN"/>
              </w:rPr>
              <w:t>招标人</w:t>
            </w:r>
            <w:r>
              <w:rPr>
                <w:rFonts w:hint="eastAsia" w:ascii="宋体" w:hAnsi="宋体" w:eastAsia="宋体" w:cs="宋体"/>
                <w:color w:val="000000"/>
                <w:spacing w:val="11"/>
                <w:sz w:val="24"/>
                <w:szCs w:val="24"/>
                <w:highlight w:val="none"/>
              </w:rPr>
              <w:t>需按照《三门峡市财政局关于市本级政府采购合同备案管理工作的通知》（三财购[2021]9号）的规定，认真实施合同公告及备案。</w:t>
            </w:r>
          </w:p>
        </w:tc>
      </w:tr>
      <w:tr w14:paraId="4E53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vMerge w:val="continue"/>
            <w:tcBorders>
              <w:left w:val="single" w:color="auto" w:sz="4" w:space="0"/>
              <w:right w:val="single" w:color="auto" w:sz="4" w:space="0"/>
            </w:tcBorders>
            <w:noWrap w:val="0"/>
            <w:vAlign w:val="center"/>
          </w:tcPr>
          <w:p w14:paraId="2DC26215">
            <w:pPr>
              <w:adjustRightInd w:val="0"/>
              <w:snapToGrid w:val="0"/>
              <w:spacing w:line="360" w:lineRule="auto"/>
              <w:jc w:val="center"/>
              <w:rPr>
                <w:rFonts w:hint="eastAsia" w:ascii="宋体" w:hAnsi="宋体" w:eastAsia="宋体" w:cs="宋体"/>
                <w:color w:val="000000"/>
                <w:spacing w:val="11"/>
                <w:sz w:val="24"/>
                <w:szCs w:val="24"/>
                <w:highlight w:val="none"/>
                <w:lang w:val="en-US" w:eastAsia="zh-CN"/>
              </w:rPr>
            </w:pPr>
          </w:p>
        </w:tc>
        <w:tc>
          <w:tcPr>
            <w:tcW w:w="1878" w:type="dxa"/>
            <w:tcBorders>
              <w:top w:val="single" w:color="auto" w:sz="4" w:space="0"/>
              <w:left w:val="nil"/>
              <w:bottom w:val="single" w:color="auto" w:sz="4" w:space="0"/>
              <w:right w:val="single" w:color="auto" w:sz="4" w:space="0"/>
            </w:tcBorders>
            <w:noWrap w:val="0"/>
            <w:vAlign w:val="center"/>
          </w:tcPr>
          <w:p w14:paraId="776CBA16">
            <w:pPr>
              <w:spacing w:line="360" w:lineRule="auto"/>
              <w:jc w:val="center"/>
              <w:rPr>
                <w:rFonts w:hint="eastAsia" w:ascii="宋体" w:hAnsi="宋体" w:eastAsia="宋体" w:cs="宋体"/>
                <w:kern w:val="2"/>
                <w:sz w:val="24"/>
                <w:szCs w:val="24"/>
                <w:highlight w:val="none"/>
              </w:rPr>
            </w:pPr>
            <w:r>
              <w:rPr>
                <w:rFonts w:hint="eastAsia" w:ascii="宋体" w:hAnsi="宋体" w:eastAsia="宋体" w:cs="宋体"/>
                <w:sz w:val="24"/>
                <w:szCs w:val="24"/>
                <w:highlight w:val="none"/>
              </w:rPr>
              <w:t>履约担保</w:t>
            </w:r>
          </w:p>
        </w:tc>
        <w:tc>
          <w:tcPr>
            <w:tcW w:w="6986" w:type="dxa"/>
            <w:tcBorders>
              <w:top w:val="single" w:color="auto" w:sz="4" w:space="0"/>
              <w:left w:val="single" w:color="auto" w:sz="4" w:space="0"/>
              <w:bottom w:val="single" w:color="auto" w:sz="4" w:space="0"/>
              <w:right w:val="single" w:color="auto" w:sz="4" w:space="0"/>
            </w:tcBorders>
            <w:noWrap w:val="0"/>
            <w:vAlign w:val="center"/>
          </w:tcPr>
          <w:p w14:paraId="18E4EBAB">
            <w:pPr>
              <w:spacing w:line="360" w:lineRule="auto"/>
              <w:rPr>
                <w:rFonts w:hint="eastAsia" w:ascii="宋体" w:hAnsi="宋体" w:eastAsia="宋体" w:cs="宋体"/>
                <w:color w:val="000000"/>
                <w:spacing w:val="11"/>
                <w:sz w:val="24"/>
                <w:szCs w:val="24"/>
                <w:highlight w:val="none"/>
              </w:rPr>
            </w:pPr>
            <w:r>
              <w:rPr>
                <w:rFonts w:hint="eastAsia" w:ascii="宋体" w:hAnsi="宋体" w:eastAsia="宋体" w:cs="宋体"/>
                <w:sz w:val="24"/>
                <w:szCs w:val="24"/>
                <w:highlight w:val="none"/>
              </w:rPr>
              <w:t>根据三门峡市财政局三财购【2021】14号文的规定，本项目不收取履约保证金</w:t>
            </w:r>
            <w:r>
              <w:rPr>
                <w:rFonts w:hint="eastAsia" w:ascii="宋体" w:hAnsi="宋体" w:eastAsia="宋体" w:cs="宋体"/>
                <w:bCs/>
                <w:sz w:val="24"/>
                <w:szCs w:val="24"/>
                <w:highlight w:val="none"/>
              </w:rPr>
              <w:t>。</w:t>
            </w:r>
          </w:p>
        </w:tc>
      </w:tr>
      <w:tr w14:paraId="7C64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vMerge w:val="continue"/>
            <w:tcBorders>
              <w:left w:val="single" w:color="auto" w:sz="4" w:space="0"/>
              <w:bottom w:val="single" w:color="auto" w:sz="4" w:space="0"/>
              <w:right w:val="single" w:color="auto" w:sz="4" w:space="0"/>
            </w:tcBorders>
            <w:noWrap w:val="0"/>
            <w:vAlign w:val="center"/>
          </w:tcPr>
          <w:p w14:paraId="6CB90D66">
            <w:pPr>
              <w:adjustRightInd w:val="0"/>
              <w:snapToGrid w:val="0"/>
              <w:spacing w:line="360" w:lineRule="auto"/>
              <w:jc w:val="center"/>
              <w:rPr>
                <w:rFonts w:hint="eastAsia" w:ascii="宋体" w:hAnsi="宋体" w:eastAsia="宋体" w:cs="宋体"/>
                <w:color w:val="000000"/>
                <w:spacing w:val="11"/>
                <w:sz w:val="24"/>
                <w:szCs w:val="24"/>
                <w:highlight w:val="none"/>
                <w:lang w:val="en-US" w:eastAsia="zh-CN"/>
              </w:rPr>
            </w:pPr>
          </w:p>
        </w:tc>
        <w:tc>
          <w:tcPr>
            <w:tcW w:w="1878" w:type="dxa"/>
            <w:tcBorders>
              <w:top w:val="single" w:color="auto" w:sz="4" w:space="0"/>
              <w:left w:val="nil"/>
              <w:bottom w:val="single" w:color="auto" w:sz="4" w:space="0"/>
              <w:right w:val="single" w:color="auto" w:sz="4" w:space="0"/>
            </w:tcBorders>
            <w:noWrap w:val="0"/>
            <w:vAlign w:val="center"/>
          </w:tcPr>
          <w:p w14:paraId="571C218A">
            <w:pPr>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其他</w:t>
            </w:r>
          </w:p>
        </w:tc>
        <w:tc>
          <w:tcPr>
            <w:tcW w:w="6986" w:type="dxa"/>
            <w:tcBorders>
              <w:top w:val="single" w:color="auto" w:sz="4" w:space="0"/>
              <w:left w:val="single" w:color="auto" w:sz="4" w:space="0"/>
              <w:bottom w:val="single" w:color="auto" w:sz="4" w:space="0"/>
              <w:right w:val="single" w:color="auto" w:sz="4" w:space="0"/>
            </w:tcBorders>
            <w:noWrap w:val="0"/>
            <w:vAlign w:val="center"/>
          </w:tcPr>
          <w:p w14:paraId="15D6A552">
            <w:pPr>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eastAsia="zh-CN"/>
              </w:rPr>
              <w:t>响应人</w:t>
            </w:r>
            <w:r>
              <w:rPr>
                <w:rFonts w:hint="eastAsia" w:ascii="宋体" w:hAnsi="宋体" w:eastAsia="宋体" w:cs="宋体"/>
                <w:color w:val="000000"/>
                <w:sz w:val="24"/>
                <w:szCs w:val="24"/>
                <w:highlight w:val="none"/>
              </w:rPr>
              <w:t>应仔细阅读操作手册，因</w:t>
            </w:r>
            <w:r>
              <w:rPr>
                <w:rFonts w:hint="eastAsia" w:ascii="宋体" w:hAnsi="宋体" w:cs="宋体"/>
                <w:color w:val="000000"/>
                <w:sz w:val="24"/>
                <w:szCs w:val="24"/>
                <w:highlight w:val="none"/>
                <w:lang w:eastAsia="zh-CN"/>
              </w:rPr>
              <w:t>响应人</w:t>
            </w:r>
            <w:r>
              <w:rPr>
                <w:rFonts w:hint="eastAsia" w:ascii="宋体" w:hAnsi="宋体" w:eastAsia="宋体" w:cs="宋体"/>
                <w:color w:val="000000"/>
                <w:sz w:val="24"/>
                <w:szCs w:val="24"/>
                <w:highlight w:val="none"/>
              </w:rPr>
              <w:t>操作不当等问题造成的无法下载磋商文件、无法投标等一切后果，由</w:t>
            </w:r>
            <w:r>
              <w:rPr>
                <w:rFonts w:hint="eastAsia" w:ascii="宋体" w:hAnsi="宋体" w:cs="宋体"/>
                <w:color w:val="000000"/>
                <w:sz w:val="24"/>
                <w:szCs w:val="24"/>
                <w:highlight w:val="none"/>
                <w:lang w:eastAsia="zh-CN"/>
              </w:rPr>
              <w:t>响应人</w:t>
            </w:r>
            <w:r>
              <w:rPr>
                <w:rFonts w:hint="eastAsia" w:ascii="宋体" w:hAnsi="宋体" w:eastAsia="宋体" w:cs="宋体"/>
                <w:color w:val="000000"/>
                <w:sz w:val="24"/>
                <w:szCs w:val="24"/>
                <w:highlight w:val="none"/>
              </w:rPr>
              <w:t>自行承担。</w:t>
            </w:r>
          </w:p>
          <w:p w14:paraId="417F793C">
            <w:pPr>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2、磋商所发生一切费用由各</w:t>
            </w:r>
            <w:r>
              <w:rPr>
                <w:rFonts w:hint="eastAsia" w:ascii="宋体" w:hAnsi="宋体" w:cs="宋体"/>
                <w:color w:val="000000"/>
                <w:sz w:val="24"/>
                <w:szCs w:val="24"/>
                <w:highlight w:val="none"/>
                <w:lang w:eastAsia="zh-CN"/>
              </w:rPr>
              <w:t>响应人</w:t>
            </w:r>
            <w:r>
              <w:rPr>
                <w:rFonts w:hint="eastAsia" w:ascii="宋体" w:hAnsi="宋体" w:eastAsia="宋体" w:cs="宋体"/>
                <w:color w:val="000000"/>
                <w:sz w:val="24"/>
                <w:szCs w:val="24"/>
                <w:highlight w:val="none"/>
              </w:rPr>
              <w:t>自行承担，并承担相应的风险和责任。</w:t>
            </w:r>
          </w:p>
          <w:p w14:paraId="06BFC448">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cs="宋体"/>
                <w:color w:val="000000"/>
                <w:sz w:val="24"/>
                <w:szCs w:val="24"/>
                <w:highlight w:val="none"/>
                <w:lang w:eastAsia="zh-CN"/>
              </w:rPr>
              <w:t>响应人</w:t>
            </w:r>
            <w:r>
              <w:rPr>
                <w:rFonts w:hint="eastAsia" w:ascii="宋体" w:hAnsi="宋体" w:eastAsia="宋体" w:cs="宋体"/>
                <w:color w:val="000000"/>
                <w:sz w:val="24"/>
                <w:szCs w:val="24"/>
                <w:highlight w:val="none"/>
              </w:rPr>
              <w:t>认为磋商文件、磋商过程和成交结果使自己的权益受到损害的,可以在知道或者应知其权益受到损害之日起七个工作日内，按照政府磋商质疑和投诉办法（中华人民共和国财政部令94号）以书面形式向</w:t>
            </w:r>
            <w:r>
              <w:rPr>
                <w:rFonts w:hint="eastAsia" w:ascii="宋体" w:hAnsi="宋体" w:cs="宋体"/>
                <w:color w:val="000000"/>
                <w:sz w:val="24"/>
                <w:szCs w:val="24"/>
                <w:highlight w:val="none"/>
                <w:lang w:eastAsia="zh-CN"/>
              </w:rPr>
              <w:t>招标人</w:t>
            </w:r>
            <w:r>
              <w:rPr>
                <w:rFonts w:hint="eastAsia" w:ascii="宋体" w:hAnsi="宋体" w:eastAsia="宋体" w:cs="宋体"/>
                <w:color w:val="000000"/>
                <w:sz w:val="24"/>
                <w:szCs w:val="24"/>
                <w:highlight w:val="none"/>
              </w:rPr>
              <w:t>或招标代理机构提出质疑（邮寄件、传真件不予受理），逾期不再接收。</w:t>
            </w:r>
          </w:p>
          <w:p w14:paraId="4ABEEBAB">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pacing w:val="11"/>
                <w:sz w:val="24"/>
                <w:szCs w:val="24"/>
                <w:highlight w:val="none"/>
              </w:rPr>
              <w:t>根据《河南省政府采购评审专家劳务报酬支付标准》的要求，业主代表不再获得评审劳务报酬。</w:t>
            </w:r>
          </w:p>
        </w:tc>
      </w:tr>
      <w:tr w14:paraId="5CE9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0890FAAB">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pacing w:val="11"/>
                <w:sz w:val="24"/>
                <w:szCs w:val="24"/>
                <w:highlight w:val="none"/>
                <w:lang w:val="en-US" w:eastAsia="zh-CN"/>
              </w:rPr>
              <w:t>44</w:t>
            </w:r>
          </w:p>
        </w:tc>
        <w:tc>
          <w:tcPr>
            <w:tcW w:w="1878" w:type="dxa"/>
            <w:tcBorders>
              <w:top w:val="single" w:color="auto" w:sz="4" w:space="0"/>
              <w:left w:val="nil"/>
              <w:bottom w:val="single" w:color="auto" w:sz="4" w:space="0"/>
              <w:right w:val="single" w:color="auto" w:sz="4" w:space="0"/>
            </w:tcBorders>
            <w:noWrap w:val="0"/>
            <w:vAlign w:val="center"/>
          </w:tcPr>
          <w:p w14:paraId="0230B64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电子化交易注意事项</w:t>
            </w:r>
          </w:p>
        </w:tc>
        <w:tc>
          <w:tcPr>
            <w:tcW w:w="6986" w:type="dxa"/>
            <w:tcBorders>
              <w:top w:val="single" w:color="auto" w:sz="4" w:space="0"/>
              <w:left w:val="single" w:color="auto" w:sz="4" w:space="0"/>
              <w:bottom w:val="single" w:color="auto" w:sz="4" w:space="0"/>
              <w:right w:val="single" w:color="auto" w:sz="4" w:space="0"/>
            </w:tcBorders>
            <w:noWrap w:val="0"/>
            <w:vAlign w:val="center"/>
          </w:tcPr>
          <w:p w14:paraId="17A6E53A">
            <w:pPr>
              <w:widowControl/>
              <w:spacing w:line="360" w:lineRule="auto"/>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1、本项目采用电子化、无纸化进行招标，</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应当在</w:t>
            </w:r>
            <w:r>
              <w:rPr>
                <w:rFonts w:hint="eastAsia" w:ascii="宋体" w:hAnsi="宋体" w:cs="宋体"/>
                <w:spacing w:val="5"/>
                <w:sz w:val="24"/>
                <w:szCs w:val="24"/>
                <w:highlight w:val="none"/>
                <w:lang w:eastAsia="zh-CN"/>
              </w:rPr>
              <w:t>响应截止</w:t>
            </w:r>
            <w:r>
              <w:rPr>
                <w:rFonts w:hint="eastAsia" w:ascii="宋体" w:hAnsi="宋体" w:eastAsia="宋体" w:cs="宋体"/>
                <w:spacing w:val="5"/>
                <w:sz w:val="24"/>
                <w:szCs w:val="24"/>
                <w:highlight w:val="none"/>
              </w:rPr>
              <w:t>时间前，登陆不见面开标大厅选择登陆三门峡市公共资源电子招投标系统进行登陆（网址为</w:t>
            </w:r>
            <w:r>
              <w:rPr>
                <w:rFonts w:hint="eastAsia" w:ascii="宋体" w:hAnsi="宋体" w:eastAsia="宋体" w:cs="宋体"/>
                <w:sz w:val="24"/>
                <w:szCs w:val="24"/>
                <w:highlight w:val="none"/>
              </w:rPr>
              <w:t>http://120.194.249.36:10094/BidOpening/bidopeninghallaction/hall/login</w:t>
            </w:r>
            <w:r>
              <w:rPr>
                <w:rFonts w:hint="eastAsia" w:ascii="宋体" w:hAnsi="宋体" w:eastAsia="宋体" w:cs="宋体"/>
                <w:spacing w:val="5"/>
                <w:sz w:val="24"/>
                <w:szCs w:val="24"/>
                <w:highlight w:val="none"/>
              </w:rPr>
              <w:t>）,在线准时参加开标活动并进行响应文件解密等。每位</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的解密时间为开标时间起30分钟内完成。因</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原因未能解密、解密失败或解密超时的将被拒绝。</w:t>
            </w:r>
          </w:p>
          <w:p w14:paraId="579DFCBD">
            <w:pPr>
              <w:widowControl/>
              <w:spacing w:line="360" w:lineRule="auto"/>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2、电子化响应文件采用一次加密方式。开标时，由</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使用CA证书，在规定时间内对其电子化响应文件进行解密。每位</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的解密时间为开标时间起30分钟内，如在规定时间内未完成解密的，其响应文件不予开标、唱标。</w:t>
            </w:r>
          </w:p>
          <w:p w14:paraId="2B09E77F">
            <w:pPr>
              <w:widowControl/>
              <w:spacing w:line="360" w:lineRule="auto"/>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3、电子化响应文件异常情况的处理</w:t>
            </w:r>
          </w:p>
          <w:p w14:paraId="171960F5">
            <w:pPr>
              <w:widowControl/>
              <w:spacing w:line="360" w:lineRule="auto"/>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如出现</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的电子响应文件无法解密等异常情况，</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应及时致电中介服务机构说明。响应文件异常，按以下步骤进行处理：</w:t>
            </w:r>
          </w:p>
          <w:p w14:paraId="6A29FA8B">
            <w:pPr>
              <w:widowControl/>
              <w:spacing w:line="360" w:lineRule="auto"/>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（1）首先由技术人员进行问题排查。</w:t>
            </w:r>
          </w:p>
          <w:p w14:paraId="36D933DD">
            <w:pPr>
              <w:widowControl/>
              <w:spacing w:line="360" w:lineRule="auto"/>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（2）经技术人员排查后，是</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文件自身问题导致</w:t>
            </w:r>
            <w:r>
              <w:rPr>
                <w:rFonts w:hint="eastAsia" w:ascii="宋体" w:hAnsi="宋体" w:cs="宋体"/>
                <w:spacing w:val="5"/>
                <w:sz w:val="24"/>
                <w:szCs w:val="24"/>
                <w:highlight w:val="none"/>
                <w:lang w:eastAsia="zh-CN"/>
              </w:rPr>
              <w:t>响应文件</w:t>
            </w:r>
            <w:r>
              <w:rPr>
                <w:rFonts w:hint="eastAsia" w:ascii="宋体" w:hAnsi="宋体" w:eastAsia="宋体" w:cs="宋体"/>
                <w:spacing w:val="5"/>
                <w:sz w:val="24"/>
                <w:szCs w:val="24"/>
                <w:highlight w:val="none"/>
              </w:rPr>
              <w:t>无法解密的，该响应文件将不予接收、解密和唱标。开标会议继续进行。</w:t>
            </w:r>
          </w:p>
          <w:p w14:paraId="65DE39D5">
            <w:pPr>
              <w:widowControl/>
              <w:spacing w:line="360" w:lineRule="auto"/>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7F5A13C">
            <w:pPr>
              <w:widowControl/>
              <w:spacing w:line="360" w:lineRule="auto"/>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4、待所有</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响应文件解密完成后，由中介服务机构操作，对所有已解密响应文件进行唱标。</w:t>
            </w:r>
          </w:p>
          <w:p w14:paraId="49FED801">
            <w:pPr>
              <w:widowControl/>
              <w:spacing w:line="360" w:lineRule="auto"/>
              <w:rPr>
                <w:rFonts w:hint="eastAsia" w:ascii="宋体" w:hAnsi="宋体" w:eastAsia="宋体" w:cs="宋体"/>
                <w:spacing w:val="5"/>
                <w:sz w:val="24"/>
                <w:szCs w:val="24"/>
                <w:highlight w:val="none"/>
              </w:rPr>
            </w:pP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应保证在开标期间电话、电脑、网络能够正常工作，</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因停电、电脑病毒、网络堵塞等原因，未在规定的解密时间内对响应文件进行解密的，其响应文件不予接收、唱标。</w:t>
            </w:r>
          </w:p>
          <w:p w14:paraId="0CB0F673">
            <w:pPr>
              <w:widowControl/>
              <w:spacing w:line="360" w:lineRule="auto"/>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5、开标时</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可登录到交易系统中在开标大厅中点击开标一览表查看自己的</w:t>
            </w:r>
            <w:r>
              <w:rPr>
                <w:rFonts w:hint="eastAsia" w:ascii="宋体" w:hAnsi="宋体" w:cs="宋体"/>
                <w:spacing w:val="5"/>
                <w:sz w:val="24"/>
                <w:szCs w:val="24"/>
                <w:highlight w:val="none"/>
                <w:lang w:val="en-US" w:eastAsia="zh-CN"/>
              </w:rPr>
              <w:t>响应</w:t>
            </w:r>
            <w:r>
              <w:rPr>
                <w:rFonts w:hint="eastAsia" w:ascii="宋体" w:hAnsi="宋体" w:eastAsia="宋体" w:cs="宋体"/>
                <w:spacing w:val="5"/>
                <w:sz w:val="24"/>
                <w:szCs w:val="24"/>
                <w:highlight w:val="none"/>
              </w:rPr>
              <w:t>报价。如对自己的唱标内容有异议的，应在唱标内容显示后10分钟内向中介服务机构电话质疑。中介服务机构应在监督人员的监督下进行免提通话接受</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的质疑并做好书面记录。</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未在规定时间内提出质疑的，视为认可唱标内容。</w:t>
            </w:r>
          </w:p>
          <w:p w14:paraId="2F0C1DB6">
            <w:pPr>
              <w:widowControl/>
              <w:spacing w:line="360" w:lineRule="auto"/>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6、评标时，</w:t>
            </w:r>
            <w:r>
              <w:rPr>
                <w:rFonts w:hint="eastAsia" w:ascii="宋体" w:hAnsi="宋体" w:eastAsia="宋体" w:cs="宋体"/>
                <w:sz w:val="24"/>
                <w:szCs w:val="24"/>
                <w:highlight w:val="none"/>
              </w:rPr>
              <w:t>磋商小组</w:t>
            </w:r>
            <w:r>
              <w:rPr>
                <w:rFonts w:hint="eastAsia" w:ascii="宋体" w:hAnsi="宋体" w:eastAsia="宋体" w:cs="宋体"/>
                <w:spacing w:val="5"/>
                <w:sz w:val="24"/>
                <w:szCs w:val="24"/>
                <w:highlight w:val="none"/>
              </w:rPr>
              <w:t>对电子化响应文件有质疑的，将通过电子化交易系统对</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发起质疑，并在监督人员的监督下，用免提模式致电需要答复的</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进行详细质询。质疑回复内容确认后，</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的回复文件必须以经过</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和其法定代表人签章的PDF格式文件为准，并通过电子化交易系统提交至磋商小组。</w:t>
            </w:r>
          </w:p>
          <w:p w14:paraId="110B3A5D">
            <w:pPr>
              <w:spacing w:line="360" w:lineRule="auto"/>
              <w:ind w:firstLine="50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spacing w:val="5"/>
                <w:sz w:val="24"/>
                <w:szCs w:val="24"/>
                <w:highlight w:val="none"/>
              </w:rPr>
              <w:t>7、如</w:t>
            </w:r>
            <w:r>
              <w:rPr>
                <w:rFonts w:hint="eastAsia" w:ascii="宋体" w:hAnsi="宋体" w:eastAsia="宋体" w:cs="宋体"/>
                <w:sz w:val="24"/>
                <w:szCs w:val="24"/>
                <w:highlight w:val="none"/>
              </w:rPr>
              <w:t>磋商小组</w:t>
            </w:r>
            <w:r>
              <w:rPr>
                <w:rFonts w:hint="eastAsia" w:ascii="宋体" w:hAnsi="宋体" w:eastAsia="宋体" w:cs="宋体"/>
                <w:spacing w:val="5"/>
                <w:sz w:val="24"/>
                <w:szCs w:val="24"/>
                <w:highlight w:val="none"/>
              </w:rPr>
              <w:t>对需要回复的</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连续三次致电未接通的，视为</w:t>
            </w:r>
            <w:r>
              <w:rPr>
                <w:rFonts w:hint="eastAsia" w:ascii="宋体" w:hAnsi="宋体" w:cs="宋体"/>
                <w:spacing w:val="5"/>
                <w:sz w:val="24"/>
                <w:szCs w:val="24"/>
                <w:highlight w:val="none"/>
                <w:lang w:eastAsia="zh-CN"/>
              </w:rPr>
              <w:t>响应人</w:t>
            </w:r>
            <w:r>
              <w:rPr>
                <w:rFonts w:hint="eastAsia" w:ascii="宋体" w:hAnsi="宋体" w:eastAsia="宋体" w:cs="宋体"/>
                <w:spacing w:val="5"/>
                <w:sz w:val="24"/>
                <w:szCs w:val="24"/>
                <w:highlight w:val="none"/>
              </w:rPr>
              <w:t>放弃回复，</w:t>
            </w:r>
            <w:r>
              <w:rPr>
                <w:rFonts w:hint="eastAsia" w:ascii="宋体" w:hAnsi="宋体" w:eastAsia="宋体" w:cs="宋体"/>
                <w:sz w:val="24"/>
                <w:szCs w:val="24"/>
                <w:highlight w:val="none"/>
              </w:rPr>
              <w:t>磋商小组</w:t>
            </w:r>
            <w:r>
              <w:rPr>
                <w:rFonts w:hint="eastAsia" w:ascii="宋体" w:hAnsi="宋体" w:eastAsia="宋体" w:cs="宋体"/>
                <w:spacing w:val="5"/>
                <w:sz w:val="24"/>
                <w:szCs w:val="24"/>
                <w:highlight w:val="none"/>
              </w:rPr>
              <w:t>将自行对需要回复的内容进行认定。</w:t>
            </w:r>
          </w:p>
        </w:tc>
      </w:tr>
    </w:tbl>
    <w:p w14:paraId="233AFAA9">
      <w:pPr>
        <w:pStyle w:val="2"/>
        <w:rPr>
          <w:rFonts w:hint="eastAsia" w:asciiTheme="majorEastAsia" w:hAnsiTheme="majorEastAsia" w:eastAsiaTheme="majorEastAsia" w:cstheme="majorEastAsia"/>
          <w:b/>
          <w:bCs/>
          <w:color w:val="auto"/>
          <w:highlight w:val="none"/>
        </w:rPr>
      </w:pPr>
      <w:bookmarkStart w:id="22" w:name="_Toc1686"/>
      <w:bookmarkStart w:id="23" w:name="_Toc13120"/>
      <w:bookmarkStart w:id="24" w:name="_Toc407"/>
    </w:p>
    <w:p w14:paraId="53A549F0">
      <w:pPr>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br w:type="page"/>
      </w:r>
    </w:p>
    <w:p w14:paraId="08B246DD">
      <w:pPr>
        <w:pStyle w:val="2"/>
        <w:rPr>
          <w:rFonts w:hint="eastAsia" w:ascii="宋体" w:hAnsi="宋体" w:eastAsia="宋体" w:cs="宋体"/>
          <w:b/>
          <w:bCs/>
          <w:color w:val="auto"/>
          <w:kern w:val="0"/>
          <w:sz w:val="24"/>
          <w:szCs w:val="24"/>
          <w:highlight w:val="none"/>
          <w:lang w:val="en-US" w:eastAsia="zh-CN" w:bidi="ar-SA"/>
        </w:rPr>
      </w:pPr>
      <w:bookmarkStart w:id="25" w:name="_Toc1834"/>
      <w:r>
        <w:rPr>
          <w:rFonts w:hint="eastAsia" w:ascii="宋体" w:hAnsi="宋体" w:eastAsia="宋体" w:cs="宋体"/>
          <w:b/>
          <w:bCs/>
          <w:color w:val="auto"/>
          <w:kern w:val="0"/>
          <w:sz w:val="24"/>
          <w:szCs w:val="24"/>
          <w:highlight w:val="none"/>
          <w:lang w:val="en-US" w:eastAsia="zh-CN" w:bidi="ar-SA"/>
        </w:rPr>
        <w:t>1.总则</w:t>
      </w:r>
      <w:bookmarkEnd w:id="22"/>
      <w:bookmarkEnd w:id="23"/>
      <w:bookmarkEnd w:id="24"/>
      <w:bookmarkEnd w:id="25"/>
    </w:p>
    <w:p w14:paraId="40F4A6DE">
      <w:pPr>
        <w:spacing w:line="520" w:lineRule="exact"/>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1.1项目概况</w:t>
      </w:r>
    </w:p>
    <w:p w14:paraId="72255B4E">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 根据《政府采购竞争性磋商采购方式管理暂行办法》《中华人民共和国政府采购法》等有关</w:t>
      </w:r>
      <w:r>
        <w:rPr>
          <w:rFonts w:hint="eastAsia" w:ascii="宋体" w:hAnsi="宋体" w:cs="宋体"/>
          <w:color w:val="auto"/>
          <w:sz w:val="24"/>
          <w:szCs w:val="24"/>
          <w:highlight w:val="none"/>
          <w:lang w:eastAsia="zh-CN"/>
        </w:rPr>
        <w:t>法律法规</w:t>
      </w:r>
      <w:r>
        <w:rPr>
          <w:rFonts w:hint="eastAsia" w:ascii="宋体" w:hAnsi="宋体" w:cs="宋体"/>
          <w:color w:val="auto"/>
          <w:sz w:val="24"/>
          <w:szCs w:val="24"/>
          <w:highlight w:val="none"/>
        </w:rPr>
        <w:t>和规章的规定，本项目已具备磋商条件，现对本项目进行竞争性磋商。</w:t>
      </w:r>
    </w:p>
    <w:p w14:paraId="3116672C">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本磋商项目招标人：见响应人须知前附表。</w:t>
      </w:r>
    </w:p>
    <w:p w14:paraId="2A86B69B">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 本磋商项目招标代理机构：见响应人须知前附表。</w:t>
      </w:r>
    </w:p>
    <w:p w14:paraId="5FECDC5C">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1.1.4 本磋商项目名称：见响应人须知前附表。</w:t>
      </w:r>
    </w:p>
    <w:p w14:paraId="0A95647F">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1.1.5 本磋商项目建设地点：见响应人须知前附表。</w:t>
      </w:r>
    </w:p>
    <w:p w14:paraId="68F23D0B">
      <w:pPr>
        <w:keepNext/>
        <w:keepLines/>
        <w:spacing w:line="520" w:lineRule="exact"/>
        <w:ind w:firstLine="482" w:firstLineChars="2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 资金来源</w:t>
      </w:r>
    </w:p>
    <w:p w14:paraId="09C1039A">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 本招标项目的资金来源：见响应人须知前附表。</w:t>
      </w:r>
    </w:p>
    <w:p w14:paraId="0A5D1D07">
      <w:pPr>
        <w:keepNext/>
        <w:keepLines/>
        <w:spacing w:line="520" w:lineRule="exact"/>
        <w:ind w:firstLine="482" w:firstLineChars="2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 磋商范围、</w:t>
      </w:r>
      <w:r>
        <w:rPr>
          <w:rFonts w:hint="eastAsia" w:ascii="宋体" w:hAnsi="宋体" w:cs="宋体"/>
          <w:b/>
          <w:bCs/>
          <w:color w:val="auto"/>
          <w:sz w:val="24"/>
          <w:szCs w:val="24"/>
          <w:highlight w:val="none"/>
          <w:lang w:eastAsia="zh-CN"/>
        </w:rPr>
        <w:t>设计周期</w:t>
      </w:r>
      <w:r>
        <w:rPr>
          <w:rFonts w:hint="eastAsia" w:ascii="宋体" w:hAnsi="宋体" w:cs="宋体"/>
          <w:b/>
          <w:bCs/>
          <w:color w:val="auto"/>
          <w:sz w:val="24"/>
          <w:szCs w:val="24"/>
          <w:highlight w:val="none"/>
        </w:rPr>
        <w:t>和质量要求</w:t>
      </w:r>
    </w:p>
    <w:p w14:paraId="437EF96C">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 本次磋商范围：见响应人须知前附表。</w:t>
      </w:r>
    </w:p>
    <w:p w14:paraId="38689C5A">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 本工程的</w:t>
      </w:r>
      <w:r>
        <w:rPr>
          <w:rFonts w:hint="eastAsia" w:ascii="宋体" w:hAnsi="宋体" w:cs="宋体"/>
          <w:color w:val="auto"/>
          <w:sz w:val="24"/>
          <w:szCs w:val="24"/>
          <w:highlight w:val="none"/>
          <w:lang w:eastAsia="zh-CN"/>
        </w:rPr>
        <w:t>设计周期</w:t>
      </w:r>
      <w:r>
        <w:rPr>
          <w:rFonts w:hint="eastAsia" w:ascii="宋体" w:hAnsi="宋体" w:cs="宋体"/>
          <w:color w:val="auto"/>
          <w:sz w:val="24"/>
          <w:szCs w:val="24"/>
          <w:highlight w:val="none"/>
        </w:rPr>
        <w:t>：见响应人须知前附表。</w:t>
      </w:r>
    </w:p>
    <w:p w14:paraId="1FB19AC5">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1.3.3 本工程的质量要求：见响应人须知前附表。</w:t>
      </w:r>
    </w:p>
    <w:p w14:paraId="0D54FE28">
      <w:pPr>
        <w:keepNext/>
        <w:keepLines/>
        <w:spacing w:line="520" w:lineRule="exact"/>
        <w:ind w:firstLine="482" w:firstLineChars="2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1.4响应人资格要求</w:t>
      </w:r>
    </w:p>
    <w:p w14:paraId="4603AAED">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 响应人应具备承担本工程施工的资质条件、能力和信誉见前附表。</w:t>
      </w:r>
    </w:p>
    <w:p w14:paraId="05DC3BB3">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 响应人不得存在下列情形之一：</w:t>
      </w:r>
    </w:p>
    <w:p w14:paraId="6DDFB0AC">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l）为招标人不具有独立法人资格的附属机构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单位）；</w:t>
      </w:r>
    </w:p>
    <w:p w14:paraId="24F40745">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2）为本磋商项目前期准备提供设计或咨询服务，但设计施工总承包的除外；</w:t>
      </w:r>
    </w:p>
    <w:p w14:paraId="3C339228">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3）为本磋商项目的监理人；</w:t>
      </w:r>
    </w:p>
    <w:p w14:paraId="0EF9D56E">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4）为本磋商项目的代建人；</w:t>
      </w:r>
    </w:p>
    <w:p w14:paraId="1A585B13">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5）为本磋商项目提供</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代理服务的；</w:t>
      </w:r>
    </w:p>
    <w:p w14:paraId="280FCD23">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6）与本磋商项目的监理人或代建人或</w:t>
      </w:r>
      <w:r>
        <w:rPr>
          <w:rFonts w:hint="eastAsia" w:ascii="宋体" w:hAnsi="宋体" w:cs="宋体"/>
          <w:color w:val="auto"/>
          <w:sz w:val="24"/>
          <w:szCs w:val="24"/>
          <w:highlight w:val="none"/>
          <w:lang w:eastAsia="zh-CN"/>
        </w:rPr>
        <w:t>招标代理服务</w:t>
      </w:r>
      <w:r>
        <w:rPr>
          <w:rFonts w:hint="eastAsia" w:ascii="宋体" w:hAnsi="宋体" w:cs="宋体"/>
          <w:color w:val="auto"/>
          <w:sz w:val="24"/>
          <w:szCs w:val="24"/>
          <w:highlight w:val="none"/>
        </w:rPr>
        <w:t>同为一个法定代表人的；</w:t>
      </w:r>
    </w:p>
    <w:p w14:paraId="4EC215EE">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7）与本磋商项目的监理人或代建人或</w:t>
      </w:r>
      <w:r>
        <w:rPr>
          <w:rFonts w:hint="eastAsia" w:ascii="宋体" w:hAnsi="宋体" w:cs="宋体"/>
          <w:color w:val="auto"/>
          <w:sz w:val="24"/>
          <w:szCs w:val="24"/>
          <w:highlight w:val="none"/>
          <w:lang w:eastAsia="zh-CN"/>
        </w:rPr>
        <w:t>招标代理服务</w:t>
      </w:r>
      <w:r>
        <w:rPr>
          <w:rFonts w:hint="eastAsia" w:ascii="宋体" w:hAnsi="宋体" w:cs="宋体"/>
          <w:color w:val="auto"/>
          <w:sz w:val="24"/>
          <w:szCs w:val="24"/>
          <w:highlight w:val="none"/>
        </w:rPr>
        <w:t>相互控股或参股的；</w:t>
      </w:r>
    </w:p>
    <w:p w14:paraId="30B19A1A">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8）与本磋商项目的监理人或代建人或</w:t>
      </w:r>
      <w:r>
        <w:rPr>
          <w:rFonts w:hint="eastAsia" w:ascii="宋体" w:hAnsi="宋体" w:cs="宋体"/>
          <w:color w:val="auto"/>
          <w:sz w:val="24"/>
          <w:szCs w:val="24"/>
          <w:highlight w:val="none"/>
          <w:lang w:eastAsia="zh-CN"/>
        </w:rPr>
        <w:t>招标代理服务</w:t>
      </w:r>
      <w:r>
        <w:rPr>
          <w:rFonts w:hint="eastAsia" w:ascii="宋体" w:hAnsi="宋体" w:cs="宋体"/>
          <w:color w:val="auto"/>
          <w:sz w:val="24"/>
          <w:szCs w:val="24"/>
          <w:highlight w:val="none"/>
        </w:rPr>
        <w:t>相互任职或工作的；</w:t>
      </w:r>
    </w:p>
    <w:p w14:paraId="68125D0F">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9）被责令停业的；</w:t>
      </w:r>
    </w:p>
    <w:p w14:paraId="7EB25462">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10）被暂停或取消磋商资格的；</w:t>
      </w:r>
    </w:p>
    <w:p w14:paraId="0B996F21">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11）财产被接管或冻结的；</w:t>
      </w:r>
    </w:p>
    <w:p w14:paraId="216D5341">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12）在最近三年内有骗取成交或严重违约或重大质量问题的。</w:t>
      </w:r>
    </w:p>
    <w:p w14:paraId="33149F94">
      <w:pPr>
        <w:keepNext/>
        <w:keepLines/>
        <w:spacing w:line="520" w:lineRule="exact"/>
        <w:ind w:firstLine="482" w:firstLineChars="2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1.5 费用承担</w:t>
      </w:r>
    </w:p>
    <w:p w14:paraId="21F138F9">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响应人准备和参加磋商活动发生的费用自理。</w:t>
      </w:r>
    </w:p>
    <w:p w14:paraId="1326039C">
      <w:pPr>
        <w:keepNext/>
        <w:keepLines/>
        <w:spacing w:line="520" w:lineRule="exact"/>
        <w:ind w:firstLine="482" w:firstLineChars="2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1.6 保密</w:t>
      </w:r>
    </w:p>
    <w:p w14:paraId="487A01AA">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参与磋商活动的各方应对磋商文件和响应文件中的商业和技术等秘密保密，违者应对由此造成的后果承担法律责任。</w:t>
      </w:r>
    </w:p>
    <w:p w14:paraId="0BB10506">
      <w:pPr>
        <w:keepNext/>
        <w:keepLines/>
        <w:spacing w:line="520" w:lineRule="exact"/>
        <w:ind w:firstLine="482" w:firstLineChars="2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1.7 语言文字</w:t>
      </w:r>
    </w:p>
    <w:p w14:paraId="5D12A49D">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除专用术语外，与采购磋商有关的语言均使用中文。必要时专用术语应附有中文注释。</w:t>
      </w:r>
    </w:p>
    <w:p w14:paraId="103BB63B">
      <w:pPr>
        <w:keepNext/>
        <w:keepLines/>
        <w:spacing w:line="520" w:lineRule="exact"/>
        <w:ind w:firstLine="482" w:firstLineChars="2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1.8 计量单位</w:t>
      </w:r>
    </w:p>
    <w:p w14:paraId="46A8BC41">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所有计量均采用中华人民共和国法定计量单位。</w:t>
      </w:r>
    </w:p>
    <w:p w14:paraId="3B3FF1A2">
      <w:pPr>
        <w:keepNext/>
        <w:keepLines/>
        <w:spacing w:line="520" w:lineRule="exact"/>
        <w:ind w:firstLine="482" w:firstLineChars="2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 踏勘现场</w:t>
      </w:r>
    </w:p>
    <w:p w14:paraId="0DE7E902">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不组织</w:t>
      </w:r>
    </w:p>
    <w:p w14:paraId="734C20BD">
      <w:pPr>
        <w:keepNext/>
        <w:keepLines/>
        <w:spacing w:line="520" w:lineRule="exact"/>
        <w:ind w:firstLine="482" w:firstLineChars="2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1.10 磋商预备会</w:t>
      </w:r>
    </w:p>
    <w:p w14:paraId="65F53D79">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不组织</w:t>
      </w:r>
    </w:p>
    <w:p w14:paraId="0A0CB602">
      <w:pPr>
        <w:keepNext/>
        <w:keepLines/>
        <w:spacing w:line="520" w:lineRule="exact"/>
        <w:ind w:firstLine="482" w:firstLineChars="2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1.11 分包</w:t>
      </w:r>
    </w:p>
    <w:p w14:paraId="0922A77B">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不允许分包。</w:t>
      </w:r>
    </w:p>
    <w:p w14:paraId="25DDFB4C">
      <w:pPr>
        <w:keepNext/>
        <w:keepLines/>
        <w:spacing w:line="520" w:lineRule="exact"/>
        <w:ind w:firstLine="482" w:firstLineChars="2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1.12 偏离</w:t>
      </w:r>
    </w:p>
    <w:p w14:paraId="650E8AD0">
      <w:pPr>
        <w:spacing w:line="520" w:lineRule="exact"/>
        <w:ind w:firstLine="480" w:firstLineChars="200"/>
        <w:rPr>
          <w:rFonts w:hint="eastAsia" w:ascii="宋体" w:hAnsi="宋体" w:cs="宋体"/>
          <w:color w:val="auto"/>
          <w:sz w:val="24"/>
          <w:szCs w:val="24"/>
          <w:highlight w:val="none"/>
        </w:rPr>
      </w:pPr>
      <w:bookmarkStart w:id="26" w:name="_Toc184635072"/>
      <w:bookmarkEnd w:id="26"/>
      <w:r>
        <w:rPr>
          <w:rFonts w:hint="eastAsia" w:ascii="宋体" w:hAnsi="宋体" w:cs="宋体"/>
          <w:color w:val="auto"/>
          <w:sz w:val="24"/>
          <w:szCs w:val="24"/>
          <w:highlight w:val="none"/>
          <w:lang w:eastAsia="zh-CN"/>
        </w:rPr>
        <w:t>不允许</w:t>
      </w:r>
      <w:r>
        <w:rPr>
          <w:rFonts w:hint="eastAsia" w:ascii="宋体" w:hAnsi="宋体" w:cs="宋体"/>
          <w:color w:val="auto"/>
          <w:sz w:val="24"/>
          <w:szCs w:val="24"/>
          <w:highlight w:val="none"/>
        </w:rPr>
        <w:t>偏离</w:t>
      </w:r>
    </w:p>
    <w:p w14:paraId="4FAA62D4">
      <w:pPr>
        <w:keepNext/>
        <w:keepLines/>
        <w:spacing w:line="520" w:lineRule="exact"/>
        <w:ind w:left="851" w:hanging="284"/>
        <w:outlineLvl w:val="1"/>
        <w:rPr>
          <w:rFonts w:hint="eastAsia" w:ascii="宋体" w:hAnsi="宋体" w:cs="宋体"/>
          <w:b/>
          <w:bCs/>
          <w:color w:val="auto"/>
          <w:sz w:val="24"/>
          <w:szCs w:val="24"/>
          <w:highlight w:val="none"/>
        </w:rPr>
      </w:pPr>
      <w:bookmarkStart w:id="27" w:name="_Toc466566784"/>
      <w:bookmarkEnd w:id="27"/>
      <w:bookmarkStart w:id="28" w:name="_Toc466566695"/>
      <w:bookmarkStart w:id="29" w:name="_Toc5726"/>
      <w:bookmarkStart w:id="30" w:name="_Toc14217"/>
      <w:bookmarkStart w:id="31" w:name="_Toc25522"/>
      <w:bookmarkStart w:id="32" w:name="_Toc25195"/>
      <w:r>
        <w:rPr>
          <w:rFonts w:hint="eastAsia" w:ascii="宋体" w:hAnsi="宋体" w:cs="宋体"/>
          <w:b/>
          <w:bCs/>
          <w:color w:val="auto"/>
          <w:sz w:val="24"/>
          <w:szCs w:val="24"/>
          <w:highlight w:val="none"/>
        </w:rPr>
        <w:t>2．竞争性磋商文件</w:t>
      </w:r>
      <w:bookmarkEnd w:id="28"/>
      <w:bookmarkEnd w:id="29"/>
      <w:bookmarkEnd w:id="30"/>
      <w:bookmarkEnd w:id="31"/>
      <w:bookmarkEnd w:id="32"/>
    </w:p>
    <w:p w14:paraId="23B494CC">
      <w:pPr>
        <w:keepNext/>
        <w:keepLines/>
        <w:spacing w:line="520" w:lineRule="exact"/>
        <w:ind w:left="851" w:hanging="284"/>
        <w:outlineLvl w:val="1"/>
        <w:rPr>
          <w:rFonts w:hint="eastAsia" w:ascii="宋体" w:hAnsi="宋体" w:cs="宋体"/>
          <w:color w:val="auto"/>
          <w:sz w:val="24"/>
          <w:szCs w:val="24"/>
          <w:highlight w:val="none"/>
        </w:rPr>
      </w:pPr>
      <w:bookmarkStart w:id="33" w:name="_Toc17870"/>
      <w:bookmarkStart w:id="34" w:name="_Toc10379"/>
      <w:bookmarkStart w:id="35" w:name="_Toc14830"/>
      <w:bookmarkStart w:id="36" w:name="_Toc23650"/>
      <w:r>
        <w:rPr>
          <w:rFonts w:hint="eastAsia" w:ascii="宋体" w:hAnsi="宋体" w:cs="宋体"/>
          <w:color w:val="auto"/>
          <w:sz w:val="24"/>
          <w:szCs w:val="24"/>
          <w:highlight w:val="none"/>
        </w:rPr>
        <w:t>2.1 竞争性磋商文件的组成</w:t>
      </w:r>
      <w:bookmarkEnd w:id="33"/>
      <w:bookmarkEnd w:id="34"/>
      <w:bookmarkEnd w:id="35"/>
      <w:bookmarkEnd w:id="36"/>
    </w:p>
    <w:p w14:paraId="3176BA84">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本竞争性磋商文件包括：</w:t>
      </w:r>
    </w:p>
    <w:p w14:paraId="681414F5">
      <w:pPr>
        <w:spacing w:line="520" w:lineRule="exact"/>
        <w:ind w:firstLine="420" w:firstLineChars="200"/>
        <w:rPr>
          <w:rFonts w:hint="eastAsia" w:ascii="宋体" w:hAnsi="宋体" w:cs="宋体"/>
          <w:color w:val="auto"/>
          <w:sz w:val="24"/>
          <w:szCs w:val="24"/>
          <w:highlight w:val="none"/>
        </w:rPr>
      </w:pPr>
      <w:r>
        <w:rPr>
          <w:rFonts w:hint="eastAsia" w:ascii="宋体" w:hAnsi="宋体" w:cs="宋体"/>
          <w:color w:val="auto"/>
          <w:kern w:val="0"/>
          <w:highlight w:val="none"/>
          <w:lang w:bidi="ar"/>
        </w:rPr>
        <w:tab/>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1）招标公告；</w:t>
      </w:r>
    </w:p>
    <w:p w14:paraId="6D1B05D4">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响应人</w:t>
      </w:r>
      <w:r>
        <w:rPr>
          <w:rFonts w:hint="eastAsia" w:ascii="宋体" w:hAnsi="宋体" w:cs="宋体"/>
          <w:color w:val="auto"/>
          <w:sz w:val="24"/>
          <w:szCs w:val="24"/>
          <w:highlight w:val="none"/>
        </w:rPr>
        <w:t>须知；</w:t>
      </w:r>
    </w:p>
    <w:p w14:paraId="0647DD50">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3）评标办法；</w:t>
      </w:r>
    </w:p>
    <w:p w14:paraId="33216DA4">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4）合同条款及格式；</w:t>
      </w:r>
    </w:p>
    <w:p w14:paraId="03698FAD">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ab/>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5）技术</w:t>
      </w:r>
      <w:r>
        <w:rPr>
          <w:rFonts w:hint="eastAsia" w:ascii="宋体" w:hAnsi="宋体" w:cs="宋体"/>
          <w:color w:val="auto"/>
          <w:sz w:val="24"/>
          <w:szCs w:val="24"/>
          <w:highlight w:val="none"/>
          <w:lang w:val="en-US" w:eastAsia="zh-CN"/>
        </w:rPr>
        <w:t>部分</w:t>
      </w:r>
    </w:p>
    <w:p w14:paraId="06190528">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6）响应文件格式； </w:t>
      </w:r>
    </w:p>
    <w:p w14:paraId="63D674FE">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对竞争性磋商文件所作的澄清、修改，构成竞争性文件的组成部分。</w:t>
      </w:r>
    </w:p>
    <w:p w14:paraId="766F8AA7">
      <w:pPr>
        <w:keepNext/>
        <w:keepLines/>
        <w:spacing w:line="520" w:lineRule="exact"/>
        <w:ind w:firstLine="482" w:firstLineChars="2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2.2 竞争性磋商文件的澄清</w:t>
      </w:r>
    </w:p>
    <w:p w14:paraId="3D19C40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 响应人应仔细阅读和检查竞争性磋商文件的全部内容。如发现内容不完整或附件不全，应及时向招标人提出，以便补齐。如有疑问，应在响应人须知前附表规定的时间在三门峡市公共资源交易系统中提出质询，要求招标人对竞争性磋商文件予以澄清。</w:t>
      </w:r>
    </w:p>
    <w:p w14:paraId="110BBEF6">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2.2.2 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11FA867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 响应人应自行查看澄清信息。</w:t>
      </w:r>
    </w:p>
    <w:p w14:paraId="5588E1E4">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2.3 竞争性磋商文件的修改</w:t>
      </w:r>
    </w:p>
    <w:p w14:paraId="2E5582F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2.3.1 在磋商截止时间5天前，招标人可以修改竞争性磋商文件，并以变更公告形式通知所有已购买竞争性磋商文件的响应人</w:t>
      </w:r>
    </w:p>
    <w:p w14:paraId="4542A6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6900A0C1">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2.3.3为使响应人在准备响应文件时有合理的时间考虑竞争性磋商文件的修改，招标代理机构可酌情推迟磋商截止时间和磋商时间，但应当至少在磋商截止时间三个日历日前将变更时间以发布变更公告的形式通知所有响应人。该修改内容为竞争性磋商文件的组成部分。在此情况下，招标人和响应人受磋商截止期制约的所有权利和义务均应延长至新的截止日期。</w:t>
      </w:r>
      <w:bookmarkStart w:id="37" w:name="_Toc184635073"/>
      <w:bookmarkEnd w:id="37"/>
      <w:r>
        <w:rPr>
          <w:rFonts w:hint="eastAsia" w:ascii="宋体" w:hAnsi="宋体" w:cs="宋体"/>
          <w:b/>
          <w:bCs/>
          <w:color w:val="auto"/>
          <w:sz w:val="24"/>
          <w:szCs w:val="24"/>
          <w:highlight w:val="none"/>
        </w:rPr>
        <w:t xml:space="preserve"> </w:t>
      </w:r>
    </w:p>
    <w:p w14:paraId="7AB153BA">
      <w:pPr>
        <w:spacing w:line="360" w:lineRule="auto"/>
        <w:ind w:firstLine="482" w:firstLineChars="200"/>
        <w:outlineLvl w:val="1"/>
        <w:rPr>
          <w:rFonts w:hint="eastAsia" w:ascii="宋体" w:hAnsi="宋体" w:cs="宋体"/>
          <w:b/>
          <w:bCs/>
          <w:color w:val="auto"/>
          <w:kern w:val="0"/>
          <w:sz w:val="24"/>
          <w:szCs w:val="24"/>
          <w:highlight w:val="none"/>
        </w:rPr>
      </w:pPr>
      <w:bookmarkStart w:id="38" w:name="_Toc5764"/>
      <w:bookmarkStart w:id="39" w:name="_Toc7186"/>
      <w:bookmarkStart w:id="40" w:name="_Toc18067"/>
      <w:bookmarkStart w:id="41" w:name="_Toc5063"/>
      <w:r>
        <w:rPr>
          <w:rFonts w:hint="eastAsia" w:ascii="宋体" w:hAnsi="宋体" w:cs="宋体"/>
          <w:b/>
          <w:bCs/>
          <w:color w:val="auto"/>
          <w:kern w:val="0"/>
          <w:sz w:val="24"/>
          <w:szCs w:val="24"/>
          <w:highlight w:val="none"/>
        </w:rPr>
        <w:t>3．响应文件</w:t>
      </w:r>
      <w:bookmarkEnd w:id="38"/>
      <w:bookmarkEnd w:id="39"/>
      <w:bookmarkEnd w:id="40"/>
      <w:bookmarkEnd w:id="41"/>
    </w:p>
    <w:p w14:paraId="318B7664">
      <w:pPr>
        <w:spacing w:line="520" w:lineRule="exact"/>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3.1 响应文件的组成</w:t>
      </w:r>
    </w:p>
    <w:p w14:paraId="512CBEDA">
      <w:pPr>
        <w:keepNext/>
        <w:keepLines/>
        <w:spacing w:line="520" w:lineRule="exact"/>
        <w:ind w:firstLine="482" w:firstLineChars="2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3.1.1 响应文件应包括下列内容：</w:t>
      </w:r>
    </w:p>
    <w:p w14:paraId="46044460">
      <w:pPr>
        <w:spacing w:line="520" w:lineRule="exact"/>
        <w:ind w:firstLine="480" w:firstLineChars="200"/>
        <w:textAlignment w:val="center"/>
        <w:rPr>
          <w:rFonts w:hint="eastAsia" w:ascii="宋体" w:hAnsi="宋体" w:cs="宋体"/>
          <w:color w:val="auto"/>
          <w:sz w:val="24"/>
          <w:highlight w:val="none"/>
        </w:rPr>
      </w:pPr>
      <w:r>
        <w:rPr>
          <w:rFonts w:hint="eastAsia" w:ascii="宋体" w:hAnsi="宋体" w:cs="宋体"/>
          <w:color w:val="auto"/>
          <w:sz w:val="24"/>
          <w:highlight w:val="none"/>
        </w:rPr>
        <w:t>3.1.1.1磋商函及磋商函附录</w:t>
      </w:r>
    </w:p>
    <w:p w14:paraId="41E5E564">
      <w:pPr>
        <w:spacing w:line="520" w:lineRule="exact"/>
        <w:ind w:firstLine="480" w:firstLineChars="200"/>
        <w:textAlignment w:val="center"/>
        <w:rPr>
          <w:rFonts w:hint="eastAsia" w:ascii="宋体" w:hAnsi="宋体" w:cs="宋体"/>
          <w:color w:val="auto"/>
          <w:sz w:val="24"/>
          <w:highlight w:val="none"/>
        </w:rPr>
      </w:pPr>
      <w:r>
        <w:rPr>
          <w:rFonts w:hint="eastAsia" w:ascii="宋体" w:hAnsi="宋体" w:cs="宋体"/>
          <w:color w:val="auto"/>
          <w:sz w:val="24"/>
          <w:highlight w:val="none"/>
        </w:rPr>
        <w:t>3.1.1.2法定代表人身份证明</w:t>
      </w:r>
    </w:p>
    <w:p w14:paraId="1376EC12">
      <w:pPr>
        <w:spacing w:line="520" w:lineRule="exact"/>
        <w:ind w:firstLine="480" w:firstLineChars="200"/>
        <w:textAlignment w:val="center"/>
        <w:rPr>
          <w:rFonts w:hint="eastAsia" w:ascii="宋体" w:hAnsi="宋体" w:cs="宋体"/>
          <w:color w:val="auto"/>
          <w:sz w:val="24"/>
          <w:highlight w:val="none"/>
        </w:rPr>
      </w:pPr>
      <w:r>
        <w:rPr>
          <w:rFonts w:hint="eastAsia" w:ascii="宋体" w:hAnsi="宋体" w:cs="宋体"/>
          <w:color w:val="auto"/>
          <w:sz w:val="24"/>
          <w:highlight w:val="none"/>
        </w:rPr>
        <w:t>3.1.1.3授权委托书</w:t>
      </w:r>
    </w:p>
    <w:p w14:paraId="6F333170">
      <w:pPr>
        <w:spacing w:line="520" w:lineRule="exact"/>
        <w:ind w:firstLine="480" w:firstLineChars="200"/>
        <w:textAlignment w:val="center"/>
        <w:rPr>
          <w:rFonts w:hint="eastAsia" w:ascii="宋体" w:hAnsi="宋体" w:cs="宋体"/>
          <w:color w:val="auto"/>
          <w:sz w:val="24"/>
          <w:highlight w:val="none"/>
        </w:rPr>
      </w:pPr>
      <w:r>
        <w:rPr>
          <w:rFonts w:hint="eastAsia" w:ascii="宋体" w:hAnsi="宋体" w:cs="宋体"/>
          <w:color w:val="auto"/>
          <w:sz w:val="24"/>
          <w:highlight w:val="none"/>
        </w:rPr>
        <w:t>3.1.1.4磋商承诺函</w:t>
      </w:r>
    </w:p>
    <w:p w14:paraId="5DC5E7BA">
      <w:pPr>
        <w:spacing w:line="520" w:lineRule="exact"/>
        <w:ind w:firstLine="480" w:firstLineChars="200"/>
        <w:textAlignment w:val="center"/>
        <w:rPr>
          <w:rFonts w:hint="eastAsia" w:ascii="宋体" w:hAnsi="宋体" w:cs="宋体"/>
          <w:color w:val="auto"/>
          <w:sz w:val="24"/>
          <w:highlight w:val="none"/>
        </w:rPr>
      </w:pPr>
      <w:r>
        <w:rPr>
          <w:rFonts w:hint="eastAsia" w:ascii="宋体" w:hAnsi="宋体" w:cs="宋体"/>
          <w:color w:val="auto"/>
          <w:sz w:val="24"/>
          <w:highlight w:val="none"/>
        </w:rPr>
        <w:t>3.1.1.5技术文件</w:t>
      </w:r>
    </w:p>
    <w:p w14:paraId="360D945C">
      <w:pPr>
        <w:spacing w:line="520" w:lineRule="exact"/>
        <w:ind w:firstLine="480" w:firstLineChars="200"/>
        <w:textAlignment w:val="center"/>
        <w:rPr>
          <w:rFonts w:hint="eastAsia" w:ascii="宋体" w:hAnsi="宋体" w:cs="宋体"/>
          <w:color w:val="auto"/>
          <w:sz w:val="24"/>
          <w:highlight w:val="none"/>
        </w:rPr>
      </w:pPr>
      <w:r>
        <w:rPr>
          <w:rFonts w:hint="eastAsia" w:ascii="宋体" w:hAnsi="宋体" w:cs="宋体"/>
          <w:color w:val="auto"/>
          <w:sz w:val="24"/>
          <w:highlight w:val="none"/>
        </w:rPr>
        <w:t>3.1.1.6项目组成人员情况表</w:t>
      </w:r>
    </w:p>
    <w:p w14:paraId="33359D26">
      <w:pPr>
        <w:spacing w:line="520" w:lineRule="exact"/>
        <w:ind w:firstLine="480" w:firstLineChars="200"/>
        <w:textAlignment w:val="center"/>
        <w:rPr>
          <w:rFonts w:hint="eastAsia" w:ascii="宋体" w:hAnsi="宋体" w:cs="宋体"/>
          <w:color w:val="auto"/>
          <w:sz w:val="24"/>
          <w:highlight w:val="none"/>
        </w:rPr>
      </w:pPr>
      <w:r>
        <w:rPr>
          <w:rFonts w:hint="eastAsia" w:ascii="宋体" w:hAnsi="宋体" w:cs="宋体"/>
          <w:color w:val="auto"/>
          <w:sz w:val="24"/>
          <w:highlight w:val="none"/>
        </w:rPr>
        <w:t>3.1.1.7资格审查资料</w:t>
      </w:r>
    </w:p>
    <w:p w14:paraId="6B3C8CDA">
      <w:pPr>
        <w:spacing w:line="520" w:lineRule="exact"/>
        <w:ind w:firstLine="480" w:firstLineChars="200"/>
        <w:textAlignment w:val="center"/>
        <w:rPr>
          <w:rFonts w:hint="eastAsia" w:ascii="宋体" w:hAnsi="宋体" w:cs="宋体"/>
          <w:color w:val="auto"/>
          <w:sz w:val="24"/>
          <w:highlight w:val="none"/>
        </w:rPr>
      </w:pPr>
      <w:r>
        <w:rPr>
          <w:rFonts w:hint="eastAsia" w:ascii="宋体" w:hAnsi="宋体" w:cs="宋体"/>
          <w:color w:val="auto"/>
          <w:sz w:val="24"/>
          <w:highlight w:val="none"/>
        </w:rPr>
        <w:t>3.1.1.8优惠服务承诺</w:t>
      </w:r>
    </w:p>
    <w:p w14:paraId="28CE4710">
      <w:pPr>
        <w:spacing w:line="520" w:lineRule="exact"/>
        <w:ind w:firstLine="480" w:firstLineChars="200"/>
        <w:textAlignment w:val="center"/>
        <w:rPr>
          <w:rFonts w:hint="eastAsia" w:ascii="宋体" w:hAnsi="宋体" w:cs="宋体"/>
          <w:color w:val="auto"/>
          <w:sz w:val="24"/>
          <w:highlight w:val="none"/>
        </w:rPr>
      </w:pPr>
      <w:r>
        <w:rPr>
          <w:rFonts w:hint="eastAsia" w:ascii="宋体" w:hAnsi="宋体" w:cs="宋体"/>
          <w:color w:val="auto"/>
          <w:sz w:val="24"/>
          <w:highlight w:val="none"/>
        </w:rPr>
        <w:t>3.1.1.9中小微企业声明函、监狱企业证明材料</w:t>
      </w:r>
    </w:p>
    <w:p w14:paraId="34A1053B">
      <w:pPr>
        <w:spacing w:line="520" w:lineRule="exact"/>
        <w:ind w:firstLine="480" w:firstLineChars="200"/>
        <w:textAlignment w:val="center"/>
        <w:rPr>
          <w:rFonts w:ascii="宋体" w:hAnsi="宋体" w:cs="宋体"/>
          <w:color w:val="auto"/>
          <w:sz w:val="24"/>
          <w:highlight w:val="none"/>
        </w:rPr>
      </w:pPr>
      <w:r>
        <w:rPr>
          <w:rFonts w:ascii="宋体" w:hAnsi="宋体" w:cs="宋体"/>
          <w:color w:val="auto"/>
          <w:sz w:val="24"/>
          <w:highlight w:val="none"/>
        </w:rPr>
        <w:t>3.1.10</w:t>
      </w:r>
      <w:r>
        <w:rPr>
          <w:rFonts w:hint="eastAsia" w:ascii="宋体" w:hAnsi="宋体" w:cs="宋体"/>
          <w:color w:val="auto"/>
          <w:sz w:val="24"/>
          <w:highlight w:val="none"/>
          <w:lang w:eastAsia="zh-CN"/>
        </w:rPr>
        <w:t>响应人</w:t>
      </w:r>
      <w:r>
        <w:rPr>
          <w:rFonts w:hint="eastAsia" w:ascii="宋体" w:hAnsi="宋体" w:cs="宋体"/>
          <w:color w:val="auto"/>
          <w:sz w:val="24"/>
          <w:highlight w:val="none"/>
        </w:rPr>
        <w:t>认为应附的其他证明材料</w:t>
      </w:r>
    </w:p>
    <w:p w14:paraId="156D9134">
      <w:pPr>
        <w:autoSpaceDE w:val="0"/>
        <w:autoSpaceDN w:val="0"/>
        <w:adjustRightInd w:val="0"/>
        <w:spacing w:line="480" w:lineRule="exact"/>
        <w:ind w:firstLine="542" w:firstLineChars="225"/>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3.2 磋商报价</w:t>
      </w:r>
    </w:p>
    <w:p w14:paraId="59D0EE5D">
      <w:pPr>
        <w:spacing w:line="336"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3.2.1所报价格应包含</w:t>
      </w:r>
      <w:r>
        <w:rPr>
          <w:rFonts w:hint="eastAsia" w:ascii="宋体" w:hAnsi="宋体"/>
          <w:color w:val="auto"/>
          <w:sz w:val="24"/>
          <w:szCs w:val="24"/>
          <w:highlight w:val="none"/>
          <w:lang w:eastAsia="zh-CN"/>
        </w:rPr>
        <w:t>磋商文件</w:t>
      </w:r>
      <w:r>
        <w:rPr>
          <w:rFonts w:hint="eastAsia" w:ascii="宋体" w:hAnsi="宋体"/>
          <w:color w:val="auto"/>
          <w:sz w:val="24"/>
          <w:szCs w:val="24"/>
          <w:highlight w:val="none"/>
        </w:rPr>
        <w:t>所要求的可能发生的招标范围内的工作费、顾问费及现场咨询服务费</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后续服务费）等所有费用。</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参考相关收费标准结合</w:t>
      </w: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单位自身情况自主报价，但不得低于本企业成本。</w:t>
      </w:r>
    </w:p>
    <w:p w14:paraId="56416033">
      <w:pPr>
        <w:spacing w:line="336"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招标人不接受任何选择报价。</w:t>
      </w:r>
    </w:p>
    <w:p w14:paraId="4B3F7625">
      <w:pPr>
        <w:spacing w:line="336" w:lineRule="auto"/>
        <w:ind w:firstLine="480" w:firstLineChars="200"/>
        <w:rPr>
          <w:rFonts w:ascii="宋体" w:hAnsi="宋体"/>
          <w:color w:val="auto"/>
          <w:sz w:val="24"/>
          <w:szCs w:val="24"/>
          <w:highlight w:val="none"/>
        </w:rPr>
      </w:pPr>
      <w:r>
        <w:rPr>
          <w:rFonts w:ascii="宋体" w:hAnsi="宋体"/>
          <w:color w:val="auto"/>
          <w:sz w:val="24"/>
          <w:szCs w:val="24"/>
          <w:highlight w:val="none"/>
        </w:rPr>
        <w:t>3.2.3</w:t>
      </w:r>
      <w:r>
        <w:rPr>
          <w:rFonts w:hint="eastAsia" w:ascii="宋体" w:hAnsi="宋体"/>
          <w:color w:val="auto"/>
          <w:sz w:val="24"/>
          <w:szCs w:val="24"/>
          <w:highlight w:val="none"/>
        </w:rPr>
        <w:t xml:space="preserve"> 磋商报价包括的风险范围为：响应人应结合自身条件，并充分考虑本项目难度、服务期的要求、质量要求以及市场因素、现场环境因素、社会因素、市场价格调整因素等各方面原因合理报价。但不得低于企业实际成本。  </w:t>
      </w:r>
      <w:r>
        <w:rPr>
          <w:rFonts w:ascii="宋体" w:hAnsi="宋体"/>
          <w:color w:val="auto"/>
          <w:sz w:val="24"/>
          <w:szCs w:val="24"/>
          <w:highlight w:val="none"/>
        </w:rPr>
        <w:t xml:space="preserve"> </w:t>
      </w:r>
    </w:p>
    <w:p w14:paraId="2C2FDF46">
      <w:pPr>
        <w:spacing w:line="336"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磋商报价将被认为已综合考虑了在工程全过程中可能发生的全部不可预见费用。响应人未考虑到或漏算的项目，合同执行期间人员费用等相关的变动；各种原因</w:t>
      </w:r>
      <w:r>
        <w:rPr>
          <w:rFonts w:hint="eastAsia" w:ascii="宋体" w:hAnsi="宋体"/>
          <w:color w:val="auto"/>
          <w:sz w:val="24"/>
          <w:szCs w:val="24"/>
          <w:highlight w:val="none"/>
          <w:lang w:eastAsia="zh-CN"/>
        </w:rPr>
        <w:t>设计周期</w:t>
      </w:r>
      <w:r>
        <w:rPr>
          <w:rFonts w:hint="eastAsia" w:ascii="宋体" w:hAnsi="宋体"/>
          <w:color w:val="auto"/>
          <w:sz w:val="24"/>
          <w:szCs w:val="24"/>
          <w:highlight w:val="none"/>
        </w:rPr>
        <w:t>工作时间延长，成交人无权再以任何理由提出延长</w:t>
      </w:r>
      <w:r>
        <w:rPr>
          <w:rFonts w:hint="eastAsia" w:ascii="宋体" w:hAnsi="宋体"/>
          <w:color w:val="auto"/>
          <w:sz w:val="24"/>
          <w:szCs w:val="24"/>
          <w:highlight w:val="none"/>
          <w:lang w:eastAsia="zh-CN"/>
        </w:rPr>
        <w:t>设计周期</w:t>
      </w:r>
      <w:r>
        <w:rPr>
          <w:rFonts w:hint="eastAsia" w:ascii="宋体" w:hAnsi="宋体"/>
          <w:color w:val="auto"/>
          <w:sz w:val="24"/>
          <w:szCs w:val="24"/>
          <w:highlight w:val="none"/>
        </w:rPr>
        <w:t>、增加价款或索赔等要求。如果响应人对任何报价遗漏或未计，均被认为已包含在其他费用中，招标人不另行支付。</w:t>
      </w:r>
    </w:p>
    <w:p w14:paraId="43DA6C18">
      <w:pPr>
        <w:spacing w:line="336"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3.2.</w:t>
      </w:r>
      <w:r>
        <w:rPr>
          <w:rFonts w:hint="eastAsia" w:ascii="宋体" w:hAnsi="宋体"/>
          <w:color w:val="auto"/>
          <w:sz w:val="24"/>
          <w:szCs w:val="24"/>
          <w:highlight w:val="none"/>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0952071E">
      <w:pPr>
        <w:spacing w:line="336"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3.2.</w:t>
      </w:r>
      <w:r>
        <w:rPr>
          <w:rFonts w:hint="eastAsia" w:ascii="宋体" w:hAnsi="宋体"/>
          <w:color w:val="auto"/>
          <w:sz w:val="24"/>
          <w:szCs w:val="24"/>
          <w:highlight w:val="none"/>
        </w:rPr>
        <w:t>5 全部报价均应以人民币为计量币种，并以人民币进行结算。</w:t>
      </w:r>
    </w:p>
    <w:p w14:paraId="443251CF">
      <w:pPr>
        <w:spacing w:line="336"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4"/>
          <w:highlight w:val="none"/>
        </w:rPr>
        <w:t>3.2.6响应人在磋商报价前可以自行踏勘现场，充分考虑了现状条件可能影响到项目正常服务工作的所有风险因素。无论</w:t>
      </w:r>
      <w:r>
        <w:rPr>
          <w:rFonts w:hint="eastAsia" w:ascii="宋体" w:hAnsi="宋体"/>
          <w:color w:val="auto"/>
          <w:sz w:val="24"/>
          <w:szCs w:val="24"/>
          <w:highlight w:val="none"/>
          <w:lang w:eastAsia="zh-CN"/>
        </w:rPr>
        <w:t>响应人</w:t>
      </w:r>
      <w:r>
        <w:rPr>
          <w:rFonts w:hint="eastAsia" w:ascii="宋体" w:hAnsi="宋体"/>
          <w:color w:val="auto"/>
          <w:sz w:val="24"/>
          <w:szCs w:val="24"/>
          <w:highlight w:val="none"/>
        </w:rPr>
        <w:t>是否进行了上述现场踏勘工作，其磋商报价中均将被认为已包含有在作业期间发生的全部不可预见</w:t>
      </w:r>
      <w:r>
        <w:rPr>
          <w:rFonts w:hint="eastAsia" w:ascii="宋体" w:hAnsi="宋体" w:cs="宋体"/>
          <w:color w:val="auto"/>
          <w:sz w:val="24"/>
          <w:szCs w:val="24"/>
          <w:highlight w:val="none"/>
        </w:rPr>
        <w:t>的风险费用，响应人成交后则无权因此要求任何</w:t>
      </w:r>
      <w:r>
        <w:rPr>
          <w:rFonts w:hint="eastAsia" w:ascii="宋体" w:hAnsi="宋体" w:cs="宋体"/>
          <w:color w:val="auto"/>
          <w:sz w:val="24"/>
          <w:szCs w:val="24"/>
          <w:highlight w:val="none"/>
          <w:lang w:eastAsia="zh-CN"/>
        </w:rPr>
        <w:t>设计周期</w:t>
      </w:r>
      <w:r>
        <w:rPr>
          <w:rFonts w:hint="eastAsia" w:ascii="宋体" w:hAnsi="宋体" w:cs="宋体"/>
          <w:color w:val="auto"/>
          <w:sz w:val="24"/>
          <w:szCs w:val="24"/>
          <w:highlight w:val="none"/>
        </w:rPr>
        <w:t>或费用上的索赔。</w:t>
      </w:r>
    </w:p>
    <w:p w14:paraId="716064AE">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3.2.7由于施工期间工程条件发生变化或响应人原因造成技术方案的更改，所增加的措施费用及</w:t>
      </w:r>
      <w:r>
        <w:rPr>
          <w:rFonts w:hint="eastAsia" w:ascii="宋体" w:hAnsi="宋体" w:cs="宋体"/>
          <w:color w:val="auto"/>
          <w:sz w:val="24"/>
          <w:szCs w:val="24"/>
          <w:highlight w:val="none"/>
          <w:lang w:eastAsia="zh-CN"/>
        </w:rPr>
        <w:t>设计周期</w:t>
      </w:r>
      <w:r>
        <w:rPr>
          <w:rFonts w:hint="eastAsia" w:ascii="宋体" w:hAnsi="宋体" w:cs="宋体"/>
          <w:color w:val="auto"/>
          <w:sz w:val="24"/>
          <w:szCs w:val="24"/>
          <w:highlight w:val="none"/>
        </w:rPr>
        <w:t>一概不予调整，相应的费用响应人应在磋商报价中充分考虑，招标人不另支付。</w:t>
      </w:r>
    </w:p>
    <w:p w14:paraId="3B799D4C">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3.2.8增值税属不可竞争费用，如违背国家税收规定的，对未按规定计取增值税的响应人，其磋商报价按低于成本价处理。</w:t>
      </w:r>
    </w:p>
    <w:p w14:paraId="5DF21581">
      <w:pPr>
        <w:keepNext/>
        <w:keepLines/>
        <w:spacing w:line="520" w:lineRule="exact"/>
        <w:ind w:firstLine="482" w:firstLineChars="2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3.3 磋商有效期</w:t>
      </w:r>
    </w:p>
    <w:p w14:paraId="2EC45F23">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3.3.1 在响应人须知前附表规定的磋商有效期内，响应人不得要求撤销或修改其响应文件。</w:t>
      </w:r>
    </w:p>
    <w:p w14:paraId="61140D87">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3.3.2 出现特殊情况需要延长磋商有效期的，招标人以书面形式通知所有响应人延长磋商有效期。响应人同意延长的，不得要求或被允许修改或撤销其响应文件；响应人拒绝延长的，其磋商失效。</w:t>
      </w:r>
    </w:p>
    <w:p w14:paraId="52A7EE08">
      <w:pPr>
        <w:spacing w:line="480" w:lineRule="exact"/>
        <w:ind w:firstLine="482" w:firstLineChars="200"/>
        <w:jc w:val="left"/>
        <w:rPr>
          <w:rFonts w:hint="eastAsia" w:ascii="宋体" w:hAnsi="宋体" w:cs="宋体"/>
          <w:color w:val="auto"/>
          <w:kern w:val="0"/>
          <w:sz w:val="24"/>
          <w:szCs w:val="24"/>
          <w:highlight w:val="none"/>
        </w:rPr>
      </w:pPr>
      <w:r>
        <w:rPr>
          <w:rFonts w:hint="eastAsia" w:ascii="宋体" w:hAnsi="宋体" w:cs="宋体"/>
          <w:b/>
          <w:color w:val="auto"/>
          <w:sz w:val="24"/>
          <w:szCs w:val="24"/>
          <w:highlight w:val="none"/>
        </w:rPr>
        <w:t>3.4 磋商保证金：</w:t>
      </w:r>
      <w:r>
        <w:rPr>
          <w:rFonts w:hint="eastAsia" w:ascii="宋体" w:hAnsi="宋体" w:cs="宋体"/>
          <w:color w:val="auto"/>
          <w:kern w:val="0"/>
          <w:sz w:val="24"/>
          <w:highlight w:val="none"/>
        </w:rPr>
        <w:t>按照《河南省财政厅关于</w:t>
      </w:r>
      <w:r>
        <w:rPr>
          <w:rFonts w:hint="eastAsia" w:ascii="宋体" w:hAnsi="宋体" w:cs="宋体"/>
          <w:color w:val="auto"/>
          <w:kern w:val="0"/>
          <w:sz w:val="24"/>
          <w:szCs w:val="24"/>
          <w:highlight w:val="none"/>
        </w:rPr>
        <w:t>优化政府采购营商环境有关问题的通知》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豫财购[2019]4号文）的要求本项目不再收取磋商保证金。</w:t>
      </w:r>
    </w:p>
    <w:p w14:paraId="19FFC00A">
      <w:pPr>
        <w:keepNext/>
        <w:keepLines/>
        <w:spacing w:line="520" w:lineRule="exact"/>
        <w:ind w:firstLine="482" w:firstLineChars="2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3.5 资格审查资料</w:t>
      </w:r>
    </w:p>
    <w:p w14:paraId="55B62ED7">
      <w:pPr>
        <w:spacing w:line="52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详见</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须知前附表</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资格条件。</w:t>
      </w:r>
    </w:p>
    <w:p w14:paraId="44F8E44B">
      <w:pPr>
        <w:spacing w:line="52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3.6 响应文件的编制</w:t>
      </w:r>
    </w:p>
    <w:p w14:paraId="1478B3FE">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3.6.1 响应文件应按第六章“响应文件格式”进行编写，如有必要，可以增加附页，作为响应文件的组成部分。其中，磋商函附录在满足磋商文件实质性要求的基础上，可以提出比磋商文件要求更有利于招标人的承诺。</w:t>
      </w:r>
    </w:p>
    <w:p w14:paraId="0B18EA19">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3.6.2 响应文件应当对磋商文件有关</w:t>
      </w:r>
      <w:r>
        <w:rPr>
          <w:rFonts w:hint="eastAsia" w:ascii="宋体" w:hAnsi="宋体" w:cs="宋体"/>
          <w:color w:val="auto"/>
          <w:sz w:val="24"/>
          <w:szCs w:val="24"/>
          <w:highlight w:val="none"/>
          <w:lang w:eastAsia="zh-CN"/>
        </w:rPr>
        <w:t>设计周期</w:t>
      </w:r>
      <w:r>
        <w:rPr>
          <w:rFonts w:hint="eastAsia" w:ascii="宋体" w:hAnsi="宋体" w:cs="宋体"/>
          <w:color w:val="auto"/>
          <w:sz w:val="24"/>
          <w:szCs w:val="24"/>
          <w:highlight w:val="none"/>
        </w:rPr>
        <w:t>、磋商有效期、质量要求、磋商范围等实质性内容作出响应。</w:t>
      </w:r>
    </w:p>
    <w:p w14:paraId="7B6B9991">
      <w:pPr>
        <w:spacing w:line="52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3.7 响应文件的签署</w:t>
      </w:r>
    </w:p>
    <w:p w14:paraId="161B60D0">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3.7.1电子响应文件必须上传电子评标系统</w:t>
      </w:r>
      <w:r>
        <w:rPr>
          <w:rFonts w:hint="eastAsia" w:ascii="宋体" w:hAnsi="宋体" w:cs="宋体"/>
          <w:b/>
          <w:bCs/>
          <w:color w:val="auto"/>
          <w:sz w:val="24"/>
          <w:szCs w:val="24"/>
          <w:highlight w:val="none"/>
        </w:rPr>
        <w:t>。</w:t>
      </w:r>
    </w:p>
    <w:p w14:paraId="31C8B216">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3.7.2电子响应文件由响应人的法定代表人签字或盖章。</w:t>
      </w:r>
      <w:bookmarkStart w:id="42" w:name="_Toc184635074"/>
      <w:bookmarkEnd w:id="42"/>
    </w:p>
    <w:p w14:paraId="41F6B7B4">
      <w:pPr>
        <w:numPr>
          <w:ilvl w:val="0"/>
          <w:numId w:val="1"/>
        </w:numPr>
        <w:spacing w:line="520" w:lineRule="exact"/>
        <w:ind w:firstLine="482" w:firstLineChars="200"/>
        <w:outlineLvl w:val="1"/>
        <w:rPr>
          <w:rFonts w:hint="eastAsia" w:ascii="宋体" w:hAnsi="宋体" w:cs="宋体"/>
          <w:b/>
          <w:bCs/>
          <w:color w:val="auto"/>
          <w:kern w:val="28"/>
          <w:sz w:val="24"/>
          <w:szCs w:val="24"/>
          <w:highlight w:val="none"/>
        </w:rPr>
      </w:pPr>
      <w:bookmarkStart w:id="43" w:name="_Toc2724"/>
      <w:bookmarkStart w:id="44" w:name="_Toc9252"/>
      <w:bookmarkStart w:id="45" w:name="_Toc18183"/>
      <w:bookmarkStart w:id="46" w:name="_Toc21675"/>
      <w:r>
        <w:rPr>
          <w:rFonts w:hint="eastAsia" w:ascii="宋体" w:hAnsi="宋体" w:cs="宋体"/>
          <w:b/>
          <w:bCs/>
          <w:color w:val="auto"/>
          <w:kern w:val="28"/>
          <w:sz w:val="24"/>
          <w:szCs w:val="24"/>
          <w:highlight w:val="none"/>
        </w:rPr>
        <w:t>磋商</w:t>
      </w:r>
      <w:bookmarkEnd w:id="43"/>
      <w:bookmarkEnd w:id="44"/>
      <w:bookmarkEnd w:id="45"/>
      <w:bookmarkEnd w:id="46"/>
    </w:p>
    <w:p w14:paraId="18852DDE">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4.1电子响应文件的递交</w:t>
      </w:r>
    </w:p>
    <w:p w14:paraId="43057844">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4.1.1响应人应在规定的磋商截止时间前递交响应文件。</w:t>
      </w:r>
    </w:p>
    <w:p w14:paraId="139D2B0B">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4.1.2响应人递交响应文件的地点：见响应人须知前附表。</w:t>
      </w:r>
      <w:bookmarkStart w:id="47" w:name="_Toc466566696"/>
      <w:bookmarkEnd w:id="47"/>
      <w:bookmarkStart w:id="48" w:name="_Toc466566785"/>
      <w:bookmarkEnd w:id="48"/>
      <w:bookmarkStart w:id="49" w:name="_Toc184635075"/>
    </w:p>
    <w:p w14:paraId="557B720D">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4.1.3 逾期送达或者未送达指定地点的响应文件，招标人不予受理。</w:t>
      </w:r>
      <w:bookmarkEnd w:id="49"/>
    </w:p>
    <w:p w14:paraId="6D393586">
      <w:pPr>
        <w:spacing w:line="520" w:lineRule="exact"/>
        <w:ind w:firstLine="482" w:firstLineChars="200"/>
        <w:outlineLvl w:val="1"/>
        <w:rPr>
          <w:rFonts w:hint="eastAsia" w:ascii="宋体" w:hAnsi="宋体" w:cs="宋体"/>
          <w:b/>
          <w:bCs/>
          <w:color w:val="auto"/>
          <w:sz w:val="24"/>
          <w:szCs w:val="24"/>
          <w:highlight w:val="none"/>
        </w:rPr>
      </w:pPr>
      <w:bookmarkStart w:id="50" w:name="_Toc6129"/>
      <w:bookmarkStart w:id="51" w:name="_Toc25863"/>
      <w:bookmarkStart w:id="52" w:name="_Toc30791"/>
      <w:bookmarkStart w:id="53" w:name="_Toc27262"/>
      <w:r>
        <w:rPr>
          <w:rFonts w:hint="eastAsia" w:ascii="宋体" w:hAnsi="宋体" w:cs="宋体"/>
          <w:b/>
          <w:bCs/>
          <w:color w:val="auto"/>
          <w:sz w:val="24"/>
          <w:szCs w:val="24"/>
          <w:highlight w:val="none"/>
        </w:rPr>
        <w:t>5．磋商</w:t>
      </w:r>
      <w:bookmarkEnd w:id="50"/>
      <w:bookmarkEnd w:id="51"/>
      <w:bookmarkEnd w:id="52"/>
      <w:bookmarkEnd w:id="53"/>
    </w:p>
    <w:p w14:paraId="19816B8C">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5.1 磋商时间和地点</w:t>
      </w:r>
    </w:p>
    <w:p w14:paraId="02DB8211">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招标人在本磋商文件规定的响应文件递交截止时间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磋商时间）和地点竞争性磋商。</w:t>
      </w:r>
    </w:p>
    <w:p w14:paraId="4232E398">
      <w:pPr>
        <w:spacing w:line="520" w:lineRule="exact"/>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5.2  磋商程序</w:t>
      </w:r>
    </w:p>
    <w:p w14:paraId="4B9D9896">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5.2.1招标人按须知前附表规定的时间和地点磋商；</w:t>
      </w:r>
    </w:p>
    <w:p w14:paraId="721B40EC">
      <w:pPr>
        <w:snapToGri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5.2.2本项目采用</w:t>
      </w:r>
      <w:r>
        <w:rPr>
          <w:rFonts w:hint="eastAsia" w:ascii="宋体" w:hAnsi="宋体" w:cs="宋体"/>
          <w:b/>
          <w:bCs/>
          <w:color w:val="auto"/>
          <w:sz w:val="24"/>
          <w:szCs w:val="24"/>
          <w:highlight w:val="none"/>
        </w:rPr>
        <w:t>电子化、无纸化</w:t>
      </w:r>
      <w:r>
        <w:rPr>
          <w:rFonts w:hint="eastAsia" w:ascii="宋体" w:hAnsi="宋体" w:cs="宋体"/>
          <w:color w:val="auto"/>
          <w:sz w:val="24"/>
          <w:szCs w:val="24"/>
          <w:highlight w:val="none"/>
        </w:rPr>
        <w:t>进行磋商；</w:t>
      </w:r>
    </w:p>
    <w:p w14:paraId="50A0FF2A">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5.2.3响应文件有下列情况之一的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招标人将不予接收：</w:t>
      </w:r>
    </w:p>
    <w:p w14:paraId="14256BFA">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5.2.3.1响应文件递交截止时间后上传的；</w:t>
      </w:r>
    </w:p>
    <w:p w14:paraId="6085EBED">
      <w:pPr>
        <w:autoSpaceDE w:val="0"/>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5.2.4按照响应文件上传顺序进行解密；</w:t>
      </w:r>
    </w:p>
    <w:p w14:paraId="350C6D2D">
      <w:pPr>
        <w:autoSpaceDE w:val="0"/>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5.2.5经确认无误后，按照报送时间顺序确定磋商顺序；</w:t>
      </w:r>
    </w:p>
    <w:p w14:paraId="2FE1693F">
      <w:pPr>
        <w:autoSpaceDE w:val="0"/>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5.2.6磋商时响应人可登录到交易系统中在磋商解密栏中点击磋商一览表查看自己的磋商报价。如对磋商过程有异议的，应在响应人解密成功后20分钟内向中介服务机构电话质疑。</w:t>
      </w:r>
    </w:p>
    <w:p w14:paraId="05703C7D">
      <w:pPr>
        <w:spacing w:line="520" w:lineRule="exact"/>
        <w:ind w:firstLine="482" w:firstLineChars="200"/>
        <w:outlineLvl w:val="1"/>
        <w:rPr>
          <w:rFonts w:hint="eastAsia" w:ascii="宋体" w:hAnsi="宋体" w:cs="宋体"/>
          <w:b/>
          <w:bCs/>
          <w:color w:val="auto"/>
          <w:kern w:val="28"/>
          <w:sz w:val="24"/>
          <w:szCs w:val="24"/>
          <w:highlight w:val="none"/>
        </w:rPr>
      </w:pPr>
      <w:bookmarkStart w:id="54" w:name="_Toc6927"/>
      <w:bookmarkStart w:id="55" w:name="_Toc19133"/>
      <w:bookmarkStart w:id="56" w:name="_Toc10565"/>
      <w:bookmarkStart w:id="57" w:name="_Toc13381"/>
      <w:r>
        <w:rPr>
          <w:rFonts w:hint="eastAsia" w:ascii="宋体" w:hAnsi="宋体" w:cs="宋体"/>
          <w:b/>
          <w:bCs/>
          <w:color w:val="auto"/>
          <w:kern w:val="28"/>
          <w:sz w:val="24"/>
          <w:szCs w:val="24"/>
          <w:highlight w:val="none"/>
        </w:rPr>
        <w:t>6. 磋商细则</w:t>
      </w:r>
      <w:bookmarkEnd w:id="54"/>
      <w:bookmarkEnd w:id="55"/>
      <w:bookmarkEnd w:id="56"/>
      <w:bookmarkEnd w:id="57"/>
    </w:p>
    <w:p w14:paraId="32CB6241">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6.1招标人按照上传响应文件时间的顺序，决定磋商顺序；</w:t>
      </w:r>
    </w:p>
    <w:p w14:paraId="68F62A43">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2F43D5C1">
      <w:pPr>
        <w:spacing w:line="52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6.3本次磋商中，响应文件中的磋商报价为第一次报价。</w:t>
      </w:r>
    </w:p>
    <w:p w14:paraId="3985FB6C">
      <w:pPr>
        <w:spacing w:line="52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6.4响应人可以在磋商小组规定的时间内进行第二次报价，通过交易中心系统以电子形式递交，第二次报价为最终报价。</w:t>
      </w:r>
    </w:p>
    <w:p w14:paraId="33C2C9C6">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6.5本项目采用综合评分法，磋商小组成员综合评审各响应人提交的响应文件，按总得分由高到低的顺序推荐3名成交候选人，并编写评审报告。</w:t>
      </w:r>
    </w:p>
    <w:p w14:paraId="37D7243E">
      <w:pPr>
        <w:spacing w:line="520" w:lineRule="exact"/>
        <w:ind w:firstLine="482" w:firstLineChars="200"/>
        <w:outlineLvl w:val="1"/>
        <w:rPr>
          <w:rFonts w:hint="eastAsia" w:ascii="宋体" w:hAnsi="宋体" w:cs="宋体"/>
          <w:b/>
          <w:bCs/>
          <w:color w:val="auto"/>
          <w:sz w:val="24"/>
          <w:szCs w:val="24"/>
          <w:highlight w:val="none"/>
        </w:rPr>
      </w:pPr>
      <w:bookmarkStart w:id="58" w:name="_Toc25614"/>
      <w:bookmarkStart w:id="59" w:name="_Toc20785"/>
      <w:bookmarkStart w:id="60" w:name="_Toc5850"/>
      <w:bookmarkStart w:id="61" w:name="_Toc15178"/>
      <w:r>
        <w:rPr>
          <w:rFonts w:hint="eastAsia" w:ascii="宋体" w:hAnsi="宋体" w:cs="宋体"/>
          <w:b/>
          <w:bCs/>
          <w:color w:val="auto"/>
          <w:sz w:val="24"/>
          <w:szCs w:val="24"/>
          <w:highlight w:val="none"/>
        </w:rPr>
        <w:t>7、磋商</w:t>
      </w:r>
      <w:bookmarkEnd w:id="58"/>
      <w:bookmarkEnd w:id="59"/>
      <w:bookmarkEnd w:id="60"/>
      <w:bookmarkEnd w:id="61"/>
    </w:p>
    <w:p w14:paraId="74EA704A">
      <w:pPr>
        <w:widowControl/>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7</w:t>
      </w:r>
      <w:r>
        <w:rPr>
          <w:rFonts w:hint="eastAsia" w:ascii="宋体" w:hAnsi="宋体" w:cs="宋体"/>
          <w:color w:val="auto"/>
          <w:sz w:val="24"/>
          <w:szCs w:val="24"/>
          <w:highlight w:val="none"/>
        </w:rPr>
        <w:t>.1磋商小组由招标人依法组建，负责磋商。根据《政府采购竞争性磋商采购方式管理办法》的规定，磋商小组应当履行以下义务：</w:t>
      </w:r>
    </w:p>
    <w:p w14:paraId="60E5BFE9">
      <w:pPr>
        <w:widowControl/>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一）遵纪守法，客观、公正、廉洁地履行职责；</w:t>
      </w:r>
    </w:p>
    <w:p w14:paraId="74ACA9C8">
      <w:pPr>
        <w:widowControl/>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二）根据竞争性磋商文件的规定独立进行评审，对个人的评审意见承担法律责任；</w:t>
      </w:r>
    </w:p>
    <w:p w14:paraId="67C9244B">
      <w:pPr>
        <w:widowControl/>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三）参与磋商报告的起草；</w:t>
      </w:r>
    </w:p>
    <w:p w14:paraId="10FDD6D1">
      <w:pPr>
        <w:widowControl/>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四）配合招标人、</w:t>
      </w:r>
      <w:r>
        <w:rPr>
          <w:rFonts w:hint="eastAsia" w:ascii="宋体" w:hAnsi="宋体" w:cs="宋体"/>
          <w:color w:val="auto"/>
          <w:sz w:val="24"/>
          <w:szCs w:val="24"/>
          <w:highlight w:val="none"/>
          <w:lang w:eastAsia="zh-CN"/>
        </w:rPr>
        <w:t>招标代理服务</w:t>
      </w:r>
      <w:r>
        <w:rPr>
          <w:rFonts w:hint="eastAsia" w:ascii="宋体" w:hAnsi="宋体" w:cs="宋体"/>
          <w:color w:val="auto"/>
          <w:sz w:val="24"/>
          <w:szCs w:val="24"/>
          <w:highlight w:val="none"/>
        </w:rPr>
        <w:t>答复</w:t>
      </w:r>
      <w:r>
        <w:rPr>
          <w:rFonts w:hint="eastAsia" w:ascii="宋体" w:hAnsi="宋体" w:cs="宋体"/>
          <w:color w:val="auto"/>
          <w:sz w:val="24"/>
          <w:szCs w:val="24"/>
          <w:highlight w:val="none"/>
          <w:lang w:eastAsia="zh-CN"/>
        </w:rPr>
        <w:t>响应人</w:t>
      </w:r>
      <w:r>
        <w:rPr>
          <w:rFonts w:hint="eastAsia" w:ascii="宋体" w:hAnsi="宋体" w:cs="宋体"/>
          <w:color w:val="auto"/>
          <w:sz w:val="24"/>
          <w:szCs w:val="24"/>
          <w:highlight w:val="none"/>
        </w:rPr>
        <w:t>提出的质疑；</w:t>
      </w:r>
    </w:p>
    <w:p w14:paraId="7D05A2AE">
      <w:pPr>
        <w:widowControl/>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五）配合财政部门的投诉处理和监督检查工作。</w:t>
      </w:r>
    </w:p>
    <w:p w14:paraId="6A41989E">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7.2磋商小组由有关技术、经济方面的专家组成。磋商小组人数及技术、经济专家的确定方式见</w:t>
      </w:r>
      <w:r>
        <w:rPr>
          <w:rFonts w:hint="eastAsia" w:ascii="宋体" w:hAnsi="宋体" w:cs="宋体"/>
          <w:color w:val="auto"/>
          <w:sz w:val="24"/>
          <w:szCs w:val="24"/>
          <w:highlight w:val="none"/>
          <w:lang w:eastAsia="zh-CN"/>
        </w:rPr>
        <w:t>响应人</w:t>
      </w:r>
      <w:r>
        <w:rPr>
          <w:rFonts w:hint="eastAsia" w:ascii="宋体" w:hAnsi="宋体" w:cs="宋体"/>
          <w:color w:val="auto"/>
          <w:sz w:val="24"/>
          <w:szCs w:val="24"/>
          <w:highlight w:val="none"/>
        </w:rPr>
        <w:t>须知前附表。</w:t>
      </w:r>
    </w:p>
    <w:p w14:paraId="6485BC5A">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 磋商原则</w:t>
      </w:r>
    </w:p>
    <w:p w14:paraId="695B010F">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7.3.1严格按照竞争性磋商文件中的所有相关规定；按照“公平、公正、科学”的原则进行磋商。</w:t>
      </w:r>
    </w:p>
    <w:p w14:paraId="20EA65D2">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7.3.2反对不正当竞争。</w:t>
      </w:r>
    </w:p>
    <w:p w14:paraId="6A4BA47D">
      <w:pPr>
        <w:spacing w:line="520" w:lineRule="exact"/>
        <w:ind w:firstLine="482" w:firstLineChars="200"/>
        <w:outlineLvl w:val="1"/>
        <w:rPr>
          <w:rFonts w:hint="eastAsia" w:ascii="宋体" w:hAnsi="宋体" w:cs="宋体"/>
          <w:b/>
          <w:bCs/>
          <w:color w:val="auto"/>
          <w:sz w:val="24"/>
          <w:szCs w:val="24"/>
          <w:highlight w:val="none"/>
        </w:rPr>
      </w:pPr>
      <w:bookmarkStart w:id="62" w:name="_Toc22456"/>
      <w:bookmarkStart w:id="63" w:name="_Toc23050"/>
      <w:bookmarkStart w:id="64" w:name="_Toc25406"/>
      <w:bookmarkStart w:id="65" w:name="_Toc20144"/>
      <w:r>
        <w:rPr>
          <w:rFonts w:hint="eastAsia" w:ascii="宋体" w:hAnsi="宋体" w:cs="宋体"/>
          <w:b/>
          <w:bCs/>
          <w:color w:val="auto"/>
          <w:sz w:val="24"/>
          <w:szCs w:val="24"/>
          <w:highlight w:val="none"/>
        </w:rPr>
        <w:t>8、磋商过程的保密</w:t>
      </w:r>
      <w:bookmarkEnd w:id="62"/>
      <w:bookmarkEnd w:id="63"/>
      <w:bookmarkEnd w:id="64"/>
      <w:bookmarkEnd w:id="65"/>
    </w:p>
    <w:p w14:paraId="033098E1">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8.1响应文件的审查、澄清、评价和比较的有关资料以及成交候选人的推荐情况，与磋商有关的其他任何情况均应严格保密。</w:t>
      </w:r>
    </w:p>
    <w:p w14:paraId="0A4E196F">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8.2在响应文件的评审和比较、成交候选人推荐以及授予合同的过程中，响应人向招标人和磋商小组施加影响的任何行为，都将会导致其磋商被拒绝。</w:t>
      </w:r>
    </w:p>
    <w:p w14:paraId="330A867E">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8.3招标人不对未成交人就磋商过程以及未能成交原因作出任何解释。未成交人不得向磋商小组成员和其他有关人员索问磋商过程的情况和资料。</w:t>
      </w:r>
    </w:p>
    <w:p w14:paraId="6D060455">
      <w:pPr>
        <w:spacing w:line="520" w:lineRule="exact"/>
        <w:ind w:firstLine="482" w:firstLineChars="200"/>
        <w:outlineLvl w:val="1"/>
        <w:rPr>
          <w:rFonts w:hint="eastAsia" w:ascii="宋体" w:hAnsi="宋体" w:cs="宋体"/>
          <w:b/>
          <w:bCs/>
          <w:color w:val="auto"/>
          <w:sz w:val="24"/>
          <w:szCs w:val="24"/>
          <w:highlight w:val="none"/>
        </w:rPr>
      </w:pPr>
      <w:bookmarkStart w:id="66" w:name="_Toc30476"/>
      <w:bookmarkStart w:id="67" w:name="_Toc10427"/>
      <w:bookmarkStart w:id="68" w:name="_Toc18185"/>
      <w:bookmarkStart w:id="69" w:name="_Toc3997"/>
      <w:r>
        <w:rPr>
          <w:rFonts w:hint="eastAsia" w:ascii="宋体" w:hAnsi="宋体" w:cs="宋体"/>
          <w:b/>
          <w:bCs/>
          <w:color w:val="auto"/>
          <w:sz w:val="24"/>
          <w:szCs w:val="24"/>
          <w:highlight w:val="none"/>
        </w:rPr>
        <w:t>9、响应文件的澄清</w:t>
      </w:r>
      <w:bookmarkEnd w:id="66"/>
      <w:bookmarkEnd w:id="67"/>
      <w:bookmarkEnd w:id="68"/>
      <w:bookmarkEnd w:id="69"/>
    </w:p>
    <w:p w14:paraId="3592CCC0">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160FC9BA">
      <w:pPr>
        <w:spacing w:line="520" w:lineRule="exact"/>
        <w:ind w:firstLine="482" w:firstLineChars="200"/>
        <w:outlineLvl w:val="1"/>
        <w:rPr>
          <w:rFonts w:hint="eastAsia" w:ascii="宋体" w:hAnsi="宋体" w:cs="宋体"/>
          <w:b/>
          <w:bCs/>
          <w:color w:val="auto"/>
          <w:sz w:val="24"/>
          <w:szCs w:val="24"/>
          <w:highlight w:val="none"/>
        </w:rPr>
      </w:pPr>
      <w:bookmarkStart w:id="70" w:name="_Toc29102"/>
      <w:bookmarkStart w:id="71" w:name="_Toc10719"/>
      <w:bookmarkStart w:id="72" w:name="_Toc22926"/>
      <w:bookmarkStart w:id="73" w:name="_Toc28467"/>
      <w:r>
        <w:rPr>
          <w:rFonts w:hint="eastAsia" w:ascii="宋体" w:hAnsi="宋体" w:cs="宋体"/>
          <w:b/>
          <w:bCs/>
          <w:color w:val="auto"/>
          <w:sz w:val="24"/>
          <w:szCs w:val="24"/>
          <w:highlight w:val="none"/>
        </w:rPr>
        <w:t>10、响应文件的初步评审</w:t>
      </w:r>
      <w:bookmarkEnd w:id="70"/>
      <w:bookmarkEnd w:id="71"/>
      <w:bookmarkEnd w:id="72"/>
      <w:bookmarkEnd w:id="73"/>
    </w:p>
    <w:p w14:paraId="0A8B6F44">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10.1根据初步评审要求经审查有效的响应文件，才能提交磋商小组进行评审。</w:t>
      </w:r>
    </w:p>
    <w:p w14:paraId="628BC145">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10.2磋商小组首先评定每份响应文件是否实质上响应了竞争性磋商文件的要求。所谓实质上响应，是指响应文件与竞争性磋商文件的所有实质性条款、条件和要求相符，无显著差异或保留，或者对合同中约定的招标人的权利和响应人的义务方面造成重大的限制，纠正这些差异或保留，将会对其他实质上响应竞争性磋商文件要求的响应人的竞争地位产生不公正的影响。</w:t>
      </w:r>
    </w:p>
    <w:p w14:paraId="38809AC0">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10.3如果响应文件实质上不响应竞争性磋商文件的要求，招标人将予以拒绝，并且不允许响应人通过修改或</w:t>
      </w:r>
      <w:r>
        <w:rPr>
          <w:rFonts w:hint="eastAsia" w:ascii="宋体" w:hAnsi="宋体" w:cs="宋体"/>
          <w:color w:val="auto"/>
          <w:sz w:val="24"/>
          <w:szCs w:val="24"/>
          <w:highlight w:val="none"/>
          <w:lang w:eastAsia="zh-CN"/>
        </w:rPr>
        <w:t>撤销其</w:t>
      </w:r>
      <w:r>
        <w:rPr>
          <w:rFonts w:hint="eastAsia" w:ascii="宋体" w:hAnsi="宋体" w:cs="宋体"/>
          <w:color w:val="auto"/>
          <w:sz w:val="24"/>
          <w:szCs w:val="24"/>
          <w:highlight w:val="none"/>
        </w:rPr>
        <w:t>不符合要求的差异或保留，使之成为具有响应性的磋商。</w:t>
      </w:r>
    </w:p>
    <w:p w14:paraId="2B6CC76D">
      <w:pPr>
        <w:spacing w:line="520" w:lineRule="exact"/>
        <w:ind w:firstLine="482" w:firstLineChars="200"/>
        <w:outlineLvl w:val="1"/>
        <w:rPr>
          <w:rFonts w:hint="eastAsia" w:ascii="宋体" w:hAnsi="宋体" w:cs="宋体"/>
          <w:b/>
          <w:bCs/>
          <w:color w:val="auto"/>
          <w:sz w:val="24"/>
          <w:szCs w:val="24"/>
          <w:highlight w:val="none"/>
        </w:rPr>
      </w:pPr>
      <w:bookmarkStart w:id="74" w:name="_Toc654"/>
      <w:bookmarkStart w:id="75" w:name="_Toc30656"/>
      <w:bookmarkStart w:id="76" w:name="_Toc8534"/>
      <w:bookmarkStart w:id="77" w:name="_Toc13762"/>
      <w:r>
        <w:rPr>
          <w:rFonts w:hint="eastAsia" w:ascii="宋体" w:hAnsi="宋体" w:cs="宋体"/>
          <w:b/>
          <w:bCs/>
          <w:color w:val="auto"/>
          <w:sz w:val="24"/>
          <w:szCs w:val="24"/>
          <w:highlight w:val="none"/>
        </w:rPr>
        <w:t>11.响应文件计算错误的修正</w:t>
      </w:r>
      <w:bookmarkEnd w:id="74"/>
      <w:bookmarkEnd w:id="75"/>
      <w:bookmarkEnd w:id="76"/>
      <w:bookmarkEnd w:id="77"/>
    </w:p>
    <w:p w14:paraId="3022E251">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11.1磋商小组将对确定为实质上响应竞争性磋商文件要求的响应文件进行校核，看其是否有计算或表达上的错误，修正错误的原则如下：</w:t>
      </w:r>
    </w:p>
    <w:p w14:paraId="282287C3">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11.1.1如果数字表示的金额和用文字表示的金额不一致时，应以文字表示的金额为准；</w:t>
      </w:r>
    </w:p>
    <w:p w14:paraId="778F0ADF">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11.1.2当单价与数量的乘积与合价不一致时，以单价为准，除非磋商小组认为单价有明显的小数点错误，此时应以标出的合价为准，并修改单价。</w:t>
      </w:r>
    </w:p>
    <w:p w14:paraId="6C5DCA71">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11.2按上述修正错误的原则及方法调整或修正响应文件的磋商报价，响应人同意后，调整后的磋商报价对响应人起约束作用。如果响应人不接受修正后的报价，则磋商小组对其不再进行评审。</w:t>
      </w:r>
    </w:p>
    <w:p w14:paraId="5E88562C">
      <w:pPr>
        <w:spacing w:line="520" w:lineRule="exact"/>
        <w:ind w:firstLine="482" w:firstLineChars="200"/>
        <w:outlineLvl w:val="1"/>
        <w:rPr>
          <w:rFonts w:hint="eastAsia" w:ascii="宋体" w:hAnsi="宋体" w:cs="宋体"/>
          <w:b/>
          <w:bCs/>
          <w:color w:val="auto"/>
          <w:sz w:val="24"/>
          <w:szCs w:val="24"/>
          <w:highlight w:val="none"/>
        </w:rPr>
      </w:pPr>
      <w:bookmarkStart w:id="78" w:name="_Toc11360"/>
      <w:bookmarkStart w:id="79" w:name="_Toc4749"/>
      <w:bookmarkStart w:id="80" w:name="_Toc1019"/>
      <w:bookmarkStart w:id="81" w:name="_Toc10240"/>
      <w:r>
        <w:rPr>
          <w:rFonts w:hint="eastAsia" w:ascii="宋体" w:hAnsi="宋体" w:cs="宋体"/>
          <w:b/>
          <w:bCs/>
          <w:color w:val="auto"/>
          <w:sz w:val="24"/>
          <w:szCs w:val="24"/>
          <w:highlight w:val="none"/>
        </w:rPr>
        <w:t>12. 响应文件的评审、比较和否决</w:t>
      </w:r>
      <w:bookmarkEnd w:id="78"/>
      <w:bookmarkEnd w:id="79"/>
      <w:bookmarkEnd w:id="80"/>
      <w:bookmarkEnd w:id="81"/>
    </w:p>
    <w:p w14:paraId="126ED043">
      <w:pPr>
        <w:snapToGri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12.1磋商小组仅对在实质上响应竞争性磋商文件要求的响应文件进行评估和比较。</w:t>
      </w:r>
    </w:p>
    <w:p w14:paraId="3B532F52">
      <w:pPr>
        <w:snapToGri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235F6962">
      <w:pPr>
        <w:snapToGri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12.3在首轮磋商的基础上，磋商小组讨论、分析、综合各种因素后，决定是否与各方再次进行磋商。 </w:t>
      </w:r>
    </w:p>
    <w:p w14:paraId="664DA44D">
      <w:pPr>
        <w:spacing w:line="520" w:lineRule="exact"/>
        <w:ind w:firstLine="482" w:firstLineChars="200"/>
        <w:outlineLvl w:val="1"/>
        <w:rPr>
          <w:rFonts w:hint="eastAsia" w:ascii="宋体" w:hAnsi="宋体" w:cs="宋体"/>
          <w:b/>
          <w:bCs/>
          <w:color w:val="auto"/>
          <w:sz w:val="24"/>
          <w:szCs w:val="24"/>
          <w:highlight w:val="none"/>
        </w:rPr>
      </w:pPr>
      <w:bookmarkStart w:id="82" w:name="_Toc25065"/>
      <w:bookmarkStart w:id="83" w:name="_Toc5091"/>
      <w:bookmarkStart w:id="84" w:name="_Toc21637"/>
      <w:bookmarkStart w:id="85" w:name="_Toc8886"/>
      <w:r>
        <w:rPr>
          <w:rFonts w:hint="eastAsia" w:ascii="宋体" w:hAnsi="宋体" w:cs="宋体"/>
          <w:b/>
          <w:bCs/>
          <w:color w:val="auto"/>
          <w:sz w:val="24"/>
          <w:szCs w:val="24"/>
          <w:highlight w:val="none"/>
        </w:rPr>
        <w:t>13、定标</w:t>
      </w:r>
      <w:bookmarkEnd w:id="82"/>
      <w:bookmarkEnd w:id="83"/>
      <w:bookmarkEnd w:id="84"/>
      <w:bookmarkEnd w:id="85"/>
    </w:p>
    <w:p w14:paraId="0FCA9798">
      <w:pPr>
        <w:snapToGri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磋商小组成员综合评审各响应人提交的响应文件，按总得分由高到低的顺序推荐3名成交候选人。</w:t>
      </w:r>
    </w:p>
    <w:p w14:paraId="33232869">
      <w:pPr>
        <w:spacing w:line="520" w:lineRule="exact"/>
        <w:ind w:firstLine="482" w:firstLineChars="200"/>
        <w:outlineLvl w:val="1"/>
        <w:rPr>
          <w:rFonts w:hint="eastAsia" w:ascii="宋体" w:hAnsi="宋体" w:cs="宋体"/>
          <w:b/>
          <w:bCs/>
          <w:color w:val="auto"/>
          <w:sz w:val="24"/>
          <w:szCs w:val="24"/>
          <w:highlight w:val="none"/>
        </w:rPr>
      </w:pPr>
      <w:bookmarkStart w:id="86" w:name="_Toc21707"/>
      <w:bookmarkStart w:id="87" w:name="_Toc31352"/>
      <w:bookmarkStart w:id="88" w:name="_Toc5282"/>
      <w:bookmarkStart w:id="89" w:name="_Toc17361"/>
      <w:r>
        <w:rPr>
          <w:rFonts w:hint="eastAsia" w:ascii="宋体" w:hAnsi="宋体" w:cs="宋体"/>
          <w:b/>
          <w:bCs/>
          <w:color w:val="auto"/>
          <w:sz w:val="24"/>
          <w:szCs w:val="24"/>
          <w:highlight w:val="none"/>
        </w:rPr>
        <w:t>14、合同的授予</w:t>
      </w:r>
      <w:bookmarkEnd w:id="86"/>
      <w:bookmarkEnd w:id="87"/>
      <w:bookmarkEnd w:id="88"/>
      <w:bookmarkEnd w:id="89"/>
    </w:p>
    <w:p w14:paraId="2AE0FA23">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14.1合同授予标准</w:t>
      </w:r>
    </w:p>
    <w:p w14:paraId="10E60D0B">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本磋商项目的合同将授予按本须知办法确定的成交人。</w:t>
      </w:r>
    </w:p>
    <w:p w14:paraId="5DFA570F">
      <w:pPr>
        <w:spacing w:line="520" w:lineRule="exact"/>
        <w:ind w:firstLine="482" w:firstLineChars="200"/>
        <w:outlineLvl w:val="1"/>
        <w:rPr>
          <w:rFonts w:hint="eastAsia" w:ascii="宋体" w:hAnsi="宋体" w:cs="宋体"/>
          <w:b/>
          <w:bCs/>
          <w:color w:val="auto"/>
          <w:sz w:val="24"/>
          <w:szCs w:val="24"/>
          <w:highlight w:val="none"/>
        </w:rPr>
      </w:pPr>
      <w:bookmarkStart w:id="90" w:name="_Toc19301"/>
      <w:bookmarkStart w:id="91" w:name="_Toc16362"/>
      <w:bookmarkStart w:id="92" w:name="_Toc16256"/>
      <w:bookmarkStart w:id="93" w:name="_Toc25273"/>
      <w:r>
        <w:rPr>
          <w:rFonts w:hint="eastAsia" w:ascii="宋体" w:hAnsi="宋体" w:cs="宋体"/>
          <w:b/>
          <w:bCs/>
          <w:color w:val="auto"/>
          <w:sz w:val="24"/>
          <w:szCs w:val="24"/>
          <w:highlight w:val="none"/>
        </w:rPr>
        <w:t>15.成交通知书</w:t>
      </w:r>
      <w:bookmarkEnd w:id="90"/>
      <w:bookmarkEnd w:id="91"/>
      <w:bookmarkEnd w:id="92"/>
      <w:bookmarkEnd w:id="93"/>
    </w:p>
    <w:p w14:paraId="228C553E">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15.l成交人确定后，招标人将向成交人发出成交通知书。</w:t>
      </w:r>
    </w:p>
    <w:p w14:paraId="5ECCA2BD">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15.2成交通知书是合同的组成部分。</w:t>
      </w:r>
    </w:p>
    <w:p w14:paraId="37E4EA67">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15.3招标人将在发出成交通知书的同时，将成交结果通知所有未成交的响应人。</w:t>
      </w:r>
    </w:p>
    <w:p w14:paraId="3AA0E2A5">
      <w:pPr>
        <w:spacing w:line="520" w:lineRule="exact"/>
        <w:ind w:firstLine="482" w:firstLineChars="200"/>
        <w:outlineLvl w:val="1"/>
        <w:rPr>
          <w:rFonts w:hint="eastAsia" w:ascii="宋体" w:hAnsi="宋体" w:cs="宋体"/>
          <w:b/>
          <w:bCs/>
          <w:color w:val="auto"/>
          <w:sz w:val="24"/>
          <w:szCs w:val="24"/>
          <w:highlight w:val="none"/>
        </w:rPr>
      </w:pPr>
      <w:bookmarkStart w:id="94" w:name="_Toc27322"/>
      <w:bookmarkStart w:id="95" w:name="_Toc10464"/>
      <w:bookmarkStart w:id="96" w:name="_Toc21091"/>
      <w:bookmarkStart w:id="97" w:name="_Toc10609"/>
      <w:r>
        <w:rPr>
          <w:rFonts w:hint="eastAsia" w:ascii="宋体" w:hAnsi="宋体" w:cs="宋体"/>
          <w:b/>
          <w:bCs/>
          <w:color w:val="auto"/>
          <w:sz w:val="24"/>
          <w:szCs w:val="24"/>
          <w:highlight w:val="none"/>
        </w:rPr>
        <w:t>16、合同协议书的签订</w:t>
      </w:r>
      <w:bookmarkEnd w:id="94"/>
      <w:bookmarkEnd w:id="95"/>
      <w:bookmarkEnd w:id="96"/>
      <w:bookmarkEnd w:id="97"/>
    </w:p>
    <w:p w14:paraId="1FB3309D">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16.l招标人与成交人将于成交通知书发出后2个工作日内完成合同签订，按照竞争性磋商文件和成交人的响应文件签订合同。</w:t>
      </w:r>
    </w:p>
    <w:p w14:paraId="74F252D7">
      <w:pPr>
        <w:spacing w:line="520" w:lineRule="exact"/>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16.2</w:t>
      </w:r>
      <w:r>
        <w:rPr>
          <w:rFonts w:hint="eastAsia" w:ascii="宋体" w:hAnsi="宋体" w:cs="宋体"/>
          <w:color w:val="auto"/>
          <w:spacing w:val="-3"/>
          <w:sz w:val="24"/>
          <w:szCs w:val="24"/>
          <w:highlight w:val="none"/>
        </w:rPr>
        <w:t>成交人无正当理由拒签合同的</w:t>
      </w:r>
      <w:r>
        <w:rPr>
          <w:rFonts w:hint="eastAsia" w:ascii="宋体" w:hAnsi="宋体" w:cs="宋体"/>
          <w:color w:val="auto"/>
          <w:sz w:val="24"/>
          <w:szCs w:val="24"/>
          <w:highlight w:val="none"/>
        </w:rPr>
        <w:t>，则招标人将废除授标，同时依法承担相应的法律责任。</w:t>
      </w:r>
    </w:p>
    <w:p w14:paraId="1941883C">
      <w:pPr>
        <w:tabs>
          <w:tab w:val="left" w:pos="362"/>
        </w:tabs>
        <w:overflowPunct w:val="0"/>
        <w:adjustRightInd w:val="0"/>
        <w:snapToGrid w:val="0"/>
        <w:spacing w:line="360" w:lineRule="auto"/>
        <w:outlineLvl w:val="1"/>
        <w:rPr>
          <w:rFonts w:hint="eastAsia" w:ascii="宋体" w:hAnsi="宋体" w:cs="宋体"/>
          <w:b/>
          <w:bCs/>
          <w:color w:val="auto"/>
          <w:sz w:val="24"/>
          <w:szCs w:val="24"/>
          <w:highlight w:val="none"/>
        </w:rPr>
      </w:pPr>
      <w:bookmarkStart w:id="98" w:name="_Toc20610"/>
      <w:bookmarkStart w:id="99" w:name="_Toc3113"/>
      <w:bookmarkStart w:id="100" w:name="_Toc6263"/>
      <w:bookmarkStart w:id="101" w:name="_Toc23434"/>
      <w:r>
        <w:rPr>
          <w:rFonts w:hint="eastAsia" w:ascii="宋体" w:hAnsi="宋体" w:cs="宋体"/>
          <w:b/>
          <w:bCs/>
          <w:color w:val="auto"/>
          <w:sz w:val="24"/>
          <w:szCs w:val="24"/>
          <w:highlight w:val="none"/>
        </w:rPr>
        <w:t>17、重新招标</w:t>
      </w:r>
      <w:bookmarkEnd w:id="98"/>
      <w:bookmarkEnd w:id="99"/>
      <w:bookmarkEnd w:id="100"/>
      <w:bookmarkEnd w:id="101"/>
    </w:p>
    <w:p w14:paraId="70D18D12">
      <w:pPr>
        <w:overflowPunct w:val="0"/>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有下列情形之一的，招标人将根据情况决定重新招标或采用其他方式选择中标人。</w:t>
      </w:r>
    </w:p>
    <w:p w14:paraId="439B3768">
      <w:pPr>
        <w:overflowPunct w:val="0"/>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响应截止</w:t>
      </w:r>
      <w:r>
        <w:rPr>
          <w:rFonts w:hint="eastAsia" w:ascii="宋体" w:hAnsi="宋体" w:cs="宋体"/>
          <w:color w:val="auto"/>
          <w:sz w:val="24"/>
          <w:szCs w:val="24"/>
          <w:highlight w:val="none"/>
        </w:rPr>
        <w:t>时间止，</w:t>
      </w:r>
      <w:r>
        <w:rPr>
          <w:rFonts w:hint="eastAsia" w:ascii="宋体" w:hAnsi="宋体" w:cs="宋体"/>
          <w:color w:val="auto"/>
          <w:sz w:val="24"/>
          <w:szCs w:val="24"/>
          <w:highlight w:val="none"/>
          <w:lang w:eastAsia="zh-CN"/>
        </w:rPr>
        <w:t>响应人</w:t>
      </w:r>
      <w:r>
        <w:rPr>
          <w:rFonts w:hint="eastAsia" w:ascii="宋体" w:hAnsi="宋体" w:cs="宋体"/>
          <w:color w:val="auto"/>
          <w:sz w:val="24"/>
          <w:szCs w:val="24"/>
          <w:highlight w:val="none"/>
        </w:rPr>
        <w:t>不足3家的；</w:t>
      </w:r>
    </w:p>
    <w:p w14:paraId="61851B25">
      <w:pPr>
        <w:overflowPunct w:val="0"/>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2）经评标委员会评标后否决所有投标的。</w:t>
      </w:r>
    </w:p>
    <w:p w14:paraId="56EB889E">
      <w:pPr>
        <w:adjustRightInd w:val="0"/>
        <w:snapToGrid w:val="0"/>
        <w:spacing w:line="360" w:lineRule="auto"/>
        <w:jc w:val="left"/>
        <w:outlineLvl w:val="1"/>
        <w:rPr>
          <w:rFonts w:hint="eastAsia" w:ascii="宋体" w:hAnsi="宋体" w:cs="宋体"/>
          <w:b/>
          <w:bCs/>
          <w:color w:val="auto"/>
          <w:sz w:val="24"/>
          <w:szCs w:val="24"/>
          <w:highlight w:val="none"/>
        </w:rPr>
      </w:pPr>
      <w:bookmarkStart w:id="102" w:name="_Toc32548"/>
      <w:bookmarkStart w:id="103" w:name="_Toc30047"/>
      <w:bookmarkStart w:id="104" w:name="_Toc1209"/>
      <w:bookmarkStart w:id="105" w:name="_Toc7155"/>
      <w:r>
        <w:rPr>
          <w:rFonts w:hint="eastAsia" w:ascii="宋体" w:hAnsi="宋体" w:cs="宋体"/>
          <w:b/>
          <w:bCs/>
          <w:color w:val="auto"/>
          <w:sz w:val="24"/>
          <w:szCs w:val="24"/>
          <w:highlight w:val="none"/>
        </w:rPr>
        <w:t>18、不再招标</w:t>
      </w:r>
      <w:bookmarkEnd w:id="102"/>
      <w:bookmarkEnd w:id="103"/>
      <w:bookmarkEnd w:id="104"/>
      <w:bookmarkEnd w:id="105"/>
    </w:p>
    <w:p w14:paraId="4AFEC7FA">
      <w:pPr>
        <w:overflowPunct w:val="0"/>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重新招标后</w:t>
      </w:r>
      <w:r>
        <w:rPr>
          <w:rFonts w:hint="eastAsia" w:ascii="宋体" w:hAnsi="宋体" w:cs="宋体"/>
          <w:color w:val="auto"/>
          <w:sz w:val="24"/>
          <w:szCs w:val="24"/>
          <w:highlight w:val="none"/>
          <w:lang w:eastAsia="zh-CN"/>
        </w:rPr>
        <w:t>响应人</w:t>
      </w:r>
      <w:r>
        <w:rPr>
          <w:rFonts w:hint="eastAsia" w:ascii="宋体" w:hAnsi="宋体" w:cs="宋体"/>
          <w:color w:val="auto"/>
          <w:sz w:val="24"/>
          <w:szCs w:val="24"/>
          <w:highlight w:val="none"/>
        </w:rPr>
        <w:t>仍少于 3 个或者所有投标被否决的，属于按照国家规定需要政府审批的项目，报项目审批或核准部门批准后可以不再进行招标。</w:t>
      </w:r>
    </w:p>
    <w:p w14:paraId="602BBB1C">
      <w:pPr>
        <w:adjustRightInd w:val="0"/>
        <w:snapToGrid w:val="0"/>
        <w:spacing w:line="360" w:lineRule="auto"/>
        <w:jc w:val="left"/>
        <w:outlineLvl w:val="1"/>
        <w:rPr>
          <w:rFonts w:hint="eastAsia" w:ascii="宋体" w:hAnsi="宋体" w:cs="宋体"/>
          <w:b/>
          <w:bCs/>
          <w:color w:val="auto"/>
          <w:sz w:val="24"/>
          <w:szCs w:val="24"/>
          <w:highlight w:val="none"/>
        </w:rPr>
      </w:pPr>
      <w:bookmarkStart w:id="106" w:name="_Toc4460"/>
      <w:bookmarkStart w:id="107" w:name="_Toc3794"/>
      <w:bookmarkStart w:id="108" w:name="_Toc26058"/>
      <w:bookmarkStart w:id="109" w:name="_Toc29156"/>
      <w:r>
        <w:rPr>
          <w:rFonts w:hint="eastAsia" w:ascii="宋体" w:hAnsi="宋体" w:cs="宋体"/>
          <w:b/>
          <w:bCs/>
          <w:color w:val="auto"/>
          <w:sz w:val="24"/>
          <w:szCs w:val="24"/>
          <w:highlight w:val="none"/>
        </w:rPr>
        <w:t>19、对招标人的纪律要求</w:t>
      </w:r>
      <w:bookmarkEnd w:id="106"/>
      <w:bookmarkEnd w:id="107"/>
      <w:bookmarkEnd w:id="108"/>
      <w:bookmarkEnd w:id="109"/>
    </w:p>
    <w:p w14:paraId="199E17F8">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招标人不得</w:t>
      </w:r>
      <w:r>
        <w:rPr>
          <w:rFonts w:hint="eastAsia" w:ascii="宋体" w:hAnsi="宋体" w:cs="宋体"/>
          <w:color w:val="auto"/>
          <w:sz w:val="24"/>
          <w:szCs w:val="24"/>
          <w:highlight w:val="none"/>
          <w:lang w:eastAsia="zh-CN"/>
        </w:rPr>
        <w:t>泄露</w:t>
      </w:r>
      <w:r>
        <w:rPr>
          <w:rFonts w:hint="eastAsia" w:ascii="宋体" w:hAnsi="宋体" w:cs="宋体"/>
          <w:color w:val="auto"/>
          <w:sz w:val="24"/>
          <w:szCs w:val="24"/>
          <w:highlight w:val="none"/>
        </w:rPr>
        <w:t>招标活动中应当保密的情况和资料，不得与</w:t>
      </w:r>
      <w:r>
        <w:rPr>
          <w:rFonts w:hint="eastAsia" w:ascii="宋体" w:hAnsi="宋体" w:cs="宋体"/>
          <w:color w:val="auto"/>
          <w:sz w:val="24"/>
          <w:szCs w:val="24"/>
          <w:highlight w:val="none"/>
          <w:lang w:eastAsia="zh-CN"/>
        </w:rPr>
        <w:t>响应人</w:t>
      </w:r>
      <w:r>
        <w:rPr>
          <w:rFonts w:hint="eastAsia" w:ascii="宋体" w:hAnsi="宋体" w:cs="宋体"/>
          <w:color w:val="auto"/>
          <w:sz w:val="24"/>
          <w:szCs w:val="24"/>
          <w:highlight w:val="none"/>
        </w:rPr>
        <w:t>串通损害国家利益、社会公共利益或者他人合法权益。</w:t>
      </w:r>
    </w:p>
    <w:p w14:paraId="64664DA1">
      <w:pPr>
        <w:tabs>
          <w:tab w:val="left" w:pos="362"/>
        </w:tabs>
        <w:overflowPunct w:val="0"/>
        <w:adjustRightInd w:val="0"/>
        <w:snapToGrid w:val="0"/>
        <w:spacing w:line="360" w:lineRule="auto"/>
        <w:outlineLvl w:val="1"/>
        <w:rPr>
          <w:rFonts w:hint="eastAsia" w:ascii="宋体" w:hAnsi="宋体" w:cs="宋体"/>
          <w:b/>
          <w:bCs/>
          <w:color w:val="auto"/>
          <w:sz w:val="24"/>
          <w:szCs w:val="24"/>
          <w:highlight w:val="none"/>
        </w:rPr>
      </w:pPr>
      <w:bookmarkStart w:id="110" w:name="_Toc22609"/>
      <w:bookmarkStart w:id="111" w:name="_Toc7556"/>
      <w:bookmarkStart w:id="112" w:name="_Toc8959"/>
      <w:bookmarkStart w:id="113" w:name="_Toc19217"/>
      <w:r>
        <w:rPr>
          <w:rFonts w:hint="eastAsia" w:ascii="宋体" w:hAnsi="宋体" w:cs="宋体"/>
          <w:b/>
          <w:bCs/>
          <w:color w:val="auto"/>
          <w:sz w:val="24"/>
          <w:szCs w:val="24"/>
          <w:highlight w:val="none"/>
        </w:rPr>
        <w:t>20、对</w:t>
      </w:r>
      <w:r>
        <w:rPr>
          <w:rFonts w:hint="eastAsia" w:ascii="宋体" w:hAnsi="宋体" w:cs="宋体"/>
          <w:b/>
          <w:bCs/>
          <w:color w:val="auto"/>
          <w:sz w:val="24"/>
          <w:szCs w:val="24"/>
          <w:highlight w:val="none"/>
          <w:lang w:eastAsia="zh-CN"/>
        </w:rPr>
        <w:t>响应人</w:t>
      </w:r>
      <w:r>
        <w:rPr>
          <w:rFonts w:hint="eastAsia" w:ascii="宋体" w:hAnsi="宋体" w:cs="宋体"/>
          <w:b/>
          <w:bCs/>
          <w:color w:val="auto"/>
          <w:sz w:val="24"/>
          <w:szCs w:val="24"/>
          <w:highlight w:val="none"/>
        </w:rPr>
        <w:t>的纪律要求</w:t>
      </w:r>
      <w:bookmarkEnd w:id="110"/>
      <w:bookmarkEnd w:id="111"/>
      <w:bookmarkEnd w:id="112"/>
      <w:bookmarkEnd w:id="113"/>
    </w:p>
    <w:p w14:paraId="27696A7E">
      <w:pPr>
        <w:adjustRightInd w:val="0"/>
        <w:snapToGrid w:val="0"/>
        <w:spacing w:line="360" w:lineRule="auto"/>
        <w:ind w:firstLine="480" w:firstLineChars="200"/>
        <w:jc w:val="left"/>
        <w:rPr>
          <w:rFonts w:hint="eastAsia" w:ascii="宋体" w:hAnsi="宋体" w:cs="宋体"/>
          <w:color w:val="auto"/>
          <w:szCs w:val="24"/>
          <w:highlight w:val="none"/>
        </w:rPr>
      </w:pPr>
      <w:r>
        <w:rPr>
          <w:rFonts w:hint="eastAsia" w:ascii="宋体" w:hAnsi="宋体" w:cs="宋体"/>
          <w:color w:val="auto"/>
          <w:sz w:val="24"/>
          <w:szCs w:val="24"/>
          <w:highlight w:val="none"/>
          <w:lang w:eastAsia="zh-CN"/>
        </w:rPr>
        <w:t>响应人</w:t>
      </w:r>
      <w:r>
        <w:rPr>
          <w:rFonts w:hint="eastAsia" w:ascii="宋体" w:hAnsi="宋体" w:cs="宋体"/>
          <w:color w:val="auto"/>
          <w:sz w:val="24"/>
          <w:szCs w:val="24"/>
          <w:highlight w:val="none"/>
        </w:rPr>
        <w:t>不得相互串通投标或者与招标人串通投标，不得向招标人或者评标委员会成员行贿谋取中不得以他人名义投标或者以其他方式弄虚作假骗取中标；</w:t>
      </w:r>
      <w:r>
        <w:rPr>
          <w:rFonts w:hint="eastAsia" w:ascii="宋体" w:hAnsi="宋体" w:cs="宋体"/>
          <w:color w:val="auto"/>
          <w:sz w:val="24"/>
          <w:szCs w:val="24"/>
          <w:highlight w:val="none"/>
          <w:lang w:eastAsia="zh-CN"/>
        </w:rPr>
        <w:t>响应人</w:t>
      </w:r>
      <w:r>
        <w:rPr>
          <w:rFonts w:hint="eastAsia" w:ascii="宋体" w:hAnsi="宋体" w:cs="宋体"/>
          <w:color w:val="auto"/>
          <w:sz w:val="24"/>
          <w:szCs w:val="24"/>
          <w:highlight w:val="none"/>
        </w:rPr>
        <w:t>不得以任何方式干扰、影响评标工作。</w:t>
      </w:r>
    </w:p>
    <w:p w14:paraId="6C436C33">
      <w:pPr>
        <w:tabs>
          <w:tab w:val="left" w:pos="362"/>
        </w:tabs>
        <w:overflowPunct w:val="0"/>
        <w:adjustRightInd w:val="0"/>
        <w:snapToGrid w:val="0"/>
        <w:spacing w:line="360" w:lineRule="auto"/>
        <w:outlineLvl w:val="1"/>
        <w:rPr>
          <w:rFonts w:hint="eastAsia" w:ascii="宋体" w:hAnsi="宋体" w:cs="宋体"/>
          <w:b/>
          <w:bCs/>
          <w:color w:val="auto"/>
          <w:sz w:val="24"/>
          <w:szCs w:val="24"/>
          <w:highlight w:val="none"/>
        </w:rPr>
      </w:pPr>
      <w:bookmarkStart w:id="114" w:name="_Toc27697"/>
      <w:bookmarkStart w:id="115" w:name="_Toc6702"/>
      <w:bookmarkStart w:id="116" w:name="_Toc21450"/>
      <w:bookmarkStart w:id="117" w:name="_Toc6718"/>
      <w:r>
        <w:rPr>
          <w:rFonts w:hint="eastAsia" w:ascii="宋体" w:hAnsi="宋体" w:cs="宋体"/>
          <w:b/>
          <w:bCs/>
          <w:color w:val="auto"/>
          <w:sz w:val="24"/>
          <w:szCs w:val="24"/>
          <w:highlight w:val="none"/>
        </w:rPr>
        <w:t>21、对评标委员会成员的纪律要求</w:t>
      </w:r>
      <w:bookmarkEnd w:id="114"/>
      <w:bookmarkEnd w:id="115"/>
      <w:bookmarkEnd w:id="116"/>
      <w:bookmarkEnd w:id="117"/>
    </w:p>
    <w:p w14:paraId="3B8E6E96">
      <w:pPr>
        <w:overflowPunct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评标委员会成员不得收受他人的财物或者其他好处，不得向他人透漏对</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文件的评标和比较、中标候选人的推荐情况以及评标有关的其他情况。在评标活动中，评标委员会成员不得擅离职守，影响评标程序正常进行，不得使用第三章“评标办法”没有规定的评标因素和标准进行评标。</w:t>
      </w:r>
    </w:p>
    <w:p w14:paraId="4FC17765">
      <w:pPr>
        <w:adjustRightInd w:val="0"/>
        <w:snapToGrid w:val="0"/>
        <w:spacing w:line="360" w:lineRule="auto"/>
        <w:jc w:val="left"/>
        <w:outlineLvl w:val="1"/>
        <w:rPr>
          <w:rFonts w:hint="eastAsia" w:ascii="宋体" w:hAnsi="宋体" w:cs="宋体"/>
          <w:b/>
          <w:bCs/>
          <w:color w:val="auto"/>
          <w:sz w:val="24"/>
          <w:szCs w:val="24"/>
          <w:highlight w:val="none"/>
        </w:rPr>
      </w:pPr>
      <w:bookmarkStart w:id="118" w:name="_Toc6504"/>
      <w:bookmarkStart w:id="119" w:name="_Toc19750"/>
      <w:bookmarkStart w:id="120" w:name="_Toc20809"/>
      <w:bookmarkStart w:id="121" w:name="_Toc23229"/>
      <w:r>
        <w:rPr>
          <w:rFonts w:hint="eastAsia" w:ascii="宋体" w:hAnsi="宋体" w:cs="宋体"/>
          <w:b/>
          <w:bCs/>
          <w:color w:val="auto"/>
          <w:sz w:val="24"/>
          <w:szCs w:val="24"/>
          <w:highlight w:val="none"/>
        </w:rPr>
        <w:t>22、对与评标活动有关的工作人员的纪律要求</w:t>
      </w:r>
      <w:bookmarkEnd w:id="118"/>
      <w:bookmarkEnd w:id="119"/>
      <w:bookmarkEnd w:id="120"/>
      <w:bookmarkEnd w:id="121"/>
    </w:p>
    <w:p w14:paraId="1A7A91E2">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与评标活动有关的工作人员不得收受他人的财物或者其他好处，不得向他人透漏对</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文件的评标和比较、中标候选人的推荐情况以及评标有关的其他情况。在评标活动中，与评标活动有关的工作人员不得擅离职守，影响评标程序正常进行。</w:t>
      </w:r>
    </w:p>
    <w:p w14:paraId="31712732">
      <w:pPr>
        <w:adjustRightInd w:val="0"/>
        <w:snapToGrid w:val="0"/>
        <w:spacing w:line="360" w:lineRule="auto"/>
        <w:jc w:val="left"/>
        <w:outlineLvl w:val="1"/>
        <w:rPr>
          <w:rFonts w:hint="eastAsia" w:ascii="宋体" w:hAnsi="宋体" w:cs="宋体"/>
          <w:color w:val="auto"/>
          <w:sz w:val="24"/>
          <w:szCs w:val="24"/>
          <w:highlight w:val="none"/>
        </w:rPr>
      </w:pPr>
      <w:bookmarkStart w:id="122" w:name="_Toc11398"/>
      <w:bookmarkStart w:id="123" w:name="_Toc12012"/>
      <w:bookmarkStart w:id="124" w:name="_Toc28844"/>
      <w:bookmarkStart w:id="125" w:name="_Toc5592"/>
      <w:r>
        <w:rPr>
          <w:rFonts w:hint="eastAsia" w:ascii="宋体" w:hAnsi="宋体" w:cs="宋体"/>
          <w:b/>
          <w:bCs/>
          <w:color w:val="auto"/>
          <w:sz w:val="24"/>
          <w:szCs w:val="24"/>
          <w:highlight w:val="none"/>
        </w:rPr>
        <w:t>23、投诉</w:t>
      </w:r>
      <w:bookmarkEnd w:id="122"/>
      <w:bookmarkEnd w:id="123"/>
      <w:bookmarkEnd w:id="124"/>
      <w:bookmarkEnd w:id="125"/>
    </w:p>
    <w:p w14:paraId="50FC3B6A">
      <w:pPr>
        <w:adjustRightInd w:val="0"/>
        <w:snapToGrid w:val="0"/>
        <w:spacing w:line="360" w:lineRule="auto"/>
        <w:ind w:firstLine="480" w:firstLineChars="200"/>
        <w:jc w:val="left"/>
        <w:rPr>
          <w:rFonts w:hint="eastAsia" w:ascii="宋体" w:hAnsi="宋体" w:cs="宋体"/>
          <w:color w:val="auto"/>
          <w:szCs w:val="24"/>
          <w:highlight w:val="none"/>
        </w:rPr>
      </w:pPr>
      <w:r>
        <w:rPr>
          <w:rFonts w:hint="eastAsia" w:ascii="宋体" w:hAnsi="宋体" w:cs="宋体"/>
          <w:color w:val="auto"/>
          <w:sz w:val="24"/>
          <w:szCs w:val="24"/>
          <w:highlight w:val="none"/>
          <w:lang w:eastAsia="zh-CN"/>
        </w:rPr>
        <w:t>响应人</w:t>
      </w:r>
      <w:r>
        <w:rPr>
          <w:rFonts w:hint="eastAsia" w:ascii="宋体" w:hAnsi="宋体" w:cs="宋体"/>
          <w:color w:val="auto"/>
          <w:sz w:val="24"/>
          <w:szCs w:val="24"/>
          <w:highlight w:val="none"/>
        </w:rPr>
        <w:t>和其他利害关系人认为本次招标活动违反法律、法规和规章规定的，有权向有关行政监督部门投诉。</w:t>
      </w:r>
    </w:p>
    <w:p w14:paraId="3B2A548D">
      <w:pPr>
        <w:tabs>
          <w:tab w:val="left" w:pos="312"/>
        </w:tabs>
        <w:spacing w:line="360" w:lineRule="auto"/>
        <w:outlineLvl w:val="1"/>
        <w:rPr>
          <w:rFonts w:hint="eastAsia" w:ascii="宋体" w:hAnsi="宋体" w:cs="宋体"/>
          <w:b/>
          <w:color w:val="auto"/>
          <w:sz w:val="24"/>
          <w:szCs w:val="24"/>
          <w:highlight w:val="none"/>
        </w:rPr>
      </w:pPr>
      <w:bookmarkStart w:id="126" w:name="_Toc13426"/>
      <w:bookmarkStart w:id="127" w:name="_Toc8983_WPSOffice_Level2"/>
      <w:bookmarkStart w:id="128" w:name="_Toc25351"/>
      <w:bookmarkStart w:id="129" w:name="_Toc19679"/>
      <w:bookmarkStart w:id="130" w:name="_Toc18108"/>
      <w:r>
        <w:rPr>
          <w:rFonts w:hint="eastAsia" w:ascii="宋体" w:hAnsi="宋体" w:cs="宋体"/>
          <w:b/>
          <w:color w:val="auto"/>
          <w:sz w:val="24"/>
          <w:szCs w:val="24"/>
          <w:highlight w:val="none"/>
        </w:rPr>
        <w:t>24、需要补充的其他内容</w:t>
      </w:r>
      <w:bookmarkEnd w:id="126"/>
      <w:bookmarkEnd w:id="127"/>
      <w:bookmarkEnd w:id="128"/>
      <w:bookmarkEnd w:id="129"/>
      <w:bookmarkEnd w:id="130"/>
    </w:p>
    <w:p w14:paraId="5E9435C0">
      <w:pPr>
        <w:adjustRightInd w:val="0"/>
        <w:snapToGrid w:val="0"/>
        <w:spacing w:line="360" w:lineRule="auto"/>
        <w:ind w:firstLine="480" w:firstLineChars="200"/>
        <w:jc w:val="left"/>
        <w:rPr>
          <w:rFonts w:hint="eastAsia"/>
          <w:color w:val="auto"/>
          <w:szCs w:val="24"/>
          <w:highlight w:val="none"/>
        </w:rPr>
      </w:pPr>
      <w:r>
        <w:rPr>
          <w:rFonts w:hint="eastAsia" w:ascii="宋体" w:hAnsi="宋体" w:cs="宋体"/>
          <w:color w:val="auto"/>
          <w:sz w:val="24"/>
          <w:szCs w:val="24"/>
          <w:highlight w:val="none"/>
        </w:rPr>
        <w:t>需要补充的其他内容：见</w:t>
      </w:r>
      <w:r>
        <w:rPr>
          <w:rFonts w:hint="eastAsia" w:ascii="宋体" w:hAnsi="宋体" w:cs="宋体"/>
          <w:color w:val="auto"/>
          <w:sz w:val="24"/>
          <w:szCs w:val="24"/>
          <w:highlight w:val="none"/>
          <w:lang w:eastAsia="zh-CN"/>
        </w:rPr>
        <w:t>响应人</w:t>
      </w:r>
      <w:r>
        <w:rPr>
          <w:rFonts w:hint="eastAsia" w:ascii="宋体" w:hAnsi="宋体" w:cs="宋体"/>
          <w:color w:val="auto"/>
          <w:sz w:val="24"/>
          <w:szCs w:val="24"/>
          <w:highlight w:val="none"/>
        </w:rPr>
        <w:t>须知前附表。</w:t>
      </w:r>
    </w:p>
    <w:p w14:paraId="5C7E1E29">
      <w:pPr>
        <w:jc w:val="center"/>
        <w:outlineLvl w:val="0"/>
        <w:rPr>
          <w:rFonts w:hint="eastAsia" w:ascii="宋体" w:hAnsi="宋体" w:cs="宋体"/>
          <w:b/>
          <w:bCs/>
          <w:color w:val="auto"/>
          <w:sz w:val="36"/>
          <w:szCs w:val="36"/>
          <w:highlight w:val="none"/>
        </w:rPr>
      </w:pPr>
      <w:r>
        <w:rPr>
          <w:b/>
          <w:bCs/>
          <w:color w:val="auto"/>
          <w:sz w:val="24"/>
          <w:szCs w:val="24"/>
          <w:highlight w:val="none"/>
        </w:rPr>
        <w:br w:type="page"/>
      </w:r>
      <w:bookmarkStart w:id="131" w:name="_Toc23848"/>
      <w:bookmarkStart w:id="132" w:name="_Toc5077"/>
      <w:bookmarkStart w:id="133" w:name="_Toc19175"/>
      <w:bookmarkStart w:id="134" w:name="_Toc5098"/>
      <w:bookmarkStart w:id="135" w:name="_Toc136"/>
      <w:r>
        <w:rPr>
          <w:rFonts w:hint="eastAsia"/>
          <w:b/>
          <w:bCs/>
          <w:color w:val="auto"/>
          <w:sz w:val="36"/>
          <w:szCs w:val="36"/>
          <w:highlight w:val="none"/>
        </w:rPr>
        <w:t>第三章  磋商办法</w:t>
      </w:r>
      <w:bookmarkEnd w:id="131"/>
      <w:bookmarkEnd w:id="132"/>
      <w:bookmarkEnd w:id="133"/>
      <w:bookmarkEnd w:id="134"/>
      <w:bookmarkEnd w:id="135"/>
    </w:p>
    <w:p w14:paraId="2EF7A052">
      <w:pPr>
        <w:numPr>
          <w:ilvl w:val="0"/>
          <w:numId w:val="2"/>
        </w:num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bCs/>
          <w:color w:val="auto"/>
          <w:kern w:val="0"/>
          <w:sz w:val="24"/>
          <w:szCs w:val="24"/>
          <w:highlight w:val="none"/>
        </w:rPr>
        <w:t>本次磋商采用综合评分法：</w:t>
      </w:r>
      <w:r>
        <w:rPr>
          <w:rFonts w:hint="eastAsia" w:ascii="宋体" w:hAnsi="宋体" w:cs="宋体"/>
          <w:color w:val="auto"/>
          <w:sz w:val="24"/>
          <w:szCs w:val="24"/>
          <w:highlight w:val="none"/>
        </w:rPr>
        <w:t>磋商小组对满足竞争性磋商文件实质性要求和提交最终报价的响应文件，按本章节规定的评分标准进行综合评分，并按得分由高到低顺序推荐3名成交候选人。</w:t>
      </w:r>
      <w:bookmarkStart w:id="136" w:name="_Toc28030"/>
      <w:bookmarkEnd w:id="136"/>
      <w:bookmarkStart w:id="137" w:name="_Toc19618"/>
      <w:bookmarkEnd w:id="137"/>
      <w:bookmarkStart w:id="138" w:name="_Toc179632619"/>
      <w:bookmarkEnd w:id="138"/>
      <w:bookmarkStart w:id="139" w:name="_Toc29880"/>
    </w:p>
    <w:p w14:paraId="573DB39E">
      <w:pPr>
        <w:spacing w:line="520" w:lineRule="exact"/>
        <w:ind w:firstLine="482" w:firstLineChars="200"/>
        <w:outlineLvl w:val="1"/>
        <w:rPr>
          <w:rFonts w:hint="eastAsia" w:ascii="宋体" w:hAnsi="宋体" w:cs="宋体"/>
          <w:b/>
          <w:bCs/>
          <w:color w:val="auto"/>
          <w:sz w:val="24"/>
          <w:szCs w:val="24"/>
          <w:highlight w:val="none"/>
        </w:rPr>
      </w:pPr>
      <w:bookmarkStart w:id="140" w:name="_Toc8271"/>
      <w:bookmarkStart w:id="141" w:name="_Toc22179"/>
      <w:bookmarkStart w:id="142" w:name="_Toc21679"/>
      <w:bookmarkStart w:id="143" w:name="_Toc19230"/>
      <w:r>
        <w:rPr>
          <w:rFonts w:hint="eastAsia" w:ascii="宋体" w:hAnsi="宋体" w:cs="宋体"/>
          <w:b/>
          <w:bCs/>
          <w:color w:val="auto"/>
          <w:sz w:val="24"/>
          <w:szCs w:val="24"/>
          <w:highlight w:val="none"/>
        </w:rPr>
        <w:t>2. 评审标准</w:t>
      </w:r>
      <w:bookmarkEnd w:id="139"/>
      <w:bookmarkEnd w:id="140"/>
      <w:bookmarkEnd w:id="141"/>
      <w:bookmarkEnd w:id="142"/>
      <w:bookmarkEnd w:id="143"/>
    </w:p>
    <w:p w14:paraId="5E421257">
      <w:pPr>
        <w:spacing w:line="520" w:lineRule="exact"/>
        <w:ind w:firstLine="420" w:firstLineChars="175"/>
        <w:rPr>
          <w:rFonts w:hint="eastAsia" w:ascii="宋体" w:hAnsi="宋体" w:cs="宋体"/>
          <w:color w:val="auto"/>
          <w:sz w:val="24"/>
          <w:szCs w:val="24"/>
          <w:highlight w:val="none"/>
        </w:rPr>
      </w:pPr>
      <w:bookmarkStart w:id="144" w:name="_Toc179632620"/>
      <w:bookmarkEnd w:id="144"/>
      <w:bookmarkStart w:id="145" w:name="_Toc12931"/>
      <w:bookmarkEnd w:id="145"/>
      <w:bookmarkStart w:id="146" w:name="_Toc23196"/>
      <w:bookmarkEnd w:id="146"/>
      <w:bookmarkStart w:id="147" w:name="_Toc31847"/>
      <w:bookmarkEnd w:id="147"/>
      <w:r>
        <w:rPr>
          <w:rFonts w:hint="eastAsia" w:ascii="宋体" w:hAnsi="宋体" w:cs="宋体"/>
          <w:color w:val="auto"/>
          <w:sz w:val="24"/>
          <w:szCs w:val="24"/>
          <w:highlight w:val="none"/>
        </w:rPr>
        <w:t>2.1 初步评审标准</w:t>
      </w:r>
    </w:p>
    <w:p w14:paraId="7C6B535B">
      <w:pPr>
        <w:spacing w:line="52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2.1.1 形式评审标准：见磋商办法前附表。</w:t>
      </w:r>
    </w:p>
    <w:p w14:paraId="2C5A00D0">
      <w:pPr>
        <w:spacing w:line="52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2.1.2 资格评审标准：见磋商办法前附表。</w:t>
      </w:r>
    </w:p>
    <w:p w14:paraId="4E925506">
      <w:pPr>
        <w:spacing w:line="520" w:lineRule="exact"/>
        <w:ind w:firstLine="420" w:firstLineChars="175"/>
        <w:rPr>
          <w:rFonts w:hint="eastAsia" w:ascii="宋体" w:hAnsi="宋体" w:cs="宋体"/>
          <w:color w:val="auto"/>
          <w:sz w:val="24"/>
          <w:szCs w:val="24"/>
          <w:highlight w:val="none"/>
        </w:rPr>
      </w:pPr>
      <w:bookmarkStart w:id="148" w:name="_Toc607"/>
      <w:bookmarkEnd w:id="148"/>
      <w:bookmarkStart w:id="149" w:name="_Toc16603"/>
      <w:bookmarkEnd w:id="149"/>
      <w:bookmarkStart w:id="150" w:name="_Toc179632621"/>
      <w:bookmarkEnd w:id="150"/>
      <w:bookmarkStart w:id="151" w:name="_Toc11804"/>
      <w:bookmarkEnd w:id="151"/>
      <w:r>
        <w:rPr>
          <w:rFonts w:hint="eastAsia" w:ascii="宋体" w:hAnsi="宋体" w:cs="宋体"/>
          <w:color w:val="auto"/>
          <w:sz w:val="24"/>
          <w:szCs w:val="24"/>
          <w:highlight w:val="none"/>
        </w:rPr>
        <w:t>2.1.3 响应性评审标准：见磋商办法前附表。</w:t>
      </w:r>
    </w:p>
    <w:p w14:paraId="51642409">
      <w:pPr>
        <w:spacing w:line="52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2.2 分值构成与评分标准</w:t>
      </w:r>
    </w:p>
    <w:p w14:paraId="42111E16">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 分值构成</w:t>
      </w:r>
    </w:p>
    <w:p w14:paraId="4B5819A5">
      <w:pPr>
        <w:spacing w:line="52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报价的权重占</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w:t>
      </w:r>
    </w:p>
    <w:p w14:paraId="3340CF7B">
      <w:pPr>
        <w:spacing w:line="52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2）技术标的权重占</w:t>
      </w:r>
      <w:r>
        <w:rPr>
          <w:rFonts w:hint="eastAsia" w:ascii="宋体" w:hAnsi="宋体" w:cs="宋体"/>
          <w:color w:val="auto"/>
          <w:sz w:val="24"/>
          <w:szCs w:val="24"/>
          <w:highlight w:val="none"/>
          <w:lang w:val="en-US" w:eastAsia="zh-CN"/>
        </w:rPr>
        <w:t>55</w:t>
      </w:r>
      <w:r>
        <w:rPr>
          <w:rFonts w:hint="eastAsia" w:ascii="宋体" w:hAnsi="宋体" w:cs="宋体"/>
          <w:color w:val="auto"/>
          <w:sz w:val="24"/>
          <w:szCs w:val="24"/>
          <w:highlight w:val="none"/>
        </w:rPr>
        <w:t>%</w:t>
      </w:r>
    </w:p>
    <w:p w14:paraId="23AEF477">
      <w:pPr>
        <w:spacing w:line="52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3）综合标的权重占</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w:t>
      </w:r>
    </w:p>
    <w:p w14:paraId="2A4B66EE">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  评分标准：见磋商办法前附表。</w:t>
      </w:r>
      <w:bookmarkStart w:id="152" w:name="_Toc179632622"/>
      <w:bookmarkEnd w:id="152"/>
      <w:bookmarkStart w:id="153" w:name="_Toc25534"/>
      <w:bookmarkEnd w:id="153"/>
      <w:bookmarkStart w:id="154" w:name="_Toc152045604"/>
      <w:bookmarkEnd w:id="154"/>
      <w:bookmarkStart w:id="155" w:name="_Toc13158"/>
      <w:bookmarkEnd w:id="155"/>
      <w:bookmarkStart w:id="156" w:name="_Toc144974571"/>
      <w:bookmarkEnd w:id="156"/>
      <w:bookmarkStart w:id="157" w:name="_Toc11715"/>
      <w:bookmarkEnd w:id="157"/>
      <w:bookmarkStart w:id="158" w:name="_Toc152042381"/>
    </w:p>
    <w:p w14:paraId="64A75DFC">
      <w:pPr>
        <w:spacing w:line="520" w:lineRule="exact"/>
        <w:ind w:firstLine="482" w:firstLineChars="200"/>
        <w:outlineLvl w:val="1"/>
        <w:rPr>
          <w:rFonts w:hint="eastAsia" w:ascii="宋体" w:hAnsi="宋体" w:cs="宋体"/>
          <w:b/>
          <w:bCs/>
          <w:color w:val="auto"/>
          <w:sz w:val="24"/>
          <w:szCs w:val="24"/>
          <w:highlight w:val="none"/>
        </w:rPr>
      </w:pPr>
      <w:bookmarkStart w:id="159" w:name="_Toc11114"/>
      <w:bookmarkStart w:id="160" w:name="_Toc6079"/>
      <w:bookmarkStart w:id="161" w:name="_Toc29942"/>
      <w:bookmarkStart w:id="162" w:name="_Toc8705"/>
      <w:r>
        <w:rPr>
          <w:rFonts w:hint="eastAsia" w:ascii="宋体" w:hAnsi="宋体" w:cs="宋体"/>
          <w:b/>
          <w:bCs/>
          <w:color w:val="auto"/>
          <w:sz w:val="24"/>
          <w:szCs w:val="24"/>
          <w:highlight w:val="none"/>
        </w:rPr>
        <w:t>3. 磋商程序</w:t>
      </w:r>
      <w:bookmarkEnd w:id="158"/>
      <w:bookmarkEnd w:id="159"/>
      <w:bookmarkEnd w:id="160"/>
      <w:bookmarkEnd w:id="161"/>
      <w:bookmarkEnd w:id="162"/>
    </w:p>
    <w:p w14:paraId="4FB3E8E5">
      <w:pPr>
        <w:spacing w:line="520" w:lineRule="exact"/>
        <w:ind w:firstLine="480" w:firstLineChars="200"/>
        <w:rPr>
          <w:rFonts w:hint="eastAsia" w:ascii="宋体" w:hAnsi="宋体" w:cs="宋体"/>
          <w:color w:val="auto"/>
          <w:sz w:val="24"/>
          <w:szCs w:val="24"/>
          <w:highlight w:val="none"/>
        </w:rPr>
      </w:pPr>
      <w:bookmarkStart w:id="163" w:name="_Toc144974572"/>
      <w:bookmarkEnd w:id="163"/>
      <w:bookmarkStart w:id="164" w:name="_Toc8644"/>
      <w:bookmarkEnd w:id="164"/>
      <w:bookmarkStart w:id="165" w:name="_Toc31010"/>
      <w:bookmarkEnd w:id="165"/>
      <w:bookmarkStart w:id="166" w:name="_Toc30372"/>
      <w:bookmarkEnd w:id="166"/>
      <w:bookmarkStart w:id="167" w:name="_Toc152042382"/>
      <w:bookmarkEnd w:id="167"/>
      <w:bookmarkStart w:id="168" w:name="_Toc152045605"/>
      <w:bookmarkEnd w:id="168"/>
      <w:bookmarkStart w:id="169" w:name="_Toc179632623"/>
      <w:r>
        <w:rPr>
          <w:rFonts w:hint="eastAsia" w:ascii="宋体" w:hAnsi="宋体" w:cs="宋体"/>
          <w:color w:val="auto"/>
          <w:sz w:val="24"/>
          <w:szCs w:val="24"/>
          <w:highlight w:val="none"/>
        </w:rPr>
        <w:t>3.1 初步评审</w:t>
      </w:r>
      <w:bookmarkEnd w:id="169"/>
    </w:p>
    <w:p w14:paraId="71B1BE64">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3.1.1 磋商小组依据本章规定的评审标准对响应文件进行初步评审。有一项不符合评审标准的，其磋商将被否决。</w:t>
      </w:r>
    </w:p>
    <w:p w14:paraId="02FF9AF2">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响应人有以下情形之一的，其磋商作无效标处理：</w:t>
      </w:r>
    </w:p>
    <w:p w14:paraId="5C5DB5D8">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1）串通磋商或弄虚作假或有其他违法行为的；</w:t>
      </w:r>
    </w:p>
    <w:p w14:paraId="0A0E73E8">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2）不按磋商小组要求澄清、说明</w:t>
      </w:r>
      <w:r>
        <w:rPr>
          <w:rFonts w:hint="eastAsia" w:ascii="宋体" w:hAnsi="宋体" w:eastAsia="宋体" w:cs="宋体"/>
          <w:color w:val="auto"/>
          <w:sz w:val="24"/>
          <w:szCs w:val="24"/>
          <w:highlight w:val="none"/>
        </w:rPr>
        <w:t>或补正的。</w:t>
      </w:r>
    </w:p>
    <w:p w14:paraId="6827D234">
      <w:pPr>
        <w:spacing w:line="52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竞争性磋商公告内“响应人资格条件”需提供相应的证明材料或自行承诺书。</w:t>
      </w:r>
    </w:p>
    <w:p w14:paraId="1EAD2A11">
      <w:pPr>
        <w:spacing w:line="520" w:lineRule="exact"/>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磋商报价有算术错误的，磋商小组按以下原则对磋商报价进行修正，修正的价格经响应人书面确认后具有约束力。响应人</w:t>
      </w:r>
      <w:r>
        <w:rPr>
          <w:rFonts w:hint="eastAsia" w:ascii="宋体" w:hAnsi="宋体" w:cs="宋体"/>
          <w:color w:val="auto"/>
          <w:sz w:val="24"/>
          <w:szCs w:val="24"/>
          <w:highlight w:val="none"/>
        </w:rPr>
        <w:t>不接受修正价格的，其磋商将被否决。</w:t>
      </w:r>
    </w:p>
    <w:p w14:paraId="57C61FA4">
      <w:pPr>
        <w:spacing w:line="520" w:lineRule="exact"/>
        <w:ind w:firstLine="480" w:firstLineChars="200"/>
        <w:rPr>
          <w:rFonts w:hint="eastAsia" w:ascii="宋体" w:hAnsi="宋体" w:cs="宋体"/>
          <w:color w:val="auto"/>
          <w:sz w:val="24"/>
          <w:szCs w:val="24"/>
          <w:highlight w:val="none"/>
        </w:rPr>
      </w:pPr>
      <w:bookmarkStart w:id="170" w:name="_Toc152042383"/>
      <w:bookmarkEnd w:id="170"/>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1）响应文件中的大写金额与小写金额不一致的，以大写金额为准；</w:t>
      </w:r>
    </w:p>
    <w:p w14:paraId="14D35FC2">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2）总价金额与依据单价计算出的结果不一致的，以单价金额为准修正总价，但单价金额小数点有明显错误的除外。</w:t>
      </w:r>
    </w:p>
    <w:p w14:paraId="0CE493DC">
      <w:pPr>
        <w:spacing w:line="520" w:lineRule="exact"/>
        <w:ind w:firstLine="480" w:firstLineChars="200"/>
        <w:rPr>
          <w:rFonts w:hint="eastAsia" w:ascii="宋体" w:hAnsi="宋体" w:cs="宋体"/>
          <w:color w:val="auto"/>
          <w:sz w:val="24"/>
          <w:szCs w:val="24"/>
          <w:highlight w:val="none"/>
        </w:rPr>
      </w:pPr>
      <w:bookmarkStart w:id="171" w:name="_Toc152042384"/>
      <w:bookmarkEnd w:id="171"/>
      <w:bookmarkStart w:id="172" w:name="_Toc144974573"/>
      <w:bookmarkEnd w:id="172"/>
      <w:bookmarkStart w:id="173" w:name="_Toc179632624"/>
      <w:bookmarkEnd w:id="173"/>
      <w:bookmarkStart w:id="174" w:name="_Toc152045606"/>
      <w:r>
        <w:rPr>
          <w:rFonts w:hint="eastAsia" w:ascii="宋体" w:hAnsi="宋体" w:cs="宋体"/>
          <w:color w:val="auto"/>
          <w:sz w:val="24"/>
          <w:szCs w:val="24"/>
          <w:highlight w:val="none"/>
        </w:rPr>
        <w:t>3.2 详细评审</w:t>
      </w:r>
      <w:bookmarkEnd w:id="174"/>
    </w:p>
    <w:p w14:paraId="56B32235">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3.2.1 磋商小组按本章规定的量化因素和分值进行打分，并计算出综合评估得分。</w:t>
      </w:r>
    </w:p>
    <w:p w14:paraId="4E287766">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3.2.2 磋商小组发现响应人最终提交的报价明显低于其他磋商报价，或者在设有招标控制价时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493DFE02">
      <w:pPr>
        <w:spacing w:line="520" w:lineRule="exact"/>
        <w:ind w:firstLine="480" w:firstLineChars="200"/>
        <w:rPr>
          <w:rFonts w:hint="eastAsia" w:ascii="宋体" w:hAnsi="宋体" w:cs="宋体"/>
          <w:color w:val="auto"/>
          <w:sz w:val="24"/>
          <w:szCs w:val="24"/>
          <w:highlight w:val="none"/>
        </w:rPr>
      </w:pPr>
      <w:bookmarkStart w:id="175" w:name="_Toc389384087"/>
      <w:bookmarkEnd w:id="175"/>
      <w:bookmarkStart w:id="176" w:name="_Toc418605429"/>
      <w:bookmarkEnd w:id="176"/>
      <w:bookmarkStart w:id="177" w:name="_Toc401512224"/>
      <w:bookmarkEnd w:id="177"/>
      <w:bookmarkStart w:id="178" w:name="_Toc401926485"/>
      <w:bookmarkEnd w:id="178"/>
      <w:bookmarkStart w:id="179" w:name="_Toc466566711"/>
      <w:bookmarkEnd w:id="179"/>
      <w:bookmarkStart w:id="180" w:name="_Toc418608950"/>
      <w:bookmarkEnd w:id="180"/>
      <w:bookmarkStart w:id="181" w:name="_Toc421805017"/>
      <w:bookmarkEnd w:id="181"/>
      <w:bookmarkStart w:id="182" w:name="_Toc179632625"/>
      <w:bookmarkEnd w:id="182"/>
      <w:bookmarkStart w:id="183" w:name="_Toc144974575"/>
      <w:bookmarkEnd w:id="183"/>
      <w:bookmarkStart w:id="184" w:name="_Toc387498748"/>
      <w:bookmarkEnd w:id="184"/>
      <w:bookmarkStart w:id="185" w:name="_Toc423358132"/>
      <w:bookmarkEnd w:id="185"/>
      <w:bookmarkStart w:id="186" w:name="_Toc152042385"/>
      <w:bookmarkEnd w:id="186"/>
      <w:bookmarkStart w:id="187" w:name="_Toc421698384"/>
      <w:bookmarkEnd w:id="187"/>
      <w:bookmarkStart w:id="188" w:name="_Toc466566800"/>
      <w:bookmarkEnd w:id="188"/>
      <w:bookmarkStart w:id="189" w:name="_Toc152045607"/>
      <w:r>
        <w:rPr>
          <w:rFonts w:hint="eastAsia" w:ascii="宋体" w:hAnsi="宋体" w:cs="宋体"/>
          <w:color w:val="auto"/>
          <w:sz w:val="24"/>
          <w:szCs w:val="24"/>
          <w:highlight w:val="none"/>
        </w:rPr>
        <w:t xml:space="preserve">3.3 </w:t>
      </w:r>
      <w:bookmarkEnd w:id="189"/>
      <w:r>
        <w:rPr>
          <w:rFonts w:hint="eastAsia" w:ascii="宋体" w:hAnsi="宋体" w:cs="宋体"/>
          <w:color w:val="auto"/>
          <w:sz w:val="24"/>
          <w:szCs w:val="24"/>
          <w:highlight w:val="none"/>
        </w:rPr>
        <w:t>响应文件的澄清和补正</w:t>
      </w:r>
    </w:p>
    <w:p w14:paraId="694CEDA5">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3.3.1在磋商过程中，磋商小组可以书面形式要求响应人对所提交响应文件中不明确的内容进行书面澄清或说明，或者对细微偏差进行补正。磋商小组不接受响应人主动提出的澄清、说明或补正。</w:t>
      </w:r>
    </w:p>
    <w:p w14:paraId="7F4C1BD0">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3.3.2 澄清、说明和补正不得改变响应文件的实质性内容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算术性错误修正的除外）。响应人的书面澄清、说明和补正属于响应文件的组成部分。</w:t>
      </w:r>
    </w:p>
    <w:p w14:paraId="109819FB">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3.3.3 磋商小组对响应人提交的澄清、说明或补正有疑问的，可以要求响应人进一步澄清、说明或补正，直至满足磋商小组的要求。</w:t>
      </w:r>
    </w:p>
    <w:p w14:paraId="7B33B8A7">
      <w:pPr>
        <w:spacing w:line="520" w:lineRule="exact"/>
        <w:ind w:firstLine="480" w:firstLineChars="200"/>
        <w:rPr>
          <w:rFonts w:hint="eastAsia" w:ascii="宋体" w:hAnsi="宋体" w:cs="宋体"/>
          <w:color w:val="auto"/>
          <w:sz w:val="24"/>
          <w:szCs w:val="24"/>
          <w:highlight w:val="none"/>
        </w:rPr>
      </w:pPr>
      <w:bookmarkStart w:id="190" w:name="_Toc152042386"/>
      <w:bookmarkEnd w:id="190"/>
      <w:bookmarkStart w:id="191" w:name="_Toc418608951"/>
      <w:bookmarkEnd w:id="191"/>
      <w:bookmarkStart w:id="192" w:name="_Toc144974576"/>
      <w:bookmarkEnd w:id="192"/>
      <w:bookmarkStart w:id="193" w:name="_Toc423358133"/>
      <w:bookmarkEnd w:id="193"/>
      <w:bookmarkStart w:id="194" w:name="_Toc179632626"/>
      <w:bookmarkEnd w:id="194"/>
      <w:bookmarkStart w:id="195" w:name="_Toc421698385"/>
      <w:bookmarkEnd w:id="195"/>
      <w:bookmarkStart w:id="196" w:name="_Toc421805018"/>
      <w:bookmarkEnd w:id="196"/>
      <w:bookmarkStart w:id="197" w:name="_Toc389384088"/>
      <w:bookmarkEnd w:id="197"/>
      <w:bookmarkStart w:id="198" w:name="_Toc401926486"/>
      <w:bookmarkEnd w:id="198"/>
      <w:bookmarkStart w:id="199" w:name="_Toc418605430"/>
      <w:bookmarkEnd w:id="199"/>
      <w:bookmarkStart w:id="200" w:name="_Toc466566801"/>
      <w:bookmarkEnd w:id="200"/>
      <w:bookmarkStart w:id="201" w:name="_Toc466566712"/>
      <w:bookmarkEnd w:id="201"/>
      <w:bookmarkStart w:id="202" w:name="_Toc401512225"/>
      <w:bookmarkEnd w:id="202"/>
      <w:bookmarkStart w:id="203" w:name="_Toc152045608"/>
      <w:bookmarkEnd w:id="203"/>
      <w:bookmarkStart w:id="204" w:name="_Toc387498749"/>
      <w:r>
        <w:rPr>
          <w:rFonts w:hint="eastAsia" w:ascii="宋体" w:hAnsi="宋体" w:cs="宋体"/>
          <w:color w:val="auto"/>
          <w:sz w:val="24"/>
          <w:szCs w:val="24"/>
          <w:highlight w:val="none"/>
        </w:rPr>
        <w:t>3.4响应人的最终得分</w:t>
      </w:r>
      <w:bookmarkEnd w:id="204"/>
    </w:p>
    <w:p w14:paraId="45E70A7D">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1）磋商小组完成对最终磋商报价、技术标和综合标的汇总后，取平均值作为该响应人的最终得分。</w:t>
      </w:r>
    </w:p>
    <w:p w14:paraId="2A729F86">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2）计算分值均保留两位小数。</w:t>
      </w:r>
    </w:p>
    <w:p w14:paraId="7BA62177">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3.5磋商结果</w:t>
      </w:r>
    </w:p>
    <w:p w14:paraId="2EF8C63E">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3.5.1磋商小组按照得分由高到低的顺序推荐3名成交候选人。</w:t>
      </w:r>
    </w:p>
    <w:p w14:paraId="04D38EE0">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3.5.2 磋商小组完成磋商后，应当向招标人提交书面评标报告。</w:t>
      </w:r>
    </w:p>
    <w:p w14:paraId="53587EBA">
      <w:pPr>
        <w:spacing w:line="520" w:lineRule="exact"/>
        <w:jc w:val="center"/>
        <w:rPr>
          <w:rFonts w:ascii="宋体" w:hAnsi="宋体" w:cs="宋体"/>
          <w:color w:val="auto"/>
          <w:sz w:val="44"/>
          <w:szCs w:val="44"/>
          <w:highlight w:val="none"/>
        </w:rPr>
      </w:pPr>
      <w:r>
        <w:rPr>
          <w:b/>
          <w:color w:val="auto"/>
          <w:sz w:val="30"/>
          <w:szCs w:val="30"/>
          <w:highlight w:val="none"/>
        </w:rPr>
        <w:br w:type="page"/>
      </w:r>
      <w:r>
        <w:rPr>
          <w:rFonts w:hint="eastAsia"/>
          <w:b/>
          <w:color w:val="auto"/>
          <w:sz w:val="36"/>
          <w:szCs w:val="36"/>
          <w:highlight w:val="none"/>
        </w:rPr>
        <w:t>初步评审表</w:t>
      </w:r>
    </w:p>
    <w:tbl>
      <w:tblPr>
        <w:tblStyle w:val="18"/>
        <w:tblpPr w:leftFromText="180" w:rightFromText="180" w:vertAnchor="text" w:horzAnchor="margin" w:tblpY="631"/>
        <w:tblOverlap w:val="never"/>
        <w:tblW w:w="9649"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0"/>
        <w:gridCol w:w="793"/>
        <w:gridCol w:w="3533"/>
        <w:gridCol w:w="4563"/>
      </w:tblGrid>
      <w:tr w14:paraId="6C66BEA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5" w:hRule="atLeast"/>
        </w:trPr>
        <w:tc>
          <w:tcPr>
            <w:tcW w:w="1553" w:type="dxa"/>
            <w:gridSpan w:val="2"/>
            <w:tcBorders>
              <w:top w:val="single" w:color="auto" w:sz="4" w:space="0"/>
              <w:left w:val="single" w:color="auto" w:sz="4" w:space="0"/>
              <w:bottom w:val="single" w:color="auto" w:sz="4" w:space="0"/>
              <w:right w:val="single" w:color="auto" w:sz="4" w:space="0"/>
            </w:tcBorders>
            <w:noWrap w:val="0"/>
            <w:vAlign w:val="center"/>
          </w:tcPr>
          <w:p w14:paraId="3BD4B5A8">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条款号</w:t>
            </w:r>
          </w:p>
        </w:tc>
        <w:tc>
          <w:tcPr>
            <w:tcW w:w="3533" w:type="dxa"/>
            <w:tcBorders>
              <w:top w:val="single" w:color="auto" w:sz="4" w:space="0"/>
              <w:left w:val="nil"/>
              <w:bottom w:val="single" w:color="auto" w:sz="4" w:space="0"/>
              <w:right w:val="single" w:color="auto" w:sz="4" w:space="0"/>
            </w:tcBorders>
            <w:noWrap w:val="0"/>
            <w:vAlign w:val="center"/>
          </w:tcPr>
          <w:p w14:paraId="1FB22928">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评审因素</w:t>
            </w:r>
          </w:p>
        </w:tc>
        <w:tc>
          <w:tcPr>
            <w:tcW w:w="4563" w:type="dxa"/>
            <w:tcBorders>
              <w:top w:val="single" w:color="auto" w:sz="4" w:space="0"/>
              <w:left w:val="nil"/>
              <w:bottom w:val="single" w:color="auto" w:sz="4" w:space="0"/>
              <w:right w:val="single" w:color="auto" w:sz="4" w:space="0"/>
            </w:tcBorders>
            <w:noWrap w:val="0"/>
            <w:vAlign w:val="center"/>
          </w:tcPr>
          <w:p w14:paraId="26CB4FF2">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评审标准</w:t>
            </w:r>
          </w:p>
        </w:tc>
      </w:tr>
      <w:tr w14:paraId="21D509E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30" w:hRule="atLeast"/>
        </w:trPr>
        <w:tc>
          <w:tcPr>
            <w:tcW w:w="760" w:type="dxa"/>
            <w:vMerge w:val="restart"/>
            <w:tcBorders>
              <w:top w:val="single" w:color="auto" w:sz="0" w:space="0"/>
              <w:left w:val="single" w:color="auto" w:sz="4" w:space="0"/>
              <w:bottom w:val="inset" w:color="auto" w:sz="6" w:space="0"/>
              <w:right w:val="single" w:color="auto" w:sz="4" w:space="0"/>
            </w:tcBorders>
            <w:noWrap w:val="0"/>
            <w:vAlign w:val="center"/>
          </w:tcPr>
          <w:p w14:paraId="08BA54EA">
            <w:pPr>
              <w:spacing w:line="480" w:lineRule="exact"/>
              <w:jc w:val="center"/>
              <w:rPr>
                <w:rFonts w:ascii="宋体" w:hAnsi="宋体"/>
                <w:color w:val="auto"/>
                <w:sz w:val="24"/>
                <w:szCs w:val="24"/>
                <w:highlight w:val="none"/>
              </w:rPr>
            </w:pPr>
            <w:r>
              <w:rPr>
                <w:rFonts w:hint="eastAsia" w:ascii="宋体" w:hAnsi="宋体"/>
                <w:color w:val="auto"/>
                <w:sz w:val="24"/>
                <w:szCs w:val="24"/>
                <w:highlight w:val="none"/>
              </w:rPr>
              <w:t>2.1.1</w:t>
            </w:r>
          </w:p>
        </w:tc>
        <w:tc>
          <w:tcPr>
            <w:tcW w:w="793" w:type="dxa"/>
            <w:vMerge w:val="restart"/>
            <w:tcBorders>
              <w:top w:val="single" w:color="auto" w:sz="0" w:space="0"/>
              <w:left w:val="single" w:color="auto" w:sz="0" w:space="0"/>
              <w:bottom w:val="inset" w:color="auto" w:sz="6" w:space="0"/>
              <w:right w:val="single" w:color="auto" w:sz="4" w:space="0"/>
            </w:tcBorders>
            <w:noWrap w:val="0"/>
            <w:vAlign w:val="center"/>
          </w:tcPr>
          <w:p w14:paraId="1EC15689">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形式</w:t>
            </w:r>
            <w:r>
              <w:rPr>
                <w:rFonts w:hint="eastAsia" w:ascii="宋体" w:hAnsi="宋体"/>
                <w:color w:val="auto"/>
                <w:sz w:val="24"/>
                <w:szCs w:val="24"/>
                <w:highlight w:val="none"/>
                <w:lang w:val="en-US" w:eastAsia="zh-CN"/>
              </w:rPr>
              <w:t>(符合）</w:t>
            </w:r>
          </w:p>
          <w:p w14:paraId="1D4340E5">
            <w:pPr>
              <w:keepNext w:val="0"/>
              <w:keepLines w:val="0"/>
              <w:pageBreakBefore w:val="0"/>
              <w:kinsoku/>
              <w:wordWrap/>
              <w:overflowPunct/>
              <w:topLinePunct w:val="0"/>
              <w:autoSpaceDE/>
              <w:autoSpaceDN/>
              <w:bidi w:val="0"/>
              <w:adjustRightInd/>
              <w:snapToGrid/>
              <w:spacing w:line="520" w:lineRule="exact"/>
              <w:jc w:val="center"/>
              <w:textAlignment w:val="auto"/>
              <w:rPr>
                <w:rFonts w:ascii="宋体" w:hAnsi="宋体"/>
                <w:color w:val="auto"/>
                <w:sz w:val="24"/>
                <w:szCs w:val="24"/>
                <w:highlight w:val="none"/>
              </w:rPr>
            </w:pPr>
            <w:r>
              <w:rPr>
                <w:rFonts w:hint="eastAsia" w:ascii="宋体" w:hAnsi="宋体"/>
                <w:color w:val="auto"/>
                <w:sz w:val="24"/>
                <w:szCs w:val="24"/>
                <w:highlight w:val="none"/>
              </w:rPr>
              <w:t>评审</w:t>
            </w:r>
          </w:p>
          <w:p w14:paraId="7C928CD6">
            <w:pPr>
              <w:keepNext w:val="0"/>
              <w:keepLines w:val="0"/>
              <w:pageBreakBefore w:val="0"/>
              <w:kinsoku/>
              <w:wordWrap/>
              <w:overflowPunct/>
              <w:topLinePunct w:val="0"/>
              <w:autoSpaceDE/>
              <w:autoSpaceDN/>
              <w:bidi w:val="0"/>
              <w:adjustRightInd/>
              <w:snapToGrid/>
              <w:spacing w:line="520" w:lineRule="exact"/>
              <w:jc w:val="center"/>
              <w:textAlignment w:val="auto"/>
              <w:rPr>
                <w:rFonts w:ascii="宋体" w:hAnsi="宋体"/>
                <w:color w:val="auto"/>
                <w:sz w:val="24"/>
                <w:szCs w:val="24"/>
                <w:highlight w:val="none"/>
              </w:rPr>
            </w:pPr>
            <w:r>
              <w:rPr>
                <w:rFonts w:hint="eastAsia" w:ascii="宋体" w:hAnsi="宋体"/>
                <w:color w:val="auto"/>
                <w:sz w:val="24"/>
                <w:szCs w:val="24"/>
                <w:highlight w:val="none"/>
              </w:rPr>
              <w:t>标准</w:t>
            </w:r>
          </w:p>
        </w:tc>
        <w:tc>
          <w:tcPr>
            <w:tcW w:w="3533" w:type="dxa"/>
            <w:tcBorders>
              <w:top w:val="single" w:color="auto" w:sz="4" w:space="0"/>
              <w:left w:val="single" w:color="auto" w:sz="0" w:space="0"/>
              <w:bottom w:val="single" w:color="auto" w:sz="4" w:space="0"/>
              <w:right w:val="single" w:color="auto" w:sz="4" w:space="0"/>
            </w:tcBorders>
            <w:noWrap w:val="0"/>
            <w:vAlign w:val="center"/>
          </w:tcPr>
          <w:p w14:paraId="5394D0F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auto"/>
                <w:sz w:val="24"/>
                <w:szCs w:val="24"/>
                <w:highlight w:val="none"/>
              </w:rPr>
            </w:pPr>
            <w:r>
              <w:rPr>
                <w:rFonts w:hint="eastAsia" w:ascii="宋体" w:hAnsi="宋体"/>
                <w:color w:val="auto"/>
                <w:sz w:val="24"/>
                <w:szCs w:val="24"/>
                <w:highlight w:val="none"/>
              </w:rPr>
              <w:t>响应人名称</w:t>
            </w:r>
          </w:p>
        </w:tc>
        <w:tc>
          <w:tcPr>
            <w:tcW w:w="4563" w:type="dxa"/>
            <w:tcBorders>
              <w:top w:val="single" w:color="auto" w:sz="4" w:space="0"/>
              <w:left w:val="single" w:color="auto" w:sz="0" w:space="0"/>
              <w:bottom w:val="single" w:color="auto" w:sz="4" w:space="0"/>
              <w:right w:val="single" w:color="auto" w:sz="4" w:space="0"/>
            </w:tcBorders>
            <w:noWrap w:val="0"/>
            <w:vAlign w:val="center"/>
          </w:tcPr>
          <w:p w14:paraId="2910F201">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color w:val="auto"/>
                <w:sz w:val="24"/>
                <w:highlight w:val="none"/>
              </w:rPr>
            </w:pPr>
            <w:r>
              <w:rPr>
                <w:rFonts w:hint="eastAsia" w:ascii="宋体" w:hAnsi="宋体"/>
                <w:color w:val="auto"/>
                <w:sz w:val="24"/>
                <w:highlight w:val="none"/>
              </w:rPr>
              <w:t>与营业执照或法人证书、资质证书一致</w:t>
            </w:r>
          </w:p>
        </w:tc>
      </w:tr>
      <w:tr w14:paraId="0627DBC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24" w:hRule="atLeast"/>
        </w:trPr>
        <w:tc>
          <w:tcPr>
            <w:tcW w:w="760" w:type="dxa"/>
            <w:vMerge w:val="continue"/>
            <w:tcBorders>
              <w:top w:val="single" w:color="auto" w:sz="0" w:space="0"/>
              <w:left w:val="single" w:color="auto" w:sz="4" w:space="0"/>
              <w:bottom w:val="inset" w:color="auto" w:sz="6" w:space="0"/>
              <w:right w:val="single" w:color="auto" w:sz="4" w:space="0"/>
            </w:tcBorders>
            <w:noWrap w:val="0"/>
            <w:vAlign w:val="center"/>
          </w:tcPr>
          <w:p w14:paraId="401D22B3">
            <w:pPr>
              <w:widowControl/>
              <w:jc w:val="left"/>
              <w:rPr>
                <w:rFonts w:ascii="宋体" w:hAnsi="宋体"/>
                <w:color w:val="auto"/>
                <w:sz w:val="24"/>
                <w:szCs w:val="24"/>
                <w:highlight w:val="none"/>
              </w:rPr>
            </w:pPr>
          </w:p>
        </w:tc>
        <w:tc>
          <w:tcPr>
            <w:tcW w:w="793" w:type="dxa"/>
            <w:vMerge w:val="continue"/>
            <w:tcBorders>
              <w:top w:val="single" w:color="auto" w:sz="0" w:space="0"/>
              <w:left w:val="single" w:color="auto" w:sz="0" w:space="0"/>
              <w:bottom w:val="inset" w:color="auto" w:sz="6" w:space="0"/>
              <w:right w:val="single" w:color="auto" w:sz="4" w:space="0"/>
            </w:tcBorders>
            <w:noWrap w:val="0"/>
            <w:vAlign w:val="center"/>
          </w:tcPr>
          <w:p w14:paraId="40CD93F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color w:val="auto"/>
                <w:sz w:val="24"/>
                <w:szCs w:val="24"/>
                <w:highlight w:val="none"/>
              </w:rPr>
            </w:pPr>
          </w:p>
        </w:tc>
        <w:tc>
          <w:tcPr>
            <w:tcW w:w="3533" w:type="dxa"/>
            <w:tcBorders>
              <w:top w:val="single" w:color="auto" w:sz="4" w:space="0"/>
              <w:left w:val="single" w:color="auto" w:sz="0" w:space="0"/>
              <w:bottom w:val="single" w:color="auto" w:sz="4" w:space="0"/>
              <w:right w:val="single" w:color="auto" w:sz="4" w:space="0"/>
            </w:tcBorders>
            <w:noWrap w:val="0"/>
            <w:vAlign w:val="center"/>
          </w:tcPr>
          <w:p w14:paraId="276B40C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磋商函签字</w:t>
            </w:r>
          </w:p>
          <w:p w14:paraId="541048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auto"/>
                <w:sz w:val="24"/>
                <w:szCs w:val="24"/>
                <w:highlight w:val="none"/>
              </w:rPr>
            </w:pPr>
            <w:r>
              <w:rPr>
                <w:rFonts w:hint="eastAsia" w:ascii="宋体" w:hAnsi="宋体"/>
                <w:color w:val="auto"/>
                <w:sz w:val="24"/>
                <w:szCs w:val="24"/>
                <w:highlight w:val="none"/>
              </w:rPr>
              <w:t>盖章</w:t>
            </w:r>
          </w:p>
        </w:tc>
        <w:tc>
          <w:tcPr>
            <w:tcW w:w="4563" w:type="dxa"/>
            <w:tcBorders>
              <w:top w:val="single" w:color="auto" w:sz="4" w:space="0"/>
              <w:left w:val="single" w:color="auto" w:sz="0" w:space="0"/>
              <w:bottom w:val="single" w:color="auto" w:sz="4" w:space="0"/>
              <w:right w:val="single" w:color="auto" w:sz="4" w:space="0"/>
            </w:tcBorders>
            <w:noWrap w:val="0"/>
            <w:vAlign w:val="center"/>
          </w:tcPr>
          <w:p w14:paraId="26D16275">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color w:val="auto"/>
                <w:sz w:val="24"/>
                <w:highlight w:val="none"/>
              </w:rPr>
            </w:pPr>
            <w:r>
              <w:rPr>
                <w:rFonts w:hint="eastAsia" w:ascii="宋体" w:hAnsi="宋体"/>
                <w:color w:val="auto"/>
                <w:sz w:val="24"/>
                <w:highlight w:val="none"/>
              </w:rPr>
              <w:t>有法定代表人或其委托代理人签字并加盖单位公章</w:t>
            </w:r>
          </w:p>
        </w:tc>
      </w:tr>
      <w:tr w14:paraId="7BE3CD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43" w:hRule="atLeast"/>
        </w:trPr>
        <w:tc>
          <w:tcPr>
            <w:tcW w:w="760" w:type="dxa"/>
            <w:vMerge w:val="continue"/>
            <w:tcBorders>
              <w:top w:val="single" w:color="auto" w:sz="0" w:space="0"/>
              <w:left w:val="single" w:color="auto" w:sz="4" w:space="0"/>
              <w:bottom w:val="inset" w:color="auto" w:sz="6" w:space="0"/>
              <w:right w:val="single" w:color="auto" w:sz="4" w:space="0"/>
            </w:tcBorders>
            <w:noWrap w:val="0"/>
            <w:vAlign w:val="center"/>
          </w:tcPr>
          <w:p w14:paraId="0D9B6BD8">
            <w:pPr>
              <w:widowControl/>
              <w:jc w:val="left"/>
              <w:rPr>
                <w:rFonts w:ascii="宋体" w:hAnsi="宋体"/>
                <w:color w:val="auto"/>
                <w:sz w:val="24"/>
                <w:szCs w:val="24"/>
                <w:highlight w:val="none"/>
              </w:rPr>
            </w:pPr>
          </w:p>
        </w:tc>
        <w:tc>
          <w:tcPr>
            <w:tcW w:w="793" w:type="dxa"/>
            <w:vMerge w:val="continue"/>
            <w:tcBorders>
              <w:top w:val="single" w:color="auto" w:sz="0" w:space="0"/>
              <w:left w:val="single" w:color="auto" w:sz="0" w:space="0"/>
              <w:bottom w:val="inset" w:color="auto" w:sz="6" w:space="0"/>
              <w:right w:val="single" w:color="auto" w:sz="4" w:space="0"/>
            </w:tcBorders>
            <w:noWrap w:val="0"/>
            <w:vAlign w:val="center"/>
          </w:tcPr>
          <w:p w14:paraId="1BC29A5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color w:val="auto"/>
                <w:sz w:val="24"/>
                <w:szCs w:val="24"/>
                <w:highlight w:val="none"/>
              </w:rPr>
            </w:pPr>
          </w:p>
        </w:tc>
        <w:tc>
          <w:tcPr>
            <w:tcW w:w="3533" w:type="dxa"/>
            <w:tcBorders>
              <w:top w:val="single" w:color="auto" w:sz="4" w:space="0"/>
              <w:left w:val="single" w:color="auto" w:sz="0" w:space="0"/>
              <w:bottom w:val="single" w:color="auto" w:sz="4" w:space="0"/>
              <w:right w:val="single" w:color="auto" w:sz="4" w:space="0"/>
            </w:tcBorders>
            <w:noWrap w:val="0"/>
            <w:vAlign w:val="center"/>
          </w:tcPr>
          <w:p w14:paraId="20611A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报价唯一</w:t>
            </w:r>
          </w:p>
        </w:tc>
        <w:tc>
          <w:tcPr>
            <w:tcW w:w="4563" w:type="dxa"/>
            <w:tcBorders>
              <w:top w:val="single" w:color="auto" w:sz="4" w:space="0"/>
              <w:left w:val="single" w:color="auto" w:sz="0" w:space="0"/>
              <w:bottom w:val="single" w:color="auto" w:sz="4" w:space="0"/>
              <w:right w:val="single" w:color="auto" w:sz="4" w:space="0"/>
            </w:tcBorders>
            <w:noWrap w:val="0"/>
            <w:vAlign w:val="center"/>
          </w:tcPr>
          <w:p w14:paraId="368CAA2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磋商函及磋商函附录中只能有一个有效报价</w:t>
            </w:r>
          </w:p>
        </w:tc>
      </w:tr>
      <w:tr w14:paraId="518158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0" w:hRule="atLeast"/>
        </w:trPr>
        <w:tc>
          <w:tcPr>
            <w:tcW w:w="760" w:type="dxa"/>
            <w:vMerge w:val="restart"/>
            <w:tcBorders>
              <w:top w:val="single" w:color="auto" w:sz="4" w:space="0"/>
              <w:left w:val="single" w:color="auto" w:sz="4" w:space="0"/>
              <w:right w:val="single" w:color="auto" w:sz="4" w:space="0"/>
            </w:tcBorders>
            <w:noWrap w:val="0"/>
            <w:vAlign w:val="center"/>
          </w:tcPr>
          <w:p w14:paraId="02FD103A">
            <w:pPr>
              <w:spacing w:line="480" w:lineRule="exact"/>
              <w:jc w:val="center"/>
              <w:rPr>
                <w:rFonts w:ascii="宋体" w:hAnsi="宋体"/>
                <w:color w:val="auto"/>
                <w:sz w:val="24"/>
                <w:szCs w:val="24"/>
                <w:highlight w:val="none"/>
              </w:rPr>
            </w:pPr>
            <w:r>
              <w:rPr>
                <w:rFonts w:hint="eastAsia" w:ascii="宋体" w:hAnsi="宋体"/>
                <w:color w:val="auto"/>
                <w:sz w:val="24"/>
                <w:szCs w:val="24"/>
                <w:highlight w:val="none"/>
              </w:rPr>
              <w:t>2.1.2</w:t>
            </w:r>
          </w:p>
        </w:tc>
        <w:tc>
          <w:tcPr>
            <w:tcW w:w="793" w:type="dxa"/>
            <w:vMerge w:val="restart"/>
            <w:tcBorders>
              <w:top w:val="single" w:color="auto" w:sz="4" w:space="0"/>
              <w:left w:val="single" w:color="auto" w:sz="4" w:space="0"/>
              <w:right w:val="single" w:color="auto" w:sz="4" w:space="0"/>
            </w:tcBorders>
            <w:noWrap w:val="0"/>
            <w:vAlign w:val="center"/>
          </w:tcPr>
          <w:p w14:paraId="4A3450B8">
            <w:pPr>
              <w:keepNext w:val="0"/>
              <w:keepLines w:val="0"/>
              <w:pageBreakBefore w:val="0"/>
              <w:kinsoku/>
              <w:wordWrap/>
              <w:overflowPunct/>
              <w:topLinePunct w:val="0"/>
              <w:autoSpaceDE/>
              <w:autoSpaceDN/>
              <w:bidi w:val="0"/>
              <w:adjustRightInd/>
              <w:snapToGrid/>
              <w:spacing w:line="520" w:lineRule="exact"/>
              <w:jc w:val="center"/>
              <w:textAlignment w:val="auto"/>
              <w:rPr>
                <w:rFonts w:ascii="宋体" w:hAnsi="宋体"/>
                <w:color w:val="auto"/>
                <w:sz w:val="24"/>
                <w:szCs w:val="24"/>
                <w:highlight w:val="none"/>
              </w:rPr>
            </w:pPr>
            <w:r>
              <w:rPr>
                <w:rFonts w:hint="eastAsia" w:ascii="宋体" w:hAnsi="宋体"/>
                <w:color w:val="auto"/>
                <w:sz w:val="24"/>
                <w:szCs w:val="24"/>
                <w:highlight w:val="none"/>
              </w:rPr>
              <w:t>资格评审标准</w:t>
            </w:r>
          </w:p>
        </w:tc>
        <w:tc>
          <w:tcPr>
            <w:tcW w:w="3533" w:type="dxa"/>
            <w:tcBorders>
              <w:top w:val="single" w:color="auto" w:sz="4" w:space="0"/>
              <w:left w:val="nil"/>
              <w:bottom w:val="single" w:color="auto" w:sz="4" w:space="0"/>
              <w:right w:val="single" w:color="auto" w:sz="4" w:space="0"/>
            </w:tcBorders>
            <w:noWrap w:val="0"/>
            <w:vAlign w:val="center"/>
          </w:tcPr>
          <w:p w14:paraId="00B9C76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满足《中华人民共和国政府采购法》第二十二条规定</w:t>
            </w:r>
          </w:p>
        </w:tc>
        <w:tc>
          <w:tcPr>
            <w:tcW w:w="4563" w:type="dxa"/>
            <w:tcBorders>
              <w:top w:val="single" w:color="auto" w:sz="4" w:space="0"/>
              <w:left w:val="nil"/>
              <w:bottom w:val="single" w:color="auto" w:sz="4" w:space="0"/>
              <w:right w:val="single" w:color="auto" w:sz="4" w:space="0"/>
            </w:tcBorders>
            <w:noWrap w:val="0"/>
            <w:vAlign w:val="center"/>
          </w:tcPr>
          <w:p w14:paraId="196976A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符合《中华人民共和国政府采购法》第二十二条的规定</w:t>
            </w:r>
          </w:p>
        </w:tc>
      </w:tr>
      <w:tr w14:paraId="469974F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5" w:hRule="atLeast"/>
        </w:trPr>
        <w:tc>
          <w:tcPr>
            <w:tcW w:w="760" w:type="dxa"/>
            <w:vMerge w:val="continue"/>
            <w:tcBorders>
              <w:left w:val="single" w:color="auto" w:sz="4" w:space="0"/>
              <w:right w:val="single" w:color="auto" w:sz="4" w:space="0"/>
            </w:tcBorders>
            <w:noWrap w:val="0"/>
            <w:vAlign w:val="center"/>
          </w:tcPr>
          <w:p w14:paraId="05CFE43C">
            <w:pPr>
              <w:spacing w:line="480" w:lineRule="exact"/>
              <w:jc w:val="center"/>
              <w:rPr>
                <w:rFonts w:ascii="宋体" w:hAnsi="宋体"/>
                <w:color w:val="auto"/>
                <w:sz w:val="24"/>
                <w:szCs w:val="24"/>
                <w:highlight w:val="none"/>
              </w:rPr>
            </w:pPr>
          </w:p>
        </w:tc>
        <w:tc>
          <w:tcPr>
            <w:tcW w:w="793" w:type="dxa"/>
            <w:vMerge w:val="continue"/>
            <w:tcBorders>
              <w:left w:val="single" w:color="auto" w:sz="4" w:space="0"/>
              <w:right w:val="single" w:color="auto" w:sz="4" w:space="0"/>
            </w:tcBorders>
            <w:noWrap w:val="0"/>
            <w:vAlign w:val="center"/>
          </w:tcPr>
          <w:p w14:paraId="10A066B9">
            <w:pPr>
              <w:keepNext w:val="0"/>
              <w:keepLines w:val="0"/>
              <w:pageBreakBefore w:val="0"/>
              <w:kinsoku/>
              <w:wordWrap/>
              <w:overflowPunct/>
              <w:topLinePunct w:val="0"/>
              <w:autoSpaceDE/>
              <w:autoSpaceDN/>
              <w:bidi w:val="0"/>
              <w:adjustRightInd/>
              <w:snapToGrid/>
              <w:spacing w:line="520" w:lineRule="exact"/>
              <w:jc w:val="center"/>
              <w:textAlignment w:val="auto"/>
              <w:rPr>
                <w:rFonts w:ascii="宋体" w:hAnsi="宋体"/>
                <w:color w:val="auto"/>
                <w:sz w:val="24"/>
                <w:szCs w:val="24"/>
                <w:highlight w:val="none"/>
              </w:rPr>
            </w:pPr>
          </w:p>
        </w:tc>
        <w:tc>
          <w:tcPr>
            <w:tcW w:w="3533" w:type="dxa"/>
            <w:tcBorders>
              <w:top w:val="single" w:color="auto" w:sz="4" w:space="0"/>
              <w:left w:val="nil"/>
              <w:bottom w:val="single" w:color="auto" w:sz="4" w:space="0"/>
              <w:right w:val="single" w:color="auto" w:sz="4" w:space="0"/>
            </w:tcBorders>
            <w:noWrap w:val="0"/>
            <w:vAlign w:val="center"/>
          </w:tcPr>
          <w:p w14:paraId="0BD5E9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营业执照</w:t>
            </w:r>
          </w:p>
        </w:tc>
        <w:tc>
          <w:tcPr>
            <w:tcW w:w="4563" w:type="dxa"/>
            <w:tcBorders>
              <w:top w:val="single" w:color="auto" w:sz="4" w:space="0"/>
              <w:left w:val="nil"/>
              <w:bottom w:val="single" w:color="auto" w:sz="4" w:space="0"/>
              <w:right w:val="single" w:color="auto" w:sz="4" w:space="0"/>
            </w:tcBorders>
            <w:noWrap w:val="0"/>
            <w:vAlign w:val="center"/>
          </w:tcPr>
          <w:p w14:paraId="5E8B3FB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符合</w:t>
            </w:r>
            <w:r>
              <w:rPr>
                <w:rFonts w:hint="eastAsia" w:ascii="宋体" w:hAnsi="宋体" w:eastAsia="宋体" w:cs="Times New Roman"/>
                <w:color w:val="auto"/>
                <w:sz w:val="24"/>
                <w:szCs w:val="24"/>
                <w:highlight w:val="none"/>
              </w:rPr>
              <w:t>“第一章 竞争性</w:t>
            </w:r>
            <w:r>
              <w:rPr>
                <w:rFonts w:hint="eastAsia" w:ascii="宋体" w:hAnsi="宋体" w:eastAsia="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公告”</w:t>
            </w:r>
            <w:r>
              <w:rPr>
                <w:rFonts w:hint="eastAsia" w:ascii="宋体" w:hAnsi="宋体" w:eastAsia="宋体" w:cs="Times New Roman"/>
                <w:color w:val="auto"/>
                <w:sz w:val="24"/>
                <w:szCs w:val="24"/>
                <w:highlight w:val="none"/>
                <w:lang w:val="en-US" w:eastAsia="zh-CN"/>
              </w:rPr>
              <w:t>要求</w:t>
            </w:r>
          </w:p>
        </w:tc>
      </w:tr>
      <w:tr w14:paraId="7090658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7" w:hRule="atLeast"/>
        </w:trPr>
        <w:tc>
          <w:tcPr>
            <w:tcW w:w="760" w:type="dxa"/>
            <w:vMerge w:val="continue"/>
            <w:tcBorders>
              <w:left w:val="single" w:color="auto" w:sz="4" w:space="0"/>
              <w:right w:val="single" w:color="auto" w:sz="4" w:space="0"/>
            </w:tcBorders>
            <w:noWrap w:val="0"/>
            <w:vAlign w:val="center"/>
          </w:tcPr>
          <w:p w14:paraId="35E00B0E">
            <w:pPr>
              <w:spacing w:line="480" w:lineRule="exact"/>
              <w:jc w:val="center"/>
              <w:rPr>
                <w:rFonts w:hint="eastAsia" w:ascii="宋体" w:hAnsi="宋体"/>
                <w:color w:val="auto"/>
                <w:sz w:val="24"/>
                <w:szCs w:val="24"/>
                <w:highlight w:val="none"/>
              </w:rPr>
            </w:pPr>
          </w:p>
        </w:tc>
        <w:tc>
          <w:tcPr>
            <w:tcW w:w="793" w:type="dxa"/>
            <w:vMerge w:val="continue"/>
            <w:tcBorders>
              <w:left w:val="single" w:color="auto" w:sz="4" w:space="0"/>
              <w:right w:val="single" w:color="auto" w:sz="4" w:space="0"/>
            </w:tcBorders>
            <w:noWrap w:val="0"/>
            <w:vAlign w:val="center"/>
          </w:tcPr>
          <w:p w14:paraId="3111468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olor w:val="auto"/>
                <w:sz w:val="24"/>
                <w:szCs w:val="24"/>
                <w:highlight w:val="none"/>
              </w:rPr>
            </w:pPr>
          </w:p>
        </w:tc>
        <w:tc>
          <w:tcPr>
            <w:tcW w:w="3533" w:type="dxa"/>
            <w:tcBorders>
              <w:top w:val="single" w:color="auto" w:sz="4" w:space="0"/>
              <w:left w:val="nil"/>
              <w:bottom w:val="single" w:color="auto" w:sz="4" w:space="0"/>
              <w:right w:val="single" w:color="auto" w:sz="4" w:space="0"/>
            </w:tcBorders>
            <w:noWrap w:val="0"/>
            <w:vAlign w:val="center"/>
          </w:tcPr>
          <w:p w14:paraId="0DF6B12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资质证书</w:t>
            </w:r>
          </w:p>
        </w:tc>
        <w:tc>
          <w:tcPr>
            <w:tcW w:w="4563" w:type="dxa"/>
            <w:tcBorders>
              <w:top w:val="single" w:color="auto" w:sz="4" w:space="0"/>
              <w:left w:val="nil"/>
              <w:bottom w:val="single" w:color="auto" w:sz="4" w:space="0"/>
              <w:right w:val="single" w:color="auto" w:sz="4" w:space="0"/>
            </w:tcBorders>
            <w:noWrap w:val="0"/>
            <w:vAlign w:val="center"/>
          </w:tcPr>
          <w:p w14:paraId="2580560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符合</w:t>
            </w:r>
            <w:r>
              <w:rPr>
                <w:rFonts w:hint="eastAsia" w:ascii="宋体" w:hAnsi="宋体" w:eastAsia="宋体" w:cs="Times New Roman"/>
                <w:color w:val="auto"/>
                <w:sz w:val="24"/>
                <w:szCs w:val="24"/>
                <w:highlight w:val="none"/>
              </w:rPr>
              <w:t>“第一章 竞争性</w:t>
            </w:r>
            <w:r>
              <w:rPr>
                <w:rFonts w:hint="eastAsia" w:ascii="宋体" w:hAnsi="宋体" w:eastAsia="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公告”</w:t>
            </w:r>
            <w:r>
              <w:rPr>
                <w:rFonts w:hint="eastAsia" w:ascii="宋体" w:hAnsi="宋体" w:eastAsia="宋体" w:cs="Times New Roman"/>
                <w:color w:val="auto"/>
                <w:sz w:val="24"/>
                <w:szCs w:val="24"/>
                <w:highlight w:val="none"/>
                <w:lang w:val="en-US" w:eastAsia="zh-CN"/>
              </w:rPr>
              <w:t>要求</w:t>
            </w:r>
          </w:p>
        </w:tc>
      </w:tr>
      <w:tr w14:paraId="182E098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94" w:hRule="atLeast"/>
        </w:trPr>
        <w:tc>
          <w:tcPr>
            <w:tcW w:w="760" w:type="dxa"/>
            <w:vMerge w:val="continue"/>
            <w:tcBorders>
              <w:left w:val="single" w:color="auto" w:sz="4" w:space="0"/>
              <w:right w:val="single" w:color="auto" w:sz="4" w:space="0"/>
            </w:tcBorders>
            <w:noWrap w:val="0"/>
            <w:vAlign w:val="center"/>
          </w:tcPr>
          <w:p w14:paraId="7DCBC5FE">
            <w:pPr>
              <w:spacing w:line="480" w:lineRule="exact"/>
              <w:jc w:val="center"/>
              <w:rPr>
                <w:rFonts w:hint="eastAsia" w:ascii="宋体" w:hAnsi="宋体"/>
                <w:color w:val="auto"/>
                <w:sz w:val="24"/>
                <w:szCs w:val="24"/>
                <w:highlight w:val="none"/>
              </w:rPr>
            </w:pPr>
          </w:p>
        </w:tc>
        <w:tc>
          <w:tcPr>
            <w:tcW w:w="793" w:type="dxa"/>
            <w:vMerge w:val="continue"/>
            <w:tcBorders>
              <w:left w:val="single" w:color="auto" w:sz="4" w:space="0"/>
              <w:right w:val="single" w:color="auto" w:sz="4" w:space="0"/>
            </w:tcBorders>
            <w:noWrap w:val="0"/>
            <w:vAlign w:val="center"/>
          </w:tcPr>
          <w:p w14:paraId="38FE21A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olor w:val="auto"/>
                <w:sz w:val="24"/>
                <w:szCs w:val="24"/>
                <w:highlight w:val="none"/>
              </w:rPr>
            </w:pPr>
          </w:p>
        </w:tc>
        <w:tc>
          <w:tcPr>
            <w:tcW w:w="3533" w:type="dxa"/>
            <w:tcBorders>
              <w:top w:val="single" w:color="auto" w:sz="4" w:space="0"/>
              <w:left w:val="nil"/>
              <w:bottom w:val="single" w:color="auto" w:sz="4" w:space="0"/>
              <w:right w:val="single" w:color="auto" w:sz="4" w:space="0"/>
            </w:tcBorders>
            <w:noWrap w:val="0"/>
            <w:vAlign w:val="center"/>
          </w:tcPr>
          <w:p w14:paraId="0CE861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项目负责人</w:t>
            </w:r>
          </w:p>
        </w:tc>
        <w:tc>
          <w:tcPr>
            <w:tcW w:w="4563" w:type="dxa"/>
            <w:tcBorders>
              <w:top w:val="single" w:color="auto" w:sz="4" w:space="0"/>
              <w:left w:val="nil"/>
              <w:right w:val="single" w:color="auto" w:sz="4" w:space="0"/>
            </w:tcBorders>
            <w:noWrap w:val="0"/>
            <w:vAlign w:val="center"/>
          </w:tcPr>
          <w:p w14:paraId="3B1FD36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符合</w:t>
            </w:r>
            <w:r>
              <w:rPr>
                <w:rFonts w:hint="eastAsia" w:ascii="宋体" w:hAnsi="宋体" w:eastAsia="宋体" w:cs="Times New Roman"/>
                <w:color w:val="auto"/>
                <w:sz w:val="24"/>
                <w:szCs w:val="24"/>
                <w:highlight w:val="none"/>
              </w:rPr>
              <w:t>“第一章 竞争性</w:t>
            </w:r>
            <w:r>
              <w:rPr>
                <w:rFonts w:hint="eastAsia" w:ascii="宋体" w:hAnsi="宋体" w:eastAsia="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公告”</w:t>
            </w:r>
            <w:r>
              <w:rPr>
                <w:rFonts w:hint="eastAsia" w:ascii="宋体" w:hAnsi="宋体" w:eastAsia="宋体" w:cs="Times New Roman"/>
                <w:color w:val="auto"/>
                <w:sz w:val="24"/>
                <w:szCs w:val="24"/>
                <w:highlight w:val="none"/>
                <w:lang w:val="en-US" w:eastAsia="zh-CN"/>
              </w:rPr>
              <w:t>要求</w:t>
            </w:r>
          </w:p>
        </w:tc>
      </w:tr>
      <w:tr w14:paraId="39B5E2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94" w:hRule="atLeast"/>
        </w:trPr>
        <w:tc>
          <w:tcPr>
            <w:tcW w:w="760" w:type="dxa"/>
            <w:vMerge w:val="continue"/>
            <w:tcBorders>
              <w:left w:val="single" w:color="auto" w:sz="4" w:space="0"/>
              <w:right w:val="single" w:color="auto" w:sz="4" w:space="0"/>
            </w:tcBorders>
            <w:noWrap w:val="0"/>
            <w:vAlign w:val="center"/>
          </w:tcPr>
          <w:p w14:paraId="0B3F28D3">
            <w:pPr>
              <w:spacing w:line="480" w:lineRule="exact"/>
              <w:jc w:val="center"/>
              <w:rPr>
                <w:rFonts w:hint="eastAsia" w:ascii="宋体" w:hAnsi="宋体"/>
                <w:color w:val="auto"/>
                <w:sz w:val="24"/>
                <w:szCs w:val="24"/>
                <w:highlight w:val="none"/>
              </w:rPr>
            </w:pPr>
          </w:p>
        </w:tc>
        <w:tc>
          <w:tcPr>
            <w:tcW w:w="793" w:type="dxa"/>
            <w:vMerge w:val="continue"/>
            <w:tcBorders>
              <w:left w:val="single" w:color="auto" w:sz="4" w:space="0"/>
              <w:right w:val="single" w:color="auto" w:sz="4" w:space="0"/>
            </w:tcBorders>
            <w:noWrap w:val="0"/>
            <w:vAlign w:val="center"/>
          </w:tcPr>
          <w:p w14:paraId="7ABDC3C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olor w:val="auto"/>
                <w:sz w:val="24"/>
                <w:szCs w:val="24"/>
                <w:highlight w:val="none"/>
              </w:rPr>
            </w:pPr>
          </w:p>
        </w:tc>
        <w:tc>
          <w:tcPr>
            <w:tcW w:w="3533" w:type="dxa"/>
            <w:tcBorders>
              <w:top w:val="single" w:color="auto" w:sz="4" w:space="0"/>
              <w:left w:val="nil"/>
              <w:bottom w:val="single" w:color="auto" w:sz="4" w:space="0"/>
              <w:right w:val="single" w:color="auto" w:sz="4" w:space="0"/>
            </w:tcBorders>
            <w:noWrap w:val="0"/>
            <w:vAlign w:val="center"/>
          </w:tcPr>
          <w:p w14:paraId="0CDEE5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“国家企业信用信息”中公示的公司信息、股东或投资人信息截图</w:t>
            </w:r>
          </w:p>
        </w:tc>
        <w:tc>
          <w:tcPr>
            <w:tcW w:w="4563" w:type="dxa"/>
            <w:tcBorders>
              <w:top w:val="single" w:color="auto" w:sz="4" w:space="0"/>
              <w:left w:val="nil"/>
              <w:right w:val="single" w:color="auto" w:sz="4" w:space="0"/>
            </w:tcBorders>
            <w:noWrap w:val="0"/>
            <w:vAlign w:val="center"/>
          </w:tcPr>
          <w:p w14:paraId="7674B5A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符合</w:t>
            </w:r>
            <w:r>
              <w:rPr>
                <w:rFonts w:hint="eastAsia" w:ascii="宋体" w:hAnsi="宋体" w:eastAsia="宋体" w:cs="Times New Roman"/>
                <w:color w:val="auto"/>
                <w:sz w:val="24"/>
                <w:szCs w:val="24"/>
                <w:highlight w:val="none"/>
              </w:rPr>
              <w:t>“第一章 竞争性</w:t>
            </w:r>
            <w:r>
              <w:rPr>
                <w:rFonts w:hint="eastAsia" w:ascii="宋体" w:hAnsi="宋体" w:eastAsia="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公告”</w:t>
            </w:r>
            <w:r>
              <w:rPr>
                <w:rFonts w:hint="eastAsia" w:ascii="宋体" w:hAnsi="宋体" w:eastAsia="宋体" w:cs="Times New Roman"/>
                <w:color w:val="auto"/>
                <w:sz w:val="24"/>
                <w:szCs w:val="24"/>
                <w:highlight w:val="none"/>
                <w:lang w:val="en-US" w:eastAsia="zh-CN"/>
              </w:rPr>
              <w:t>要求</w:t>
            </w:r>
          </w:p>
        </w:tc>
      </w:tr>
      <w:tr w14:paraId="1FF5C2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94" w:hRule="atLeast"/>
        </w:trPr>
        <w:tc>
          <w:tcPr>
            <w:tcW w:w="760" w:type="dxa"/>
            <w:vMerge w:val="continue"/>
            <w:tcBorders>
              <w:left w:val="single" w:color="auto" w:sz="4" w:space="0"/>
              <w:right w:val="single" w:color="auto" w:sz="4" w:space="0"/>
            </w:tcBorders>
            <w:noWrap w:val="0"/>
            <w:vAlign w:val="center"/>
          </w:tcPr>
          <w:p w14:paraId="2D4C654E">
            <w:pPr>
              <w:spacing w:line="480" w:lineRule="exact"/>
              <w:jc w:val="center"/>
              <w:rPr>
                <w:rFonts w:hint="eastAsia" w:ascii="宋体" w:hAnsi="宋体"/>
                <w:color w:val="auto"/>
                <w:sz w:val="24"/>
                <w:szCs w:val="24"/>
                <w:highlight w:val="none"/>
              </w:rPr>
            </w:pPr>
          </w:p>
        </w:tc>
        <w:tc>
          <w:tcPr>
            <w:tcW w:w="793" w:type="dxa"/>
            <w:vMerge w:val="continue"/>
            <w:tcBorders>
              <w:left w:val="single" w:color="auto" w:sz="4" w:space="0"/>
              <w:right w:val="single" w:color="auto" w:sz="4" w:space="0"/>
            </w:tcBorders>
            <w:noWrap w:val="0"/>
            <w:vAlign w:val="center"/>
          </w:tcPr>
          <w:p w14:paraId="32A09E3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olor w:val="auto"/>
                <w:sz w:val="24"/>
                <w:szCs w:val="24"/>
                <w:highlight w:val="none"/>
              </w:rPr>
            </w:pPr>
          </w:p>
        </w:tc>
        <w:tc>
          <w:tcPr>
            <w:tcW w:w="3533" w:type="dxa"/>
            <w:tcBorders>
              <w:top w:val="single" w:color="auto" w:sz="4" w:space="0"/>
              <w:left w:val="nil"/>
              <w:bottom w:val="single" w:color="auto" w:sz="4" w:space="0"/>
              <w:right w:val="single" w:color="auto" w:sz="4" w:space="0"/>
            </w:tcBorders>
            <w:noWrap w:val="0"/>
            <w:vAlign w:val="center"/>
          </w:tcPr>
          <w:p w14:paraId="4F7F5D5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具有履行本项目服务内容所必须的设备和专业技术服务能力</w:t>
            </w:r>
          </w:p>
        </w:tc>
        <w:tc>
          <w:tcPr>
            <w:tcW w:w="4563" w:type="dxa"/>
            <w:tcBorders>
              <w:top w:val="single" w:color="auto" w:sz="4" w:space="0"/>
              <w:left w:val="nil"/>
              <w:right w:val="single" w:color="auto" w:sz="4" w:space="0"/>
            </w:tcBorders>
            <w:noWrap w:val="0"/>
            <w:vAlign w:val="center"/>
          </w:tcPr>
          <w:p w14:paraId="12F8EFF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符合</w:t>
            </w:r>
            <w:r>
              <w:rPr>
                <w:rFonts w:hint="eastAsia" w:ascii="宋体" w:hAnsi="宋体" w:eastAsia="宋体" w:cs="Times New Roman"/>
                <w:color w:val="auto"/>
                <w:sz w:val="24"/>
                <w:szCs w:val="24"/>
                <w:highlight w:val="none"/>
              </w:rPr>
              <w:t>“第一章 竞争性</w:t>
            </w:r>
            <w:r>
              <w:rPr>
                <w:rFonts w:hint="eastAsia" w:ascii="宋体" w:hAnsi="宋体" w:eastAsia="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公告”</w:t>
            </w:r>
            <w:r>
              <w:rPr>
                <w:rFonts w:hint="eastAsia" w:ascii="宋体" w:hAnsi="宋体" w:eastAsia="宋体" w:cs="Times New Roman"/>
                <w:color w:val="auto"/>
                <w:sz w:val="24"/>
                <w:szCs w:val="24"/>
                <w:highlight w:val="none"/>
                <w:lang w:val="en-US" w:eastAsia="zh-CN"/>
              </w:rPr>
              <w:t>要求</w:t>
            </w:r>
          </w:p>
        </w:tc>
      </w:tr>
      <w:tr w14:paraId="31BE4F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94" w:hRule="atLeast"/>
        </w:trPr>
        <w:tc>
          <w:tcPr>
            <w:tcW w:w="760" w:type="dxa"/>
            <w:vMerge w:val="continue"/>
            <w:tcBorders>
              <w:left w:val="single" w:color="auto" w:sz="4" w:space="0"/>
              <w:right w:val="single" w:color="auto" w:sz="4" w:space="0"/>
            </w:tcBorders>
            <w:noWrap w:val="0"/>
            <w:vAlign w:val="center"/>
          </w:tcPr>
          <w:p w14:paraId="28E16307">
            <w:pPr>
              <w:spacing w:line="480" w:lineRule="exact"/>
              <w:jc w:val="center"/>
              <w:rPr>
                <w:rFonts w:hint="eastAsia" w:ascii="宋体" w:hAnsi="宋体"/>
                <w:color w:val="auto"/>
                <w:sz w:val="24"/>
                <w:szCs w:val="24"/>
                <w:highlight w:val="none"/>
              </w:rPr>
            </w:pPr>
          </w:p>
        </w:tc>
        <w:tc>
          <w:tcPr>
            <w:tcW w:w="793" w:type="dxa"/>
            <w:vMerge w:val="continue"/>
            <w:tcBorders>
              <w:left w:val="single" w:color="auto" w:sz="4" w:space="0"/>
              <w:right w:val="single" w:color="auto" w:sz="4" w:space="0"/>
            </w:tcBorders>
            <w:noWrap w:val="0"/>
            <w:vAlign w:val="center"/>
          </w:tcPr>
          <w:p w14:paraId="3CB4C42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olor w:val="auto"/>
                <w:sz w:val="24"/>
                <w:szCs w:val="24"/>
                <w:highlight w:val="none"/>
              </w:rPr>
            </w:pPr>
          </w:p>
        </w:tc>
        <w:tc>
          <w:tcPr>
            <w:tcW w:w="3533" w:type="dxa"/>
            <w:tcBorders>
              <w:top w:val="single" w:color="auto" w:sz="4" w:space="0"/>
              <w:left w:val="nil"/>
              <w:bottom w:val="single" w:color="auto" w:sz="4" w:space="0"/>
              <w:right w:val="single" w:color="auto" w:sz="4" w:space="0"/>
            </w:tcBorders>
            <w:noWrap w:val="0"/>
            <w:vAlign w:val="center"/>
          </w:tcPr>
          <w:p w14:paraId="4CFF8A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财务情况</w:t>
            </w:r>
          </w:p>
        </w:tc>
        <w:tc>
          <w:tcPr>
            <w:tcW w:w="4563" w:type="dxa"/>
            <w:tcBorders>
              <w:top w:val="single" w:color="auto" w:sz="4" w:space="0"/>
              <w:left w:val="nil"/>
              <w:right w:val="single" w:color="auto" w:sz="4" w:space="0"/>
            </w:tcBorders>
            <w:noWrap w:val="0"/>
            <w:vAlign w:val="center"/>
          </w:tcPr>
          <w:p w14:paraId="3F3E1F1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符合</w:t>
            </w:r>
            <w:r>
              <w:rPr>
                <w:rFonts w:hint="eastAsia" w:ascii="宋体" w:hAnsi="宋体" w:eastAsia="宋体" w:cs="Times New Roman"/>
                <w:color w:val="auto"/>
                <w:sz w:val="24"/>
                <w:szCs w:val="24"/>
                <w:highlight w:val="none"/>
              </w:rPr>
              <w:t>“第一章 竞争性</w:t>
            </w:r>
            <w:r>
              <w:rPr>
                <w:rFonts w:hint="eastAsia" w:ascii="宋体" w:hAnsi="宋体" w:eastAsia="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公告”</w:t>
            </w:r>
            <w:r>
              <w:rPr>
                <w:rFonts w:hint="eastAsia" w:ascii="宋体" w:hAnsi="宋体" w:eastAsia="宋体" w:cs="Times New Roman"/>
                <w:color w:val="auto"/>
                <w:sz w:val="24"/>
                <w:szCs w:val="24"/>
                <w:highlight w:val="none"/>
                <w:lang w:val="en-US" w:eastAsia="zh-CN"/>
              </w:rPr>
              <w:t>要求</w:t>
            </w:r>
          </w:p>
        </w:tc>
      </w:tr>
      <w:tr w14:paraId="5385CCA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15" w:hRule="atLeast"/>
        </w:trPr>
        <w:tc>
          <w:tcPr>
            <w:tcW w:w="760" w:type="dxa"/>
            <w:vMerge w:val="continue"/>
            <w:tcBorders>
              <w:left w:val="single" w:color="auto" w:sz="4" w:space="0"/>
              <w:right w:val="single" w:color="auto" w:sz="4" w:space="0"/>
            </w:tcBorders>
            <w:noWrap w:val="0"/>
            <w:vAlign w:val="center"/>
          </w:tcPr>
          <w:p w14:paraId="2C27DB0D">
            <w:pPr>
              <w:spacing w:line="480" w:lineRule="exact"/>
              <w:jc w:val="center"/>
              <w:rPr>
                <w:rFonts w:hint="eastAsia" w:ascii="宋体" w:hAnsi="宋体"/>
                <w:color w:val="auto"/>
                <w:sz w:val="24"/>
                <w:szCs w:val="24"/>
                <w:highlight w:val="none"/>
              </w:rPr>
            </w:pPr>
          </w:p>
        </w:tc>
        <w:tc>
          <w:tcPr>
            <w:tcW w:w="793" w:type="dxa"/>
            <w:vMerge w:val="continue"/>
            <w:tcBorders>
              <w:left w:val="single" w:color="auto" w:sz="4" w:space="0"/>
              <w:right w:val="single" w:color="auto" w:sz="4" w:space="0"/>
            </w:tcBorders>
            <w:noWrap w:val="0"/>
            <w:vAlign w:val="center"/>
          </w:tcPr>
          <w:p w14:paraId="45D1CAD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olor w:val="auto"/>
                <w:sz w:val="24"/>
                <w:szCs w:val="24"/>
                <w:highlight w:val="none"/>
              </w:rPr>
            </w:pPr>
          </w:p>
        </w:tc>
        <w:tc>
          <w:tcPr>
            <w:tcW w:w="3533" w:type="dxa"/>
            <w:tcBorders>
              <w:top w:val="single" w:color="auto" w:sz="4" w:space="0"/>
              <w:left w:val="nil"/>
              <w:bottom w:val="single" w:color="auto" w:sz="4" w:space="0"/>
              <w:right w:val="single" w:color="auto" w:sz="4" w:space="0"/>
            </w:tcBorders>
            <w:noWrap w:val="0"/>
            <w:vAlign w:val="center"/>
          </w:tcPr>
          <w:p w14:paraId="7BC63B1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依法缴纳税收和社会保障资金，响应人须提供承诺书</w:t>
            </w:r>
          </w:p>
        </w:tc>
        <w:tc>
          <w:tcPr>
            <w:tcW w:w="4563" w:type="dxa"/>
            <w:tcBorders>
              <w:top w:val="single" w:color="auto" w:sz="4" w:space="0"/>
              <w:left w:val="nil"/>
              <w:right w:val="single" w:color="auto" w:sz="4" w:space="0"/>
            </w:tcBorders>
            <w:noWrap w:val="0"/>
            <w:vAlign w:val="center"/>
          </w:tcPr>
          <w:p w14:paraId="6E9B530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符合</w:t>
            </w:r>
            <w:r>
              <w:rPr>
                <w:rFonts w:hint="eastAsia" w:ascii="宋体" w:hAnsi="宋体" w:eastAsia="宋体" w:cs="Times New Roman"/>
                <w:color w:val="auto"/>
                <w:sz w:val="24"/>
                <w:szCs w:val="24"/>
                <w:highlight w:val="none"/>
              </w:rPr>
              <w:t>“第一章 竞争性</w:t>
            </w:r>
            <w:r>
              <w:rPr>
                <w:rFonts w:hint="eastAsia" w:ascii="宋体" w:hAnsi="宋体" w:eastAsia="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公告”</w:t>
            </w:r>
            <w:r>
              <w:rPr>
                <w:rFonts w:hint="eastAsia" w:ascii="宋体" w:hAnsi="宋体" w:eastAsia="宋体" w:cs="Times New Roman"/>
                <w:color w:val="auto"/>
                <w:sz w:val="24"/>
                <w:szCs w:val="24"/>
                <w:highlight w:val="none"/>
                <w:lang w:val="en-US" w:eastAsia="zh-CN"/>
              </w:rPr>
              <w:t>要求</w:t>
            </w:r>
          </w:p>
        </w:tc>
      </w:tr>
      <w:tr w14:paraId="086112C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94" w:hRule="atLeast"/>
        </w:trPr>
        <w:tc>
          <w:tcPr>
            <w:tcW w:w="760" w:type="dxa"/>
            <w:vMerge w:val="continue"/>
            <w:tcBorders>
              <w:left w:val="single" w:color="auto" w:sz="4" w:space="0"/>
              <w:right w:val="single" w:color="auto" w:sz="4" w:space="0"/>
            </w:tcBorders>
            <w:noWrap w:val="0"/>
            <w:vAlign w:val="center"/>
          </w:tcPr>
          <w:p w14:paraId="16E4BA6A">
            <w:pPr>
              <w:spacing w:line="480" w:lineRule="exact"/>
              <w:jc w:val="center"/>
              <w:rPr>
                <w:rFonts w:hint="eastAsia" w:ascii="宋体" w:hAnsi="宋体"/>
                <w:color w:val="auto"/>
                <w:sz w:val="24"/>
                <w:szCs w:val="24"/>
                <w:highlight w:val="none"/>
              </w:rPr>
            </w:pPr>
          </w:p>
        </w:tc>
        <w:tc>
          <w:tcPr>
            <w:tcW w:w="793" w:type="dxa"/>
            <w:vMerge w:val="continue"/>
            <w:tcBorders>
              <w:left w:val="single" w:color="auto" w:sz="4" w:space="0"/>
              <w:right w:val="single" w:color="auto" w:sz="4" w:space="0"/>
            </w:tcBorders>
            <w:noWrap w:val="0"/>
            <w:vAlign w:val="center"/>
          </w:tcPr>
          <w:p w14:paraId="5F2ECD5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olor w:val="auto"/>
                <w:sz w:val="24"/>
                <w:szCs w:val="24"/>
                <w:highlight w:val="none"/>
              </w:rPr>
            </w:pPr>
          </w:p>
        </w:tc>
        <w:tc>
          <w:tcPr>
            <w:tcW w:w="3533" w:type="dxa"/>
            <w:tcBorders>
              <w:top w:val="single" w:color="auto" w:sz="4" w:space="0"/>
              <w:left w:val="nil"/>
              <w:bottom w:val="single" w:color="auto" w:sz="4" w:space="0"/>
              <w:right w:val="single" w:color="auto" w:sz="4" w:space="0"/>
            </w:tcBorders>
            <w:noWrap w:val="0"/>
            <w:vAlign w:val="center"/>
          </w:tcPr>
          <w:p w14:paraId="74CD159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无商业贿赂及无不正当竞争行为的承诺书</w:t>
            </w:r>
          </w:p>
        </w:tc>
        <w:tc>
          <w:tcPr>
            <w:tcW w:w="4563" w:type="dxa"/>
            <w:tcBorders>
              <w:top w:val="single" w:color="auto" w:sz="4" w:space="0"/>
              <w:left w:val="nil"/>
              <w:right w:val="single" w:color="auto" w:sz="4" w:space="0"/>
            </w:tcBorders>
            <w:noWrap w:val="0"/>
            <w:vAlign w:val="center"/>
          </w:tcPr>
          <w:p w14:paraId="6A8AB27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符合</w:t>
            </w:r>
            <w:r>
              <w:rPr>
                <w:rFonts w:hint="eastAsia" w:ascii="宋体" w:hAnsi="宋体" w:eastAsia="宋体" w:cs="Times New Roman"/>
                <w:color w:val="auto"/>
                <w:sz w:val="24"/>
                <w:szCs w:val="24"/>
                <w:highlight w:val="none"/>
              </w:rPr>
              <w:t>“第一章 竞争性</w:t>
            </w:r>
            <w:r>
              <w:rPr>
                <w:rFonts w:hint="eastAsia" w:ascii="宋体" w:hAnsi="宋体" w:eastAsia="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公告”</w:t>
            </w:r>
            <w:r>
              <w:rPr>
                <w:rFonts w:hint="eastAsia" w:ascii="宋体" w:hAnsi="宋体" w:eastAsia="宋体" w:cs="Times New Roman"/>
                <w:color w:val="auto"/>
                <w:sz w:val="24"/>
                <w:szCs w:val="24"/>
                <w:highlight w:val="none"/>
                <w:lang w:val="en-US" w:eastAsia="zh-CN"/>
              </w:rPr>
              <w:t>要求</w:t>
            </w:r>
          </w:p>
        </w:tc>
      </w:tr>
      <w:tr w14:paraId="2C7DEA5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94" w:hRule="atLeast"/>
        </w:trPr>
        <w:tc>
          <w:tcPr>
            <w:tcW w:w="760" w:type="dxa"/>
            <w:vMerge w:val="continue"/>
            <w:tcBorders>
              <w:left w:val="single" w:color="auto" w:sz="4" w:space="0"/>
              <w:right w:val="single" w:color="auto" w:sz="4" w:space="0"/>
            </w:tcBorders>
            <w:noWrap w:val="0"/>
            <w:vAlign w:val="center"/>
          </w:tcPr>
          <w:p w14:paraId="1CC3F6E5">
            <w:pPr>
              <w:spacing w:line="480" w:lineRule="exact"/>
              <w:jc w:val="center"/>
              <w:rPr>
                <w:rFonts w:hint="eastAsia" w:ascii="宋体" w:hAnsi="宋体"/>
                <w:color w:val="auto"/>
                <w:sz w:val="24"/>
                <w:szCs w:val="24"/>
                <w:highlight w:val="none"/>
              </w:rPr>
            </w:pPr>
          </w:p>
        </w:tc>
        <w:tc>
          <w:tcPr>
            <w:tcW w:w="793" w:type="dxa"/>
            <w:vMerge w:val="continue"/>
            <w:tcBorders>
              <w:left w:val="single" w:color="auto" w:sz="4" w:space="0"/>
              <w:right w:val="single" w:color="auto" w:sz="4" w:space="0"/>
            </w:tcBorders>
            <w:noWrap w:val="0"/>
            <w:vAlign w:val="center"/>
          </w:tcPr>
          <w:p w14:paraId="77AD80A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olor w:val="auto"/>
                <w:sz w:val="24"/>
                <w:szCs w:val="24"/>
                <w:highlight w:val="none"/>
              </w:rPr>
            </w:pPr>
          </w:p>
        </w:tc>
        <w:tc>
          <w:tcPr>
            <w:tcW w:w="3533" w:type="dxa"/>
            <w:tcBorders>
              <w:top w:val="single" w:color="auto" w:sz="4" w:space="0"/>
              <w:left w:val="nil"/>
              <w:bottom w:val="single" w:color="auto" w:sz="4" w:space="0"/>
              <w:right w:val="single" w:color="auto" w:sz="4" w:space="0"/>
            </w:tcBorders>
            <w:noWrap w:val="0"/>
            <w:vAlign w:val="center"/>
          </w:tcPr>
          <w:p w14:paraId="74E4F2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无行贿犯罪记录在中国裁判文书网自行查询结果或自行承诺</w:t>
            </w:r>
          </w:p>
        </w:tc>
        <w:tc>
          <w:tcPr>
            <w:tcW w:w="4563" w:type="dxa"/>
            <w:tcBorders>
              <w:top w:val="single" w:color="auto" w:sz="4" w:space="0"/>
              <w:left w:val="nil"/>
              <w:right w:val="single" w:color="auto" w:sz="4" w:space="0"/>
            </w:tcBorders>
            <w:noWrap w:val="0"/>
            <w:vAlign w:val="center"/>
          </w:tcPr>
          <w:p w14:paraId="434144E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符合</w:t>
            </w:r>
            <w:r>
              <w:rPr>
                <w:rFonts w:hint="eastAsia" w:ascii="宋体" w:hAnsi="宋体" w:eastAsia="宋体" w:cs="Times New Roman"/>
                <w:color w:val="auto"/>
                <w:sz w:val="24"/>
                <w:szCs w:val="24"/>
                <w:highlight w:val="none"/>
              </w:rPr>
              <w:t>“第一章 竞争性</w:t>
            </w:r>
            <w:r>
              <w:rPr>
                <w:rFonts w:hint="eastAsia" w:ascii="宋体" w:hAnsi="宋体" w:eastAsia="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公告”</w:t>
            </w:r>
            <w:r>
              <w:rPr>
                <w:rFonts w:hint="eastAsia" w:ascii="宋体" w:hAnsi="宋体" w:eastAsia="宋体" w:cs="Times New Roman"/>
                <w:color w:val="auto"/>
                <w:sz w:val="24"/>
                <w:szCs w:val="24"/>
                <w:highlight w:val="none"/>
                <w:lang w:val="en-US" w:eastAsia="zh-CN"/>
              </w:rPr>
              <w:t>要求</w:t>
            </w:r>
          </w:p>
        </w:tc>
      </w:tr>
      <w:tr w14:paraId="393590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73" w:hRule="atLeast"/>
        </w:trPr>
        <w:tc>
          <w:tcPr>
            <w:tcW w:w="760" w:type="dxa"/>
            <w:vMerge w:val="continue"/>
            <w:tcBorders>
              <w:left w:val="single" w:color="auto" w:sz="4" w:space="0"/>
              <w:right w:val="single" w:color="auto" w:sz="4" w:space="0"/>
            </w:tcBorders>
            <w:noWrap w:val="0"/>
            <w:vAlign w:val="center"/>
          </w:tcPr>
          <w:p w14:paraId="6DCE0226">
            <w:pPr>
              <w:spacing w:line="480" w:lineRule="exact"/>
              <w:jc w:val="center"/>
              <w:rPr>
                <w:rFonts w:hint="eastAsia" w:ascii="宋体" w:hAnsi="宋体"/>
                <w:color w:val="auto"/>
                <w:sz w:val="24"/>
                <w:szCs w:val="24"/>
                <w:highlight w:val="none"/>
              </w:rPr>
            </w:pPr>
          </w:p>
        </w:tc>
        <w:tc>
          <w:tcPr>
            <w:tcW w:w="793" w:type="dxa"/>
            <w:vMerge w:val="continue"/>
            <w:tcBorders>
              <w:left w:val="single" w:color="auto" w:sz="4" w:space="0"/>
              <w:right w:val="single" w:color="auto" w:sz="4" w:space="0"/>
            </w:tcBorders>
            <w:noWrap w:val="0"/>
            <w:vAlign w:val="center"/>
          </w:tcPr>
          <w:p w14:paraId="1B8907B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olor w:val="auto"/>
                <w:sz w:val="24"/>
                <w:szCs w:val="24"/>
                <w:highlight w:val="none"/>
              </w:rPr>
            </w:pPr>
          </w:p>
        </w:tc>
        <w:tc>
          <w:tcPr>
            <w:tcW w:w="3533" w:type="dxa"/>
            <w:tcBorders>
              <w:top w:val="single" w:color="auto" w:sz="4" w:space="0"/>
              <w:left w:val="nil"/>
              <w:bottom w:val="single" w:color="auto" w:sz="4" w:space="0"/>
              <w:right w:val="single" w:color="auto" w:sz="4" w:space="0"/>
            </w:tcBorders>
            <w:noWrap w:val="0"/>
            <w:vAlign w:val="center"/>
          </w:tcPr>
          <w:p w14:paraId="3AA3E9D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响应</w:t>
            </w:r>
            <w:r>
              <w:rPr>
                <w:rFonts w:hint="eastAsia" w:ascii="宋体" w:hAnsi="宋体" w:eastAsia="宋体" w:cs="Times New Roman"/>
                <w:color w:val="auto"/>
                <w:sz w:val="24"/>
                <w:szCs w:val="24"/>
                <w:highlight w:val="none"/>
                <w:lang w:eastAsia="zh-CN"/>
              </w:rPr>
              <w:t>人</w:t>
            </w:r>
            <w:r>
              <w:rPr>
                <w:rFonts w:hint="eastAsia" w:ascii="宋体" w:hAnsi="宋体" w:eastAsia="宋体" w:cs="Times New Roman"/>
                <w:color w:val="auto"/>
                <w:sz w:val="24"/>
                <w:szCs w:val="24"/>
                <w:highlight w:val="none"/>
              </w:rPr>
              <w:t>须提供信用中国及中国政府采购网查询页</w:t>
            </w:r>
          </w:p>
        </w:tc>
        <w:tc>
          <w:tcPr>
            <w:tcW w:w="4563" w:type="dxa"/>
            <w:tcBorders>
              <w:top w:val="single" w:color="auto" w:sz="4" w:space="0"/>
              <w:left w:val="nil"/>
              <w:right w:val="single" w:color="auto" w:sz="4" w:space="0"/>
            </w:tcBorders>
            <w:noWrap w:val="0"/>
            <w:vAlign w:val="center"/>
          </w:tcPr>
          <w:p w14:paraId="4D2CE98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符合</w:t>
            </w:r>
            <w:r>
              <w:rPr>
                <w:rFonts w:hint="eastAsia" w:ascii="宋体" w:hAnsi="宋体" w:eastAsia="宋体" w:cs="Times New Roman"/>
                <w:color w:val="auto"/>
                <w:sz w:val="24"/>
                <w:szCs w:val="24"/>
                <w:highlight w:val="none"/>
              </w:rPr>
              <w:t>“第一章 竞争性</w:t>
            </w:r>
            <w:r>
              <w:rPr>
                <w:rFonts w:hint="eastAsia" w:ascii="宋体" w:hAnsi="宋体" w:eastAsia="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公告”</w:t>
            </w:r>
            <w:r>
              <w:rPr>
                <w:rFonts w:hint="eastAsia" w:ascii="宋体" w:hAnsi="宋体" w:eastAsia="宋体" w:cs="Times New Roman"/>
                <w:color w:val="auto"/>
                <w:sz w:val="24"/>
                <w:szCs w:val="24"/>
                <w:highlight w:val="none"/>
                <w:lang w:val="en-US" w:eastAsia="zh-CN"/>
              </w:rPr>
              <w:t>要求</w:t>
            </w:r>
          </w:p>
        </w:tc>
      </w:tr>
      <w:tr w14:paraId="714949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94" w:hRule="atLeast"/>
        </w:trPr>
        <w:tc>
          <w:tcPr>
            <w:tcW w:w="760" w:type="dxa"/>
            <w:vMerge w:val="continue"/>
            <w:tcBorders>
              <w:left w:val="single" w:color="auto" w:sz="4" w:space="0"/>
              <w:right w:val="single" w:color="auto" w:sz="4" w:space="0"/>
            </w:tcBorders>
            <w:noWrap w:val="0"/>
            <w:vAlign w:val="center"/>
          </w:tcPr>
          <w:p w14:paraId="1D55DE61">
            <w:pPr>
              <w:spacing w:line="480" w:lineRule="exact"/>
              <w:jc w:val="center"/>
              <w:rPr>
                <w:rFonts w:hint="eastAsia" w:ascii="宋体" w:hAnsi="宋体"/>
                <w:color w:val="auto"/>
                <w:sz w:val="24"/>
                <w:szCs w:val="24"/>
                <w:highlight w:val="none"/>
              </w:rPr>
            </w:pPr>
          </w:p>
        </w:tc>
        <w:tc>
          <w:tcPr>
            <w:tcW w:w="793" w:type="dxa"/>
            <w:vMerge w:val="continue"/>
            <w:tcBorders>
              <w:left w:val="single" w:color="auto" w:sz="4" w:space="0"/>
              <w:right w:val="single" w:color="auto" w:sz="4" w:space="0"/>
            </w:tcBorders>
            <w:noWrap w:val="0"/>
            <w:vAlign w:val="center"/>
          </w:tcPr>
          <w:p w14:paraId="7EE0021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olor w:val="auto"/>
                <w:sz w:val="24"/>
                <w:szCs w:val="24"/>
                <w:highlight w:val="none"/>
              </w:rPr>
            </w:pPr>
          </w:p>
        </w:tc>
        <w:tc>
          <w:tcPr>
            <w:tcW w:w="3533" w:type="dxa"/>
            <w:tcBorders>
              <w:top w:val="single" w:color="auto" w:sz="4" w:space="0"/>
              <w:left w:val="nil"/>
              <w:bottom w:val="single" w:color="auto" w:sz="4" w:space="0"/>
              <w:right w:val="single" w:color="auto" w:sz="4" w:space="0"/>
            </w:tcBorders>
            <w:noWrap w:val="0"/>
            <w:vAlign w:val="center"/>
          </w:tcPr>
          <w:p w14:paraId="2037C52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本项目不接受联合体</w:t>
            </w:r>
            <w:r>
              <w:rPr>
                <w:rFonts w:hint="eastAsia" w:ascii="宋体" w:hAnsi="宋体" w:eastAsia="宋体" w:cs="Times New Roman"/>
                <w:color w:val="auto"/>
                <w:sz w:val="24"/>
                <w:szCs w:val="24"/>
                <w:highlight w:val="none"/>
                <w:lang w:val="en-US" w:eastAsia="zh-CN"/>
              </w:rPr>
              <w:t>磋商</w:t>
            </w:r>
          </w:p>
        </w:tc>
        <w:tc>
          <w:tcPr>
            <w:tcW w:w="4563" w:type="dxa"/>
            <w:tcBorders>
              <w:top w:val="single" w:color="auto" w:sz="4" w:space="0"/>
              <w:left w:val="nil"/>
              <w:right w:val="single" w:color="auto" w:sz="4" w:space="0"/>
            </w:tcBorders>
            <w:noWrap w:val="0"/>
            <w:vAlign w:val="center"/>
          </w:tcPr>
          <w:p w14:paraId="7F7B7AD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符合</w:t>
            </w:r>
            <w:r>
              <w:rPr>
                <w:rFonts w:hint="eastAsia" w:ascii="宋体" w:hAnsi="宋体" w:eastAsia="宋体" w:cs="Times New Roman"/>
                <w:color w:val="auto"/>
                <w:sz w:val="24"/>
                <w:szCs w:val="24"/>
                <w:highlight w:val="none"/>
              </w:rPr>
              <w:t>“第一章 竞争性</w:t>
            </w:r>
            <w:r>
              <w:rPr>
                <w:rFonts w:hint="eastAsia" w:ascii="宋体" w:hAnsi="宋体" w:eastAsia="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公告”</w:t>
            </w:r>
            <w:r>
              <w:rPr>
                <w:rFonts w:hint="eastAsia" w:ascii="宋体" w:hAnsi="宋体" w:eastAsia="宋体" w:cs="Times New Roman"/>
                <w:color w:val="auto"/>
                <w:sz w:val="24"/>
                <w:szCs w:val="24"/>
                <w:highlight w:val="none"/>
                <w:lang w:val="en-US" w:eastAsia="zh-CN"/>
              </w:rPr>
              <w:t>要求</w:t>
            </w:r>
          </w:p>
        </w:tc>
      </w:tr>
      <w:tr w14:paraId="1275630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94" w:hRule="atLeast"/>
        </w:trPr>
        <w:tc>
          <w:tcPr>
            <w:tcW w:w="760" w:type="dxa"/>
            <w:vMerge w:val="continue"/>
            <w:tcBorders>
              <w:left w:val="single" w:color="auto" w:sz="4" w:space="0"/>
              <w:right w:val="single" w:color="auto" w:sz="4" w:space="0"/>
            </w:tcBorders>
            <w:noWrap w:val="0"/>
            <w:vAlign w:val="center"/>
          </w:tcPr>
          <w:p w14:paraId="3B0D6308">
            <w:pPr>
              <w:spacing w:line="480" w:lineRule="exact"/>
              <w:jc w:val="center"/>
              <w:rPr>
                <w:rFonts w:hint="eastAsia" w:ascii="宋体" w:hAnsi="宋体"/>
                <w:color w:val="auto"/>
                <w:sz w:val="24"/>
                <w:szCs w:val="24"/>
                <w:highlight w:val="none"/>
              </w:rPr>
            </w:pPr>
          </w:p>
        </w:tc>
        <w:tc>
          <w:tcPr>
            <w:tcW w:w="793" w:type="dxa"/>
            <w:vMerge w:val="continue"/>
            <w:tcBorders>
              <w:left w:val="single" w:color="auto" w:sz="4" w:space="0"/>
              <w:right w:val="single" w:color="auto" w:sz="4" w:space="0"/>
            </w:tcBorders>
            <w:noWrap w:val="0"/>
            <w:vAlign w:val="center"/>
          </w:tcPr>
          <w:p w14:paraId="13B28EA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olor w:val="auto"/>
                <w:sz w:val="24"/>
                <w:szCs w:val="24"/>
                <w:highlight w:val="none"/>
              </w:rPr>
            </w:pPr>
          </w:p>
        </w:tc>
        <w:tc>
          <w:tcPr>
            <w:tcW w:w="3533" w:type="dxa"/>
            <w:tcBorders>
              <w:top w:val="single" w:color="auto" w:sz="4" w:space="0"/>
              <w:left w:val="nil"/>
              <w:bottom w:val="single" w:color="auto" w:sz="4" w:space="0"/>
              <w:right w:val="single" w:color="auto" w:sz="4" w:space="0"/>
            </w:tcBorders>
            <w:noWrap w:val="0"/>
            <w:vAlign w:val="center"/>
          </w:tcPr>
          <w:p w14:paraId="6FDE22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响应人</w:t>
            </w:r>
            <w:r>
              <w:rPr>
                <w:rFonts w:hint="eastAsia" w:ascii="宋体" w:hAnsi="宋体" w:eastAsia="宋体" w:cs="Times New Roman"/>
                <w:color w:val="auto"/>
                <w:sz w:val="24"/>
                <w:szCs w:val="24"/>
                <w:highlight w:val="none"/>
              </w:rPr>
              <w:t>需要提交的其他证明材料</w:t>
            </w:r>
          </w:p>
        </w:tc>
        <w:tc>
          <w:tcPr>
            <w:tcW w:w="4563" w:type="dxa"/>
            <w:tcBorders>
              <w:top w:val="single" w:color="auto" w:sz="4" w:space="0"/>
              <w:left w:val="nil"/>
              <w:right w:val="single" w:color="auto" w:sz="4" w:space="0"/>
            </w:tcBorders>
            <w:noWrap w:val="0"/>
            <w:vAlign w:val="center"/>
          </w:tcPr>
          <w:p w14:paraId="525658C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符合</w:t>
            </w:r>
            <w:r>
              <w:rPr>
                <w:rFonts w:hint="eastAsia" w:ascii="宋体" w:hAnsi="宋体" w:eastAsia="宋体" w:cs="Times New Roman"/>
                <w:color w:val="auto"/>
                <w:sz w:val="24"/>
                <w:szCs w:val="24"/>
                <w:highlight w:val="none"/>
              </w:rPr>
              <w:t>“第一章 竞争性</w:t>
            </w:r>
            <w:r>
              <w:rPr>
                <w:rFonts w:hint="eastAsia" w:ascii="宋体" w:hAnsi="宋体" w:eastAsia="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公告”</w:t>
            </w:r>
            <w:r>
              <w:rPr>
                <w:rFonts w:hint="eastAsia" w:ascii="宋体" w:hAnsi="宋体" w:eastAsia="宋体" w:cs="Times New Roman"/>
                <w:color w:val="auto"/>
                <w:sz w:val="24"/>
                <w:szCs w:val="24"/>
                <w:highlight w:val="none"/>
                <w:lang w:val="en-US" w:eastAsia="zh-CN"/>
              </w:rPr>
              <w:t>要求</w:t>
            </w:r>
          </w:p>
        </w:tc>
      </w:tr>
      <w:tr w14:paraId="74AFADF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19" w:hRule="atLeast"/>
        </w:trPr>
        <w:tc>
          <w:tcPr>
            <w:tcW w:w="760" w:type="dxa"/>
            <w:vMerge w:val="restart"/>
            <w:tcBorders>
              <w:top w:val="single" w:color="auto" w:sz="4" w:space="0"/>
              <w:left w:val="single" w:color="auto" w:sz="4" w:space="0"/>
              <w:right w:val="single" w:color="auto" w:sz="4" w:space="0"/>
            </w:tcBorders>
            <w:noWrap w:val="0"/>
            <w:vAlign w:val="center"/>
          </w:tcPr>
          <w:p w14:paraId="5ECE95E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2.1.3</w:t>
            </w:r>
          </w:p>
          <w:p w14:paraId="6B149AAD">
            <w:pPr>
              <w:jc w:val="center"/>
              <w:rPr>
                <w:rFonts w:hint="eastAsia" w:ascii="宋体" w:hAnsi="宋体" w:cs="宋体"/>
                <w:color w:val="auto"/>
                <w:sz w:val="24"/>
                <w:szCs w:val="24"/>
                <w:highlight w:val="none"/>
              </w:rPr>
            </w:pPr>
          </w:p>
          <w:p w14:paraId="3D4D5F58">
            <w:pPr>
              <w:pStyle w:val="2"/>
              <w:rPr>
                <w:rFonts w:hint="eastAsia"/>
                <w:highlight w:val="none"/>
              </w:rPr>
            </w:pPr>
          </w:p>
        </w:tc>
        <w:tc>
          <w:tcPr>
            <w:tcW w:w="793" w:type="dxa"/>
            <w:vMerge w:val="restart"/>
            <w:tcBorders>
              <w:top w:val="single" w:color="auto" w:sz="4" w:space="0"/>
              <w:left w:val="single" w:color="auto" w:sz="4" w:space="0"/>
              <w:right w:val="single" w:color="auto" w:sz="4" w:space="0"/>
            </w:tcBorders>
            <w:noWrap w:val="0"/>
            <w:vAlign w:val="center"/>
          </w:tcPr>
          <w:p w14:paraId="4AB3CEAB">
            <w:pPr>
              <w:keepNext w:val="0"/>
              <w:keepLines w:val="0"/>
              <w:pageBreakBefore w:val="0"/>
              <w:kinsoku/>
              <w:wordWrap/>
              <w:overflowPunct/>
              <w:topLinePunct w:val="0"/>
              <w:autoSpaceDE/>
              <w:autoSpaceDN/>
              <w:bidi w:val="0"/>
              <w:adjustRightInd/>
              <w:snapToGrid/>
              <w:spacing w:line="52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w:t>
            </w:r>
          </w:p>
          <w:p w14:paraId="70FA8AD5">
            <w:pPr>
              <w:keepNext w:val="0"/>
              <w:keepLines w:val="0"/>
              <w:pageBreakBefore w:val="0"/>
              <w:kinsoku/>
              <w:wordWrap/>
              <w:overflowPunct/>
              <w:topLinePunct w:val="0"/>
              <w:autoSpaceDE/>
              <w:autoSpaceDN/>
              <w:bidi w:val="0"/>
              <w:adjustRightInd/>
              <w:snapToGrid/>
              <w:spacing w:line="52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应</w:t>
            </w:r>
          </w:p>
          <w:p w14:paraId="5748FF08">
            <w:pPr>
              <w:keepNext w:val="0"/>
              <w:keepLines w:val="0"/>
              <w:pageBreakBefore w:val="0"/>
              <w:kinsoku/>
              <w:wordWrap/>
              <w:overflowPunct/>
              <w:topLinePunct w:val="0"/>
              <w:autoSpaceDE/>
              <w:autoSpaceDN/>
              <w:bidi w:val="0"/>
              <w:adjustRightInd/>
              <w:snapToGrid/>
              <w:spacing w:line="52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性</w:t>
            </w:r>
          </w:p>
          <w:p w14:paraId="1E9AE266">
            <w:pPr>
              <w:keepNext w:val="0"/>
              <w:keepLines w:val="0"/>
              <w:pageBreakBefore w:val="0"/>
              <w:kinsoku/>
              <w:wordWrap/>
              <w:overflowPunct/>
              <w:topLinePunct w:val="0"/>
              <w:autoSpaceDE/>
              <w:autoSpaceDN/>
              <w:bidi w:val="0"/>
              <w:adjustRightInd/>
              <w:snapToGrid/>
              <w:spacing w:line="52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评</w:t>
            </w:r>
          </w:p>
          <w:p w14:paraId="6956BA96">
            <w:pPr>
              <w:keepNext w:val="0"/>
              <w:keepLines w:val="0"/>
              <w:pageBreakBefore w:val="0"/>
              <w:kinsoku/>
              <w:wordWrap/>
              <w:overflowPunct/>
              <w:topLinePunct w:val="0"/>
              <w:autoSpaceDE/>
              <w:autoSpaceDN/>
              <w:bidi w:val="0"/>
              <w:adjustRightInd/>
              <w:snapToGrid/>
              <w:spacing w:line="52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审</w:t>
            </w:r>
          </w:p>
        </w:tc>
        <w:tc>
          <w:tcPr>
            <w:tcW w:w="3533" w:type="dxa"/>
            <w:tcBorders>
              <w:top w:val="single" w:color="auto" w:sz="4" w:space="0"/>
              <w:left w:val="single" w:color="auto" w:sz="4" w:space="0"/>
              <w:bottom w:val="single" w:color="auto" w:sz="4" w:space="0"/>
              <w:right w:val="single" w:color="auto" w:sz="4" w:space="0"/>
            </w:tcBorders>
            <w:noWrap w:val="0"/>
            <w:vAlign w:val="center"/>
          </w:tcPr>
          <w:p w14:paraId="4E7D24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sz w:val="24"/>
                <w:szCs w:val="24"/>
                <w:highlight w:val="none"/>
                <w:lang w:val="en-US" w:eastAsia="zh-CN"/>
              </w:rPr>
              <w:t>范围</w:t>
            </w:r>
          </w:p>
        </w:tc>
        <w:tc>
          <w:tcPr>
            <w:tcW w:w="4563" w:type="dxa"/>
            <w:tcBorders>
              <w:top w:val="single" w:color="auto" w:sz="4" w:space="0"/>
              <w:left w:val="single" w:color="auto" w:sz="4" w:space="0"/>
              <w:bottom w:val="single" w:color="auto" w:sz="4" w:space="0"/>
              <w:right w:val="single" w:color="auto" w:sz="4" w:space="0"/>
            </w:tcBorders>
            <w:noWrap w:val="0"/>
            <w:vAlign w:val="center"/>
          </w:tcPr>
          <w:p w14:paraId="2015807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符合</w:t>
            </w:r>
            <w:r>
              <w:rPr>
                <w:rFonts w:hint="eastAsia" w:ascii="宋体" w:hAnsi="宋体" w:eastAsia="宋体" w:cs="Times New Roman"/>
                <w:color w:val="auto"/>
                <w:sz w:val="24"/>
                <w:szCs w:val="24"/>
                <w:highlight w:val="none"/>
              </w:rPr>
              <w:t>“第一章 竞争性</w:t>
            </w:r>
            <w:r>
              <w:rPr>
                <w:rFonts w:hint="eastAsia" w:ascii="宋体" w:hAnsi="宋体" w:eastAsia="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公告”</w:t>
            </w:r>
            <w:r>
              <w:rPr>
                <w:rFonts w:hint="eastAsia" w:ascii="宋体" w:hAnsi="宋体" w:eastAsia="宋体" w:cs="Times New Roman"/>
                <w:color w:val="auto"/>
                <w:sz w:val="24"/>
                <w:szCs w:val="24"/>
                <w:highlight w:val="none"/>
                <w:lang w:val="en-US" w:eastAsia="zh-CN"/>
              </w:rPr>
              <w:t>要求</w:t>
            </w:r>
          </w:p>
        </w:tc>
      </w:tr>
      <w:tr w14:paraId="4123DFA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98" w:hRule="atLeast"/>
        </w:trPr>
        <w:tc>
          <w:tcPr>
            <w:tcW w:w="760" w:type="dxa"/>
            <w:vMerge w:val="continue"/>
            <w:tcBorders>
              <w:left w:val="single" w:color="auto" w:sz="4" w:space="0"/>
              <w:right w:val="single" w:color="auto" w:sz="4" w:space="0"/>
            </w:tcBorders>
            <w:noWrap w:val="0"/>
            <w:vAlign w:val="center"/>
          </w:tcPr>
          <w:p w14:paraId="45FCF282">
            <w:pPr>
              <w:jc w:val="center"/>
              <w:rPr>
                <w:rFonts w:hint="eastAsia" w:ascii="宋体" w:hAnsi="宋体" w:cs="宋体"/>
                <w:color w:val="auto"/>
                <w:sz w:val="24"/>
                <w:szCs w:val="24"/>
                <w:highlight w:val="none"/>
              </w:rPr>
            </w:pPr>
          </w:p>
        </w:tc>
        <w:tc>
          <w:tcPr>
            <w:tcW w:w="793" w:type="dxa"/>
            <w:vMerge w:val="continue"/>
            <w:tcBorders>
              <w:left w:val="single" w:color="auto" w:sz="4" w:space="0"/>
              <w:right w:val="single" w:color="auto" w:sz="4" w:space="0"/>
            </w:tcBorders>
            <w:noWrap w:val="0"/>
            <w:vAlign w:val="center"/>
          </w:tcPr>
          <w:p w14:paraId="732FE66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highlight w:val="none"/>
              </w:rPr>
            </w:pPr>
          </w:p>
        </w:tc>
        <w:tc>
          <w:tcPr>
            <w:tcW w:w="3533" w:type="dxa"/>
            <w:tcBorders>
              <w:top w:val="single" w:color="auto" w:sz="4" w:space="0"/>
              <w:left w:val="single" w:color="auto" w:sz="4" w:space="0"/>
              <w:bottom w:val="single" w:color="auto" w:sz="4" w:space="0"/>
              <w:right w:val="single" w:color="auto" w:sz="4" w:space="0"/>
            </w:tcBorders>
            <w:noWrap w:val="0"/>
            <w:vAlign w:val="center"/>
          </w:tcPr>
          <w:p w14:paraId="7F2A75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设计周期</w:t>
            </w:r>
          </w:p>
        </w:tc>
        <w:tc>
          <w:tcPr>
            <w:tcW w:w="4563" w:type="dxa"/>
            <w:tcBorders>
              <w:top w:val="single" w:color="auto" w:sz="4" w:space="0"/>
              <w:left w:val="single" w:color="auto" w:sz="4" w:space="0"/>
              <w:bottom w:val="single" w:color="auto" w:sz="4" w:space="0"/>
              <w:right w:val="single" w:color="auto" w:sz="4" w:space="0"/>
            </w:tcBorders>
            <w:noWrap w:val="0"/>
            <w:vAlign w:val="center"/>
          </w:tcPr>
          <w:p w14:paraId="56789AB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符合</w:t>
            </w:r>
            <w:r>
              <w:rPr>
                <w:rFonts w:hint="eastAsia" w:ascii="宋体" w:hAnsi="宋体" w:eastAsia="宋体" w:cs="Times New Roman"/>
                <w:color w:val="auto"/>
                <w:sz w:val="24"/>
                <w:szCs w:val="24"/>
                <w:highlight w:val="none"/>
              </w:rPr>
              <w:t>“第一章 竞争性</w:t>
            </w:r>
            <w:r>
              <w:rPr>
                <w:rFonts w:hint="eastAsia" w:ascii="宋体" w:hAnsi="宋体" w:eastAsia="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公告”</w:t>
            </w:r>
            <w:r>
              <w:rPr>
                <w:rFonts w:hint="eastAsia" w:ascii="宋体" w:hAnsi="宋体" w:eastAsia="宋体" w:cs="Times New Roman"/>
                <w:color w:val="auto"/>
                <w:sz w:val="24"/>
                <w:szCs w:val="24"/>
                <w:highlight w:val="none"/>
                <w:lang w:val="en-US" w:eastAsia="zh-CN"/>
              </w:rPr>
              <w:t>要求</w:t>
            </w:r>
          </w:p>
        </w:tc>
      </w:tr>
      <w:tr w14:paraId="52F1CF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atLeast"/>
        </w:trPr>
        <w:tc>
          <w:tcPr>
            <w:tcW w:w="760" w:type="dxa"/>
            <w:vMerge w:val="continue"/>
            <w:tcBorders>
              <w:left w:val="single" w:color="auto" w:sz="4" w:space="0"/>
              <w:right w:val="single" w:color="auto" w:sz="4" w:space="0"/>
            </w:tcBorders>
            <w:noWrap w:val="0"/>
            <w:vAlign w:val="center"/>
          </w:tcPr>
          <w:p w14:paraId="71519BD5">
            <w:pPr>
              <w:jc w:val="center"/>
              <w:rPr>
                <w:rFonts w:hint="eastAsia" w:ascii="宋体" w:hAnsi="宋体" w:cs="宋体"/>
                <w:color w:val="auto"/>
                <w:sz w:val="24"/>
                <w:szCs w:val="24"/>
                <w:highlight w:val="none"/>
              </w:rPr>
            </w:pPr>
          </w:p>
        </w:tc>
        <w:tc>
          <w:tcPr>
            <w:tcW w:w="793" w:type="dxa"/>
            <w:vMerge w:val="continue"/>
            <w:tcBorders>
              <w:left w:val="single" w:color="auto" w:sz="4" w:space="0"/>
              <w:right w:val="single" w:color="auto" w:sz="4" w:space="0"/>
            </w:tcBorders>
            <w:noWrap w:val="0"/>
            <w:vAlign w:val="center"/>
          </w:tcPr>
          <w:p w14:paraId="147814F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highlight w:val="none"/>
              </w:rPr>
            </w:pPr>
          </w:p>
        </w:tc>
        <w:tc>
          <w:tcPr>
            <w:tcW w:w="3533" w:type="dxa"/>
            <w:tcBorders>
              <w:top w:val="single" w:color="auto" w:sz="4" w:space="0"/>
              <w:left w:val="single" w:color="auto" w:sz="4" w:space="0"/>
              <w:bottom w:val="single" w:color="auto" w:sz="4" w:space="0"/>
              <w:right w:val="single" w:color="auto" w:sz="4" w:space="0"/>
            </w:tcBorders>
            <w:noWrap w:val="0"/>
            <w:vAlign w:val="center"/>
          </w:tcPr>
          <w:p w14:paraId="3EED8B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质量要求</w:t>
            </w:r>
          </w:p>
        </w:tc>
        <w:tc>
          <w:tcPr>
            <w:tcW w:w="4563" w:type="dxa"/>
            <w:tcBorders>
              <w:top w:val="single" w:color="auto" w:sz="4" w:space="0"/>
              <w:left w:val="single" w:color="auto" w:sz="4" w:space="0"/>
              <w:bottom w:val="single" w:color="auto" w:sz="4" w:space="0"/>
              <w:right w:val="single" w:color="auto" w:sz="4" w:space="0"/>
            </w:tcBorders>
            <w:noWrap w:val="0"/>
            <w:vAlign w:val="center"/>
          </w:tcPr>
          <w:p w14:paraId="338DBCB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符合</w:t>
            </w:r>
            <w:r>
              <w:rPr>
                <w:rFonts w:hint="eastAsia" w:ascii="宋体" w:hAnsi="宋体" w:eastAsia="宋体" w:cs="Times New Roman"/>
                <w:color w:val="auto"/>
                <w:sz w:val="24"/>
                <w:szCs w:val="24"/>
                <w:highlight w:val="none"/>
              </w:rPr>
              <w:t>“第一章 竞争性</w:t>
            </w:r>
            <w:r>
              <w:rPr>
                <w:rFonts w:hint="eastAsia" w:ascii="宋体" w:hAnsi="宋体" w:eastAsia="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公告”</w:t>
            </w:r>
            <w:r>
              <w:rPr>
                <w:rFonts w:hint="eastAsia" w:ascii="宋体" w:hAnsi="宋体" w:eastAsia="宋体" w:cs="Times New Roman"/>
                <w:color w:val="auto"/>
                <w:sz w:val="24"/>
                <w:szCs w:val="24"/>
                <w:highlight w:val="none"/>
                <w:lang w:val="en-US" w:eastAsia="zh-CN"/>
              </w:rPr>
              <w:t>要求</w:t>
            </w:r>
          </w:p>
        </w:tc>
      </w:tr>
      <w:tr w14:paraId="59B8F39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56" w:hRule="atLeast"/>
        </w:trPr>
        <w:tc>
          <w:tcPr>
            <w:tcW w:w="760" w:type="dxa"/>
            <w:vMerge w:val="continue"/>
            <w:tcBorders>
              <w:left w:val="single" w:color="auto" w:sz="4" w:space="0"/>
              <w:right w:val="single" w:color="auto" w:sz="4" w:space="0"/>
            </w:tcBorders>
            <w:noWrap w:val="0"/>
            <w:vAlign w:val="center"/>
          </w:tcPr>
          <w:p w14:paraId="0EC4A630">
            <w:pPr>
              <w:jc w:val="center"/>
              <w:rPr>
                <w:rFonts w:hint="eastAsia" w:ascii="宋体" w:hAnsi="宋体" w:cs="宋体"/>
                <w:color w:val="auto"/>
                <w:sz w:val="24"/>
                <w:szCs w:val="24"/>
                <w:highlight w:val="none"/>
              </w:rPr>
            </w:pPr>
          </w:p>
        </w:tc>
        <w:tc>
          <w:tcPr>
            <w:tcW w:w="793" w:type="dxa"/>
            <w:vMerge w:val="continue"/>
            <w:tcBorders>
              <w:left w:val="single" w:color="auto" w:sz="4" w:space="0"/>
              <w:right w:val="single" w:color="auto" w:sz="4" w:space="0"/>
            </w:tcBorders>
            <w:noWrap w:val="0"/>
            <w:vAlign w:val="center"/>
          </w:tcPr>
          <w:p w14:paraId="6C72669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highlight w:val="none"/>
              </w:rPr>
            </w:pPr>
          </w:p>
        </w:tc>
        <w:tc>
          <w:tcPr>
            <w:tcW w:w="3533" w:type="dxa"/>
            <w:tcBorders>
              <w:top w:val="single" w:color="auto" w:sz="4" w:space="0"/>
              <w:left w:val="single" w:color="auto" w:sz="4" w:space="0"/>
              <w:bottom w:val="single" w:color="auto" w:sz="4" w:space="0"/>
              <w:right w:val="single" w:color="auto" w:sz="4" w:space="0"/>
            </w:tcBorders>
            <w:noWrap w:val="0"/>
            <w:vAlign w:val="center"/>
          </w:tcPr>
          <w:p w14:paraId="4C032C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4563" w:type="dxa"/>
            <w:tcBorders>
              <w:top w:val="single" w:color="auto" w:sz="4" w:space="0"/>
              <w:left w:val="single" w:color="auto" w:sz="4" w:space="0"/>
              <w:bottom w:val="single" w:color="auto" w:sz="4" w:space="0"/>
              <w:right w:val="single" w:color="auto" w:sz="4" w:space="0"/>
            </w:tcBorders>
            <w:noWrap w:val="0"/>
            <w:vAlign w:val="center"/>
          </w:tcPr>
          <w:p w14:paraId="6C86DBE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磋商截止之日起60日历天</w:t>
            </w:r>
          </w:p>
        </w:tc>
      </w:tr>
      <w:tr w14:paraId="42046CC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67" w:hRule="atLeast"/>
        </w:trPr>
        <w:tc>
          <w:tcPr>
            <w:tcW w:w="760" w:type="dxa"/>
            <w:vMerge w:val="continue"/>
            <w:tcBorders>
              <w:left w:val="single" w:color="auto" w:sz="4" w:space="0"/>
              <w:right w:val="single" w:color="auto" w:sz="4" w:space="0"/>
            </w:tcBorders>
            <w:noWrap w:val="0"/>
            <w:vAlign w:val="center"/>
          </w:tcPr>
          <w:p w14:paraId="3CB17F8B">
            <w:pPr>
              <w:jc w:val="center"/>
              <w:rPr>
                <w:rFonts w:hint="eastAsia" w:ascii="宋体" w:hAnsi="宋体" w:cs="宋体"/>
                <w:color w:val="auto"/>
                <w:sz w:val="24"/>
                <w:szCs w:val="24"/>
                <w:highlight w:val="none"/>
              </w:rPr>
            </w:pPr>
          </w:p>
        </w:tc>
        <w:tc>
          <w:tcPr>
            <w:tcW w:w="793" w:type="dxa"/>
            <w:vMerge w:val="continue"/>
            <w:tcBorders>
              <w:left w:val="single" w:color="auto" w:sz="4" w:space="0"/>
              <w:right w:val="single" w:color="auto" w:sz="4" w:space="0"/>
            </w:tcBorders>
            <w:noWrap w:val="0"/>
            <w:vAlign w:val="center"/>
          </w:tcPr>
          <w:p w14:paraId="3B58698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szCs w:val="24"/>
                <w:highlight w:val="none"/>
              </w:rPr>
            </w:pPr>
          </w:p>
        </w:tc>
        <w:tc>
          <w:tcPr>
            <w:tcW w:w="3533" w:type="dxa"/>
            <w:tcBorders>
              <w:top w:val="single" w:color="auto" w:sz="4" w:space="0"/>
              <w:left w:val="single" w:color="auto" w:sz="4" w:space="0"/>
              <w:right w:val="single" w:color="auto" w:sz="4" w:space="0"/>
            </w:tcBorders>
            <w:noWrap w:val="0"/>
            <w:vAlign w:val="center"/>
          </w:tcPr>
          <w:p w14:paraId="2C064B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磋商总报价</w:t>
            </w:r>
          </w:p>
        </w:tc>
        <w:tc>
          <w:tcPr>
            <w:tcW w:w="4563" w:type="dxa"/>
            <w:tcBorders>
              <w:top w:val="single" w:color="auto" w:sz="4" w:space="0"/>
              <w:left w:val="single" w:color="auto" w:sz="4" w:space="0"/>
              <w:bottom w:val="single" w:color="auto" w:sz="4" w:space="0"/>
              <w:right w:val="single" w:color="auto" w:sz="4" w:space="0"/>
            </w:tcBorders>
            <w:noWrap w:val="0"/>
            <w:vAlign w:val="center"/>
          </w:tcPr>
          <w:p w14:paraId="120FEB5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响应人磋商总报价不得高于招标人公布的招标控制价，否则其</w:t>
            </w:r>
            <w:r>
              <w:rPr>
                <w:rFonts w:hint="eastAsia" w:ascii="宋体" w:hAnsi="宋体" w:eastAsia="宋体" w:cs="Times New Roman"/>
                <w:color w:val="auto"/>
                <w:sz w:val="24"/>
                <w:szCs w:val="24"/>
                <w:highlight w:val="none"/>
                <w:lang w:val="en-US" w:eastAsia="zh-CN"/>
              </w:rPr>
              <w:t>响应</w:t>
            </w:r>
            <w:r>
              <w:rPr>
                <w:rFonts w:hint="eastAsia" w:ascii="宋体" w:hAnsi="宋体" w:eastAsia="宋体" w:cs="Times New Roman"/>
                <w:color w:val="auto"/>
                <w:sz w:val="24"/>
                <w:szCs w:val="24"/>
                <w:highlight w:val="none"/>
              </w:rPr>
              <w:t>将予否决。</w:t>
            </w:r>
          </w:p>
        </w:tc>
      </w:tr>
    </w:tbl>
    <w:p w14:paraId="5BF9E8A6">
      <w:pPr>
        <w:rPr>
          <w:rFonts w:hint="eastAsia"/>
          <w:b/>
          <w:bCs/>
          <w:color w:val="auto"/>
          <w:sz w:val="30"/>
          <w:szCs w:val="30"/>
          <w:highlight w:val="none"/>
        </w:rPr>
      </w:pPr>
      <w:bookmarkStart w:id="205" w:name="_Toc10553"/>
      <w:bookmarkStart w:id="206" w:name="_Toc4307"/>
      <w:bookmarkStart w:id="207" w:name="_Toc8327"/>
      <w:r>
        <w:rPr>
          <w:rFonts w:hint="eastAsia"/>
          <w:b/>
          <w:bCs/>
          <w:color w:val="auto"/>
          <w:sz w:val="30"/>
          <w:szCs w:val="30"/>
          <w:highlight w:val="none"/>
        </w:rPr>
        <w:br w:type="page"/>
      </w:r>
    </w:p>
    <w:p w14:paraId="30C8D927">
      <w:pPr>
        <w:spacing w:line="520" w:lineRule="exact"/>
        <w:jc w:val="center"/>
        <w:outlineLvl w:val="1"/>
        <w:rPr>
          <w:rFonts w:hint="eastAsia"/>
          <w:b/>
          <w:bCs/>
          <w:color w:val="auto"/>
          <w:sz w:val="30"/>
          <w:szCs w:val="30"/>
          <w:highlight w:val="none"/>
        </w:rPr>
      </w:pPr>
      <w:bookmarkStart w:id="208" w:name="_Toc17922"/>
      <w:r>
        <w:rPr>
          <w:rFonts w:hint="eastAsia"/>
          <w:b/>
          <w:bCs/>
          <w:color w:val="auto"/>
          <w:sz w:val="30"/>
          <w:szCs w:val="30"/>
          <w:highlight w:val="none"/>
        </w:rPr>
        <w:t>详细评审表</w:t>
      </w:r>
      <w:bookmarkEnd w:id="205"/>
      <w:bookmarkEnd w:id="206"/>
      <w:bookmarkEnd w:id="207"/>
      <w:bookmarkEnd w:id="208"/>
      <w:bookmarkStart w:id="209" w:name="_Toc109537522"/>
      <w:bookmarkStart w:id="210" w:name="_Toc269470330"/>
      <w:bookmarkStart w:id="211" w:name="_Toc90713357"/>
      <w:bookmarkStart w:id="212" w:name="_Toc90712538"/>
      <w:bookmarkStart w:id="213" w:name="_Toc109550798"/>
    </w:p>
    <w:tbl>
      <w:tblPr>
        <w:tblStyle w:val="18"/>
        <w:tblpPr w:leftFromText="180" w:rightFromText="180" w:vertAnchor="text" w:horzAnchor="page" w:tblpX="1209" w:tblpY="287"/>
        <w:tblOverlap w:val="never"/>
        <w:tblW w:w="9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203"/>
        <w:gridCol w:w="1204"/>
        <w:gridCol w:w="897"/>
        <w:gridCol w:w="6285"/>
      </w:tblGrid>
      <w:tr w14:paraId="072F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2" w:hRule="atLeast"/>
        </w:trPr>
        <w:tc>
          <w:tcPr>
            <w:tcW w:w="1203" w:type="dxa"/>
            <w:tcBorders>
              <w:top w:val="single" w:color="auto" w:sz="4" w:space="0"/>
              <w:left w:val="single" w:color="auto" w:sz="4" w:space="0"/>
              <w:bottom w:val="single" w:color="auto" w:sz="4" w:space="0"/>
              <w:right w:val="single" w:color="auto" w:sz="4" w:space="0"/>
            </w:tcBorders>
            <w:noWrap w:val="0"/>
            <w:vAlign w:val="center"/>
          </w:tcPr>
          <w:p w14:paraId="0D2691B8">
            <w:pPr>
              <w:spacing w:line="520" w:lineRule="exact"/>
              <w:jc w:val="center"/>
              <w:outlineLvl w:val="1"/>
              <w:rPr>
                <w:rFonts w:ascii="宋体" w:hAnsi="宋体" w:cs="Arial"/>
                <w:b/>
                <w:color w:val="auto"/>
                <w:kern w:val="0"/>
                <w:sz w:val="24"/>
                <w:szCs w:val="24"/>
                <w:highlight w:val="none"/>
              </w:rPr>
            </w:pPr>
            <w:r>
              <w:rPr>
                <w:rFonts w:hint="eastAsia"/>
                <w:b/>
                <w:bCs/>
                <w:color w:val="auto"/>
                <w:sz w:val="30"/>
                <w:szCs w:val="30"/>
                <w:highlight w:val="none"/>
              </w:rPr>
              <w:br w:type="page"/>
            </w:r>
            <w:r>
              <w:rPr>
                <w:rFonts w:hint="eastAsia"/>
                <w:b/>
                <w:bCs/>
                <w:color w:val="auto"/>
                <w:sz w:val="30"/>
                <w:szCs w:val="30"/>
                <w:highlight w:val="none"/>
              </w:rPr>
              <w:br w:type="page"/>
            </w:r>
            <w:bookmarkEnd w:id="209"/>
            <w:bookmarkEnd w:id="210"/>
            <w:bookmarkEnd w:id="211"/>
            <w:bookmarkEnd w:id="212"/>
            <w:bookmarkEnd w:id="213"/>
            <w:bookmarkStart w:id="214" w:name="_Toc28175"/>
            <w:bookmarkStart w:id="215" w:name="_Toc2117"/>
            <w:r>
              <w:rPr>
                <w:rFonts w:hint="eastAsia" w:ascii="宋体" w:hAnsi="宋体" w:cs="Arial"/>
                <w:b/>
                <w:color w:val="auto"/>
                <w:kern w:val="0"/>
                <w:sz w:val="24"/>
                <w:szCs w:val="24"/>
                <w:highlight w:val="none"/>
              </w:rPr>
              <w:t>评分项目</w:t>
            </w:r>
            <w:bookmarkEnd w:id="214"/>
            <w:bookmarkEnd w:id="215"/>
          </w:p>
        </w:tc>
        <w:tc>
          <w:tcPr>
            <w:tcW w:w="1204" w:type="dxa"/>
            <w:tcBorders>
              <w:top w:val="single" w:color="auto" w:sz="4" w:space="0"/>
              <w:left w:val="single" w:color="auto" w:sz="4" w:space="0"/>
              <w:bottom w:val="single" w:color="auto" w:sz="4" w:space="0"/>
              <w:right w:val="single" w:color="auto" w:sz="4" w:space="0"/>
            </w:tcBorders>
            <w:noWrap w:val="0"/>
            <w:vAlign w:val="center"/>
          </w:tcPr>
          <w:p w14:paraId="2B8724DA">
            <w:pPr>
              <w:widowControl/>
              <w:adjustRightInd w:val="0"/>
              <w:snapToGrid w:val="0"/>
              <w:spacing w:line="440" w:lineRule="exact"/>
              <w:jc w:val="center"/>
              <w:rPr>
                <w:rFonts w:ascii="宋体" w:hAnsi="宋体" w:cs="Arial"/>
                <w:b/>
                <w:color w:val="auto"/>
                <w:kern w:val="0"/>
                <w:sz w:val="24"/>
                <w:szCs w:val="24"/>
                <w:highlight w:val="none"/>
              </w:rPr>
            </w:pPr>
            <w:r>
              <w:rPr>
                <w:rFonts w:hint="eastAsia" w:ascii="宋体" w:hAnsi="宋体"/>
                <w:b/>
                <w:color w:val="auto"/>
                <w:sz w:val="24"/>
                <w:szCs w:val="24"/>
                <w:highlight w:val="none"/>
              </w:rPr>
              <w:t>分项</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6B15405F">
            <w:pPr>
              <w:adjustRightInd w:val="0"/>
              <w:snapToGrid w:val="0"/>
              <w:spacing w:line="440" w:lineRule="exact"/>
              <w:jc w:val="center"/>
              <w:rPr>
                <w:rFonts w:ascii="宋体" w:hAnsi="宋体" w:cs="Arial"/>
                <w:b/>
                <w:color w:val="auto"/>
                <w:kern w:val="0"/>
                <w:sz w:val="24"/>
                <w:szCs w:val="24"/>
                <w:highlight w:val="none"/>
              </w:rPr>
            </w:pPr>
            <w:r>
              <w:rPr>
                <w:rFonts w:hint="eastAsia" w:ascii="宋体" w:hAnsi="宋体" w:cs="Arial"/>
                <w:b/>
                <w:color w:val="auto"/>
                <w:kern w:val="0"/>
                <w:sz w:val="24"/>
                <w:szCs w:val="24"/>
                <w:highlight w:val="none"/>
              </w:rPr>
              <w:t>满分</w:t>
            </w:r>
          </w:p>
        </w:tc>
        <w:tc>
          <w:tcPr>
            <w:tcW w:w="6285" w:type="dxa"/>
            <w:tcBorders>
              <w:top w:val="single" w:color="auto" w:sz="4" w:space="0"/>
              <w:left w:val="single" w:color="auto" w:sz="4" w:space="0"/>
              <w:bottom w:val="single" w:color="auto" w:sz="4" w:space="0"/>
              <w:right w:val="single" w:color="auto" w:sz="4" w:space="0"/>
            </w:tcBorders>
            <w:noWrap w:val="0"/>
            <w:vAlign w:val="center"/>
          </w:tcPr>
          <w:p w14:paraId="0173B7F1">
            <w:pPr>
              <w:widowControl/>
              <w:adjustRightInd w:val="0"/>
              <w:snapToGrid w:val="0"/>
              <w:spacing w:line="440" w:lineRule="exact"/>
              <w:jc w:val="center"/>
              <w:rPr>
                <w:rFonts w:ascii="宋体" w:hAnsi="宋体" w:cs="Arial"/>
                <w:b/>
                <w:color w:val="auto"/>
                <w:kern w:val="0"/>
                <w:sz w:val="24"/>
                <w:szCs w:val="24"/>
                <w:highlight w:val="none"/>
              </w:rPr>
            </w:pPr>
            <w:r>
              <w:rPr>
                <w:rFonts w:hint="eastAsia" w:ascii="宋体" w:hAnsi="宋体" w:cs="Arial"/>
                <w:b/>
                <w:color w:val="auto"/>
                <w:kern w:val="0"/>
                <w:sz w:val="24"/>
                <w:szCs w:val="24"/>
                <w:highlight w:val="none"/>
              </w:rPr>
              <w:t>评分标准</w:t>
            </w:r>
          </w:p>
        </w:tc>
      </w:tr>
      <w:tr w14:paraId="0026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2" w:hRule="atLeast"/>
        </w:trPr>
        <w:tc>
          <w:tcPr>
            <w:tcW w:w="1203" w:type="dxa"/>
            <w:tcBorders>
              <w:top w:val="single" w:color="auto" w:sz="4" w:space="0"/>
              <w:left w:val="single" w:color="auto" w:sz="4" w:space="0"/>
              <w:right w:val="single" w:color="auto" w:sz="4" w:space="0"/>
            </w:tcBorders>
            <w:noWrap w:val="0"/>
            <w:vAlign w:val="center"/>
          </w:tcPr>
          <w:p w14:paraId="72909465">
            <w:pPr>
              <w:jc w:val="center"/>
              <w:rPr>
                <w:rFonts w:ascii="宋体" w:hAnsi="宋体" w:cs="Arial"/>
                <w:b/>
                <w:color w:val="auto"/>
                <w:sz w:val="24"/>
                <w:szCs w:val="24"/>
                <w:highlight w:val="none"/>
              </w:rPr>
            </w:pPr>
            <w:r>
              <w:rPr>
                <w:rFonts w:hint="eastAsia" w:ascii="宋体" w:hAnsi="宋体"/>
                <w:color w:val="auto"/>
                <w:sz w:val="24"/>
                <w:szCs w:val="24"/>
                <w:highlight w:val="none"/>
                <w:lang w:eastAsia="zh-CN"/>
              </w:rPr>
              <w:t>磋商报价（</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0分</w:t>
            </w:r>
            <w:r>
              <w:rPr>
                <w:rFonts w:ascii="宋体" w:hAnsi="宋体"/>
                <w:color w:val="auto"/>
                <w:sz w:val="24"/>
                <w:szCs w:val="24"/>
                <w:highlight w:val="none"/>
              </w:rPr>
              <w:t>）</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D01C0E8">
            <w:pPr>
              <w:adjustRightInd w:val="0"/>
              <w:snapToGrid w:val="0"/>
              <w:spacing w:line="42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磋商报价</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6E2D544D">
            <w:pPr>
              <w:adjustRightInd w:val="0"/>
              <w:snapToGrid w:val="0"/>
              <w:spacing w:before="40" w:after="40"/>
              <w:jc w:val="center"/>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20</w:t>
            </w:r>
            <w:r>
              <w:rPr>
                <w:rFonts w:ascii="宋体" w:hAnsi="宋体" w:cs="Arial"/>
                <w:color w:val="auto"/>
                <w:sz w:val="24"/>
                <w:szCs w:val="24"/>
                <w:highlight w:val="none"/>
              </w:rPr>
              <w:t>分</w:t>
            </w:r>
          </w:p>
        </w:tc>
        <w:tc>
          <w:tcPr>
            <w:tcW w:w="6285" w:type="dxa"/>
            <w:tcBorders>
              <w:top w:val="single" w:color="auto" w:sz="4" w:space="0"/>
              <w:left w:val="single" w:color="auto" w:sz="4" w:space="0"/>
              <w:bottom w:val="single" w:color="auto" w:sz="4" w:space="0"/>
              <w:right w:val="single" w:color="auto" w:sz="4" w:space="0"/>
            </w:tcBorders>
            <w:noWrap w:val="0"/>
            <w:vAlign w:val="center"/>
          </w:tcPr>
          <w:p w14:paraId="4044972A">
            <w:pPr>
              <w:keepNext w:val="0"/>
              <w:keepLines w:val="0"/>
              <w:pageBreakBefore w:val="0"/>
              <w:widowControl w:val="0"/>
              <w:kinsoku/>
              <w:wordWrap/>
              <w:overflowPunct/>
              <w:topLinePunct w:val="0"/>
              <w:autoSpaceDE/>
              <w:autoSpaceDN/>
              <w:bidi w:val="0"/>
              <w:adjustRightInd w:val="0"/>
              <w:snapToGrid/>
              <w:spacing w:line="460" w:lineRule="exact"/>
              <w:ind w:left="2" w:leftChars="0" w:hanging="2" w:hangingChars="1"/>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1、价格分采用低价优先法计算，即满足</w:t>
            </w:r>
            <w:r>
              <w:rPr>
                <w:rFonts w:hint="eastAsia" w:ascii="宋体" w:hAnsi="宋体" w:cs="宋体"/>
                <w:kern w:val="2"/>
                <w:sz w:val="24"/>
                <w:szCs w:val="24"/>
                <w:highlight w:val="none"/>
                <w:lang w:val="en-US" w:eastAsia="zh-CN"/>
              </w:rPr>
              <w:t>磋商</w:t>
            </w:r>
            <w:r>
              <w:rPr>
                <w:rFonts w:hint="eastAsia" w:ascii="宋体" w:hAnsi="宋体" w:eastAsia="宋体" w:cs="宋体"/>
                <w:kern w:val="2"/>
                <w:sz w:val="24"/>
                <w:szCs w:val="24"/>
                <w:highlight w:val="none"/>
                <w:lang w:val="en-US" w:eastAsia="zh-CN"/>
              </w:rPr>
              <w:t>文件通过资格性和形式性审查且</w:t>
            </w:r>
            <w:r>
              <w:rPr>
                <w:rFonts w:hint="eastAsia" w:ascii="宋体" w:hAnsi="宋体" w:cs="宋体"/>
                <w:kern w:val="2"/>
                <w:sz w:val="24"/>
                <w:szCs w:val="24"/>
                <w:highlight w:val="none"/>
                <w:lang w:val="en-US" w:eastAsia="zh-CN"/>
              </w:rPr>
              <w:t>响应</w:t>
            </w:r>
            <w:r>
              <w:rPr>
                <w:rFonts w:hint="eastAsia" w:ascii="宋体" w:hAnsi="宋体" w:eastAsia="宋体" w:cs="宋体"/>
                <w:kern w:val="2"/>
                <w:sz w:val="24"/>
                <w:szCs w:val="24"/>
                <w:highlight w:val="none"/>
                <w:lang w:val="en-US" w:eastAsia="zh-CN"/>
              </w:rPr>
              <w:t>价格最低的</w:t>
            </w:r>
            <w:r>
              <w:rPr>
                <w:rFonts w:hint="eastAsia" w:ascii="宋体" w:hAnsi="宋体" w:cs="宋体"/>
                <w:kern w:val="2"/>
                <w:sz w:val="24"/>
                <w:szCs w:val="24"/>
                <w:highlight w:val="none"/>
                <w:lang w:val="en-US" w:eastAsia="zh-CN"/>
              </w:rPr>
              <w:t>响应</w:t>
            </w:r>
            <w:r>
              <w:rPr>
                <w:rFonts w:hint="eastAsia" w:ascii="宋体" w:hAnsi="宋体" w:eastAsia="宋体" w:cs="宋体"/>
                <w:kern w:val="2"/>
                <w:sz w:val="24"/>
                <w:szCs w:val="24"/>
                <w:highlight w:val="none"/>
                <w:lang w:val="en-US" w:eastAsia="zh-CN"/>
              </w:rPr>
              <w:t>报价为评标基准价，其价格得分为满分</w:t>
            </w: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0分。</w:t>
            </w:r>
          </w:p>
          <w:p w14:paraId="1DF16A16">
            <w:pPr>
              <w:keepNext w:val="0"/>
              <w:keepLines w:val="0"/>
              <w:pageBreakBefore w:val="0"/>
              <w:widowControl w:val="0"/>
              <w:kinsoku/>
              <w:wordWrap/>
              <w:overflowPunct/>
              <w:topLinePunct w:val="0"/>
              <w:autoSpaceDE/>
              <w:autoSpaceDN/>
              <w:bidi w:val="0"/>
              <w:adjustRightInd w:val="0"/>
              <w:snapToGrid/>
              <w:spacing w:line="460" w:lineRule="exact"/>
              <w:ind w:left="2" w:leftChars="0" w:hanging="2" w:hangingChars="1"/>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2、其他响应人的价格分统一按照下列公式计算：</w:t>
            </w:r>
          </w:p>
          <w:p w14:paraId="6AE454A4">
            <w:pPr>
              <w:keepNext w:val="0"/>
              <w:keepLines w:val="0"/>
              <w:pageBreakBefore w:val="0"/>
              <w:widowControl w:val="0"/>
              <w:kinsoku/>
              <w:wordWrap/>
              <w:overflowPunct/>
              <w:topLinePunct w:val="0"/>
              <w:autoSpaceDE/>
              <w:autoSpaceDN/>
              <w:bidi w:val="0"/>
              <w:adjustRightInd w:val="0"/>
              <w:snapToGrid/>
              <w:spacing w:line="460" w:lineRule="exact"/>
              <w:ind w:left="2" w:leftChars="0" w:hanging="2" w:hangingChars="1"/>
              <w:jc w:val="both"/>
              <w:textAlignment w:val="auto"/>
              <w:rPr>
                <w:rFonts w:hint="default"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响应</w:t>
            </w:r>
            <w:r>
              <w:rPr>
                <w:rFonts w:hint="eastAsia" w:ascii="宋体" w:hAnsi="宋体" w:eastAsia="宋体" w:cs="宋体"/>
                <w:kern w:val="2"/>
                <w:sz w:val="24"/>
                <w:szCs w:val="24"/>
                <w:highlight w:val="none"/>
                <w:lang w:val="en-US" w:eastAsia="zh-CN"/>
              </w:rPr>
              <w:t>报价得分=</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评标基准价／</w:t>
            </w:r>
            <w:r>
              <w:rPr>
                <w:rFonts w:hint="eastAsia" w:ascii="宋体" w:hAnsi="宋体" w:cs="宋体"/>
                <w:kern w:val="2"/>
                <w:sz w:val="24"/>
                <w:szCs w:val="24"/>
                <w:highlight w:val="none"/>
                <w:lang w:val="en-US" w:eastAsia="zh-CN"/>
              </w:rPr>
              <w:t>响应</w:t>
            </w:r>
            <w:r>
              <w:rPr>
                <w:rFonts w:hint="eastAsia" w:ascii="宋体" w:hAnsi="宋体" w:eastAsia="宋体" w:cs="宋体"/>
                <w:kern w:val="2"/>
                <w:sz w:val="24"/>
                <w:szCs w:val="24"/>
                <w:highlight w:val="none"/>
                <w:lang w:val="en-US" w:eastAsia="zh-CN"/>
              </w:rPr>
              <w:t>报价</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w:t>
            </w: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0</w:t>
            </w:r>
          </w:p>
          <w:p w14:paraId="4FBC8ABA">
            <w:pPr>
              <w:keepNext w:val="0"/>
              <w:keepLines w:val="0"/>
              <w:pageBreakBefore w:val="0"/>
              <w:widowControl w:val="0"/>
              <w:kinsoku/>
              <w:wordWrap/>
              <w:overflowPunct/>
              <w:topLinePunct w:val="0"/>
              <w:autoSpaceDE/>
              <w:autoSpaceDN/>
              <w:bidi w:val="0"/>
              <w:adjustRightInd w:val="0"/>
              <w:snapToGrid/>
              <w:spacing w:line="460" w:lineRule="exact"/>
              <w:ind w:left="2" w:leftChars="0" w:hanging="2" w:hangingChars="1"/>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3、价格扣除：1.响应人为中小微企业的</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监狱企业/残疾人福利性企业视同小型、微型企业），对所</w:t>
            </w:r>
            <w:r>
              <w:rPr>
                <w:rFonts w:hint="eastAsia" w:ascii="宋体" w:hAnsi="宋体" w:cs="宋体"/>
                <w:kern w:val="2"/>
                <w:sz w:val="24"/>
                <w:szCs w:val="24"/>
                <w:highlight w:val="none"/>
                <w:lang w:val="en-US" w:eastAsia="zh-CN"/>
              </w:rPr>
              <w:t>响应</w:t>
            </w:r>
            <w:r>
              <w:rPr>
                <w:rFonts w:hint="eastAsia" w:ascii="宋体" w:hAnsi="宋体" w:eastAsia="宋体" w:cs="宋体"/>
                <w:kern w:val="2"/>
                <w:sz w:val="24"/>
                <w:szCs w:val="24"/>
                <w:highlight w:val="none"/>
                <w:lang w:val="en-US" w:eastAsia="zh-CN"/>
              </w:rPr>
              <w:t>的小型和微型企业制造的产品的价格给予</w:t>
            </w: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0%的扣除，用扣除后的价格参与评审。参加</w:t>
            </w:r>
            <w:r>
              <w:rPr>
                <w:rFonts w:hint="eastAsia" w:ascii="宋体" w:hAnsi="宋体" w:cs="宋体"/>
                <w:kern w:val="2"/>
                <w:sz w:val="24"/>
                <w:szCs w:val="24"/>
                <w:highlight w:val="none"/>
                <w:lang w:val="en-US" w:eastAsia="zh-CN"/>
              </w:rPr>
              <w:t>响应</w:t>
            </w:r>
            <w:r>
              <w:rPr>
                <w:rFonts w:hint="eastAsia" w:ascii="宋体" w:hAnsi="宋体" w:eastAsia="宋体" w:cs="宋体"/>
                <w:kern w:val="2"/>
                <w:sz w:val="24"/>
                <w:szCs w:val="24"/>
                <w:highlight w:val="none"/>
                <w:lang w:val="en-US" w:eastAsia="zh-CN"/>
              </w:rPr>
              <w:t>的中小微企业，应当按照《政府采购促进中小企业发展管理办法》</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财库〔2020〕46号）的规定提供《中小企业声明函》</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中小企业划型标准详见《关于印发中小企业划型标准规定的通知》工信部联企业〔2011〕300号）。 响应人为大型企业的不适用本款规定。</w:t>
            </w:r>
          </w:p>
          <w:p w14:paraId="009A4362">
            <w:pPr>
              <w:keepNext w:val="0"/>
              <w:keepLines w:val="0"/>
              <w:pageBreakBefore w:val="0"/>
              <w:widowControl w:val="0"/>
              <w:kinsoku/>
              <w:wordWrap/>
              <w:overflowPunct/>
              <w:topLinePunct w:val="0"/>
              <w:autoSpaceDE/>
              <w:autoSpaceDN/>
              <w:bidi w:val="0"/>
              <w:adjustRightInd w:val="0"/>
              <w:snapToGrid/>
              <w:spacing w:line="460" w:lineRule="exact"/>
              <w:ind w:left="2" w:leftChars="0" w:hanging="2" w:hangingChars="1"/>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4、根据财政部司法部《关于政府采购支持监狱企业发展有关问题的通知》</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财库〔2014〕68号）规定及《关于进一步加大政府采购支持中小企业发展有关事项的通知》</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灵财[2022]97号）通知，本项目对监狱企业作为响应人所提供的本企业生产的产品的价格给予20%的扣除。监狱企业，应当提供由省级以上监狱管理局、戒毒管理局</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含新疆生产建设兵团）出具的属于监狱企业的证明文件。</w:t>
            </w:r>
          </w:p>
          <w:p w14:paraId="1646B22D">
            <w:pPr>
              <w:keepNext w:val="0"/>
              <w:keepLines w:val="0"/>
              <w:pageBreakBefore w:val="0"/>
              <w:widowControl w:val="0"/>
              <w:kinsoku/>
              <w:wordWrap/>
              <w:overflowPunct/>
              <w:topLinePunct w:val="0"/>
              <w:autoSpaceDE/>
              <w:autoSpaceDN/>
              <w:bidi w:val="0"/>
              <w:adjustRightInd w:val="0"/>
              <w:snapToGrid/>
              <w:spacing w:line="460" w:lineRule="exact"/>
              <w:ind w:left="2" w:leftChars="0" w:hanging="2" w:hangingChars="1"/>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5、参加政府采购活动的残疾人福利性单位应当提供《残疾人福利性单位声明函》，未填写残疾人福利性单位声明函的在开标过程中不予认可。</w:t>
            </w:r>
          </w:p>
          <w:p w14:paraId="54D8DA2E">
            <w:pPr>
              <w:keepNext w:val="0"/>
              <w:keepLines w:val="0"/>
              <w:pageBreakBefore w:val="0"/>
              <w:widowControl w:val="0"/>
              <w:kinsoku/>
              <w:wordWrap/>
              <w:overflowPunct/>
              <w:topLinePunct w:val="0"/>
              <w:autoSpaceDE/>
              <w:autoSpaceDN/>
              <w:bidi w:val="0"/>
              <w:adjustRightInd w:val="0"/>
              <w:snapToGrid/>
              <w:spacing w:line="460" w:lineRule="exact"/>
              <w:ind w:left="2" w:leftChars="0" w:hanging="2" w:hangingChars="1"/>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6、同一响应人，中小微企业产品和监狱企业产品价格扣除优惠只享受一次，不得重复享受</w:t>
            </w:r>
          </w:p>
          <w:p w14:paraId="6CD8DAF1">
            <w:pPr>
              <w:keepNext w:val="0"/>
              <w:keepLines w:val="0"/>
              <w:pageBreakBefore w:val="0"/>
              <w:widowControl w:val="0"/>
              <w:kinsoku/>
              <w:wordWrap/>
              <w:overflowPunct/>
              <w:topLinePunct w:val="0"/>
              <w:autoSpaceDE/>
              <w:autoSpaceDN/>
              <w:bidi w:val="0"/>
              <w:adjustRightInd w:val="0"/>
              <w:snapToGrid/>
              <w:spacing w:line="460" w:lineRule="exact"/>
              <w:ind w:left="2" w:leftChars="0" w:hanging="2" w:hangingChars="1"/>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例：所投中小微企业产品报价=所投中小微企业产品报价合计×</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1-20%）</w:t>
            </w:r>
          </w:p>
          <w:p w14:paraId="5A243492">
            <w:pPr>
              <w:keepNext w:val="0"/>
              <w:keepLines w:val="0"/>
              <w:pageBreakBefore w:val="0"/>
              <w:widowControl w:val="0"/>
              <w:kinsoku/>
              <w:wordWrap/>
              <w:overflowPunct/>
              <w:topLinePunct w:val="0"/>
              <w:autoSpaceDE/>
              <w:autoSpaceDN/>
              <w:bidi w:val="0"/>
              <w:adjustRightInd w:val="0"/>
              <w:snapToGrid/>
              <w:spacing w:line="460" w:lineRule="exact"/>
              <w:ind w:left="2" w:leftChars="0" w:hanging="2" w:hangingChars="1"/>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注：1.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w:t>
            </w:r>
            <w:r>
              <w:rPr>
                <w:rFonts w:hint="eastAsia" w:ascii="宋体" w:hAnsi="宋体" w:cs="宋体"/>
                <w:kern w:val="2"/>
                <w:sz w:val="24"/>
                <w:szCs w:val="24"/>
                <w:highlight w:val="none"/>
                <w:lang w:val="en-US" w:eastAsia="zh-CN"/>
              </w:rPr>
              <w:t>响应</w:t>
            </w:r>
            <w:r>
              <w:rPr>
                <w:rFonts w:hint="eastAsia" w:ascii="宋体" w:hAnsi="宋体" w:eastAsia="宋体" w:cs="宋体"/>
                <w:kern w:val="2"/>
                <w:sz w:val="24"/>
                <w:szCs w:val="24"/>
                <w:highlight w:val="none"/>
                <w:lang w:val="en-US" w:eastAsia="zh-CN"/>
              </w:rPr>
              <w:t>作废标处理。</w:t>
            </w:r>
          </w:p>
          <w:p w14:paraId="6C84DADC">
            <w:pPr>
              <w:keepNext w:val="0"/>
              <w:keepLines w:val="0"/>
              <w:pageBreakBefore w:val="0"/>
              <w:widowControl w:val="0"/>
              <w:kinsoku/>
              <w:wordWrap/>
              <w:overflowPunct/>
              <w:topLinePunct w:val="0"/>
              <w:autoSpaceDE/>
              <w:autoSpaceDN/>
              <w:bidi w:val="0"/>
              <w:adjustRightInd w:val="0"/>
              <w:snapToGrid/>
              <w:spacing w:line="460" w:lineRule="exact"/>
              <w:ind w:left="2" w:leftChars="0" w:hanging="2" w:hangingChars="1"/>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2.评标基准值计算方法</w:t>
            </w:r>
          </w:p>
          <w:p w14:paraId="1A3261B6">
            <w:pPr>
              <w:keepNext w:val="0"/>
              <w:keepLines w:val="0"/>
              <w:pageBreakBefore w:val="0"/>
              <w:widowControl w:val="0"/>
              <w:kinsoku/>
              <w:wordWrap/>
              <w:overflowPunct/>
              <w:topLinePunct w:val="0"/>
              <w:autoSpaceDE/>
              <w:autoSpaceDN/>
              <w:bidi w:val="0"/>
              <w:adjustRightInd w:val="0"/>
              <w:snapToGrid/>
              <w:spacing w:line="460" w:lineRule="exact"/>
              <w:ind w:left="2" w:leftChars="0" w:hanging="2" w:hangingChars="1"/>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2.1、低于</w:t>
            </w:r>
            <w:r>
              <w:rPr>
                <w:rFonts w:hint="eastAsia" w:ascii="宋体" w:hAnsi="宋体" w:cs="宋体"/>
                <w:kern w:val="2"/>
                <w:sz w:val="24"/>
                <w:szCs w:val="24"/>
                <w:highlight w:val="none"/>
                <w:lang w:val="en-US" w:eastAsia="zh-CN"/>
              </w:rPr>
              <w:t>招标控制价</w:t>
            </w:r>
            <w:r>
              <w:rPr>
                <w:rFonts w:hint="eastAsia" w:ascii="宋体" w:hAnsi="宋体" w:eastAsia="宋体" w:cs="宋体"/>
                <w:kern w:val="2"/>
                <w:sz w:val="24"/>
                <w:szCs w:val="24"/>
                <w:highlight w:val="none"/>
                <w:lang w:val="en-US" w:eastAsia="zh-CN"/>
              </w:rPr>
              <w:t>且通过初步评审的有效响应人报价为有效报价。</w:t>
            </w:r>
          </w:p>
          <w:p w14:paraId="1A9FA5FB">
            <w:pPr>
              <w:keepNext w:val="0"/>
              <w:keepLines w:val="0"/>
              <w:pageBreakBefore w:val="0"/>
              <w:widowControl w:val="0"/>
              <w:kinsoku/>
              <w:wordWrap/>
              <w:overflowPunct/>
              <w:topLinePunct w:val="0"/>
              <w:autoSpaceDE/>
              <w:autoSpaceDN/>
              <w:bidi w:val="0"/>
              <w:adjustRightInd w:val="0"/>
              <w:snapToGrid/>
              <w:spacing w:line="460" w:lineRule="exact"/>
              <w:ind w:left="2" w:leftChars="0" w:hanging="2" w:hangingChars="1"/>
              <w:jc w:val="both"/>
              <w:textAlignment w:val="auto"/>
              <w:rPr>
                <w:rFonts w:hint="default"/>
                <w:highlight w:val="none"/>
                <w:lang w:val="en-US"/>
              </w:rPr>
            </w:pPr>
            <w:r>
              <w:rPr>
                <w:rFonts w:hint="eastAsia" w:ascii="宋体" w:hAnsi="宋体" w:eastAsia="宋体" w:cs="宋体"/>
                <w:kern w:val="2"/>
                <w:sz w:val="24"/>
                <w:szCs w:val="24"/>
                <w:highlight w:val="none"/>
                <w:lang w:val="en-US" w:eastAsia="zh-CN"/>
              </w:rPr>
              <w:t>2.2、评标基准价=满足磋商文件要求的最低有效报价为基准价</w:t>
            </w:r>
          </w:p>
        </w:tc>
      </w:tr>
      <w:tr w14:paraId="5389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203" w:type="dxa"/>
            <w:vMerge w:val="restart"/>
            <w:tcBorders>
              <w:left w:val="single" w:color="auto" w:sz="4" w:space="0"/>
              <w:right w:val="single" w:color="auto" w:sz="4" w:space="0"/>
            </w:tcBorders>
            <w:noWrap w:val="0"/>
            <w:vAlign w:val="center"/>
          </w:tcPr>
          <w:p w14:paraId="31F59FA7">
            <w:pPr>
              <w:adjustRightInd w:val="0"/>
              <w:snapToGrid w:val="0"/>
              <w:spacing w:before="40" w:after="40"/>
              <w:jc w:val="center"/>
              <w:rPr>
                <w:rFonts w:hint="eastAsia" w:ascii="宋体" w:hAnsi="宋体"/>
                <w:color w:val="auto"/>
                <w:sz w:val="24"/>
                <w:szCs w:val="24"/>
                <w:highlight w:val="none"/>
              </w:rPr>
            </w:pPr>
          </w:p>
          <w:p w14:paraId="7CBDE54A">
            <w:pPr>
              <w:adjustRightInd w:val="0"/>
              <w:snapToGrid w:val="0"/>
              <w:spacing w:before="40" w:after="40"/>
              <w:jc w:val="left"/>
              <w:rPr>
                <w:rFonts w:ascii="宋体" w:hAnsi="宋体" w:cs="Arial"/>
                <w:b/>
                <w:color w:val="auto"/>
                <w:sz w:val="24"/>
                <w:szCs w:val="24"/>
                <w:highlight w:val="none"/>
              </w:rPr>
            </w:pPr>
            <w:r>
              <w:rPr>
                <w:rFonts w:hint="eastAsia" w:ascii="宋体" w:hAnsi="宋体"/>
                <w:color w:val="auto"/>
                <w:sz w:val="24"/>
                <w:szCs w:val="24"/>
                <w:highlight w:val="none"/>
              </w:rPr>
              <w:t>综合部分</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分</w:t>
            </w:r>
            <w:r>
              <w:rPr>
                <w:rFonts w:ascii="宋体" w:hAnsi="宋体"/>
                <w:color w:val="auto"/>
                <w:sz w:val="24"/>
                <w:szCs w:val="24"/>
                <w:highlight w:val="none"/>
              </w:rPr>
              <w:t>）</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A9183B8">
            <w:pPr>
              <w:adjustRightInd w:val="0"/>
              <w:spacing w:line="360" w:lineRule="auto"/>
              <w:jc w:val="center"/>
              <w:rPr>
                <w:rFonts w:ascii="宋体" w:hAnsi="宋体"/>
                <w:snapToGrid w:val="0"/>
                <w:color w:val="auto"/>
                <w:kern w:val="0"/>
                <w:sz w:val="24"/>
                <w:szCs w:val="24"/>
                <w:highlight w:val="none"/>
              </w:rPr>
            </w:pPr>
            <w:r>
              <w:rPr>
                <w:rFonts w:ascii="宋体" w:hAnsi="宋体"/>
                <w:snapToGrid w:val="0"/>
                <w:color w:val="auto"/>
                <w:kern w:val="0"/>
                <w:sz w:val="24"/>
                <w:szCs w:val="24"/>
                <w:highlight w:val="none"/>
              </w:rPr>
              <w:t>项目团队成员</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4C801C3E">
            <w:pPr>
              <w:adjustRightInd w:val="0"/>
              <w:snapToGrid w:val="0"/>
              <w:spacing w:before="40" w:after="40"/>
              <w:jc w:val="center"/>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6</w:t>
            </w:r>
            <w:r>
              <w:rPr>
                <w:rFonts w:hint="eastAsia" w:ascii="宋体" w:hAnsi="宋体" w:cs="Arial"/>
                <w:color w:val="auto"/>
                <w:sz w:val="24"/>
                <w:szCs w:val="24"/>
                <w:highlight w:val="none"/>
              </w:rPr>
              <w:t>分</w:t>
            </w:r>
          </w:p>
        </w:tc>
        <w:tc>
          <w:tcPr>
            <w:tcW w:w="6285" w:type="dxa"/>
            <w:tcBorders>
              <w:top w:val="single" w:color="auto" w:sz="4" w:space="0"/>
              <w:left w:val="single" w:color="auto" w:sz="4" w:space="0"/>
              <w:bottom w:val="single" w:color="auto" w:sz="4" w:space="0"/>
              <w:right w:val="single" w:color="auto" w:sz="4" w:space="0"/>
            </w:tcBorders>
            <w:noWrap w:val="0"/>
            <w:vAlign w:val="center"/>
          </w:tcPr>
          <w:p w14:paraId="0A3CD0E9">
            <w:pPr>
              <w:pStyle w:val="33"/>
              <w:widowControl/>
              <w:spacing w:before="137"/>
              <w:ind w:right="-17" w:rightChars="0"/>
              <w:textAlignment w:val="baseline"/>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除项目负责人外的项目组成员，具有相关专业的中级工程师职称每增加一名加2分，最多加6分。</w:t>
            </w:r>
            <w:r>
              <w:rPr>
                <w:rFonts w:hint="eastAsia" w:cs="宋体"/>
                <w:bCs/>
                <w:color w:val="auto"/>
                <w:kern w:val="2"/>
                <w:sz w:val="24"/>
                <w:szCs w:val="24"/>
                <w:highlight w:val="none"/>
                <w:shd w:val="clear" w:color="auto" w:fill="FFFFFF"/>
                <w:lang w:val="en-US" w:eastAsia="zh-CN" w:bidi="ar-SA"/>
              </w:rPr>
              <w:t>（磋商</w:t>
            </w:r>
            <w:r>
              <w:rPr>
                <w:rFonts w:hint="eastAsia" w:ascii="宋体" w:hAnsi="宋体" w:eastAsia="宋体" w:cs="宋体"/>
                <w:bCs/>
                <w:color w:val="auto"/>
                <w:kern w:val="2"/>
                <w:sz w:val="24"/>
                <w:szCs w:val="24"/>
                <w:highlight w:val="none"/>
                <w:shd w:val="clear" w:color="auto" w:fill="FFFFFF"/>
                <w:lang w:val="en-US" w:eastAsia="zh-CN" w:bidi="ar-SA"/>
              </w:rPr>
              <w:t>文件中应附人员职称证书和</w:t>
            </w:r>
            <w:r>
              <w:rPr>
                <w:rFonts w:hint="eastAsia" w:cs="宋体"/>
                <w:bCs/>
                <w:color w:val="auto"/>
                <w:kern w:val="2"/>
                <w:sz w:val="24"/>
                <w:szCs w:val="24"/>
                <w:highlight w:val="none"/>
                <w:shd w:val="clear" w:color="auto" w:fill="FFFFFF"/>
                <w:lang w:val="en-US" w:eastAsia="zh-CN" w:bidi="ar-SA"/>
              </w:rPr>
              <w:t>劳动合同</w:t>
            </w:r>
            <w:r>
              <w:rPr>
                <w:rFonts w:hint="eastAsia" w:ascii="宋体" w:hAnsi="宋体" w:eastAsia="宋体" w:cs="宋体"/>
                <w:bCs/>
                <w:color w:val="auto"/>
                <w:kern w:val="2"/>
                <w:sz w:val="24"/>
                <w:szCs w:val="24"/>
                <w:highlight w:val="none"/>
                <w:shd w:val="clear" w:color="auto" w:fill="FFFFFF"/>
                <w:lang w:val="en-US" w:eastAsia="zh-CN" w:bidi="ar-SA"/>
              </w:rPr>
              <w:t>）</w:t>
            </w:r>
          </w:p>
        </w:tc>
      </w:tr>
      <w:tr w14:paraId="2EC4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86" w:hRule="atLeast"/>
        </w:trPr>
        <w:tc>
          <w:tcPr>
            <w:tcW w:w="1203" w:type="dxa"/>
            <w:vMerge w:val="continue"/>
            <w:tcBorders>
              <w:left w:val="single" w:color="auto" w:sz="4" w:space="0"/>
              <w:right w:val="single" w:color="auto" w:sz="4" w:space="0"/>
            </w:tcBorders>
            <w:noWrap w:val="0"/>
            <w:vAlign w:val="center"/>
          </w:tcPr>
          <w:p w14:paraId="1FA8B927">
            <w:pPr>
              <w:adjustRightInd w:val="0"/>
              <w:snapToGrid w:val="0"/>
              <w:spacing w:before="40" w:after="40" w:line="440" w:lineRule="exact"/>
              <w:jc w:val="center"/>
              <w:rPr>
                <w:rFonts w:ascii="宋体" w:hAnsi="宋体" w:cs="Arial"/>
                <w:b/>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78DAE02">
            <w:pPr>
              <w:jc w:val="center"/>
              <w:rPr>
                <w:rFonts w:hint="eastAsia" w:ascii="宋体" w:hAnsi="宋体" w:cs="宋体"/>
                <w:color w:val="auto"/>
                <w:sz w:val="24"/>
                <w:szCs w:val="24"/>
                <w:highlight w:val="none"/>
                <w:lang w:bidi="zh-CN"/>
              </w:rPr>
            </w:pPr>
          </w:p>
          <w:p w14:paraId="1A554808">
            <w:pPr>
              <w:jc w:val="center"/>
              <w:rPr>
                <w:rFonts w:hint="eastAsia" w:ascii="宋体" w:hAnsi="宋体" w:cs="宋体"/>
                <w:color w:val="auto"/>
                <w:sz w:val="24"/>
                <w:szCs w:val="24"/>
                <w:highlight w:val="none"/>
                <w:lang w:bidi="zh-CN"/>
              </w:rPr>
            </w:pPr>
            <w:r>
              <w:rPr>
                <w:rFonts w:hint="eastAsia" w:ascii="宋体" w:hAnsi="宋体" w:cs="宋体"/>
                <w:color w:val="auto"/>
                <w:sz w:val="24"/>
                <w:szCs w:val="24"/>
                <w:highlight w:val="none"/>
                <w:lang w:bidi="zh-CN"/>
              </w:rPr>
              <w:t>企业认证</w:t>
            </w:r>
          </w:p>
          <w:p w14:paraId="38313359">
            <w:pPr>
              <w:jc w:val="center"/>
              <w:rPr>
                <w:rFonts w:hint="eastAsia" w:ascii="宋体" w:hAnsi="宋体" w:cs="宋体"/>
                <w:color w:val="auto"/>
                <w:sz w:val="24"/>
                <w:szCs w:val="24"/>
                <w:highlight w:val="none"/>
                <w:lang w:bidi="zh-CN"/>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15D7D142">
            <w:pPr>
              <w:adjustRightInd w:val="0"/>
              <w:snapToGrid w:val="0"/>
              <w:spacing w:before="40" w:after="40"/>
              <w:jc w:val="center"/>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val="en-US" w:eastAsia="zh-CN"/>
              </w:rPr>
              <w:t>3</w:t>
            </w:r>
            <w:r>
              <w:rPr>
                <w:rFonts w:hint="eastAsia" w:ascii="宋体" w:hAnsi="宋体" w:eastAsia="宋体" w:cs="Arial"/>
                <w:color w:val="auto"/>
                <w:sz w:val="24"/>
                <w:szCs w:val="24"/>
                <w:highlight w:val="none"/>
                <w:lang w:val="zh-CN"/>
              </w:rPr>
              <w:t>分</w:t>
            </w:r>
          </w:p>
        </w:tc>
        <w:tc>
          <w:tcPr>
            <w:tcW w:w="6285" w:type="dxa"/>
            <w:tcBorders>
              <w:top w:val="single" w:color="auto" w:sz="4" w:space="0"/>
              <w:left w:val="single" w:color="auto" w:sz="4" w:space="0"/>
              <w:bottom w:val="single" w:color="auto" w:sz="4" w:space="0"/>
              <w:right w:val="single" w:color="auto" w:sz="4" w:space="0"/>
            </w:tcBorders>
            <w:noWrap w:val="0"/>
            <w:vAlign w:val="center"/>
          </w:tcPr>
          <w:p w14:paraId="1D61BA65">
            <w:pPr>
              <w:pStyle w:val="33"/>
              <w:widowControl/>
              <w:spacing w:before="137" w:line="400" w:lineRule="exact"/>
              <w:ind w:right="-17" w:rightChars="0"/>
              <w:textAlignment w:val="baseline"/>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具有“质量管理体系认证”“环境管理体系认证”“职业健康安全管理体系认证”证书的每提供一份得1分，累计得3分，不提供不得分。</w:t>
            </w:r>
            <w:r>
              <w:rPr>
                <w:rFonts w:hint="eastAsia" w:cs="宋体"/>
                <w:bCs/>
                <w:color w:val="auto"/>
                <w:kern w:val="2"/>
                <w:sz w:val="24"/>
                <w:szCs w:val="24"/>
                <w:highlight w:val="none"/>
                <w:shd w:val="clear" w:color="auto" w:fill="FFFFFF"/>
                <w:lang w:val="en-US" w:eastAsia="zh-CN" w:bidi="ar-SA"/>
              </w:rPr>
              <w:t>（磋商</w:t>
            </w:r>
            <w:r>
              <w:rPr>
                <w:rFonts w:hint="eastAsia" w:ascii="宋体" w:hAnsi="宋体" w:eastAsia="宋体" w:cs="宋体"/>
                <w:bCs/>
                <w:color w:val="auto"/>
                <w:kern w:val="2"/>
                <w:sz w:val="24"/>
                <w:szCs w:val="24"/>
                <w:highlight w:val="none"/>
                <w:shd w:val="clear" w:color="auto" w:fill="FFFFFF"/>
                <w:lang w:val="en-US" w:eastAsia="zh-CN" w:bidi="ar-SA"/>
              </w:rPr>
              <w:t>文件内附证书原件扫描件）</w:t>
            </w:r>
          </w:p>
        </w:tc>
      </w:tr>
      <w:tr w14:paraId="5880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2" w:hRule="atLeast"/>
        </w:trPr>
        <w:tc>
          <w:tcPr>
            <w:tcW w:w="1203" w:type="dxa"/>
            <w:vMerge w:val="continue"/>
            <w:tcBorders>
              <w:left w:val="single" w:color="auto" w:sz="4" w:space="0"/>
              <w:right w:val="single" w:color="auto" w:sz="4" w:space="0"/>
            </w:tcBorders>
            <w:noWrap w:val="0"/>
            <w:vAlign w:val="center"/>
          </w:tcPr>
          <w:p w14:paraId="5399A1C4">
            <w:pPr>
              <w:adjustRightInd w:val="0"/>
              <w:snapToGrid w:val="0"/>
              <w:spacing w:before="40" w:after="40" w:line="440" w:lineRule="exact"/>
              <w:jc w:val="center"/>
              <w:rPr>
                <w:rFonts w:ascii="宋体" w:hAnsi="宋体" w:cs="Arial"/>
                <w:b/>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75F8AB1E">
            <w:pPr>
              <w:jc w:val="center"/>
              <w:rPr>
                <w:rFonts w:hint="eastAsia"/>
                <w:color w:val="auto"/>
                <w:sz w:val="24"/>
                <w:highlight w:val="none"/>
              </w:rPr>
            </w:pPr>
            <w:r>
              <w:rPr>
                <w:rFonts w:hint="eastAsia"/>
                <w:color w:val="auto"/>
                <w:sz w:val="24"/>
                <w:highlight w:val="none"/>
              </w:rPr>
              <w:t>业绩</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214E763B">
            <w:pPr>
              <w:adjustRightInd w:val="0"/>
              <w:snapToGrid w:val="0"/>
              <w:spacing w:before="40" w:after="40"/>
              <w:jc w:val="center"/>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val="en-US" w:eastAsia="zh-CN"/>
              </w:rPr>
              <w:t>3</w:t>
            </w:r>
            <w:r>
              <w:rPr>
                <w:rFonts w:hint="eastAsia" w:ascii="宋体" w:hAnsi="宋体" w:eastAsia="宋体" w:cs="Arial"/>
                <w:color w:val="auto"/>
                <w:sz w:val="24"/>
                <w:szCs w:val="24"/>
                <w:highlight w:val="none"/>
              </w:rPr>
              <w:t>分</w:t>
            </w:r>
          </w:p>
        </w:tc>
        <w:tc>
          <w:tcPr>
            <w:tcW w:w="6285" w:type="dxa"/>
            <w:tcBorders>
              <w:top w:val="single" w:color="auto" w:sz="4" w:space="0"/>
              <w:left w:val="single" w:color="auto" w:sz="4" w:space="0"/>
              <w:bottom w:val="single" w:color="auto" w:sz="4" w:space="0"/>
              <w:right w:val="single" w:color="auto" w:sz="4" w:space="0"/>
            </w:tcBorders>
            <w:noWrap w:val="0"/>
            <w:vAlign w:val="center"/>
          </w:tcPr>
          <w:p w14:paraId="664646FC">
            <w:pPr>
              <w:pStyle w:val="33"/>
              <w:widowControl/>
              <w:spacing w:before="137" w:line="400" w:lineRule="exact"/>
              <w:ind w:right="-17" w:rightChars="0"/>
              <w:textAlignment w:val="baseline"/>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提供202</w:t>
            </w:r>
            <w:r>
              <w:rPr>
                <w:rFonts w:hint="eastAsia" w:cs="宋体"/>
                <w:bCs/>
                <w:color w:val="auto"/>
                <w:kern w:val="2"/>
                <w:sz w:val="24"/>
                <w:szCs w:val="24"/>
                <w:highlight w:val="none"/>
                <w:shd w:val="clear" w:color="auto" w:fill="FFFFFF"/>
                <w:lang w:val="en-US" w:eastAsia="zh-CN" w:bidi="ar-SA"/>
              </w:rPr>
              <w:t>2</w:t>
            </w:r>
            <w:r>
              <w:rPr>
                <w:rFonts w:hint="eastAsia" w:ascii="宋体" w:hAnsi="宋体" w:eastAsia="宋体" w:cs="宋体"/>
                <w:bCs/>
                <w:color w:val="auto"/>
                <w:kern w:val="2"/>
                <w:sz w:val="24"/>
                <w:szCs w:val="24"/>
                <w:highlight w:val="none"/>
                <w:shd w:val="clear" w:color="auto" w:fill="FFFFFF"/>
                <w:lang w:val="en-US" w:eastAsia="zh-CN" w:bidi="ar-SA"/>
              </w:rPr>
              <w:t>年1月以来已完成的类似项目业绩证明材料，每提供一项得1分，最高得3分。</w:t>
            </w:r>
            <w:r>
              <w:rPr>
                <w:rFonts w:hint="eastAsia" w:cs="宋体"/>
                <w:bCs/>
                <w:color w:val="auto"/>
                <w:kern w:val="2"/>
                <w:sz w:val="24"/>
                <w:szCs w:val="24"/>
                <w:highlight w:val="none"/>
                <w:shd w:val="clear" w:color="auto" w:fill="FFFFFF"/>
                <w:lang w:val="en-US" w:eastAsia="zh-CN" w:bidi="ar-SA"/>
              </w:rPr>
              <w:t>（</w:t>
            </w:r>
            <w:r>
              <w:rPr>
                <w:rFonts w:hint="eastAsia" w:ascii="宋体" w:hAnsi="宋体" w:eastAsia="宋体" w:cs="宋体"/>
                <w:bCs/>
                <w:color w:val="auto"/>
                <w:kern w:val="2"/>
                <w:sz w:val="24"/>
                <w:szCs w:val="24"/>
                <w:highlight w:val="none"/>
                <w:shd w:val="clear" w:color="auto" w:fill="FFFFFF"/>
                <w:lang w:val="en-US" w:eastAsia="zh-CN" w:bidi="ar-SA"/>
              </w:rPr>
              <w:t>提供中标通知书或合同书复印件加盖公章）</w:t>
            </w:r>
          </w:p>
        </w:tc>
      </w:tr>
      <w:tr w14:paraId="2C2A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9" w:hRule="atLeast"/>
        </w:trPr>
        <w:tc>
          <w:tcPr>
            <w:tcW w:w="1203" w:type="dxa"/>
            <w:vMerge w:val="continue"/>
            <w:tcBorders>
              <w:left w:val="single" w:color="auto" w:sz="4" w:space="0"/>
              <w:right w:val="single" w:color="auto" w:sz="4" w:space="0"/>
            </w:tcBorders>
            <w:noWrap w:val="0"/>
            <w:vAlign w:val="center"/>
          </w:tcPr>
          <w:p w14:paraId="4AF7544A">
            <w:pPr>
              <w:adjustRightInd w:val="0"/>
              <w:snapToGrid w:val="0"/>
              <w:spacing w:before="40" w:after="40" w:line="440" w:lineRule="exact"/>
              <w:jc w:val="center"/>
              <w:rPr>
                <w:rFonts w:ascii="宋体" w:hAnsi="宋体" w:cs="Arial"/>
                <w:b/>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1FF6C08">
            <w:pPr>
              <w:pStyle w:val="33"/>
              <w:spacing w:before="136"/>
              <w:jc w:val="center"/>
              <w:rPr>
                <w:color w:val="auto"/>
                <w:sz w:val="24"/>
                <w:highlight w:val="none"/>
              </w:rPr>
            </w:pPr>
            <w:r>
              <w:rPr>
                <w:color w:val="auto"/>
                <w:sz w:val="24"/>
                <w:highlight w:val="none"/>
              </w:rPr>
              <w:t>优惠</w:t>
            </w:r>
            <w:r>
              <w:rPr>
                <w:rFonts w:hint="eastAsia"/>
                <w:color w:val="auto"/>
                <w:sz w:val="24"/>
                <w:highlight w:val="none"/>
              </w:rPr>
              <w:t>服务承诺</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16E3B489">
            <w:pPr>
              <w:adjustRightInd w:val="0"/>
              <w:snapToGrid w:val="0"/>
              <w:jc w:val="center"/>
              <w:rPr>
                <w:color w:val="auto"/>
                <w:sz w:val="24"/>
                <w:highlight w:val="none"/>
              </w:rPr>
            </w:pPr>
            <w:r>
              <w:rPr>
                <w:rFonts w:hint="eastAsia" w:ascii="宋体" w:hAnsi="宋体"/>
                <w:color w:val="auto"/>
                <w:sz w:val="24"/>
                <w:szCs w:val="24"/>
                <w:highlight w:val="none"/>
                <w:lang w:val="en-US" w:eastAsia="zh-CN"/>
              </w:rPr>
              <w:t>13</w:t>
            </w:r>
            <w:r>
              <w:rPr>
                <w:rFonts w:hint="eastAsia" w:ascii="宋体" w:hAnsi="宋体"/>
                <w:color w:val="auto"/>
                <w:sz w:val="24"/>
                <w:szCs w:val="24"/>
                <w:highlight w:val="none"/>
              </w:rPr>
              <w:t>分</w:t>
            </w:r>
          </w:p>
        </w:tc>
        <w:tc>
          <w:tcPr>
            <w:tcW w:w="6285" w:type="dxa"/>
            <w:tcBorders>
              <w:top w:val="single" w:color="auto" w:sz="4" w:space="0"/>
              <w:left w:val="single" w:color="auto" w:sz="4" w:space="0"/>
              <w:bottom w:val="single" w:color="auto" w:sz="4" w:space="0"/>
              <w:right w:val="single" w:color="auto" w:sz="4" w:space="0"/>
            </w:tcBorders>
            <w:noWrap w:val="0"/>
            <w:vAlign w:val="center"/>
          </w:tcPr>
          <w:p w14:paraId="7A277C37">
            <w:pPr>
              <w:pStyle w:val="16"/>
              <w:keepNext w:val="0"/>
              <w:keepLines w:val="0"/>
              <w:pageBreakBefore w:val="0"/>
              <w:widowControl w:val="0"/>
              <w:kinsoku/>
              <w:wordWrap/>
              <w:overflowPunct/>
              <w:topLinePunct w:val="0"/>
              <w:autoSpaceDE/>
              <w:autoSpaceDN/>
              <w:bidi w:val="0"/>
              <w:adjustRightInd/>
              <w:snapToGrid w:val="0"/>
              <w:spacing w:after="0" w:line="440" w:lineRule="exact"/>
              <w:ind w:left="0" w:leftChars="0" w:firstLine="0" w:firstLineChars="0"/>
              <w:textAlignment w:val="auto"/>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1、服务承诺包含不更换团队成员、数据保密</w:t>
            </w:r>
            <w:r>
              <w:rPr>
                <w:rFonts w:hint="eastAsia" w:ascii="宋体" w:hAnsi="宋体" w:cs="宋体"/>
                <w:bCs/>
                <w:color w:val="auto"/>
                <w:kern w:val="2"/>
                <w:sz w:val="24"/>
                <w:szCs w:val="24"/>
                <w:highlight w:val="none"/>
                <w:shd w:val="clear" w:color="auto" w:fill="FFFFFF"/>
                <w:lang w:val="en-US" w:eastAsia="zh-CN" w:bidi="ar-SA"/>
              </w:rPr>
              <w:t>的</w:t>
            </w:r>
            <w:r>
              <w:rPr>
                <w:rFonts w:hint="eastAsia" w:ascii="宋体" w:hAnsi="宋体" w:eastAsia="宋体" w:cs="宋体"/>
                <w:bCs/>
                <w:color w:val="auto"/>
                <w:kern w:val="2"/>
                <w:sz w:val="24"/>
                <w:szCs w:val="24"/>
                <w:highlight w:val="none"/>
                <w:shd w:val="clear" w:color="auto" w:fill="FFFFFF"/>
                <w:lang w:val="en-US" w:eastAsia="zh-CN" w:bidi="ar-SA"/>
              </w:rPr>
              <w:t>承诺</w:t>
            </w:r>
            <w:r>
              <w:rPr>
                <w:rFonts w:hint="eastAsia" w:ascii="宋体" w:hAnsi="宋体" w:cs="宋体"/>
                <w:bCs/>
                <w:color w:val="auto"/>
                <w:kern w:val="2"/>
                <w:sz w:val="24"/>
                <w:szCs w:val="24"/>
                <w:highlight w:val="none"/>
                <w:shd w:val="clear" w:color="auto" w:fill="FFFFFF"/>
                <w:lang w:val="en-US" w:eastAsia="zh-CN" w:bidi="ar-SA"/>
              </w:rPr>
              <w:t>；</w:t>
            </w:r>
          </w:p>
          <w:p w14:paraId="411A1730">
            <w:pPr>
              <w:pStyle w:val="16"/>
              <w:keepNext w:val="0"/>
              <w:keepLines w:val="0"/>
              <w:pageBreakBefore w:val="0"/>
              <w:widowControl w:val="0"/>
              <w:kinsoku/>
              <w:wordWrap/>
              <w:overflowPunct/>
              <w:topLinePunct w:val="0"/>
              <w:autoSpaceDE/>
              <w:autoSpaceDN/>
              <w:bidi w:val="0"/>
              <w:adjustRightInd/>
              <w:snapToGrid w:val="0"/>
              <w:spacing w:after="0" w:line="440" w:lineRule="exact"/>
              <w:ind w:left="0" w:leftChars="0" w:firstLine="0" w:firstLineChars="0"/>
              <w:textAlignment w:val="auto"/>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2、项目完成</w:t>
            </w:r>
            <w:r>
              <w:rPr>
                <w:rFonts w:hint="eastAsia" w:ascii="宋体" w:hAnsi="宋体" w:cs="宋体"/>
                <w:bCs/>
                <w:color w:val="auto"/>
                <w:kern w:val="2"/>
                <w:sz w:val="24"/>
                <w:szCs w:val="24"/>
                <w:highlight w:val="none"/>
                <w:shd w:val="clear" w:color="auto" w:fill="FFFFFF"/>
                <w:lang w:val="en-US" w:eastAsia="zh-CN" w:bidi="ar-SA"/>
              </w:rPr>
              <w:t>（</w:t>
            </w:r>
            <w:r>
              <w:rPr>
                <w:rFonts w:hint="eastAsia" w:ascii="宋体" w:hAnsi="宋体" w:eastAsia="宋体" w:cs="宋体"/>
                <w:bCs/>
                <w:color w:val="auto"/>
                <w:kern w:val="2"/>
                <w:sz w:val="24"/>
                <w:szCs w:val="24"/>
                <w:highlight w:val="none"/>
                <w:shd w:val="clear" w:color="auto" w:fill="FFFFFF"/>
                <w:lang w:val="en-US" w:eastAsia="zh-CN" w:bidi="ar-SA"/>
              </w:rPr>
              <w:t>服务期满）后的服务承诺</w:t>
            </w:r>
            <w:r>
              <w:rPr>
                <w:rFonts w:hint="eastAsia" w:ascii="宋体" w:hAnsi="宋体" w:cs="宋体"/>
                <w:bCs/>
                <w:color w:val="auto"/>
                <w:kern w:val="2"/>
                <w:sz w:val="24"/>
                <w:szCs w:val="24"/>
                <w:highlight w:val="none"/>
                <w:shd w:val="clear" w:color="auto" w:fill="FFFFFF"/>
                <w:lang w:val="en-US" w:eastAsia="zh-CN" w:bidi="ar-SA"/>
              </w:rPr>
              <w:t>；</w:t>
            </w:r>
          </w:p>
          <w:p w14:paraId="684A1CE9">
            <w:pPr>
              <w:pStyle w:val="16"/>
              <w:keepNext w:val="0"/>
              <w:keepLines w:val="0"/>
              <w:pageBreakBefore w:val="0"/>
              <w:widowControl w:val="0"/>
              <w:kinsoku/>
              <w:wordWrap/>
              <w:overflowPunct/>
              <w:topLinePunct w:val="0"/>
              <w:autoSpaceDE/>
              <w:autoSpaceDN/>
              <w:bidi w:val="0"/>
              <w:adjustRightInd/>
              <w:snapToGrid w:val="0"/>
              <w:spacing w:after="0" w:line="440" w:lineRule="exact"/>
              <w:ind w:firstLine="0" w:firstLineChars="0"/>
              <w:textAlignment w:val="auto"/>
              <w:rPr>
                <w:rFonts w:hint="eastAsia" w:ascii="宋体" w:hAnsi="宋体" w:eastAsia="宋体" w:cs="宋体"/>
                <w:bCs/>
                <w:color w:val="auto"/>
                <w:kern w:val="2"/>
                <w:sz w:val="24"/>
                <w:szCs w:val="24"/>
                <w:highlight w:val="none"/>
                <w:shd w:val="clear" w:color="auto" w:fill="FFFFFF"/>
                <w:lang w:val="zh-CN" w:eastAsia="zh-CN" w:bidi="ar-SA"/>
              </w:rPr>
            </w:pPr>
            <w:r>
              <w:rPr>
                <w:rFonts w:hint="eastAsia" w:ascii="宋体" w:hAnsi="宋体" w:eastAsia="宋体" w:cs="宋体"/>
                <w:bCs/>
                <w:color w:val="auto"/>
                <w:kern w:val="2"/>
                <w:sz w:val="24"/>
                <w:szCs w:val="24"/>
                <w:highlight w:val="none"/>
                <w:shd w:val="clear" w:color="auto" w:fill="FFFFFF"/>
                <w:lang w:val="en-US" w:eastAsia="zh-CN" w:bidi="ar-SA"/>
              </w:rPr>
              <w:t>3</w:t>
            </w:r>
            <w:r>
              <w:rPr>
                <w:rFonts w:hint="eastAsia" w:ascii="宋体" w:hAnsi="宋体" w:eastAsia="宋体" w:cs="宋体"/>
                <w:bCs/>
                <w:color w:val="auto"/>
                <w:kern w:val="2"/>
                <w:sz w:val="24"/>
                <w:szCs w:val="24"/>
                <w:highlight w:val="none"/>
                <w:shd w:val="clear" w:color="auto" w:fill="FFFFFF"/>
                <w:lang w:val="zh-CN" w:eastAsia="zh-CN" w:bidi="ar-SA"/>
              </w:rPr>
              <w:t>、承诺能够严格执行各种专业规范，积极配合方案及相关设计审批时的各项修改等内容</w:t>
            </w:r>
            <w:r>
              <w:rPr>
                <w:rFonts w:hint="eastAsia" w:ascii="宋体" w:hAnsi="宋体" w:cs="宋体"/>
                <w:bCs/>
                <w:color w:val="auto"/>
                <w:kern w:val="2"/>
                <w:sz w:val="24"/>
                <w:szCs w:val="24"/>
                <w:highlight w:val="none"/>
                <w:shd w:val="clear" w:color="auto" w:fill="FFFFFF"/>
                <w:lang w:val="zh-CN" w:eastAsia="zh-CN" w:bidi="ar-SA"/>
              </w:rPr>
              <w:t>；</w:t>
            </w:r>
          </w:p>
          <w:p w14:paraId="5CE1A1C9">
            <w:pPr>
              <w:pStyle w:val="16"/>
              <w:keepNext w:val="0"/>
              <w:keepLines w:val="0"/>
              <w:pageBreakBefore w:val="0"/>
              <w:widowControl w:val="0"/>
              <w:kinsoku/>
              <w:wordWrap/>
              <w:overflowPunct/>
              <w:topLinePunct w:val="0"/>
              <w:autoSpaceDE/>
              <w:autoSpaceDN/>
              <w:bidi w:val="0"/>
              <w:adjustRightInd/>
              <w:snapToGrid w:val="0"/>
              <w:spacing w:after="0" w:line="440" w:lineRule="exact"/>
              <w:ind w:firstLine="0" w:firstLineChars="0"/>
              <w:textAlignment w:val="auto"/>
              <w:rPr>
                <w:rFonts w:hint="eastAsia" w:ascii="宋体" w:hAnsi="宋体" w:cs="宋体"/>
                <w:bCs/>
                <w:color w:val="auto"/>
                <w:kern w:val="2"/>
                <w:sz w:val="24"/>
                <w:szCs w:val="24"/>
                <w:highlight w:val="none"/>
                <w:shd w:val="clear" w:color="auto" w:fill="FFFFFF"/>
                <w:lang w:val="zh-CN" w:eastAsia="zh-CN" w:bidi="ar-SA"/>
              </w:rPr>
            </w:pPr>
            <w:r>
              <w:rPr>
                <w:rFonts w:hint="eastAsia" w:ascii="宋体" w:hAnsi="宋体" w:eastAsia="宋体" w:cs="宋体"/>
                <w:bCs/>
                <w:color w:val="auto"/>
                <w:kern w:val="2"/>
                <w:sz w:val="24"/>
                <w:szCs w:val="24"/>
                <w:highlight w:val="none"/>
                <w:shd w:val="clear" w:color="auto" w:fill="FFFFFF"/>
                <w:lang w:val="en-US" w:eastAsia="zh-CN" w:bidi="ar-SA"/>
              </w:rPr>
              <w:t>4</w:t>
            </w:r>
            <w:r>
              <w:rPr>
                <w:rFonts w:hint="eastAsia" w:ascii="宋体" w:hAnsi="宋体" w:eastAsia="宋体" w:cs="宋体"/>
                <w:bCs/>
                <w:color w:val="auto"/>
                <w:kern w:val="2"/>
                <w:sz w:val="24"/>
                <w:szCs w:val="24"/>
                <w:highlight w:val="none"/>
                <w:shd w:val="clear" w:color="auto" w:fill="FFFFFF"/>
                <w:lang w:val="zh-CN" w:eastAsia="zh-CN" w:bidi="ar-SA"/>
              </w:rPr>
              <w:t>、承诺后期施工时的技术交底和设计变更等相关配合，承诺施工过程中现场派驻</w:t>
            </w:r>
            <w:r>
              <w:rPr>
                <w:rFonts w:hint="eastAsia" w:ascii="宋体" w:hAnsi="宋体" w:eastAsia="宋体" w:cs="宋体"/>
                <w:bCs/>
                <w:color w:val="auto"/>
                <w:kern w:val="2"/>
                <w:sz w:val="24"/>
                <w:szCs w:val="24"/>
                <w:highlight w:val="none"/>
                <w:shd w:val="clear" w:color="auto" w:fill="FFFFFF"/>
                <w:lang w:val="en-US" w:eastAsia="zh-CN" w:bidi="ar-SA"/>
              </w:rPr>
              <w:t>专业</w:t>
            </w:r>
            <w:r>
              <w:rPr>
                <w:rFonts w:hint="eastAsia" w:ascii="宋体" w:hAnsi="宋体" w:eastAsia="宋体" w:cs="宋体"/>
                <w:bCs/>
                <w:color w:val="auto"/>
                <w:kern w:val="2"/>
                <w:sz w:val="24"/>
                <w:szCs w:val="24"/>
                <w:highlight w:val="none"/>
                <w:shd w:val="clear" w:color="auto" w:fill="FFFFFF"/>
                <w:lang w:val="zh-CN" w:eastAsia="zh-CN" w:bidi="ar-SA"/>
              </w:rPr>
              <w:t>人员及时解决处理现场问题的承诺</w:t>
            </w:r>
            <w:r>
              <w:rPr>
                <w:rFonts w:hint="eastAsia" w:ascii="宋体" w:hAnsi="宋体" w:cs="宋体"/>
                <w:bCs/>
                <w:color w:val="auto"/>
                <w:kern w:val="2"/>
                <w:sz w:val="24"/>
                <w:szCs w:val="24"/>
                <w:highlight w:val="none"/>
                <w:shd w:val="clear" w:color="auto" w:fill="FFFFFF"/>
                <w:lang w:val="zh-CN" w:eastAsia="zh-CN" w:bidi="ar-SA"/>
              </w:rPr>
              <w:t>；</w:t>
            </w:r>
          </w:p>
          <w:p w14:paraId="5FEEB4D3">
            <w:pPr>
              <w:pStyle w:val="16"/>
              <w:keepNext w:val="0"/>
              <w:keepLines w:val="0"/>
              <w:pageBreakBefore w:val="0"/>
              <w:widowControl w:val="0"/>
              <w:kinsoku/>
              <w:wordWrap/>
              <w:overflowPunct/>
              <w:topLinePunct w:val="0"/>
              <w:autoSpaceDE/>
              <w:autoSpaceDN/>
              <w:bidi w:val="0"/>
              <w:adjustRightInd/>
              <w:snapToGrid w:val="0"/>
              <w:spacing w:after="0" w:line="440" w:lineRule="exact"/>
              <w:ind w:firstLine="0" w:firstLineChars="0"/>
              <w:textAlignment w:val="auto"/>
              <w:rPr>
                <w:rFonts w:hint="eastAsia" w:ascii="宋体" w:hAnsi="宋体" w:cs="宋体"/>
                <w:b/>
                <w:bCs w:val="0"/>
                <w:color w:val="auto"/>
                <w:kern w:val="2"/>
                <w:sz w:val="24"/>
                <w:szCs w:val="24"/>
                <w:highlight w:val="none"/>
                <w:shd w:val="clear" w:color="auto" w:fill="FFFFFF"/>
                <w:lang w:val="zh-CN" w:eastAsia="zh-CN" w:bidi="ar-SA"/>
              </w:rPr>
            </w:pPr>
            <w:r>
              <w:rPr>
                <w:rFonts w:hint="eastAsia" w:ascii="宋体" w:hAnsi="宋体" w:cs="宋体"/>
                <w:b/>
                <w:bCs w:val="0"/>
                <w:color w:val="auto"/>
                <w:kern w:val="2"/>
                <w:sz w:val="24"/>
                <w:szCs w:val="24"/>
                <w:highlight w:val="none"/>
                <w:shd w:val="clear" w:color="auto" w:fill="FFFFFF"/>
                <w:lang w:val="en-US" w:eastAsia="zh-CN" w:bidi="ar-SA"/>
              </w:rPr>
              <w:t>注：1、以上内容</w:t>
            </w:r>
            <w:r>
              <w:rPr>
                <w:rFonts w:hint="eastAsia" w:ascii="宋体" w:hAnsi="宋体" w:cs="宋体"/>
                <w:b/>
                <w:bCs w:val="0"/>
                <w:color w:val="auto"/>
                <w:kern w:val="2"/>
                <w:sz w:val="24"/>
                <w:szCs w:val="24"/>
                <w:highlight w:val="none"/>
                <w:shd w:val="clear" w:color="auto" w:fill="FFFFFF"/>
                <w:lang w:val="zh-CN" w:eastAsia="zh-CN" w:bidi="ar-SA"/>
              </w:rPr>
              <w:t>不提供不得分。</w:t>
            </w:r>
          </w:p>
          <w:p w14:paraId="70FFC295">
            <w:pPr>
              <w:pStyle w:val="16"/>
              <w:keepNext w:val="0"/>
              <w:keepLines w:val="0"/>
              <w:pageBreakBefore w:val="0"/>
              <w:widowControl w:val="0"/>
              <w:kinsoku/>
              <w:wordWrap/>
              <w:overflowPunct/>
              <w:topLinePunct w:val="0"/>
              <w:autoSpaceDE/>
              <w:autoSpaceDN/>
              <w:bidi w:val="0"/>
              <w:adjustRightInd/>
              <w:snapToGrid w:val="0"/>
              <w:spacing w:after="0" w:line="440" w:lineRule="exact"/>
              <w:ind w:firstLine="482" w:firstLineChars="200"/>
              <w:textAlignment w:val="auto"/>
              <w:rPr>
                <w:rFonts w:hint="eastAsia"/>
                <w:highlight w:val="none"/>
                <w:lang w:val="en-US" w:eastAsia="zh-CN"/>
              </w:rPr>
            </w:pPr>
            <w:r>
              <w:rPr>
                <w:rFonts w:hint="eastAsia" w:ascii="宋体" w:hAnsi="宋体" w:cs="宋体"/>
                <w:b/>
                <w:bCs w:val="0"/>
                <w:color w:val="auto"/>
                <w:kern w:val="2"/>
                <w:sz w:val="24"/>
                <w:szCs w:val="24"/>
                <w:highlight w:val="none"/>
                <w:shd w:val="clear" w:color="auto" w:fill="FFFFFF"/>
                <w:lang w:val="en-US" w:eastAsia="zh-CN" w:bidi="ar-SA"/>
              </w:rPr>
              <w:t>2、以上内容完整、描述具体详实，具有针对性和可实施性的，得13分；内容通用、简单，具有一定的可实施性，但不具有针对性，得8分；内容不够完整、描述不够具体详实的，不具有针对性、缺乏可实施性，得3分。</w:t>
            </w:r>
          </w:p>
        </w:tc>
      </w:tr>
      <w:tr w14:paraId="04F5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751" w:hRule="atLeast"/>
        </w:trPr>
        <w:tc>
          <w:tcPr>
            <w:tcW w:w="1203" w:type="dxa"/>
            <w:vMerge w:val="restart"/>
            <w:tcBorders>
              <w:left w:val="single" w:color="auto" w:sz="4" w:space="0"/>
              <w:right w:val="single" w:color="auto" w:sz="4" w:space="0"/>
            </w:tcBorders>
            <w:noWrap w:val="0"/>
            <w:vAlign w:val="center"/>
          </w:tcPr>
          <w:p w14:paraId="7A65BEE1">
            <w:pPr>
              <w:rPr>
                <w:rFonts w:hint="eastAsia" w:ascii="宋体" w:hAnsi="宋体" w:cs="宋体"/>
                <w:b/>
                <w:color w:val="auto"/>
                <w:sz w:val="24"/>
                <w:szCs w:val="24"/>
                <w:highlight w:val="none"/>
              </w:rPr>
            </w:pPr>
            <w:r>
              <w:rPr>
                <w:rFonts w:hint="eastAsia" w:ascii="宋体" w:hAnsi="宋体" w:cs="宋体"/>
                <w:color w:val="auto"/>
                <w:sz w:val="24"/>
                <w:szCs w:val="24"/>
                <w:highlight w:val="none"/>
              </w:rPr>
              <w:t>技术部分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tc>
        <w:tc>
          <w:tcPr>
            <w:tcW w:w="1204" w:type="dxa"/>
            <w:tcBorders>
              <w:top w:val="single" w:color="auto" w:sz="4" w:space="0"/>
              <w:left w:val="single" w:color="auto" w:sz="4" w:space="0"/>
              <w:right w:val="single" w:color="auto" w:sz="4" w:space="0"/>
            </w:tcBorders>
            <w:noWrap w:val="0"/>
            <w:vAlign w:val="center"/>
          </w:tcPr>
          <w:p w14:paraId="6C03C8F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项目背景认知</w:t>
            </w:r>
          </w:p>
        </w:tc>
        <w:tc>
          <w:tcPr>
            <w:tcW w:w="897" w:type="dxa"/>
            <w:tcBorders>
              <w:top w:val="single" w:color="auto" w:sz="4" w:space="0"/>
              <w:left w:val="single" w:color="auto" w:sz="4" w:space="0"/>
              <w:right w:val="single" w:color="auto" w:sz="4" w:space="0"/>
            </w:tcBorders>
            <w:noWrap w:val="0"/>
            <w:vAlign w:val="center"/>
          </w:tcPr>
          <w:p w14:paraId="27BE4AE7">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6分</w:t>
            </w:r>
          </w:p>
        </w:tc>
        <w:tc>
          <w:tcPr>
            <w:tcW w:w="6285" w:type="dxa"/>
            <w:tcBorders>
              <w:top w:val="single" w:color="auto" w:sz="4" w:space="0"/>
              <w:left w:val="single" w:color="auto" w:sz="4" w:space="0"/>
              <w:right w:val="single" w:color="auto" w:sz="4" w:space="0"/>
            </w:tcBorders>
            <w:noWrap w:val="0"/>
            <w:vAlign w:val="center"/>
          </w:tcPr>
          <w:p w14:paraId="01B1ECB7">
            <w:pPr>
              <w:pStyle w:val="33"/>
              <w:keepNext w:val="0"/>
              <w:keepLines w:val="0"/>
              <w:pageBreakBefore w:val="0"/>
              <w:widowControl/>
              <w:kinsoku/>
              <w:wordWrap/>
              <w:overflowPunct/>
              <w:topLinePunct w:val="0"/>
              <w:autoSpaceDE/>
              <w:autoSpaceDN/>
              <w:bidi w:val="0"/>
              <w:spacing w:line="240" w:lineRule="auto"/>
              <w:ind w:left="0" w:right="0"/>
              <w:textAlignment w:val="baseline"/>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根据响应人对本项目的理解程度以及对项目所在地情况的认知程度，从国家、省、市、县各级层面对设计相关的政策背景进行分析和研究；</w:t>
            </w:r>
          </w:p>
          <w:p w14:paraId="70722CA5">
            <w:pPr>
              <w:pStyle w:val="33"/>
              <w:keepNext w:val="0"/>
              <w:keepLines w:val="0"/>
              <w:pageBreakBefore w:val="0"/>
              <w:widowControl/>
              <w:kinsoku/>
              <w:wordWrap/>
              <w:overflowPunct/>
              <w:topLinePunct w:val="0"/>
              <w:autoSpaceDE/>
              <w:autoSpaceDN/>
              <w:bidi w:val="0"/>
              <w:spacing w:line="240" w:lineRule="auto"/>
              <w:ind w:left="0" w:leftChars="0" w:right="0" w:rightChars="0"/>
              <w:textAlignment w:val="baseline"/>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6分；内容通用、简单，具有一定的可实施性，但不具有针对性，得4分；内容不够完整、描述不够具体详实的，不具有针对性、缺乏可实施性，得2分；未提供不得分。</w:t>
            </w:r>
          </w:p>
        </w:tc>
      </w:tr>
      <w:tr w14:paraId="05ED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203" w:type="dxa"/>
            <w:vMerge w:val="continue"/>
            <w:tcBorders>
              <w:left w:val="single" w:color="auto" w:sz="4" w:space="0"/>
              <w:right w:val="single" w:color="auto" w:sz="4" w:space="0"/>
            </w:tcBorders>
            <w:noWrap w:val="0"/>
            <w:vAlign w:val="center"/>
          </w:tcPr>
          <w:p w14:paraId="7D79FC68">
            <w:pPr>
              <w:jc w:val="center"/>
              <w:rPr>
                <w:rFonts w:hint="eastAsia" w:ascii="宋体" w:hAnsi="宋体" w:cs="宋体"/>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53317ED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项目理解与构思</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16643839">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6分</w:t>
            </w:r>
          </w:p>
        </w:tc>
        <w:tc>
          <w:tcPr>
            <w:tcW w:w="6285" w:type="dxa"/>
            <w:tcBorders>
              <w:top w:val="single" w:color="auto" w:sz="4" w:space="0"/>
              <w:left w:val="single" w:color="auto" w:sz="4" w:space="0"/>
              <w:bottom w:val="single" w:color="auto" w:sz="4" w:space="0"/>
              <w:right w:val="single" w:color="auto" w:sz="4" w:space="0"/>
            </w:tcBorders>
            <w:noWrap w:val="0"/>
            <w:vAlign w:val="center"/>
          </w:tcPr>
          <w:p w14:paraId="362960BE">
            <w:pPr>
              <w:pStyle w:val="33"/>
              <w:keepNext w:val="0"/>
              <w:keepLines w:val="0"/>
              <w:pageBreakBefore w:val="0"/>
              <w:widowControl/>
              <w:kinsoku/>
              <w:wordWrap/>
              <w:overflowPunct/>
              <w:topLinePunct w:val="0"/>
              <w:autoSpaceDE/>
              <w:autoSpaceDN/>
              <w:bidi w:val="0"/>
              <w:spacing w:line="240" w:lineRule="auto"/>
              <w:ind w:left="0" w:right="0"/>
              <w:textAlignment w:val="baseline"/>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通过现场踏勘能准确把握项目的现状情况，能对项目现状进行系统性的综合分析和研究；</w:t>
            </w:r>
          </w:p>
          <w:p w14:paraId="5638105D">
            <w:pPr>
              <w:pStyle w:val="33"/>
              <w:keepNext w:val="0"/>
              <w:keepLines w:val="0"/>
              <w:pageBreakBefore w:val="0"/>
              <w:widowControl/>
              <w:kinsoku/>
              <w:wordWrap/>
              <w:overflowPunct/>
              <w:topLinePunct w:val="0"/>
              <w:autoSpaceDE/>
              <w:autoSpaceDN/>
              <w:bidi w:val="0"/>
              <w:spacing w:line="240" w:lineRule="auto"/>
              <w:ind w:left="0" w:leftChars="0" w:right="0" w:rightChars="0"/>
              <w:textAlignment w:val="baseline"/>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6分；内容通用、简单，具有一定的可实施性，但不具有针对性，得4分；内容不够完整、描述不够具体详实的，不具有针对性、缺乏可实施性，得2分；未提供不得分。</w:t>
            </w:r>
          </w:p>
        </w:tc>
      </w:tr>
      <w:tr w14:paraId="3037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83" w:hRule="atLeast"/>
        </w:trPr>
        <w:tc>
          <w:tcPr>
            <w:tcW w:w="1203" w:type="dxa"/>
            <w:vMerge w:val="continue"/>
            <w:tcBorders>
              <w:left w:val="single" w:color="auto" w:sz="4" w:space="0"/>
              <w:right w:val="single" w:color="auto" w:sz="4" w:space="0"/>
            </w:tcBorders>
            <w:noWrap w:val="0"/>
            <w:vAlign w:val="center"/>
          </w:tcPr>
          <w:p w14:paraId="24E6EEF6">
            <w:pPr>
              <w:jc w:val="center"/>
              <w:rPr>
                <w:rFonts w:hint="eastAsia" w:ascii="宋体" w:hAnsi="宋体" w:cs="宋体"/>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0C5833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项目工作计划安排</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30AE5029">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6分</w:t>
            </w:r>
          </w:p>
        </w:tc>
        <w:tc>
          <w:tcPr>
            <w:tcW w:w="6285" w:type="dxa"/>
            <w:tcBorders>
              <w:top w:val="single" w:color="auto" w:sz="4" w:space="0"/>
              <w:left w:val="single" w:color="auto" w:sz="4" w:space="0"/>
              <w:bottom w:val="single" w:color="auto" w:sz="4" w:space="0"/>
              <w:right w:val="single" w:color="auto" w:sz="4" w:space="0"/>
            </w:tcBorders>
            <w:noWrap w:val="0"/>
            <w:vAlign w:val="top"/>
          </w:tcPr>
          <w:p w14:paraId="07D098CB">
            <w:pPr>
              <w:pStyle w:val="33"/>
              <w:keepNext w:val="0"/>
              <w:keepLines w:val="0"/>
              <w:pageBreakBefore w:val="0"/>
              <w:widowControl/>
              <w:kinsoku/>
              <w:wordWrap/>
              <w:overflowPunct/>
              <w:topLinePunct w:val="0"/>
              <w:autoSpaceDE/>
              <w:autoSpaceDN/>
              <w:bidi w:val="0"/>
              <w:spacing w:line="240" w:lineRule="auto"/>
              <w:ind w:left="0" w:leftChars="0" w:right="0" w:rightChars="0"/>
              <w:textAlignment w:val="baseline"/>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对本项目设计周期各阶段进度安排合理，措施有力</w:t>
            </w:r>
            <w:r>
              <w:rPr>
                <w:rFonts w:hint="eastAsia" w:cs="宋体"/>
                <w:bCs/>
                <w:color w:val="auto"/>
                <w:kern w:val="2"/>
                <w:sz w:val="24"/>
                <w:szCs w:val="24"/>
                <w:highlight w:val="none"/>
                <w:shd w:val="clear" w:color="auto" w:fill="FFFFFF"/>
                <w:lang w:val="en-US" w:eastAsia="zh-CN" w:bidi="ar-SA"/>
              </w:rPr>
              <w:t>，</w:t>
            </w:r>
            <w:r>
              <w:rPr>
                <w:rFonts w:hint="eastAsia" w:ascii="宋体" w:hAnsi="宋体" w:eastAsia="宋体" w:cs="宋体"/>
                <w:bCs/>
                <w:color w:val="auto"/>
                <w:kern w:val="2"/>
                <w:sz w:val="24"/>
                <w:szCs w:val="24"/>
                <w:highlight w:val="none"/>
                <w:shd w:val="clear" w:color="auto" w:fill="FFFFFF"/>
                <w:lang w:val="en-US" w:eastAsia="zh-CN" w:bidi="ar-SA"/>
              </w:rPr>
              <w:t>时间安排合理，可操作性强，项目进度紧凑合理，目标明确有很好的进度把控的，得6分；时间安排通用、简单，具有一定的可实施性，但不具有科学性、合理性，得4分；内容不够完整、描述不够具体详实的，不具有针对性、缺乏可实施性，得2分；未提供不得分。</w:t>
            </w:r>
          </w:p>
        </w:tc>
      </w:tr>
      <w:tr w14:paraId="60B5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03" w:hRule="atLeast"/>
        </w:trPr>
        <w:tc>
          <w:tcPr>
            <w:tcW w:w="1203" w:type="dxa"/>
            <w:vMerge w:val="continue"/>
            <w:tcBorders>
              <w:left w:val="single" w:color="auto" w:sz="4" w:space="0"/>
              <w:right w:val="single" w:color="auto" w:sz="4" w:space="0"/>
            </w:tcBorders>
            <w:noWrap w:val="0"/>
            <w:vAlign w:val="center"/>
          </w:tcPr>
          <w:p w14:paraId="6538921F">
            <w:pPr>
              <w:jc w:val="center"/>
              <w:rPr>
                <w:rFonts w:hint="eastAsia" w:ascii="宋体" w:hAnsi="宋体" w:cs="宋体"/>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B72EFC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设计实施方案</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684208D1">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6285" w:type="dxa"/>
            <w:tcBorders>
              <w:top w:val="single" w:color="auto" w:sz="4" w:space="0"/>
              <w:left w:val="single" w:color="auto" w:sz="4" w:space="0"/>
              <w:bottom w:val="single" w:color="auto" w:sz="4" w:space="0"/>
              <w:right w:val="single" w:color="auto" w:sz="4" w:space="0"/>
            </w:tcBorders>
            <w:noWrap w:val="0"/>
            <w:vAlign w:val="top"/>
          </w:tcPr>
          <w:p w14:paraId="5FDB280D">
            <w:pPr>
              <w:pStyle w:val="33"/>
              <w:keepNext w:val="0"/>
              <w:keepLines w:val="0"/>
              <w:pageBreakBefore w:val="0"/>
              <w:widowControl/>
              <w:kinsoku/>
              <w:wordWrap/>
              <w:overflowPunct/>
              <w:topLinePunct w:val="0"/>
              <w:autoSpaceDE/>
              <w:autoSpaceDN/>
              <w:bidi w:val="0"/>
              <w:spacing w:line="240" w:lineRule="auto"/>
              <w:ind w:left="0" w:leftChars="0" w:right="0" w:rightChars="0"/>
              <w:textAlignment w:val="baseline"/>
              <w:rPr>
                <w:rFonts w:hint="eastAsia" w:ascii="宋体" w:hAnsi="宋体" w:eastAsia="宋体" w:cs="宋体"/>
                <w:bCs/>
                <w:color w:val="auto"/>
                <w:kern w:val="2"/>
                <w:sz w:val="24"/>
                <w:szCs w:val="24"/>
                <w:highlight w:val="none"/>
                <w:shd w:val="clear" w:color="auto" w:fill="FFFFFF"/>
                <w:lang w:val="en-US" w:eastAsia="zh-CN" w:bidi="ar-SA"/>
              </w:rPr>
            </w:pPr>
            <w:r>
              <w:rPr>
                <w:rFonts w:hint="eastAsia"/>
                <w:bCs/>
                <w:color w:val="auto"/>
                <w:sz w:val="24"/>
                <w:szCs w:val="24"/>
                <w:highlight w:val="none"/>
                <w:shd w:val="clear" w:color="auto" w:fill="FFFFFF"/>
                <w:lang w:val="en-US" w:bidi="ar-SA"/>
              </w:rPr>
              <w:t>项目设计方案</w:t>
            </w:r>
            <w:r>
              <w:rPr>
                <w:rFonts w:hint="eastAsia" w:ascii="宋体" w:hAnsi="宋体" w:eastAsia="宋体" w:cs="宋体"/>
                <w:bCs/>
                <w:color w:val="auto"/>
                <w:kern w:val="2"/>
                <w:sz w:val="24"/>
                <w:szCs w:val="24"/>
                <w:highlight w:val="none"/>
                <w:shd w:val="clear" w:color="auto" w:fill="FFFFFF"/>
                <w:lang w:val="en-US" w:eastAsia="zh-CN" w:bidi="ar-SA"/>
              </w:rPr>
              <w:t>定位布局科学</w:t>
            </w:r>
            <w:r>
              <w:rPr>
                <w:rFonts w:hint="eastAsia" w:cs="宋体"/>
                <w:bCs/>
                <w:color w:val="auto"/>
                <w:kern w:val="2"/>
                <w:sz w:val="24"/>
                <w:szCs w:val="24"/>
                <w:highlight w:val="none"/>
                <w:shd w:val="clear" w:color="auto" w:fill="FFFFFF"/>
                <w:lang w:val="en-US" w:eastAsia="zh-CN" w:bidi="ar-SA"/>
              </w:rPr>
              <w:t>、</w:t>
            </w: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6分；内容通用、简单，具有一定的可实施性，但不具有针对性，得4分；内容不够完整、描述不够具体详实的，不具有针对性、缺乏可实施性，得2分；未提供不得分。</w:t>
            </w:r>
          </w:p>
        </w:tc>
      </w:tr>
      <w:tr w14:paraId="6A04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94" w:hRule="atLeast"/>
        </w:trPr>
        <w:tc>
          <w:tcPr>
            <w:tcW w:w="1203" w:type="dxa"/>
            <w:vMerge w:val="continue"/>
            <w:tcBorders>
              <w:left w:val="single" w:color="auto" w:sz="4" w:space="0"/>
              <w:right w:val="single" w:color="auto" w:sz="4" w:space="0"/>
            </w:tcBorders>
            <w:noWrap w:val="0"/>
            <w:vAlign w:val="center"/>
          </w:tcPr>
          <w:p w14:paraId="5FB9729D">
            <w:pPr>
              <w:jc w:val="center"/>
              <w:rPr>
                <w:rFonts w:hint="eastAsia" w:ascii="宋体" w:hAnsi="宋体" w:cs="宋体"/>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5E0F4C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设计理念</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524E1A7F">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5分</w:t>
            </w:r>
          </w:p>
        </w:tc>
        <w:tc>
          <w:tcPr>
            <w:tcW w:w="6285" w:type="dxa"/>
            <w:tcBorders>
              <w:top w:val="single" w:color="auto" w:sz="4" w:space="0"/>
              <w:left w:val="single" w:color="auto" w:sz="4" w:space="0"/>
              <w:bottom w:val="single" w:color="auto" w:sz="4" w:space="0"/>
              <w:right w:val="single" w:color="auto" w:sz="4" w:space="0"/>
            </w:tcBorders>
            <w:noWrap w:val="0"/>
            <w:vAlign w:val="top"/>
          </w:tcPr>
          <w:p w14:paraId="5F293C41">
            <w:pPr>
              <w:pStyle w:val="33"/>
              <w:keepNext w:val="0"/>
              <w:keepLines w:val="0"/>
              <w:pageBreakBefore w:val="0"/>
              <w:kinsoku/>
              <w:wordWrap/>
              <w:overflowPunct/>
              <w:topLinePunct w:val="0"/>
              <w:autoSpaceDE/>
              <w:autoSpaceDN/>
              <w:bidi w:val="0"/>
              <w:spacing w:line="240" w:lineRule="auto"/>
              <w:ind w:left="0" w:leftChars="0" w:right="0"/>
              <w:rPr>
                <w:rFonts w:hint="eastAsia"/>
                <w:bCs/>
                <w:color w:val="auto"/>
                <w:sz w:val="24"/>
                <w:szCs w:val="24"/>
                <w:highlight w:val="none"/>
                <w:shd w:val="clear" w:color="auto" w:fill="FFFFFF"/>
                <w:lang w:val="en-US" w:eastAsia="zh-CN" w:bidi="ar-SA"/>
              </w:rPr>
            </w:pPr>
            <w:r>
              <w:rPr>
                <w:rFonts w:hint="eastAsia"/>
                <w:bCs/>
                <w:color w:val="auto"/>
                <w:sz w:val="24"/>
                <w:szCs w:val="24"/>
                <w:highlight w:val="none"/>
                <w:shd w:val="clear" w:color="auto" w:fill="FFFFFF"/>
                <w:lang w:val="en-US" w:bidi="ar-SA"/>
              </w:rPr>
              <w:t>根据项目的具体特点和要求提出合理的定位与设计理念，有效支撑项目的建设</w:t>
            </w:r>
            <w:r>
              <w:rPr>
                <w:rFonts w:hint="eastAsia"/>
                <w:bCs/>
                <w:color w:val="auto"/>
                <w:sz w:val="24"/>
                <w:szCs w:val="24"/>
                <w:highlight w:val="none"/>
                <w:shd w:val="clear" w:color="auto" w:fill="FFFFFF"/>
                <w:lang w:val="en-US" w:eastAsia="zh-CN" w:bidi="ar-SA"/>
              </w:rPr>
              <w:t>；</w:t>
            </w:r>
          </w:p>
          <w:p w14:paraId="6DDCA3A8">
            <w:pPr>
              <w:pStyle w:val="33"/>
              <w:keepNext w:val="0"/>
              <w:keepLines w:val="0"/>
              <w:pageBreakBefore w:val="0"/>
              <w:kinsoku/>
              <w:wordWrap/>
              <w:overflowPunct/>
              <w:topLinePunct w:val="0"/>
              <w:autoSpaceDE/>
              <w:autoSpaceDN/>
              <w:bidi w:val="0"/>
              <w:spacing w:line="240" w:lineRule="auto"/>
              <w:ind w:left="0" w:leftChars="0" w:right="0" w:rightChars="0"/>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5分；内容通用、简单，具有一定的可实施性，但不具有针对性，得3分；内容不够完整、描述不够具体详实的，不具有针对性、缺乏可实施性，得1分；未提供不得分。</w:t>
            </w:r>
          </w:p>
        </w:tc>
      </w:tr>
      <w:tr w14:paraId="2334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76" w:hRule="atLeast"/>
        </w:trPr>
        <w:tc>
          <w:tcPr>
            <w:tcW w:w="1203" w:type="dxa"/>
            <w:vMerge w:val="continue"/>
            <w:tcBorders>
              <w:left w:val="single" w:color="auto" w:sz="4" w:space="0"/>
              <w:right w:val="single" w:color="auto" w:sz="4" w:space="0"/>
            </w:tcBorders>
            <w:noWrap w:val="0"/>
            <w:vAlign w:val="center"/>
          </w:tcPr>
          <w:p w14:paraId="36A84C1B">
            <w:pPr>
              <w:jc w:val="center"/>
              <w:rPr>
                <w:rFonts w:hint="eastAsia" w:ascii="宋体" w:hAnsi="宋体" w:cs="宋体"/>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83DF4C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项目质量保证措施</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698751A0">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6285" w:type="dxa"/>
            <w:tcBorders>
              <w:top w:val="single" w:color="auto" w:sz="4" w:space="0"/>
              <w:left w:val="single" w:color="auto" w:sz="4" w:space="0"/>
              <w:bottom w:val="single" w:color="auto" w:sz="4" w:space="0"/>
              <w:right w:val="single" w:color="auto" w:sz="4" w:space="0"/>
            </w:tcBorders>
            <w:noWrap w:val="0"/>
            <w:vAlign w:val="top"/>
          </w:tcPr>
          <w:p w14:paraId="4B995486">
            <w:pPr>
              <w:pStyle w:val="33"/>
              <w:keepNext w:val="0"/>
              <w:keepLines w:val="0"/>
              <w:pageBreakBefore w:val="0"/>
              <w:kinsoku/>
              <w:wordWrap/>
              <w:overflowPunct/>
              <w:topLinePunct w:val="0"/>
              <w:autoSpaceDE/>
              <w:autoSpaceDN/>
              <w:bidi w:val="0"/>
              <w:spacing w:line="240" w:lineRule="auto"/>
              <w:ind w:left="0" w:right="0"/>
              <w:rPr>
                <w:rFonts w:hint="eastAsia"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根据响应人对项目质量及深度符合要求，质量保证体系周全、完善</w:t>
            </w:r>
            <w:r>
              <w:rPr>
                <w:rFonts w:hint="eastAsia" w:cs="宋体"/>
                <w:bCs/>
                <w:color w:val="auto"/>
                <w:kern w:val="2"/>
                <w:sz w:val="24"/>
                <w:szCs w:val="24"/>
                <w:highlight w:val="none"/>
                <w:shd w:val="clear" w:color="auto" w:fill="FFFFFF"/>
                <w:lang w:val="en-US" w:eastAsia="zh-CN" w:bidi="ar-SA"/>
              </w:rPr>
              <w:t>；</w:t>
            </w:r>
          </w:p>
          <w:p w14:paraId="39074369">
            <w:pPr>
              <w:pStyle w:val="33"/>
              <w:keepNext w:val="0"/>
              <w:keepLines w:val="0"/>
              <w:pageBreakBefore w:val="0"/>
              <w:kinsoku/>
              <w:wordWrap/>
              <w:overflowPunct/>
              <w:topLinePunct w:val="0"/>
              <w:autoSpaceDE/>
              <w:autoSpaceDN/>
              <w:bidi w:val="0"/>
              <w:spacing w:line="240" w:lineRule="auto"/>
              <w:ind w:left="0" w:leftChars="0" w:right="0" w:rightChars="0"/>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6分；内容通用、简单，具有一定的可实施性，但不具有针对性，得4分；内容不够完整、描述不够具体详实的，不具有针对性、缺乏可实施性，得2分；未提供不得分。</w:t>
            </w:r>
          </w:p>
        </w:tc>
      </w:tr>
      <w:tr w14:paraId="2507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77" w:hRule="atLeast"/>
        </w:trPr>
        <w:tc>
          <w:tcPr>
            <w:tcW w:w="1203" w:type="dxa"/>
            <w:vMerge w:val="continue"/>
            <w:tcBorders>
              <w:left w:val="single" w:color="auto" w:sz="4" w:space="0"/>
              <w:right w:val="single" w:color="auto" w:sz="4" w:space="0"/>
            </w:tcBorders>
            <w:noWrap w:val="0"/>
            <w:vAlign w:val="center"/>
          </w:tcPr>
          <w:p w14:paraId="4B219BDF">
            <w:pPr>
              <w:jc w:val="center"/>
              <w:rPr>
                <w:rFonts w:hint="eastAsia" w:ascii="宋体" w:hAnsi="宋体" w:cs="宋体"/>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F73D25C">
            <w:pPr>
              <w:jc w:val="center"/>
              <w:rPr>
                <w:rFonts w:hint="eastAsia" w:ascii="宋体" w:hAnsi="宋体" w:cs="宋体"/>
                <w:color w:val="auto"/>
                <w:sz w:val="24"/>
                <w:szCs w:val="24"/>
                <w:highlight w:val="none"/>
              </w:rPr>
            </w:pPr>
          </w:p>
          <w:p w14:paraId="6E2C352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重点难点分析</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1C735E97">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5分</w:t>
            </w:r>
          </w:p>
        </w:tc>
        <w:tc>
          <w:tcPr>
            <w:tcW w:w="6285" w:type="dxa"/>
            <w:tcBorders>
              <w:top w:val="single" w:color="auto" w:sz="4" w:space="0"/>
              <w:left w:val="single" w:color="auto" w:sz="4" w:space="0"/>
              <w:bottom w:val="single" w:color="auto" w:sz="4" w:space="0"/>
              <w:right w:val="single" w:color="auto" w:sz="4" w:space="0"/>
            </w:tcBorders>
            <w:noWrap w:val="0"/>
            <w:vAlign w:val="center"/>
          </w:tcPr>
          <w:p w14:paraId="4A4FD414">
            <w:pPr>
              <w:pStyle w:val="33"/>
              <w:keepNext w:val="0"/>
              <w:keepLines w:val="0"/>
              <w:pageBreakBefore w:val="0"/>
              <w:widowControl/>
              <w:kinsoku/>
              <w:wordWrap/>
              <w:overflowPunct/>
              <w:topLinePunct w:val="0"/>
              <w:autoSpaceDE/>
              <w:autoSpaceDN/>
              <w:bidi w:val="0"/>
              <w:spacing w:line="240" w:lineRule="auto"/>
              <w:ind w:left="0" w:right="0"/>
              <w:textAlignment w:val="baseline"/>
              <w:rPr>
                <w:rFonts w:hint="eastAsia"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根据响应人对项目研究的重点、难点及关键性技术问题的分析与对策措施等方面</w:t>
            </w:r>
            <w:r>
              <w:rPr>
                <w:rFonts w:hint="eastAsia" w:cs="宋体"/>
                <w:bCs/>
                <w:color w:val="auto"/>
                <w:kern w:val="2"/>
                <w:sz w:val="24"/>
                <w:szCs w:val="24"/>
                <w:highlight w:val="none"/>
                <w:shd w:val="clear" w:color="auto" w:fill="FFFFFF"/>
                <w:lang w:val="en-US" w:eastAsia="zh-CN" w:bidi="ar-SA"/>
              </w:rPr>
              <w:t>；</w:t>
            </w:r>
          </w:p>
          <w:p w14:paraId="745EA597">
            <w:pPr>
              <w:pStyle w:val="33"/>
              <w:keepNext w:val="0"/>
              <w:keepLines w:val="0"/>
              <w:pageBreakBefore w:val="0"/>
              <w:widowControl/>
              <w:kinsoku/>
              <w:wordWrap/>
              <w:overflowPunct/>
              <w:topLinePunct w:val="0"/>
              <w:autoSpaceDE/>
              <w:autoSpaceDN/>
              <w:bidi w:val="0"/>
              <w:spacing w:line="240" w:lineRule="auto"/>
              <w:ind w:left="0" w:leftChars="0" w:right="0" w:rightChars="0"/>
              <w:textAlignment w:val="baseline"/>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5分；内容通用、简单，具有一定的可实施性，但不具有针对性，得3分；内容不够完整、描述不够具体详实的，不具有针对性、缺乏可实施性，得1分；未提供不得分。</w:t>
            </w:r>
          </w:p>
        </w:tc>
      </w:tr>
      <w:tr w14:paraId="3987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66" w:hRule="atLeast"/>
        </w:trPr>
        <w:tc>
          <w:tcPr>
            <w:tcW w:w="1203" w:type="dxa"/>
            <w:vMerge w:val="continue"/>
            <w:tcBorders>
              <w:left w:val="single" w:color="auto" w:sz="4" w:space="0"/>
              <w:right w:val="single" w:color="auto" w:sz="4" w:space="0"/>
            </w:tcBorders>
            <w:noWrap w:val="0"/>
            <w:vAlign w:val="center"/>
          </w:tcPr>
          <w:p w14:paraId="596CF185">
            <w:pPr>
              <w:jc w:val="center"/>
              <w:rPr>
                <w:rFonts w:hint="eastAsia" w:ascii="宋体" w:hAnsi="宋体" w:cs="宋体"/>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54AFF843">
            <w:pPr>
              <w:jc w:val="center"/>
              <w:rPr>
                <w:rFonts w:hint="eastAsia" w:eastAsia="等线"/>
                <w:color w:val="auto"/>
                <w:highlight w:val="none"/>
              </w:rPr>
            </w:pPr>
            <w:r>
              <w:rPr>
                <w:rFonts w:hint="eastAsia" w:ascii="宋体" w:hAnsi="宋体" w:cs="宋体"/>
                <w:color w:val="auto"/>
                <w:sz w:val="24"/>
                <w:szCs w:val="24"/>
                <w:highlight w:val="none"/>
              </w:rPr>
              <w:t>新技术、新材料的运用</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5377562F">
            <w:pPr>
              <w:adjustRightInd w:val="0"/>
              <w:snapToGrid w:val="0"/>
              <w:jc w:val="center"/>
              <w:rPr>
                <w:rFonts w:hint="eastAsia" w:ascii="宋体" w:hAnsi="宋体" w:cs="宋体"/>
                <w:dstrike/>
                <w:color w:val="auto"/>
                <w:sz w:val="24"/>
                <w:szCs w:val="24"/>
                <w:highlight w:val="none"/>
              </w:rPr>
            </w:pPr>
            <w:r>
              <w:rPr>
                <w:rFonts w:hint="eastAsia" w:ascii="宋体" w:hAnsi="宋体" w:cs="宋体"/>
                <w:color w:val="auto"/>
                <w:sz w:val="24"/>
                <w:szCs w:val="24"/>
                <w:highlight w:val="none"/>
              </w:rPr>
              <w:t>5分</w:t>
            </w:r>
          </w:p>
        </w:tc>
        <w:tc>
          <w:tcPr>
            <w:tcW w:w="6285" w:type="dxa"/>
            <w:tcBorders>
              <w:top w:val="single" w:color="auto" w:sz="4" w:space="0"/>
              <w:left w:val="single" w:color="auto" w:sz="4" w:space="0"/>
              <w:bottom w:val="single" w:color="auto" w:sz="4" w:space="0"/>
              <w:right w:val="single" w:color="auto" w:sz="4" w:space="0"/>
            </w:tcBorders>
            <w:noWrap w:val="0"/>
            <w:vAlign w:val="center"/>
          </w:tcPr>
          <w:p w14:paraId="331911C3">
            <w:pPr>
              <w:pStyle w:val="33"/>
              <w:keepNext w:val="0"/>
              <w:keepLines w:val="0"/>
              <w:pageBreakBefore w:val="0"/>
              <w:widowControl/>
              <w:kinsoku/>
              <w:wordWrap/>
              <w:overflowPunct/>
              <w:topLinePunct w:val="0"/>
              <w:autoSpaceDE/>
              <w:autoSpaceDN/>
              <w:bidi w:val="0"/>
              <w:spacing w:line="240" w:lineRule="auto"/>
              <w:ind w:left="0" w:leftChars="0" w:right="0" w:rightChars="0"/>
              <w:textAlignment w:val="baseline"/>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使用新技术且技术创新较多、同时应用了新材料的，新材料措施完整、描述具体详实，具有针对性和可实施性的，得5分；内容通用、简单，具有一定的可实施性，但不具有针对性，得3分；内容不够完整、描述不够具体详实的，不具有针对性、缺乏可实施性，得1分；未提供不得分。</w:t>
            </w:r>
          </w:p>
        </w:tc>
      </w:tr>
      <w:tr w14:paraId="488D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43" w:hRule="atLeast"/>
        </w:trPr>
        <w:tc>
          <w:tcPr>
            <w:tcW w:w="1203" w:type="dxa"/>
            <w:vMerge w:val="continue"/>
            <w:tcBorders>
              <w:left w:val="single" w:color="auto" w:sz="4" w:space="0"/>
              <w:right w:val="single" w:color="auto" w:sz="4" w:space="0"/>
            </w:tcBorders>
            <w:noWrap w:val="0"/>
            <w:vAlign w:val="center"/>
          </w:tcPr>
          <w:p w14:paraId="1905C864">
            <w:pPr>
              <w:jc w:val="center"/>
              <w:rPr>
                <w:rFonts w:hint="eastAsia" w:ascii="宋体" w:hAnsi="宋体" w:eastAsia="宋体" w:cs="宋体"/>
                <w:color w:val="auto"/>
                <w:kern w:val="2"/>
                <w:sz w:val="24"/>
                <w:szCs w:val="24"/>
                <w:highlight w:val="none"/>
                <w:lang w:val="en-US" w:eastAsia="zh-CN" w:bidi="zh-CN"/>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4080891">
            <w:pPr>
              <w:jc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合理化建议</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0DAD78F8">
            <w:pPr>
              <w:adjustRightInd w:val="0"/>
              <w:snapToGrid w:val="0"/>
              <w:jc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5分</w:t>
            </w:r>
          </w:p>
        </w:tc>
        <w:tc>
          <w:tcPr>
            <w:tcW w:w="6285" w:type="dxa"/>
            <w:tcBorders>
              <w:top w:val="single" w:color="auto" w:sz="4" w:space="0"/>
              <w:left w:val="single" w:color="auto" w:sz="4" w:space="0"/>
              <w:bottom w:val="single" w:color="auto" w:sz="4" w:space="0"/>
              <w:right w:val="single" w:color="auto" w:sz="4" w:space="0"/>
            </w:tcBorders>
            <w:noWrap w:val="0"/>
            <w:vAlign w:val="center"/>
          </w:tcPr>
          <w:p w14:paraId="239E8A8D">
            <w:pPr>
              <w:keepNext w:val="0"/>
              <w:keepLines w:val="0"/>
              <w:pageBreakBefore w:val="0"/>
              <w:kinsoku/>
              <w:wordWrap/>
              <w:overflowPunct/>
              <w:topLinePunct w:val="0"/>
              <w:autoSpaceDE/>
              <w:autoSpaceDN/>
              <w:bidi w:val="0"/>
              <w:spacing w:line="240" w:lineRule="auto"/>
              <w:ind w:left="0" w:right="0"/>
              <w:rPr>
                <w:rFonts w:hint="eastAsia" w:ascii="宋体" w:hAnsi="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针对本项目提出对招标人有利的合理化建议</w:t>
            </w:r>
            <w:r>
              <w:rPr>
                <w:rFonts w:hint="eastAsia" w:ascii="宋体" w:hAnsi="宋体" w:cs="宋体"/>
                <w:bCs/>
                <w:color w:val="auto"/>
                <w:kern w:val="2"/>
                <w:sz w:val="24"/>
                <w:szCs w:val="24"/>
                <w:highlight w:val="none"/>
                <w:shd w:val="clear" w:color="auto" w:fill="FFFFFF"/>
                <w:lang w:val="en-US" w:eastAsia="zh-CN" w:bidi="ar-SA"/>
              </w:rPr>
              <w:t>；</w:t>
            </w:r>
          </w:p>
          <w:p w14:paraId="73061133">
            <w:pPr>
              <w:keepNext w:val="0"/>
              <w:keepLines w:val="0"/>
              <w:pageBreakBefore w:val="0"/>
              <w:kinsoku/>
              <w:wordWrap/>
              <w:overflowPunct/>
              <w:topLinePunct w:val="0"/>
              <w:autoSpaceDE/>
              <w:autoSpaceDN/>
              <w:bidi w:val="0"/>
              <w:spacing w:line="240" w:lineRule="auto"/>
              <w:ind w:left="0" w:leftChars="0" w:right="0" w:rightChars="0"/>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5分；内容通用、简单，具有一定的可实施性，但不具有针对性，得3分；内容不够完整、描述不够具体详实的，不具有针对性、缺乏可实施性，得1分；未提供不得分。</w:t>
            </w:r>
          </w:p>
        </w:tc>
      </w:tr>
      <w:tr w14:paraId="01AF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33" w:hRule="atLeast"/>
        </w:trPr>
        <w:tc>
          <w:tcPr>
            <w:tcW w:w="1203" w:type="dxa"/>
            <w:vMerge w:val="continue"/>
            <w:tcBorders>
              <w:left w:val="single" w:color="auto" w:sz="4" w:space="0"/>
              <w:right w:val="single" w:color="auto" w:sz="4" w:space="0"/>
            </w:tcBorders>
            <w:noWrap w:val="0"/>
            <w:vAlign w:val="center"/>
          </w:tcPr>
          <w:p w14:paraId="1DF4FC1E">
            <w:pPr>
              <w:jc w:val="center"/>
              <w:rPr>
                <w:rFonts w:hint="eastAsia" w:ascii="宋体" w:hAnsi="宋体" w:eastAsia="宋体" w:cs="宋体"/>
                <w:color w:val="auto"/>
                <w:kern w:val="2"/>
                <w:sz w:val="24"/>
                <w:szCs w:val="24"/>
                <w:highlight w:val="none"/>
                <w:lang w:val="en-US" w:eastAsia="zh-CN" w:bidi="zh-CN"/>
              </w:rPr>
            </w:pPr>
          </w:p>
        </w:tc>
        <w:tc>
          <w:tcPr>
            <w:tcW w:w="1204" w:type="dxa"/>
            <w:tcBorders>
              <w:top w:val="single" w:color="auto" w:sz="4" w:space="0"/>
              <w:left w:val="single" w:color="auto" w:sz="4" w:space="0"/>
              <w:right w:val="single" w:color="auto" w:sz="4" w:space="0"/>
            </w:tcBorders>
            <w:noWrap w:val="0"/>
            <w:vAlign w:val="center"/>
          </w:tcPr>
          <w:p w14:paraId="55B3A511">
            <w:pPr>
              <w:jc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基础资料清单及规范规定</w:t>
            </w:r>
          </w:p>
        </w:tc>
        <w:tc>
          <w:tcPr>
            <w:tcW w:w="897" w:type="dxa"/>
            <w:tcBorders>
              <w:top w:val="single" w:color="auto" w:sz="4" w:space="0"/>
              <w:left w:val="single" w:color="auto" w:sz="4" w:space="0"/>
              <w:right w:val="single" w:color="auto" w:sz="4" w:space="0"/>
            </w:tcBorders>
            <w:noWrap w:val="0"/>
            <w:vAlign w:val="center"/>
          </w:tcPr>
          <w:p w14:paraId="617C9A34">
            <w:pPr>
              <w:adjustRightInd w:val="0"/>
              <w:snapToGrid w:val="0"/>
              <w:jc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5分</w:t>
            </w:r>
          </w:p>
        </w:tc>
        <w:tc>
          <w:tcPr>
            <w:tcW w:w="6285" w:type="dxa"/>
            <w:tcBorders>
              <w:top w:val="single" w:color="auto" w:sz="4" w:space="0"/>
              <w:left w:val="single" w:color="auto" w:sz="4" w:space="0"/>
              <w:right w:val="single" w:color="auto" w:sz="4" w:space="0"/>
            </w:tcBorders>
            <w:noWrap w:val="0"/>
            <w:vAlign w:val="center"/>
          </w:tcPr>
          <w:p w14:paraId="0AEC9C87">
            <w:pPr>
              <w:keepNext w:val="0"/>
              <w:keepLines w:val="0"/>
              <w:pageBreakBefore w:val="0"/>
              <w:kinsoku/>
              <w:wordWrap/>
              <w:overflowPunct/>
              <w:topLinePunct w:val="0"/>
              <w:autoSpaceDE/>
              <w:autoSpaceDN/>
              <w:bidi w:val="0"/>
              <w:spacing w:line="240" w:lineRule="auto"/>
              <w:ind w:left="0" w:right="0"/>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提出的设计基础资料清单全面、清晰，各专业应遵循的设计规定和规范齐全；</w:t>
            </w:r>
          </w:p>
          <w:p w14:paraId="64B16AEF">
            <w:pPr>
              <w:keepNext w:val="0"/>
              <w:keepLines w:val="0"/>
              <w:pageBreakBefore w:val="0"/>
              <w:kinsoku/>
              <w:wordWrap/>
              <w:overflowPunct/>
              <w:topLinePunct w:val="0"/>
              <w:autoSpaceDE/>
              <w:autoSpaceDN/>
              <w:bidi w:val="0"/>
              <w:spacing w:line="240" w:lineRule="auto"/>
              <w:ind w:left="0" w:leftChars="0" w:right="0" w:rightChars="0"/>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5分；内容通用、简单，具有一定的可实施性，但不具有针对性，得3分；内容不够完整、描述不够具体详实的，不具有针对性、缺乏可实施性，得1分；未提供不得分。</w:t>
            </w:r>
          </w:p>
        </w:tc>
      </w:tr>
    </w:tbl>
    <w:p w14:paraId="212A7AB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Calibri" w:hAnsi="Calibri"/>
          <w:b/>
          <w:bCs/>
          <w:color w:val="auto"/>
          <w:sz w:val="24"/>
          <w:szCs w:val="24"/>
          <w:highlight w:val="none"/>
        </w:rPr>
      </w:pPr>
      <w:r>
        <w:rPr>
          <w:rFonts w:hint="eastAsia" w:ascii="Calibri" w:hAnsi="Calibri"/>
          <w:b/>
          <w:bCs/>
          <w:color w:val="auto"/>
          <w:sz w:val="24"/>
          <w:szCs w:val="24"/>
          <w:highlight w:val="none"/>
        </w:rPr>
        <w:t>评标打分部分：</w:t>
      </w:r>
    </w:p>
    <w:p w14:paraId="7EDCF903">
      <w:pPr>
        <w:keepNext w:val="0"/>
        <w:keepLines w:val="0"/>
        <w:pageBreakBefore w:val="0"/>
        <w:widowControl/>
        <w:numPr>
          <w:ilvl w:val="0"/>
          <w:numId w:val="3"/>
        </w:numPr>
        <w:kinsoku/>
        <w:wordWrap/>
        <w:overflowPunct/>
        <w:topLinePunct w:val="0"/>
        <w:autoSpaceDE/>
        <w:autoSpaceDN/>
        <w:bidi w:val="0"/>
        <w:adjustRightInd/>
        <w:snapToGrid/>
        <w:spacing w:line="440" w:lineRule="exact"/>
        <w:ind w:firstLine="482" w:firstLineChars="200"/>
        <w:jc w:val="left"/>
        <w:textAlignment w:val="auto"/>
        <w:rPr>
          <w:rFonts w:hint="eastAsia" w:ascii="Calibri" w:hAnsi="Calibri"/>
          <w:b/>
          <w:bCs/>
          <w:color w:val="auto"/>
          <w:sz w:val="24"/>
          <w:szCs w:val="24"/>
          <w:highlight w:val="none"/>
        </w:rPr>
      </w:pPr>
      <w:r>
        <w:rPr>
          <w:rFonts w:hint="eastAsia" w:ascii="Calibri" w:hAnsi="Calibri"/>
          <w:b/>
          <w:bCs/>
          <w:color w:val="auto"/>
          <w:sz w:val="24"/>
          <w:szCs w:val="24"/>
          <w:highlight w:val="none"/>
        </w:rPr>
        <w:t>评标打分部分仍按照100分制原则进行，涉及到资格审查、企业荣誉、人员业绩、企业业绩等计分部分时，以</w:t>
      </w:r>
      <w:r>
        <w:rPr>
          <w:rFonts w:hint="eastAsia" w:ascii="Calibri" w:hAnsi="Calibri"/>
          <w:b/>
          <w:bCs/>
          <w:color w:val="auto"/>
          <w:sz w:val="24"/>
          <w:szCs w:val="24"/>
          <w:highlight w:val="none"/>
          <w:lang w:val="en-US" w:eastAsia="zh-CN"/>
        </w:rPr>
        <w:t>响应</w:t>
      </w:r>
      <w:r>
        <w:rPr>
          <w:rFonts w:hint="eastAsia" w:ascii="Calibri" w:hAnsi="Calibri"/>
          <w:b/>
          <w:bCs/>
          <w:color w:val="auto"/>
          <w:sz w:val="24"/>
          <w:szCs w:val="24"/>
          <w:highlight w:val="none"/>
        </w:rPr>
        <w:t>单位自行上传到</w:t>
      </w:r>
      <w:r>
        <w:rPr>
          <w:rFonts w:hint="eastAsia" w:ascii="Calibri" w:hAnsi="Calibri"/>
          <w:b/>
          <w:bCs/>
          <w:color w:val="auto"/>
          <w:sz w:val="24"/>
          <w:szCs w:val="24"/>
          <w:highlight w:val="none"/>
          <w:lang w:eastAsia="zh-CN"/>
        </w:rPr>
        <w:t>响应文件</w:t>
      </w:r>
      <w:r>
        <w:rPr>
          <w:rFonts w:hint="eastAsia" w:ascii="Calibri" w:hAnsi="Calibri"/>
          <w:b/>
          <w:bCs/>
          <w:color w:val="auto"/>
          <w:sz w:val="24"/>
          <w:szCs w:val="24"/>
          <w:highlight w:val="none"/>
        </w:rPr>
        <w:t>中的相应内容为准。</w:t>
      </w:r>
    </w:p>
    <w:p w14:paraId="09C122D1">
      <w:pPr>
        <w:keepNext w:val="0"/>
        <w:keepLines w:val="0"/>
        <w:pageBreakBefore w:val="0"/>
        <w:widowControl/>
        <w:numPr>
          <w:ilvl w:val="0"/>
          <w:numId w:val="3"/>
        </w:numPr>
        <w:kinsoku/>
        <w:wordWrap/>
        <w:overflowPunct/>
        <w:topLinePunct w:val="0"/>
        <w:autoSpaceDE/>
        <w:autoSpaceDN/>
        <w:bidi w:val="0"/>
        <w:adjustRightInd/>
        <w:snapToGrid/>
        <w:spacing w:line="440" w:lineRule="exact"/>
        <w:ind w:firstLine="482" w:firstLineChars="200"/>
        <w:jc w:val="left"/>
        <w:textAlignment w:val="auto"/>
        <w:outlineLvl w:val="1"/>
        <w:rPr>
          <w:b/>
          <w:bCs/>
          <w:color w:val="auto"/>
          <w:sz w:val="24"/>
          <w:szCs w:val="24"/>
          <w:highlight w:val="none"/>
        </w:rPr>
      </w:pPr>
      <w:bookmarkStart w:id="216" w:name="_Toc17338"/>
      <w:bookmarkStart w:id="217" w:name="_Toc20358"/>
      <w:bookmarkStart w:id="218" w:name="_Toc4701"/>
      <w:bookmarkStart w:id="219" w:name="_Toc22408"/>
      <w:r>
        <w:rPr>
          <w:rFonts w:hint="eastAsia" w:ascii="宋体" w:hAnsi="宋体" w:cs="宋体"/>
          <w:b/>
          <w:bCs/>
          <w:color w:val="auto"/>
          <w:sz w:val="24"/>
          <w:szCs w:val="24"/>
          <w:highlight w:val="none"/>
        </w:rPr>
        <w:t>以上项目若有缺项的，该项为0分；不缺项的，不低于最低分。</w:t>
      </w:r>
      <w:bookmarkEnd w:id="216"/>
      <w:bookmarkEnd w:id="217"/>
      <w:bookmarkEnd w:id="218"/>
      <w:bookmarkEnd w:id="219"/>
    </w:p>
    <w:p w14:paraId="3E967686">
      <w:pPr>
        <w:keepNext w:val="0"/>
        <w:keepLines w:val="0"/>
        <w:pageBreakBefore w:val="0"/>
        <w:widowControl/>
        <w:numPr>
          <w:ilvl w:val="0"/>
          <w:numId w:val="3"/>
        </w:numPr>
        <w:kinsoku/>
        <w:wordWrap/>
        <w:overflowPunct/>
        <w:topLinePunct w:val="0"/>
        <w:autoSpaceDE/>
        <w:autoSpaceDN/>
        <w:bidi w:val="0"/>
        <w:adjustRightInd/>
        <w:snapToGrid/>
        <w:spacing w:line="440" w:lineRule="exact"/>
        <w:ind w:firstLine="482" w:firstLineChars="200"/>
        <w:jc w:val="left"/>
        <w:textAlignment w:val="auto"/>
        <w:rPr>
          <w:b/>
          <w:bCs/>
          <w:color w:val="auto"/>
          <w:sz w:val="24"/>
          <w:szCs w:val="24"/>
          <w:highlight w:val="none"/>
        </w:rPr>
      </w:pPr>
      <w:r>
        <w:rPr>
          <w:rFonts w:hAnsi="宋体" w:cs="宋体"/>
          <w:b/>
          <w:bCs/>
          <w:color w:val="auto"/>
          <w:sz w:val="24"/>
          <w:szCs w:val="24"/>
          <w:highlight w:val="none"/>
          <w:lang w:bidi="ar"/>
        </w:rPr>
        <w:t>本评标办法在计算数据过程中，均保留两位小数，按四舍五入计算</w:t>
      </w:r>
      <w:r>
        <w:rPr>
          <w:rFonts w:hint="eastAsia" w:hAnsi="宋体" w:cs="宋体"/>
          <w:b/>
          <w:bCs/>
          <w:color w:val="auto"/>
          <w:sz w:val="24"/>
          <w:szCs w:val="24"/>
          <w:highlight w:val="none"/>
          <w:lang w:eastAsia="zh-CN" w:bidi="ar"/>
        </w:rPr>
        <w:t>（</w:t>
      </w:r>
      <w:r>
        <w:rPr>
          <w:rFonts w:hAnsi="宋体" w:cs="宋体"/>
          <w:b/>
          <w:bCs/>
          <w:color w:val="auto"/>
          <w:sz w:val="24"/>
          <w:szCs w:val="24"/>
          <w:highlight w:val="none"/>
          <w:lang w:bidi="ar"/>
        </w:rPr>
        <w:t>注：当</w:t>
      </w:r>
      <w:r>
        <w:rPr>
          <w:rFonts w:hint="eastAsia" w:hAnsi="宋体" w:cs="宋体"/>
          <w:b/>
          <w:bCs/>
          <w:color w:val="auto"/>
          <w:sz w:val="24"/>
          <w:szCs w:val="24"/>
          <w:highlight w:val="none"/>
          <w:lang w:bidi="ar"/>
        </w:rPr>
        <w:t>响应人</w:t>
      </w:r>
      <w:r>
        <w:rPr>
          <w:rFonts w:hAnsi="宋体" w:cs="宋体"/>
          <w:b/>
          <w:bCs/>
          <w:color w:val="auto"/>
          <w:sz w:val="24"/>
          <w:szCs w:val="24"/>
          <w:highlight w:val="none"/>
          <w:lang w:bidi="ar"/>
        </w:rPr>
        <w:t>的总得分相等时，</w:t>
      </w:r>
      <w:r>
        <w:rPr>
          <w:rFonts w:hint="eastAsia" w:hAnsi="宋体" w:cs="宋体"/>
          <w:b/>
          <w:bCs/>
          <w:color w:val="auto"/>
          <w:sz w:val="24"/>
          <w:szCs w:val="24"/>
          <w:highlight w:val="none"/>
          <w:lang w:val="en-US" w:eastAsia="zh-CN" w:bidi="ar"/>
        </w:rPr>
        <w:t>响应</w:t>
      </w:r>
      <w:r>
        <w:rPr>
          <w:rFonts w:hAnsi="宋体" w:cs="宋体"/>
          <w:b/>
          <w:bCs/>
          <w:color w:val="auto"/>
          <w:sz w:val="24"/>
          <w:szCs w:val="24"/>
          <w:highlight w:val="none"/>
          <w:lang w:bidi="ar"/>
        </w:rPr>
        <w:t>报价低者排序在前）。</w:t>
      </w:r>
    </w:p>
    <w:p w14:paraId="2E20FBCC">
      <w:pPr>
        <w:snapToGrid w:val="0"/>
        <w:spacing w:line="360" w:lineRule="auto"/>
        <w:jc w:val="center"/>
        <w:outlineLvl w:val="0"/>
        <w:rPr>
          <w:rFonts w:hint="eastAsia"/>
          <w:b/>
          <w:bCs/>
          <w:color w:val="auto"/>
          <w:sz w:val="36"/>
          <w:szCs w:val="36"/>
          <w:highlight w:val="none"/>
        </w:rPr>
      </w:pPr>
      <w:r>
        <w:rPr>
          <w:rFonts w:ascii="宋体" w:hAnsi="宋体" w:cs="宋体"/>
          <w:b/>
          <w:bCs/>
          <w:color w:val="auto"/>
          <w:sz w:val="36"/>
          <w:szCs w:val="36"/>
          <w:highlight w:val="none"/>
        </w:rPr>
        <w:br w:type="page"/>
      </w:r>
      <w:bookmarkStart w:id="220" w:name="_Toc26270"/>
      <w:bookmarkStart w:id="221" w:name="_Toc23435"/>
      <w:bookmarkStart w:id="222" w:name="_Toc30011"/>
      <w:bookmarkStart w:id="223" w:name="_Toc22878"/>
      <w:bookmarkStart w:id="224" w:name="_Toc23739"/>
      <w:r>
        <w:rPr>
          <w:rFonts w:hint="eastAsia"/>
          <w:b/>
          <w:bCs/>
          <w:color w:val="auto"/>
          <w:sz w:val="36"/>
          <w:szCs w:val="36"/>
          <w:highlight w:val="none"/>
        </w:rPr>
        <w:t>第四章  合同条款及格式</w:t>
      </w:r>
      <w:bookmarkEnd w:id="220"/>
      <w:bookmarkEnd w:id="221"/>
      <w:bookmarkEnd w:id="222"/>
      <w:bookmarkEnd w:id="223"/>
      <w:bookmarkEnd w:id="224"/>
      <w:bookmarkStart w:id="225" w:name="_Toc7548"/>
    </w:p>
    <w:bookmarkEnd w:id="225"/>
    <w:p w14:paraId="44126B34">
      <w:pPr>
        <w:jc w:val="center"/>
        <w:rPr>
          <w:rFonts w:ascii="宋体" w:hAnsi="宋体"/>
          <w:color w:val="auto"/>
          <w:kern w:val="0"/>
          <w:sz w:val="32"/>
          <w:szCs w:val="32"/>
          <w:highlight w:val="none"/>
        </w:rPr>
      </w:pPr>
      <w:r>
        <w:rPr>
          <w:rFonts w:hint="eastAsia" w:ascii="宋体" w:hAnsi="宋体"/>
          <w:color w:val="auto"/>
          <w:sz w:val="30"/>
          <w:szCs w:val="30"/>
          <w:highlight w:val="none"/>
          <w:lang w:eastAsia="zh-CN"/>
        </w:rPr>
        <w:t>（</w:t>
      </w:r>
      <w:r>
        <w:rPr>
          <w:rFonts w:hint="eastAsia" w:ascii="宋体" w:hAnsi="宋体"/>
          <w:color w:val="auto"/>
          <w:sz w:val="30"/>
          <w:szCs w:val="30"/>
          <w:highlight w:val="none"/>
        </w:rPr>
        <w:t>仅供参考，以实际签订合同为准）</w:t>
      </w:r>
      <w:bookmarkStart w:id="226" w:name="_Toc14834"/>
    </w:p>
    <w:p w14:paraId="0D889893">
      <w:pPr>
        <w:rPr>
          <w:rFonts w:hint="eastAsia"/>
          <w:color w:val="auto"/>
          <w:highlight w:val="none"/>
        </w:rPr>
      </w:pPr>
      <w:bookmarkStart w:id="227" w:name="_Toc29926"/>
      <w:bookmarkStart w:id="228" w:name="_Toc373253032"/>
      <w:bookmarkStart w:id="229" w:name="_Toc1321"/>
    </w:p>
    <w:p w14:paraId="5E861CD0">
      <w:pPr>
        <w:rPr>
          <w:rFonts w:hint="eastAsia"/>
          <w:color w:val="auto"/>
          <w:highlight w:val="none"/>
        </w:rPr>
      </w:pPr>
    </w:p>
    <w:bookmarkEnd w:id="227"/>
    <w:bookmarkEnd w:id="228"/>
    <w:bookmarkEnd w:id="229"/>
    <w:p w14:paraId="23991965">
      <w:pPr>
        <w:widowControl/>
        <w:jc w:val="left"/>
        <w:rPr>
          <w:color w:val="auto"/>
          <w:highlight w:val="none"/>
        </w:rPr>
      </w:pPr>
      <w:r>
        <w:rPr>
          <w:rFonts w:hint="eastAsia" w:ascii="宋体" w:hAnsi="宋体" w:cs="宋体"/>
          <w:color w:val="auto"/>
          <w:kern w:val="0"/>
          <w:sz w:val="28"/>
          <w:szCs w:val="28"/>
          <w:highlight w:val="none"/>
          <w:lang w:bidi="ar"/>
        </w:rPr>
        <w:t xml:space="preserve">工程名称： </w:t>
      </w:r>
    </w:p>
    <w:p w14:paraId="3B8F8611">
      <w:pPr>
        <w:widowControl/>
        <w:jc w:val="left"/>
        <w:rPr>
          <w:color w:val="auto"/>
          <w:highlight w:val="none"/>
        </w:rPr>
      </w:pPr>
      <w:r>
        <w:rPr>
          <w:rFonts w:hint="eastAsia" w:ascii="宋体" w:hAnsi="宋体" w:cs="宋体"/>
          <w:color w:val="auto"/>
          <w:kern w:val="0"/>
          <w:sz w:val="28"/>
          <w:szCs w:val="28"/>
          <w:highlight w:val="none"/>
          <w:lang w:bidi="ar"/>
        </w:rPr>
        <w:t xml:space="preserve">工程地点： </w:t>
      </w:r>
    </w:p>
    <w:p w14:paraId="1B07E089">
      <w:pPr>
        <w:widowControl/>
        <w:jc w:val="left"/>
        <w:rPr>
          <w:color w:val="auto"/>
          <w:highlight w:val="none"/>
        </w:rPr>
      </w:pPr>
      <w:r>
        <w:rPr>
          <w:rFonts w:hint="eastAsia" w:ascii="宋体" w:hAnsi="宋体" w:cs="宋体"/>
          <w:color w:val="auto"/>
          <w:kern w:val="0"/>
          <w:sz w:val="28"/>
          <w:szCs w:val="28"/>
          <w:highlight w:val="none"/>
          <w:lang w:bidi="ar"/>
        </w:rPr>
        <w:t xml:space="preserve">合同编号： </w:t>
      </w:r>
    </w:p>
    <w:p w14:paraId="6FFA70BE">
      <w:pPr>
        <w:widowControl/>
        <w:jc w:val="left"/>
        <w:rPr>
          <w:color w:val="auto"/>
          <w:highlight w:val="none"/>
        </w:rPr>
      </w:pPr>
      <w:r>
        <w:rPr>
          <w:rFonts w:hint="eastAsia" w:ascii="宋体" w:hAnsi="宋体" w:cs="宋体"/>
          <w:color w:val="auto"/>
          <w:kern w:val="0"/>
          <w:sz w:val="28"/>
          <w:szCs w:val="28"/>
          <w:highlight w:val="none"/>
          <w:lang w:bidi="ar"/>
        </w:rPr>
        <w:t xml:space="preserve">设计证书等级： </w:t>
      </w:r>
    </w:p>
    <w:p w14:paraId="56C7E55F">
      <w:pPr>
        <w:widowControl/>
        <w:jc w:val="left"/>
        <w:rPr>
          <w:color w:val="auto"/>
          <w:highlight w:val="none"/>
        </w:rPr>
      </w:pPr>
      <w:r>
        <w:rPr>
          <w:rFonts w:hint="eastAsia" w:ascii="宋体" w:hAnsi="宋体" w:cs="宋体"/>
          <w:color w:val="auto"/>
          <w:kern w:val="0"/>
          <w:sz w:val="28"/>
          <w:szCs w:val="28"/>
          <w:highlight w:val="none"/>
          <w:lang w:bidi="ar"/>
        </w:rPr>
        <w:t xml:space="preserve">发包人： </w:t>
      </w:r>
    </w:p>
    <w:p w14:paraId="038D27D0">
      <w:pPr>
        <w:widowControl/>
        <w:jc w:val="left"/>
        <w:rPr>
          <w:color w:val="auto"/>
          <w:highlight w:val="none"/>
        </w:rPr>
      </w:pPr>
      <w:r>
        <w:rPr>
          <w:rFonts w:hint="eastAsia" w:ascii="宋体" w:hAnsi="宋体" w:cs="宋体"/>
          <w:color w:val="auto"/>
          <w:kern w:val="0"/>
          <w:sz w:val="28"/>
          <w:szCs w:val="28"/>
          <w:highlight w:val="none"/>
          <w:lang w:bidi="ar"/>
        </w:rPr>
        <w:t xml:space="preserve">设计人： </w:t>
      </w:r>
    </w:p>
    <w:p w14:paraId="66F40083">
      <w:pPr>
        <w:widowControl/>
        <w:jc w:val="left"/>
        <w:rPr>
          <w:color w:val="auto"/>
          <w:highlight w:val="none"/>
        </w:rPr>
      </w:pPr>
      <w:r>
        <w:rPr>
          <w:rFonts w:hint="eastAsia" w:ascii="宋体" w:hAnsi="宋体" w:cs="宋体"/>
          <w:color w:val="auto"/>
          <w:kern w:val="0"/>
          <w:sz w:val="28"/>
          <w:szCs w:val="28"/>
          <w:highlight w:val="none"/>
          <w:lang w:bidi="ar"/>
        </w:rPr>
        <w:t xml:space="preserve">签订日期： </w:t>
      </w:r>
    </w:p>
    <w:p w14:paraId="4E82CF32">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br w:type="page"/>
      </w:r>
      <w:r>
        <w:rPr>
          <w:rFonts w:hint="eastAsia" w:ascii="宋体" w:hAnsi="宋体" w:cs="宋体"/>
          <w:color w:val="auto"/>
          <w:kern w:val="0"/>
          <w:sz w:val="24"/>
          <w:szCs w:val="24"/>
          <w:highlight w:val="none"/>
          <w:lang w:bidi="ar"/>
        </w:rPr>
        <w:t>发包人：</w:t>
      </w:r>
    </w:p>
    <w:p w14:paraId="2B6DEE00">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设计人：</w:t>
      </w:r>
    </w:p>
    <w:p w14:paraId="78811FF8">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发包人委托设计人承担</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 xml:space="preserve">项目名称） ，经双方协商一致，签订本合同。 </w:t>
      </w:r>
    </w:p>
    <w:p w14:paraId="62F978A6">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第一条 本合同依据下列文件签订： </w:t>
      </w:r>
    </w:p>
    <w:p w14:paraId="70CB21A7">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1.1《中华人民共和国合同法》，《中华人民共和国建筑法》，《建设工程勘察设计市场管理规定》。</w:t>
      </w:r>
    </w:p>
    <w:p w14:paraId="52DBE5F0">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1.2 国家及地方有关建设工程设计管理法规和规章：《建设工程质量管理条例》，《实施工程建设强制性标准监督规定》</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 xml:space="preserve">建设部第 81 号令），《建设工程设计企业资质管理规定》等。 </w:t>
      </w:r>
    </w:p>
    <w:p w14:paraId="0D466C39">
      <w:pPr>
        <w:widowControl/>
        <w:spacing w:line="440" w:lineRule="exact"/>
        <w:ind w:firstLine="480" w:firstLineChars="200"/>
        <w:jc w:val="left"/>
        <w:outlineLvl w:val="1"/>
        <w:rPr>
          <w:rFonts w:hint="eastAsia" w:ascii="宋体" w:hAnsi="宋体" w:cs="宋体"/>
          <w:color w:val="auto"/>
          <w:sz w:val="24"/>
          <w:szCs w:val="24"/>
          <w:highlight w:val="none"/>
        </w:rPr>
      </w:pPr>
      <w:bookmarkStart w:id="230" w:name="_Toc9472"/>
      <w:bookmarkStart w:id="231" w:name="_Toc10563"/>
      <w:bookmarkStart w:id="232" w:name="_Toc21680"/>
      <w:bookmarkStart w:id="233" w:name="_Toc24283"/>
      <w:r>
        <w:rPr>
          <w:rFonts w:hint="eastAsia" w:ascii="宋体" w:hAnsi="宋体" w:cs="宋体"/>
          <w:color w:val="auto"/>
          <w:kern w:val="0"/>
          <w:sz w:val="24"/>
          <w:szCs w:val="24"/>
          <w:highlight w:val="none"/>
          <w:lang w:bidi="ar"/>
        </w:rPr>
        <w:t xml:space="preserve">1.3 </w:t>
      </w:r>
      <w:r>
        <w:rPr>
          <w:rFonts w:hint="eastAsia" w:ascii="宋体" w:hAnsi="宋体" w:cs="宋体"/>
          <w:color w:val="auto"/>
          <w:kern w:val="0"/>
          <w:sz w:val="24"/>
          <w:szCs w:val="24"/>
          <w:highlight w:val="none"/>
          <w:lang w:eastAsia="zh-CN" w:bidi="ar"/>
        </w:rPr>
        <w:t>磋商文件</w:t>
      </w:r>
      <w:r>
        <w:rPr>
          <w:rFonts w:hint="eastAsia" w:ascii="宋体" w:hAnsi="宋体" w:cs="宋体"/>
          <w:color w:val="auto"/>
          <w:kern w:val="0"/>
          <w:sz w:val="24"/>
          <w:szCs w:val="24"/>
          <w:highlight w:val="none"/>
          <w:lang w:bidi="ar"/>
        </w:rPr>
        <w:t>。</w:t>
      </w:r>
      <w:bookmarkEnd w:id="230"/>
      <w:bookmarkEnd w:id="231"/>
      <w:bookmarkEnd w:id="232"/>
      <w:bookmarkEnd w:id="233"/>
      <w:r>
        <w:rPr>
          <w:rFonts w:hint="eastAsia" w:ascii="宋体" w:hAnsi="宋体" w:cs="宋体"/>
          <w:color w:val="auto"/>
          <w:kern w:val="0"/>
          <w:sz w:val="24"/>
          <w:szCs w:val="24"/>
          <w:highlight w:val="none"/>
          <w:lang w:bidi="ar"/>
        </w:rPr>
        <w:t xml:space="preserve"> </w:t>
      </w:r>
    </w:p>
    <w:p w14:paraId="47EF08BD">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第二条 设计人应向发包人交付的设计资料及文件： </w:t>
      </w:r>
    </w:p>
    <w:p w14:paraId="01609813">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设计人应按发包人要求的时间、份数及地点提交该项目施工图纸相关技术文件。 </w:t>
      </w:r>
    </w:p>
    <w:p w14:paraId="35E2A4BF">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图纸设计成果应满足招标人后期施工、备案等。 </w:t>
      </w:r>
    </w:p>
    <w:p w14:paraId="27F0F38C">
      <w:pPr>
        <w:widowControl/>
        <w:numPr>
          <w:ilvl w:val="0"/>
          <w:numId w:val="4"/>
        </w:numPr>
        <w:spacing w:line="440" w:lineRule="exact"/>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本合同设计收费费用为 元人民币。设计费支付进度详见下表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7"/>
        <w:gridCol w:w="2237"/>
      </w:tblGrid>
      <w:tr w14:paraId="50B8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36" w:type="dxa"/>
            <w:noWrap w:val="0"/>
            <w:vAlign w:val="center"/>
          </w:tcPr>
          <w:p w14:paraId="70CFA748">
            <w:pPr>
              <w:widowControl/>
              <w:spacing w:line="440" w:lineRule="exact"/>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付费次序</w:t>
            </w:r>
          </w:p>
        </w:tc>
        <w:tc>
          <w:tcPr>
            <w:tcW w:w="2236" w:type="dxa"/>
            <w:noWrap w:val="0"/>
            <w:vAlign w:val="center"/>
          </w:tcPr>
          <w:p w14:paraId="083177F7">
            <w:pPr>
              <w:widowControl/>
              <w:spacing w:line="440" w:lineRule="exact"/>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占总设计费 </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w:t>
            </w:r>
          </w:p>
        </w:tc>
        <w:tc>
          <w:tcPr>
            <w:tcW w:w="2237" w:type="dxa"/>
            <w:noWrap w:val="0"/>
            <w:vAlign w:val="center"/>
          </w:tcPr>
          <w:p w14:paraId="75B7A920">
            <w:pPr>
              <w:widowControl/>
              <w:spacing w:line="440" w:lineRule="exact"/>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付 费 额 </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万元</w:t>
            </w:r>
            <w:r>
              <w:rPr>
                <w:rFonts w:hint="eastAsia" w:ascii="宋体" w:hAnsi="宋体" w:eastAsia="宋体" w:cs="宋体"/>
                <w:color w:val="auto"/>
                <w:kern w:val="0"/>
                <w:sz w:val="24"/>
                <w:szCs w:val="24"/>
                <w:highlight w:val="none"/>
                <w:lang w:eastAsia="zh-CN" w:bidi="ar"/>
              </w:rPr>
              <w:t>）</w:t>
            </w:r>
          </w:p>
        </w:tc>
        <w:tc>
          <w:tcPr>
            <w:tcW w:w="2237" w:type="dxa"/>
            <w:noWrap w:val="0"/>
            <w:vAlign w:val="center"/>
          </w:tcPr>
          <w:p w14:paraId="5C44986B">
            <w:pPr>
              <w:widowControl/>
              <w:spacing w:line="440" w:lineRule="exact"/>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付 费 时 间</w:t>
            </w:r>
          </w:p>
        </w:tc>
      </w:tr>
      <w:tr w14:paraId="73D6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noWrap w:val="0"/>
            <w:vAlign w:val="top"/>
          </w:tcPr>
          <w:p w14:paraId="2088E32F">
            <w:pPr>
              <w:pStyle w:val="16"/>
              <w:ind w:firstLine="220"/>
              <w:rPr>
                <w:rFonts w:hint="eastAsia"/>
                <w:color w:val="auto"/>
                <w:highlight w:val="none"/>
              </w:rPr>
            </w:pPr>
          </w:p>
        </w:tc>
        <w:tc>
          <w:tcPr>
            <w:tcW w:w="2236" w:type="dxa"/>
            <w:noWrap w:val="0"/>
            <w:vAlign w:val="top"/>
          </w:tcPr>
          <w:p w14:paraId="6A7C65BC">
            <w:pPr>
              <w:pStyle w:val="16"/>
              <w:ind w:firstLine="220"/>
              <w:rPr>
                <w:rFonts w:hint="eastAsia"/>
                <w:color w:val="auto"/>
                <w:highlight w:val="none"/>
              </w:rPr>
            </w:pPr>
          </w:p>
        </w:tc>
        <w:tc>
          <w:tcPr>
            <w:tcW w:w="2237" w:type="dxa"/>
            <w:noWrap w:val="0"/>
            <w:vAlign w:val="top"/>
          </w:tcPr>
          <w:p w14:paraId="040FCBFD">
            <w:pPr>
              <w:pStyle w:val="16"/>
              <w:ind w:firstLine="220"/>
              <w:rPr>
                <w:rFonts w:hint="eastAsia"/>
                <w:color w:val="auto"/>
                <w:highlight w:val="none"/>
              </w:rPr>
            </w:pPr>
          </w:p>
        </w:tc>
        <w:tc>
          <w:tcPr>
            <w:tcW w:w="2237" w:type="dxa"/>
            <w:noWrap w:val="0"/>
            <w:vAlign w:val="top"/>
          </w:tcPr>
          <w:p w14:paraId="35A41B1D">
            <w:pPr>
              <w:pStyle w:val="16"/>
              <w:ind w:firstLine="220"/>
              <w:rPr>
                <w:rFonts w:hint="eastAsia"/>
                <w:color w:val="auto"/>
                <w:highlight w:val="none"/>
              </w:rPr>
            </w:pPr>
          </w:p>
        </w:tc>
      </w:tr>
      <w:tr w14:paraId="1727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noWrap w:val="0"/>
            <w:vAlign w:val="top"/>
          </w:tcPr>
          <w:p w14:paraId="6400D181">
            <w:pPr>
              <w:pStyle w:val="16"/>
              <w:ind w:firstLine="220"/>
              <w:rPr>
                <w:rFonts w:hint="eastAsia"/>
                <w:color w:val="auto"/>
                <w:highlight w:val="none"/>
              </w:rPr>
            </w:pPr>
          </w:p>
        </w:tc>
        <w:tc>
          <w:tcPr>
            <w:tcW w:w="2236" w:type="dxa"/>
            <w:noWrap w:val="0"/>
            <w:vAlign w:val="top"/>
          </w:tcPr>
          <w:p w14:paraId="58E9EEB4">
            <w:pPr>
              <w:pStyle w:val="16"/>
              <w:ind w:firstLine="220"/>
              <w:rPr>
                <w:rFonts w:hint="eastAsia"/>
                <w:color w:val="auto"/>
                <w:highlight w:val="none"/>
              </w:rPr>
            </w:pPr>
          </w:p>
        </w:tc>
        <w:tc>
          <w:tcPr>
            <w:tcW w:w="2237" w:type="dxa"/>
            <w:noWrap w:val="0"/>
            <w:vAlign w:val="top"/>
          </w:tcPr>
          <w:p w14:paraId="49FAE7CB">
            <w:pPr>
              <w:pStyle w:val="16"/>
              <w:ind w:firstLine="220"/>
              <w:rPr>
                <w:rFonts w:hint="eastAsia"/>
                <w:color w:val="auto"/>
                <w:highlight w:val="none"/>
              </w:rPr>
            </w:pPr>
          </w:p>
        </w:tc>
        <w:tc>
          <w:tcPr>
            <w:tcW w:w="2237" w:type="dxa"/>
            <w:noWrap w:val="0"/>
            <w:vAlign w:val="top"/>
          </w:tcPr>
          <w:p w14:paraId="62F7A656">
            <w:pPr>
              <w:pStyle w:val="16"/>
              <w:ind w:firstLine="220"/>
              <w:rPr>
                <w:rFonts w:hint="eastAsia"/>
                <w:color w:val="auto"/>
                <w:highlight w:val="none"/>
              </w:rPr>
            </w:pPr>
          </w:p>
        </w:tc>
      </w:tr>
      <w:tr w14:paraId="35AD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noWrap w:val="0"/>
            <w:vAlign w:val="top"/>
          </w:tcPr>
          <w:p w14:paraId="5A32E84A">
            <w:pPr>
              <w:pStyle w:val="16"/>
              <w:ind w:firstLine="220"/>
              <w:rPr>
                <w:rFonts w:hint="eastAsia"/>
                <w:color w:val="auto"/>
                <w:highlight w:val="none"/>
              </w:rPr>
            </w:pPr>
          </w:p>
        </w:tc>
        <w:tc>
          <w:tcPr>
            <w:tcW w:w="2236" w:type="dxa"/>
            <w:noWrap w:val="0"/>
            <w:vAlign w:val="top"/>
          </w:tcPr>
          <w:p w14:paraId="27489ACD">
            <w:pPr>
              <w:pStyle w:val="16"/>
              <w:ind w:firstLine="220"/>
              <w:rPr>
                <w:rFonts w:hint="eastAsia"/>
                <w:color w:val="auto"/>
                <w:highlight w:val="none"/>
              </w:rPr>
            </w:pPr>
          </w:p>
        </w:tc>
        <w:tc>
          <w:tcPr>
            <w:tcW w:w="2237" w:type="dxa"/>
            <w:noWrap w:val="0"/>
            <w:vAlign w:val="top"/>
          </w:tcPr>
          <w:p w14:paraId="3D294A23">
            <w:pPr>
              <w:pStyle w:val="16"/>
              <w:ind w:firstLine="220"/>
              <w:rPr>
                <w:rFonts w:hint="eastAsia"/>
                <w:color w:val="auto"/>
                <w:highlight w:val="none"/>
              </w:rPr>
            </w:pPr>
          </w:p>
        </w:tc>
        <w:tc>
          <w:tcPr>
            <w:tcW w:w="2237" w:type="dxa"/>
            <w:noWrap w:val="0"/>
            <w:vAlign w:val="top"/>
          </w:tcPr>
          <w:p w14:paraId="4E88A925">
            <w:pPr>
              <w:pStyle w:val="16"/>
              <w:ind w:firstLine="220"/>
              <w:rPr>
                <w:rFonts w:hint="eastAsia"/>
                <w:color w:val="auto"/>
                <w:highlight w:val="none"/>
              </w:rPr>
            </w:pPr>
          </w:p>
        </w:tc>
      </w:tr>
    </w:tbl>
    <w:p w14:paraId="465441DD">
      <w:pPr>
        <w:widowControl/>
        <w:spacing w:line="44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说明：提交各阶段设计文件后在规定时间内支付设计费。 </w:t>
      </w:r>
    </w:p>
    <w:p w14:paraId="4CC7CD9F">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第四条 双方责任 </w:t>
      </w:r>
    </w:p>
    <w:p w14:paraId="750ED071">
      <w:pPr>
        <w:widowControl/>
        <w:spacing w:line="440" w:lineRule="exact"/>
        <w:ind w:firstLine="480" w:firstLineChars="200"/>
        <w:jc w:val="left"/>
        <w:outlineLvl w:val="1"/>
        <w:rPr>
          <w:rFonts w:hint="eastAsia" w:ascii="宋体" w:hAnsi="宋体" w:cs="宋体"/>
          <w:color w:val="auto"/>
          <w:sz w:val="24"/>
          <w:szCs w:val="24"/>
          <w:highlight w:val="none"/>
        </w:rPr>
      </w:pPr>
      <w:bookmarkStart w:id="234" w:name="_Toc20513"/>
      <w:bookmarkStart w:id="235" w:name="_Toc11893"/>
      <w:bookmarkStart w:id="236" w:name="_Toc10667"/>
      <w:bookmarkStart w:id="237" w:name="_Toc20154"/>
      <w:r>
        <w:rPr>
          <w:rFonts w:hint="eastAsia" w:ascii="宋体" w:hAnsi="宋体" w:cs="宋体"/>
          <w:color w:val="auto"/>
          <w:kern w:val="0"/>
          <w:sz w:val="24"/>
          <w:szCs w:val="24"/>
          <w:highlight w:val="none"/>
          <w:lang w:bidi="ar"/>
        </w:rPr>
        <w:t>4.1 发包人责任：</w:t>
      </w:r>
      <w:bookmarkEnd w:id="234"/>
      <w:bookmarkEnd w:id="235"/>
      <w:bookmarkEnd w:id="236"/>
      <w:bookmarkEnd w:id="237"/>
      <w:r>
        <w:rPr>
          <w:rFonts w:hint="eastAsia" w:ascii="宋体" w:hAnsi="宋体" w:cs="宋体"/>
          <w:color w:val="auto"/>
          <w:kern w:val="0"/>
          <w:sz w:val="24"/>
          <w:szCs w:val="24"/>
          <w:highlight w:val="none"/>
          <w:lang w:bidi="ar"/>
        </w:rPr>
        <w:t xml:space="preserve"> </w:t>
      </w:r>
    </w:p>
    <w:p w14:paraId="041D89E1">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4.1.1 发包人按本合同第三条规定的内容，在规定的时间内向设计人提交资料及文件，并对其完整性、正确性及时限负责，发包人不得要求设计人违反国家有关标准进行设计。发包人提交上述资料及文件超过规定期限，设计人按合同第四条规定交付设计文件时间顺延。 </w:t>
      </w:r>
    </w:p>
    <w:p w14:paraId="2B96DE52">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4.1.2 发包人变更委托设计项目、规模、条件或因提交的资料错误，或所提交资料作较大修改，以致造成设计人设计需返工时，双方除需另行协商签订补充协议</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或另订合同</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 xml:space="preserve">、重新明确有关条款外，发包人应按设计人所耗工作量向设计人增付设计费。 </w:t>
      </w:r>
    </w:p>
    <w:p w14:paraId="143EF05A">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4.1.3 发包人要求设计人比合同规定时间提前交付设计资料及文件时，如果设计人能够做到，应按发包人要求给予积极配合。 </w:t>
      </w:r>
    </w:p>
    <w:p w14:paraId="0546B5D4">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4.1.4 发包人应为派赴现场处理有关设计问题的工作人员，提供必要的工作、生活等方便条件。费用由发包人承担。 </w:t>
      </w:r>
    </w:p>
    <w:p w14:paraId="7E442620">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4.1.5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 </w:t>
      </w:r>
    </w:p>
    <w:p w14:paraId="1365A0E7">
      <w:pPr>
        <w:widowControl/>
        <w:spacing w:line="440" w:lineRule="exact"/>
        <w:ind w:firstLine="480" w:firstLineChars="200"/>
        <w:jc w:val="left"/>
        <w:outlineLvl w:val="1"/>
        <w:rPr>
          <w:rFonts w:hint="eastAsia" w:ascii="宋体" w:hAnsi="宋体" w:cs="宋体"/>
          <w:color w:val="auto"/>
          <w:sz w:val="24"/>
          <w:szCs w:val="24"/>
          <w:highlight w:val="none"/>
        </w:rPr>
      </w:pPr>
      <w:bookmarkStart w:id="238" w:name="_Toc28176"/>
      <w:bookmarkStart w:id="239" w:name="_Toc23059"/>
      <w:bookmarkStart w:id="240" w:name="_Toc31976"/>
      <w:bookmarkStart w:id="241" w:name="_Toc5496"/>
      <w:r>
        <w:rPr>
          <w:rFonts w:hint="eastAsia" w:ascii="宋体" w:hAnsi="宋体" w:cs="宋体"/>
          <w:color w:val="auto"/>
          <w:kern w:val="0"/>
          <w:sz w:val="24"/>
          <w:szCs w:val="24"/>
          <w:highlight w:val="none"/>
          <w:lang w:bidi="ar"/>
        </w:rPr>
        <w:t>4.2 设计人责任：</w:t>
      </w:r>
      <w:bookmarkEnd w:id="238"/>
      <w:bookmarkEnd w:id="239"/>
      <w:bookmarkEnd w:id="240"/>
      <w:bookmarkEnd w:id="241"/>
      <w:r>
        <w:rPr>
          <w:rFonts w:hint="eastAsia" w:ascii="宋体" w:hAnsi="宋体" w:cs="宋体"/>
          <w:color w:val="auto"/>
          <w:kern w:val="0"/>
          <w:sz w:val="24"/>
          <w:szCs w:val="24"/>
          <w:highlight w:val="none"/>
          <w:lang w:bidi="ar"/>
        </w:rPr>
        <w:t xml:space="preserve"> </w:t>
      </w:r>
    </w:p>
    <w:p w14:paraId="63180FCC">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4.2.1 设计人应按国家技术规范、标准、规程及发包人提出的设计要求，进行工程设计，按合同规定的进度要求提交质量合格的设计资料，不得降低工程质量标准进行设计</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并对其负责。编制方案、设计文件，应当满足编制初步设计文件和控制概算的需要。编制初步设计文件，应当满足编制施工</w:t>
      </w:r>
      <w:r>
        <w:rPr>
          <w:rFonts w:hint="eastAsia" w:ascii="宋体" w:hAnsi="宋体" w:cs="宋体"/>
          <w:color w:val="auto"/>
          <w:kern w:val="0"/>
          <w:sz w:val="24"/>
          <w:szCs w:val="24"/>
          <w:highlight w:val="none"/>
          <w:lang w:eastAsia="zh-CN" w:bidi="ar"/>
        </w:rPr>
        <w:t>磋商文件</w:t>
      </w:r>
      <w:r>
        <w:rPr>
          <w:rFonts w:hint="eastAsia" w:ascii="宋体" w:hAnsi="宋体" w:cs="宋体"/>
          <w:color w:val="auto"/>
          <w:kern w:val="0"/>
          <w:sz w:val="24"/>
          <w:szCs w:val="24"/>
          <w:highlight w:val="none"/>
          <w:lang w:bidi="ar"/>
        </w:rPr>
        <w:t>、主要设备材料订货和编制施工图设计文件的需要。编制施工图设计文件，应当满足设备材料采购、非标准设备制作和施工的需要，并注明工程合理使用年限。</w:t>
      </w:r>
    </w:p>
    <w:p w14:paraId="2068AB87">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4.2.2 设计人采用的主要技术标准：各有关专业现行规划设计规范、规程、规定。 </w:t>
      </w:r>
    </w:p>
    <w:p w14:paraId="743C3EBC">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4.2.3 设计人按本合同的规定内容、进度及份数向发包人交付资料及文件。 </w:t>
      </w:r>
    </w:p>
    <w:p w14:paraId="79781932">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4.2.4 设计人交付设计资料及文件后，按规定参加有关的设计审查，并根据审查结论负责对不超出原定范围的内容做必要调整补充。设计人按合同规定时限交付设计资料及文件，项目在计划范围内开始施工，负责向发包人及施工单位进行设计交底、处理有关设计问题和参加竣工验收。在超过计划期限一年内项目尚未开始施工，设计人仍负责上述工作，但应按所需工作量向发包人适当收取咨询服务费，收费额由双方商定。 </w:t>
      </w:r>
    </w:p>
    <w:p w14:paraId="45E71EC2">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4.2.5 设计人应保护发包人的知识产权，不得向第三人泄露、转让发包人提交的产品图纸等技术经济资料。如发生以上情况并给发包人造成经济损失，发包人有权向设计人索赔。 </w:t>
      </w:r>
    </w:p>
    <w:p w14:paraId="690E41B5">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4.2.6 未经发包人同意，设计人不得将该工程设计转包或分包给其他设计人。 </w:t>
      </w:r>
    </w:p>
    <w:p w14:paraId="557920EC">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4.2.7 设计深度要求 </w:t>
      </w:r>
    </w:p>
    <w:p w14:paraId="24B1994B">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①符合国家制图要求； </w:t>
      </w:r>
    </w:p>
    <w:p w14:paraId="4E49F1AD">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②提供设计选定方案的依据并进行方案优化组合； </w:t>
      </w:r>
    </w:p>
    <w:p w14:paraId="630B3636">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24③设备材料选型应本着“成熟、先进、可靠、适用、节能、价优”的原则，避免设计过于保守、计算不详、选型唯一性和偏向性； </w:t>
      </w:r>
    </w:p>
    <w:p w14:paraId="284C998E">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④施工图纸出院前应进行详细的审核、审查、专业会签，避免出现较大的设计漏项、失误、重复、交叉矛盾、深度不够、笔误等，并有效控制设计变更和技术核定单。 </w:t>
      </w:r>
    </w:p>
    <w:p w14:paraId="17FC3F5D">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4.2.8 现场设计与服务：为加快设计进度，加强与建设单位的联系，保证现场服务，部分设计工作需在项目所在地进行。在施工阶段开始前，主要设计人员应参加设计交底、图纸会审；在施工和调试验收阶段，设计人应派各专业主要设计人员进行现场服务。 </w:t>
      </w:r>
    </w:p>
    <w:p w14:paraId="5296F724">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4.2.9 招标配合服务：根据工程进度要求，设计单位应及时、准确、详细提供满足工程总包、专业分包、设备/材料选购招标使用的技术资料和技术要求，并按招标确定的中标单位资料及时修改图纸，满足施工进度要求。 </w:t>
      </w:r>
    </w:p>
    <w:p w14:paraId="7130E6EA">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4.2.10 施工图纸设计范围未包含内容、需要专业设计和深化设计内容、需要论证内容，设计人应提前书面通知发包人，以便另行安排。 </w:t>
      </w:r>
    </w:p>
    <w:p w14:paraId="4B950253">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第五条 违约责任： </w:t>
      </w:r>
    </w:p>
    <w:p w14:paraId="26AAF2B5">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5.1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 </w:t>
      </w:r>
    </w:p>
    <w:p w14:paraId="4B5DCAE6">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5.2 设计人对设计资料及文件出现的遗漏或错误负责修改或补充。由于设计人员错误造成工程质量事故损失，设计人除负责采取补救措施外，应免收直接受损失部分的设计费。并向发包人支付赔偿金，赔偿金按实际损失的</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 xml:space="preserve">％计取。 </w:t>
      </w:r>
    </w:p>
    <w:p w14:paraId="03745787">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5.3 由于设计人自身原因，延误了按本合同第二条规定的设计资料及设计文件的交付时间，给发包人造成损失的应当另外赔偿发包人的实际损失。 </w:t>
      </w:r>
    </w:p>
    <w:p w14:paraId="1DFD7E9E">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5.4 合同生效后，设计人要求终止或解除合同，设计人应双倍返还定金。 </w:t>
      </w:r>
    </w:p>
    <w:p w14:paraId="5CC4C351">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第六条 其他 </w:t>
      </w:r>
    </w:p>
    <w:p w14:paraId="57194374">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6.1 设计人投标承诺的设计阶段、勘察阶段、施工阶段、调试验收阶段、使用阶段、设计变更和技术核定单处理的服务条款，其发生费用均由设计人承担，并含在投标报价内。发包人要求设计人派专人留驻施工现场进行合同范围之外的配合、技术服务和解决有关问题时， 双方应另行签订补充协议或技术咨询服务合同。</w:t>
      </w:r>
    </w:p>
    <w:p w14:paraId="50031573">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6.2 设计人为本合同项目所采用的国家或地方标准图，由发包人自费向有关出版部门购买。本合同第四条规定设计人交付的设计资料及文件份数，设计人不另收工本费，含投标报价内；超过第四条规定的份数，设计人另收工本费。 </w:t>
      </w:r>
    </w:p>
    <w:p w14:paraId="693E6E7A">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6.3 本工程设计资料及文件中，工程材料、工程构配件和设备，应当注明其规格、型号、性能等技术指标，其质量要求必须符合国家规定的标准，设计人不得指定生产厂、</w:t>
      </w:r>
      <w:r>
        <w:rPr>
          <w:rFonts w:hint="eastAsia" w:ascii="宋体" w:hAnsi="宋体" w:cs="宋体"/>
          <w:color w:val="auto"/>
          <w:kern w:val="0"/>
          <w:sz w:val="24"/>
          <w:szCs w:val="24"/>
          <w:highlight w:val="none"/>
          <w:lang w:eastAsia="zh-CN" w:bidi="ar"/>
        </w:rPr>
        <w:t>响应人</w:t>
      </w:r>
      <w:r>
        <w:rPr>
          <w:rFonts w:hint="eastAsia" w:ascii="宋体" w:hAnsi="宋体" w:cs="宋体"/>
          <w:color w:val="auto"/>
          <w:kern w:val="0"/>
          <w:sz w:val="24"/>
          <w:szCs w:val="24"/>
          <w:highlight w:val="none"/>
          <w:lang w:bidi="ar"/>
        </w:rPr>
        <w:t>。发包人需要设计人的设计人员配合</w:t>
      </w:r>
      <w:r>
        <w:rPr>
          <w:rFonts w:hint="eastAsia" w:ascii="宋体" w:hAnsi="宋体" w:cs="宋体"/>
          <w:color w:val="auto"/>
          <w:kern w:val="0"/>
          <w:sz w:val="24"/>
          <w:szCs w:val="24"/>
          <w:highlight w:val="none"/>
          <w:lang w:eastAsia="zh-CN" w:bidi="ar"/>
        </w:rPr>
        <w:t>加工订货</w:t>
      </w:r>
      <w:r>
        <w:rPr>
          <w:rFonts w:hint="eastAsia" w:ascii="宋体" w:hAnsi="宋体" w:cs="宋体"/>
          <w:color w:val="auto"/>
          <w:kern w:val="0"/>
          <w:sz w:val="24"/>
          <w:szCs w:val="24"/>
          <w:highlight w:val="none"/>
          <w:lang w:bidi="ar"/>
        </w:rPr>
        <w:t xml:space="preserve">时，所需要费用由发包人承担。 </w:t>
      </w:r>
    </w:p>
    <w:p w14:paraId="1C0A35BE">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6.4 发包人委托设计人承担合同内容之外的工作服务，另行支付费用。 </w:t>
      </w:r>
    </w:p>
    <w:p w14:paraId="3663A7E4">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6.5 由于不可抗力因素致使合同无法履行时，双方应及时协商解决。 </w:t>
      </w:r>
    </w:p>
    <w:p w14:paraId="798D22E7">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6.6 本合同发生争议，双方当事人应及时协商解决。也可由当地建设行政主管部门调解，调解不成时，双方当事人同意由仲裁委员会仲裁。 </w:t>
      </w:r>
    </w:p>
    <w:p w14:paraId="0E4FE51E">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6.7 本合同一式</w:t>
      </w:r>
      <w:r>
        <w:rPr>
          <w:rFonts w:hint="eastAsia" w:ascii="宋体" w:hAnsi="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bidi="ar"/>
        </w:rPr>
        <w:t>份，正本</w:t>
      </w:r>
      <w:r>
        <w:rPr>
          <w:rFonts w:hint="eastAsia" w:ascii="宋体" w:hAnsi="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bidi="ar"/>
        </w:rPr>
        <w:t>份，副本</w:t>
      </w:r>
      <w:r>
        <w:rPr>
          <w:rFonts w:hint="eastAsia" w:ascii="宋体" w:hAnsi="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bidi="ar"/>
        </w:rPr>
        <w:t>份，发包人正本</w:t>
      </w:r>
      <w:r>
        <w:rPr>
          <w:rFonts w:hint="eastAsia" w:ascii="宋体" w:hAnsi="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bidi="ar"/>
        </w:rPr>
        <w:t>份，副本</w:t>
      </w:r>
      <w:r>
        <w:rPr>
          <w:rFonts w:hint="eastAsia" w:ascii="宋体" w:hAnsi="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bidi="ar"/>
        </w:rPr>
        <w:t>份设</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计人正本</w:t>
      </w:r>
      <w:r>
        <w:rPr>
          <w:rFonts w:hint="eastAsia" w:ascii="宋体" w:hAnsi="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bidi="ar"/>
        </w:rPr>
        <w:t>份，副本</w:t>
      </w:r>
      <w:r>
        <w:rPr>
          <w:rFonts w:hint="eastAsia" w:ascii="宋体" w:hAnsi="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bidi="ar"/>
        </w:rPr>
        <w:t xml:space="preserve">份。 </w:t>
      </w:r>
    </w:p>
    <w:p w14:paraId="600F0FCC">
      <w:pPr>
        <w:widowControl/>
        <w:spacing w:line="440" w:lineRule="exact"/>
        <w:ind w:firstLine="480" w:firstLineChars="200"/>
        <w:jc w:val="left"/>
        <w:outlineLvl w:val="1"/>
        <w:rPr>
          <w:rFonts w:hint="eastAsia" w:ascii="宋体" w:hAnsi="宋体" w:cs="宋体"/>
          <w:color w:val="auto"/>
          <w:sz w:val="24"/>
          <w:szCs w:val="24"/>
          <w:highlight w:val="none"/>
        </w:rPr>
      </w:pPr>
      <w:bookmarkStart w:id="242" w:name="_Toc13329"/>
      <w:bookmarkStart w:id="243" w:name="_Toc13466"/>
      <w:bookmarkStart w:id="244" w:name="_Toc6074"/>
      <w:bookmarkStart w:id="245" w:name="_Toc27864"/>
      <w:r>
        <w:rPr>
          <w:rFonts w:hint="eastAsia" w:ascii="宋体" w:hAnsi="宋体" w:cs="宋体"/>
          <w:color w:val="auto"/>
          <w:kern w:val="0"/>
          <w:sz w:val="24"/>
          <w:szCs w:val="24"/>
          <w:highlight w:val="none"/>
          <w:lang w:bidi="ar"/>
        </w:rPr>
        <w:t>6.8 本合同经双方签章并在发包人向设计人支付定金后生效。</w:t>
      </w:r>
      <w:bookmarkEnd w:id="242"/>
      <w:bookmarkEnd w:id="243"/>
      <w:bookmarkEnd w:id="244"/>
      <w:bookmarkEnd w:id="245"/>
      <w:r>
        <w:rPr>
          <w:rFonts w:hint="eastAsia" w:ascii="宋体" w:hAnsi="宋体" w:cs="宋体"/>
          <w:color w:val="auto"/>
          <w:kern w:val="0"/>
          <w:sz w:val="24"/>
          <w:szCs w:val="24"/>
          <w:highlight w:val="none"/>
          <w:lang w:bidi="ar"/>
        </w:rPr>
        <w:t xml:space="preserve"> </w:t>
      </w:r>
    </w:p>
    <w:p w14:paraId="647F984B">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6.9 本合同生效后，按规定到项目所在省级建设行政主管部门规定的审查部门备案。双方履行完合同规定的义务后，本合同即行终止。 </w:t>
      </w:r>
    </w:p>
    <w:p w14:paraId="67E25868">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6.10 本合同未尽事宜，双方可签订补充协议，有关协议及双方认可的来往电报、传真、会议纪要等，均为本合同组成部分，与本合同具有同等法律效力。 </w:t>
      </w:r>
    </w:p>
    <w:p w14:paraId="6A5A09C0">
      <w:pPr>
        <w:widowControl/>
        <w:spacing w:line="440" w:lineRule="exact"/>
        <w:ind w:firstLine="480" w:firstLineChars="200"/>
        <w:jc w:val="left"/>
        <w:outlineLvl w:val="1"/>
        <w:rPr>
          <w:rFonts w:hint="eastAsia" w:ascii="宋体" w:hAnsi="宋体" w:cs="宋体"/>
          <w:color w:val="auto"/>
          <w:sz w:val="24"/>
          <w:szCs w:val="24"/>
          <w:highlight w:val="none"/>
        </w:rPr>
      </w:pPr>
      <w:bookmarkStart w:id="246" w:name="_Toc1291"/>
      <w:bookmarkStart w:id="247" w:name="_Toc11486"/>
      <w:bookmarkStart w:id="248" w:name="_Toc20721"/>
      <w:bookmarkStart w:id="249" w:name="_Toc26307"/>
      <w:r>
        <w:rPr>
          <w:rFonts w:hint="eastAsia" w:ascii="宋体" w:hAnsi="宋体" w:cs="宋体"/>
          <w:color w:val="auto"/>
          <w:kern w:val="0"/>
          <w:sz w:val="24"/>
          <w:szCs w:val="24"/>
          <w:highlight w:val="none"/>
          <w:lang w:bidi="ar"/>
        </w:rPr>
        <w:t>6.11 其他约定事项：</w:t>
      </w:r>
      <w:bookmarkEnd w:id="246"/>
      <w:bookmarkEnd w:id="247"/>
      <w:bookmarkEnd w:id="248"/>
      <w:bookmarkEnd w:id="249"/>
      <w:r>
        <w:rPr>
          <w:rFonts w:hint="eastAsia" w:ascii="宋体" w:hAnsi="宋体" w:cs="宋体"/>
          <w:color w:val="auto"/>
          <w:kern w:val="0"/>
          <w:sz w:val="24"/>
          <w:szCs w:val="24"/>
          <w:highlight w:val="none"/>
          <w:lang w:bidi="ar"/>
        </w:rPr>
        <w:t xml:space="preserve"> </w:t>
      </w:r>
    </w:p>
    <w:p w14:paraId="6E1AAC43">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6.11.1 设计依据 </w:t>
      </w:r>
    </w:p>
    <w:p w14:paraId="693F5307">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①发包人给设计人的委托书或设计中标文件。 </w:t>
      </w:r>
    </w:p>
    <w:p w14:paraId="19EA3032">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②发包人提交的基础资料。 </w:t>
      </w:r>
    </w:p>
    <w:p w14:paraId="672A0625">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③规划图 </w:t>
      </w:r>
    </w:p>
    <w:p w14:paraId="049F6726">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④工程建设强制性标准。 </w:t>
      </w:r>
    </w:p>
    <w:p w14:paraId="764933A9">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⑤国家规定的工程设计深度要求。 </w:t>
      </w:r>
    </w:p>
    <w:p w14:paraId="79D7E02B">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8.11.2 合同文件的优先次序： </w:t>
      </w:r>
    </w:p>
    <w:p w14:paraId="28ADCDB2">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①合同书。 </w:t>
      </w:r>
    </w:p>
    <w:p w14:paraId="3A734093">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②中标通知书。 </w:t>
      </w:r>
    </w:p>
    <w:p w14:paraId="36B5AAFB">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③发包人要求及委托书。 </w:t>
      </w:r>
    </w:p>
    <w:p w14:paraId="7CDC0C75">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④投标书。 </w:t>
      </w:r>
    </w:p>
    <w:p w14:paraId="17308816">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发包人名称：                        设计人名称： </w:t>
      </w:r>
    </w:p>
    <w:p w14:paraId="5BF3D2D2">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 xml:space="preserve">盖章）                                       </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 xml:space="preserve">盖章） </w:t>
      </w:r>
    </w:p>
    <w:p w14:paraId="61494E92">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法定代表人：</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签字或盖章）          法定代表人：</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 xml:space="preserve">签字或盖章） </w:t>
      </w:r>
    </w:p>
    <w:p w14:paraId="56BB84CA">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委托代理人：</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签字或盖章）          委托代理人：</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 xml:space="preserve">签字或盖章） </w:t>
      </w:r>
    </w:p>
    <w:p w14:paraId="72E4C1D8">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住所：                              住所： </w:t>
      </w:r>
    </w:p>
    <w:p w14:paraId="24D96338">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邮政编码：                          邮政编码： </w:t>
      </w:r>
    </w:p>
    <w:p w14:paraId="3E651484">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电话：                              电话： </w:t>
      </w:r>
    </w:p>
    <w:p w14:paraId="02FA8FB9">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传真：                              传真： </w:t>
      </w:r>
    </w:p>
    <w:p w14:paraId="0395AC63">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开户银行：                          开户银行： </w:t>
      </w:r>
    </w:p>
    <w:p w14:paraId="18F20DB4">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银行</w:t>
      </w:r>
      <w:r>
        <w:rPr>
          <w:rFonts w:hint="eastAsia" w:ascii="宋体" w:hAnsi="宋体" w:cs="宋体"/>
          <w:color w:val="auto"/>
          <w:kern w:val="0"/>
          <w:sz w:val="24"/>
          <w:szCs w:val="24"/>
          <w:highlight w:val="none"/>
          <w:lang w:eastAsia="zh-CN" w:bidi="ar"/>
        </w:rPr>
        <w:t>账号</w:t>
      </w:r>
      <w:r>
        <w:rPr>
          <w:rFonts w:hint="eastAsia"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eastAsia="zh-CN" w:bidi="ar"/>
        </w:rPr>
        <w:t>银行账号</w:t>
      </w:r>
    </w:p>
    <w:p w14:paraId="09EBC7BA">
      <w:pPr>
        <w:adjustRightInd w:val="0"/>
        <w:snapToGrid w:val="0"/>
        <w:spacing w:line="360" w:lineRule="auto"/>
        <w:jc w:val="center"/>
        <w:outlineLvl w:val="0"/>
        <w:rPr>
          <w:rFonts w:hint="eastAsia"/>
          <w:b/>
          <w:bCs/>
          <w:color w:val="auto"/>
          <w:sz w:val="36"/>
          <w:szCs w:val="36"/>
          <w:highlight w:val="none"/>
        </w:rPr>
      </w:pPr>
      <w:r>
        <w:rPr>
          <w:rFonts w:hint="eastAsia" w:ascii="宋体" w:hAnsi="宋体"/>
          <w:b/>
          <w:bCs/>
          <w:color w:val="auto"/>
          <w:sz w:val="24"/>
          <w:highlight w:val="none"/>
        </w:rPr>
        <w:br w:type="page"/>
      </w:r>
      <w:bookmarkStart w:id="250" w:name="_Toc914"/>
      <w:bookmarkStart w:id="251" w:name="_Toc30898"/>
      <w:bookmarkStart w:id="252" w:name="_Toc17708"/>
      <w:bookmarkStart w:id="253" w:name="_Toc29787"/>
      <w:r>
        <w:rPr>
          <w:rFonts w:hint="eastAsia"/>
          <w:b/>
          <w:bCs/>
          <w:color w:val="auto"/>
          <w:sz w:val="36"/>
          <w:szCs w:val="36"/>
          <w:highlight w:val="none"/>
        </w:rPr>
        <w:t xml:space="preserve">第五章   </w:t>
      </w:r>
      <w:bookmarkEnd w:id="226"/>
      <w:r>
        <w:rPr>
          <w:rFonts w:hint="eastAsia"/>
          <w:b/>
          <w:bCs/>
          <w:color w:val="auto"/>
          <w:sz w:val="36"/>
          <w:szCs w:val="36"/>
          <w:highlight w:val="none"/>
        </w:rPr>
        <w:t>技术要求</w:t>
      </w:r>
      <w:bookmarkEnd w:id="250"/>
      <w:bookmarkEnd w:id="251"/>
      <w:bookmarkEnd w:id="252"/>
      <w:bookmarkEnd w:id="253"/>
    </w:p>
    <w:p w14:paraId="79CAFC10">
      <w:pPr>
        <w:spacing w:line="360" w:lineRule="auto"/>
        <w:ind w:firstLine="410" w:firstLineChars="171"/>
        <w:outlineLvl w:val="1"/>
        <w:rPr>
          <w:rFonts w:hint="eastAsia"/>
          <w:color w:val="auto"/>
          <w:sz w:val="24"/>
          <w:szCs w:val="24"/>
          <w:highlight w:val="none"/>
        </w:rPr>
      </w:pPr>
      <w:bookmarkStart w:id="254" w:name="_Toc2031"/>
      <w:bookmarkStart w:id="255" w:name="_Toc30510"/>
      <w:bookmarkStart w:id="256" w:name="_Toc29804"/>
      <w:bookmarkStart w:id="257" w:name="_Toc8339"/>
      <w:r>
        <w:rPr>
          <w:rFonts w:hint="eastAsia"/>
          <w:color w:val="auto"/>
          <w:sz w:val="24"/>
          <w:szCs w:val="24"/>
          <w:highlight w:val="none"/>
        </w:rPr>
        <w:t>一、技术标准与规范</w:t>
      </w:r>
      <w:bookmarkEnd w:id="254"/>
      <w:bookmarkEnd w:id="255"/>
      <w:bookmarkEnd w:id="256"/>
      <w:bookmarkEnd w:id="257"/>
    </w:p>
    <w:p w14:paraId="32FF3861">
      <w:pPr>
        <w:spacing w:line="360" w:lineRule="auto"/>
        <w:ind w:firstLine="410" w:firstLineChars="171"/>
        <w:rPr>
          <w:rFonts w:hint="eastAsia"/>
          <w:color w:val="auto"/>
          <w:sz w:val="24"/>
          <w:szCs w:val="24"/>
          <w:highlight w:val="none"/>
        </w:rPr>
      </w:pPr>
      <w:r>
        <w:rPr>
          <w:rFonts w:hint="eastAsia"/>
          <w:color w:val="auto"/>
          <w:sz w:val="24"/>
          <w:szCs w:val="24"/>
          <w:highlight w:val="none"/>
        </w:rPr>
        <w:t>本工程必须符合国家有关法律法规及具有行政主管部门现行的标准、规范、办法。工作中使用或参考上述标准、规范以外的技术标准、规范时，应征得发包人或发包人的指定代表人的同意。工作过程中，如果国家或有关部门颁布了新的技术标准或规范，则应采用新的标准或规范进行。</w:t>
      </w:r>
    </w:p>
    <w:p w14:paraId="53B9B5CF">
      <w:pPr>
        <w:numPr>
          <w:ilvl w:val="0"/>
          <w:numId w:val="5"/>
        </w:numPr>
        <w:spacing w:line="360" w:lineRule="auto"/>
        <w:ind w:firstLine="410" w:firstLineChars="171"/>
        <w:outlineLvl w:val="1"/>
        <w:rPr>
          <w:rFonts w:hint="eastAsia"/>
          <w:color w:val="auto"/>
          <w:sz w:val="24"/>
          <w:szCs w:val="24"/>
          <w:highlight w:val="none"/>
        </w:rPr>
      </w:pPr>
      <w:bookmarkStart w:id="258" w:name="_Toc20463"/>
      <w:bookmarkStart w:id="259" w:name="_Toc24295"/>
      <w:bookmarkStart w:id="260" w:name="_Toc14768"/>
      <w:bookmarkStart w:id="261" w:name="_Toc17393"/>
      <w:r>
        <w:rPr>
          <w:rFonts w:hint="eastAsia"/>
          <w:color w:val="auto"/>
          <w:sz w:val="24"/>
          <w:szCs w:val="24"/>
          <w:highlight w:val="none"/>
        </w:rPr>
        <w:t>成果要求</w:t>
      </w:r>
      <w:bookmarkEnd w:id="258"/>
      <w:bookmarkEnd w:id="259"/>
      <w:bookmarkEnd w:id="260"/>
      <w:bookmarkEnd w:id="261"/>
    </w:p>
    <w:p w14:paraId="4C9BCB2B">
      <w:pPr>
        <w:spacing w:line="360" w:lineRule="auto"/>
        <w:ind w:firstLine="410" w:firstLineChars="171"/>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成果要求：设计图中应包含设计说明书、总平面图、断面图设计、管线附属设施图、建筑物图、给水排水图、电气图及其他图纸、资料。</w:t>
      </w:r>
    </w:p>
    <w:p w14:paraId="02D71574">
      <w:pPr>
        <w:spacing w:line="360" w:lineRule="auto"/>
        <w:ind w:firstLine="410" w:firstLineChars="171"/>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设计成果：提供设计方案3套，至少要包含设计说明及经济技术指标、各类设计图等。</w:t>
      </w:r>
    </w:p>
    <w:p w14:paraId="694ED050">
      <w:pPr>
        <w:snapToGrid w:val="0"/>
        <w:spacing w:line="500" w:lineRule="exact"/>
        <w:jc w:val="center"/>
        <w:outlineLvl w:val="0"/>
        <w:rPr>
          <w:rFonts w:hint="eastAsia"/>
          <w:b/>
          <w:bCs/>
          <w:color w:val="auto"/>
          <w:sz w:val="36"/>
          <w:szCs w:val="36"/>
          <w:highlight w:val="none"/>
        </w:rPr>
      </w:pPr>
      <w:bookmarkStart w:id="262" w:name="_Toc31883"/>
      <w:bookmarkStart w:id="263" w:name="_Toc21676"/>
      <w:bookmarkStart w:id="264" w:name="_Toc1270"/>
      <w:bookmarkStart w:id="265" w:name="_Toc15146"/>
      <w:r>
        <w:rPr>
          <w:rFonts w:hint="eastAsia"/>
          <w:b/>
          <w:bCs/>
          <w:color w:val="auto"/>
          <w:sz w:val="36"/>
          <w:szCs w:val="36"/>
          <w:highlight w:val="none"/>
        </w:rPr>
        <w:br w:type="page"/>
      </w:r>
      <w:bookmarkStart w:id="266" w:name="_Toc21759"/>
      <w:r>
        <w:rPr>
          <w:rFonts w:hint="eastAsia"/>
          <w:b/>
          <w:bCs/>
          <w:color w:val="auto"/>
          <w:sz w:val="36"/>
          <w:szCs w:val="36"/>
          <w:highlight w:val="none"/>
        </w:rPr>
        <w:t>第六章   响应文件格式</w:t>
      </w:r>
      <w:bookmarkEnd w:id="262"/>
      <w:bookmarkEnd w:id="263"/>
      <w:bookmarkEnd w:id="264"/>
      <w:bookmarkEnd w:id="265"/>
      <w:bookmarkEnd w:id="266"/>
    </w:p>
    <w:p w14:paraId="70E67335">
      <w:pPr>
        <w:jc w:val="center"/>
        <w:rPr>
          <w:rFonts w:hint="eastAsia" w:ascii="宋体"/>
          <w:b/>
          <w:bCs/>
          <w:color w:val="auto"/>
          <w:kern w:val="0"/>
          <w:sz w:val="36"/>
          <w:szCs w:val="36"/>
          <w:highlight w:val="none"/>
        </w:rPr>
      </w:pPr>
      <w:r>
        <w:rPr>
          <w:rFonts w:hint="eastAsia" w:ascii="宋体" w:hAnsi="宋体"/>
          <w:b/>
          <w:bCs/>
          <w:color w:val="auto"/>
          <w:kern w:val="0"/>
          <w:sz w:val="36"/>
          <w:szCs w:val="36"/>
          <w:highlight w:val="none"/>
        </w:rPr>
        <w:t xml:space="preserve">                                                                                          </w:t>
      </w:r>
    </w:p>
    <w:p w14:paraId="5FC0116B">
      <w:pPr>
        <w:spacing w:line="360" w:lineRule="auto"/>
        <w:rPr>
          <w:rFonts w:hint="eastAsia" w:ascii="宋体" w:hAnsi="宋体" w:cs="宋体"/>
          <w:color w:val="auto"/>
          <w:sz w:val="24"/>
          <w:highlight w:val="none"/>
        </w:rPr>
      </w:pPr>
    </w:p>
    <w:p w14:paraId="61E7D973">
      <w:pPr>
        <w:spacing w:line="360" w:lineRule="auto"/>
        <w:jc w:val="center"/>
        <w:rPr>
          <w:rFonts w:hint="eastAsia" w:ascii="宋体" w:hAnsi="宋体" w:cs="宋体"/>
          <w:color w:val="auto"/>
          <w:sz w:val="24"/>
          <w:highlight w:val="none"/>
        </w:rPr>
      </w:pPr>
    </w:p>
    <w:p w14:paraId="4AF5E843">
      <w:pPr>
        <w:spacing w:line="360" w:lineRule="auto"/>
        <w:jc w:val="center"/>
        <w:rPr>
          <w:rFonts w:hint="eastAsia" w:ascii="宋体" w:hAnsi="宋体" w:cs="宋体"/>
          <w:color w:val="auto"/>
          <w:sz w:val="24"/>
          <w:highlight w:val="none"/>
          <w:u w:val="single"/>
        </w:rPr>
      </w:pPr>
    </w:p>
    <w:p w14:paraId="401AC384">
      <w:pPr>
        <w:spacing w:line="360" w:lineRule="auto"/>
        <w:jc w:val="center"/>
        <w:outlineLvl w:val="1"/>
        <w:rPr>
          <w:rFonts w:hint="eastAsia" w:ascii="宋体" w:hAnsi="宋体" w:cs="宋体"/>
          <w:color w:val="auto"/>
          <w:sz w:val="44"/>
          <w:szCs w:val="44"/>
          <w:highlight w:val="none"/>
        </w:rPr>
      </w:pP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 xml:space="preserve"> </w:t>
      </w:r>
      <w:bookmarkStart w:id="267" w:name="_Toc23137"/>
      <w:bookmarkStart w:id="268" w:name="_Toc29685"/>
      <w:bookmarkStart w:id="269" w:name="_Toc25961"/>
      <w:bookmarkStart w:id="270" w:name="_Toc28015"/>
      <w:bookmarkStart w:id="271" w:name="_Toc3447"/>
      <w:bookmarkStart w:id="272" w:name="_Toc17665"/>
      <w:bookmarkStart w:id="273" w:name="_Toc14184"/>
      <w:bookmarkStart w:id="274" w:name="_Toc32224"/>
      <w:r>
        <w:rPr>
          <w:rFonts w:hint="eastAsia" w:ascii="宋体" w:hAnsi="宋体" w:cs="宋体"/>
          <w:color w:val="auto"/>
          <w:sz w:val="28"/>
          <w:szCs w:val="28"/>
          <w:highlight w:val="none"/>
          <w:u w:val="single"/>
          <w:lang w:eastAsia="zh-CN"/>
        </w:rPr>
        <w:t>（</w:t>
      </w:r>
      <w:r>
        <w:rPr>
          <w:rFonts w:hint="eastAsia" w:ascii="宋体" w:hAnsi="宋体" w:cs="宋体"/>
          <w:color w:val="auto"/>
          <w:sz w:val="28"/>
          <w:szCs w:val="28"/>
          <w:highlight w:val="none"/>
          <w:u w:val="single"/>
        </w:rPr>
        <w:t>项目名称）</w:t>
      </w:r>
      <w:bookmarkEnd w:id="267"/>
      <w:bookmarkEnd w:id="268"/>
      <w:bookmarkEnd w:id="269"/>
      <w:bookmarkEnd w:id="270"/>
      <w:bookmarkEnd w:id="271"/>
      <w:bookmarkEnd w:id="272"/>
      <w:bookmarkEnd w:id="273"/>
      <w:bookmarkEnd w:id="274"/>
      <w:r>
        <w:rPr>
          <w:rFonts w:hint="eastAsia" w:ascii="宋体" w:hAnsi="宋体" w:cs="宋体"/>
          <w:color w:val="auto"/>
          <w:sz w:val="28"/>
          <w:szCs w:val="28"/>
          <w:highlight w:val="none"/>
          <w:u w:val="single"/>
        </w:rPr>
        <w:t xml:space="preserve"> </w:t>
      </w:r>
    </w:p>
    <w:p w14:paraId="6843ADA9">
      <w:pPr>
        <w:spacing w:line="360" w:lineRule="auto"/>
        <w:jc w:val="center"/>
        <w:outlineLvl w:val="0"/>
        <w:rPr>
          <w:rFonts w:hint="eastAsia" w:ascii="宋体" w:hAnsi="宋体" w:cs="宋体"/>
          <w:color w:val="auto"/>
          <w:sz w:val="44"/>
          <w:szCs w:val="44"/>
          <w:highlight w:val="none"/>
        </w:rPr>
      </w:pPr>
      <w:bookmarkStart w:id="275" w:name="_Toc16324"/>
      <w:bookmarkStart w:id="276" w:name="_Toc5193"/>
      <w:bookmarkStart w:id="277" w:name="_Toc4843"/>
      <w:bookmarkStart w:id="278" w:name="_Toc31310"/>
      <w:bookmarkStart w:id="279" w:name="_Toc28644"/>
      <w:bookmarkStart w:id="280" w:name="_Toc24489"/>
      <w:bookmarkStart w:id="281" w:name="_Toc392"/>
      <w:r>
        <w:rPr>
          <w:rFonts w:hint="eastAsia" w:ascii="宋体" w:hAnsi="宋体" w:cs="宋体"/>
          <w:color w:val="auto"/>
          <w:sz w:val="44"/>
          <w:szCs w:val="44"/>
          <w:highlight w:val="none"/>
        </w:rPr>
        <w:t>响  应  文  件</w:t>
      </w:r>
      <w:bookmarkEnd w:id="275"/>
      <w:bookmarkEnd w:id="276"/>
      <w:bookmarkEnd w:id="277"/>
      <w:bookmarkEnd w:id="278"/>
      <w:bookmarkEnd w:id="279"/>
      <w:bookmarkEnd w:id="280"/>
      <w:bookmarkEnd w:id="281"/>
    </w:p>
    <w:p w14:paraId="2E329B6C">
      <w:pPr>
        <w:spacing w:line="360" w:lineRule="auto"/>
        <w:ind w:firstLine="2760" w:firstLineChars="1150"/>
        <w:rPr>
          <w:rFonts w:hint="eastAsia" w:ascii="宋体" w:hAnsi="宋体" w:cs="宋体"/>
          <w:color w:val="auto"/>
          <w:sz w:val="24"/>
          <w:highlight w:val="none"/>
        </w:rPr>
      </w:pPr>
      <w:r>
        <w:rPr>
          <w:rFonts w:hint="eastAsia" w:ascii="宋体" w:hAnsi="宋体" w:cs="宋体"/>
          <w:color w:val="auto"/>
          <w:sz w:val="24"/>
          <w:highlight w:val="none"/>
        </w:rPr>
        <w:t xml:space="preserve">采购项目编号： </w:t>
      </w:r>
    </w:p>
    <w:p w14:paraId="6BECA436">
      <w:pPr>
        <w:spacing w:line="360" w:lineRule="auto"/>
        <w:jc w:val="center"/>
        <w:rPr>
          <w:rFonts w:hint="eastAsia" w:ascii="宋体" w:hAnsi="宋体" w:cs="宋体"/>
          <w:color w:val="auto"/>
          <w:sz w:val="24"/>
          <w:highlight w:val="none"/>
        </w:rPr>
      </w:pPr>
    </w:p>
    <w:p w14:paraId="0C7627B6">
      <w:pPr>
        <w:spacing w:line="360" w:lineRule="auto"/>
        <w:jc w:val="center"/>
        <w:rPr>
          <w:rFonts w:hint="eastAsia" w:ascii="宋体" w:hAnsi="宋体" w:cs="宋体"/>
          <w:color w:val="auto"/>
          <w:sz w:val="24"/>
          <w:highlight w:val="none"/>
        </w:rPr>
      </w:pPr>
    </w:p>
    <w:p w14:paraId="4D9A23A6">
      <w:pPr>
        <w:spacing w:line="360" w:lineRule="auto"/>
        <w:jc w:val="center"/>
        <w:rPr>
          <w:rFonts w:hint="eastAsia" w:ascii="宋体" w:hAnsi="宋体" w:cs="宋体"/>
          <w:color w:val="auto"/>
          <w:sz w:val="24"/>
          <w:highlight w:val="none"/>
        </w:rPr>
      </w:pPr>
    </w:p>
    <w:p w14:paraId="3D38A754">
      <w:pPr>
        <w:spacing w:line="360" w:lineRule="auto"/>
        <w:jc w:val="center"/>
        <w:rPr>
          <w:rFonts w:hint="eastAsia" w:ascii="宋体" w:hAnsi="宋体" w:cs="宋体"/>
          <w:color w:val="auto"/>
          <w:sz w:val="24"/>
          <w:highlight w:val="none"/>
        </w:rPr>
      </w:pPr>
    </w:p>
    <w:p w14:paraId="6CE448EA">
      <w:pPr>
        <w:spacing w:line="360" w:lineRule="auto"/>
        <w:jc w:val="center"/>
        <w:rPr>
          <w:rFonts w:hint="eastAsia" w:ascii="宋体" w:hAnsi="宋体" w:cs="宋体"/>
          <w:color w:val="auto"/>
          <w:sz w:val="24"/>
          <w:highlight w:val="none"/>
        </w:rPr>
      </w:pPr>
    </w:p>
    <w:p w14:paraId="3CB51C2A">
      <w:pPr>
        <w:spacing w:line="360" w:lineRule="auto"/>
        <w:jc w:val="center"/>
        <w:rPr>
          <w:rFonts w:hint="eastAsia" w:ascii="宋体" w:hAnsi="宋体" w:cs="宋体"/>
          <w:color w:val="auto"/>
          <w:sz w:val="24"/>
          <w:highlight w:val="none"/>
        </w:rPr>
      </w:pPr>
    </w:p>
    <w:p w14:paraId="3C515A14">
      <w:pPr>
        <w:spacing w:line="360" w:lineRule="auto"/>
        <w:jc w:val="center"/>
        <w:rPr>
          <w:rFonts w:hint="eastAsia" w:ascii="宋体" w:hAnsi="宋体" w:cs="宋体"/>
          <w:color w:val="auto"/>
          <w:sz w:val="24"/>
          <w:highlight w:val="none"/>
        </w:rPr>
      </w:pPr>
    </w:p>
    <w:p w14:paraId="53EF1146">
      <w:pPr>
        <w:spacing w:line="360" w:lineRule="auto"/>
        <w:jc w:val="center"/>
        <w:rPr>
          <w:rFonts w:hint="eastAsia" w:ascii="宋体" w:hAnsi="宋体" w:cs="宋体"/>
          <w:color w:val="auto"/>
          <w:sz w:val="24"/>
          <w:highlight w:val="none"/>
        </w:rPr>
      </w:pPr>
    </w:p>
    <w:p w14:paraId="3B9F615C">
      <w:pPr>
        <w:spacing w:line="360" w:lineRule="auto"/>
        <w:rPr>
          <w:rFonts w:hint="eastAsia" w:ascii="宋体" w:hAnsi="宋体" w:cs="宋体"/>
          <w:color w:val="auto"/>
          <w:sz w:val="24"/>
          <w:highlight w:val="none"/>
        </w:rPr>
      </w:pPr>
    </w:p>
    <w:p w14:paraId="231D0B1D">
      <w:pPr>
        <w:spacing w:line="360" w:lineRule="auto"/>
        <w:jc w:val="center"/>
        <w:rPr>
          <w:rFonts w:hint="eastAsia" w:ascii="宋体" w:hAnsi="宋体" w:cs="宋体"/>
          <w:color w:val="auto"/>
          <w:sz w:val="24"/>
          <w:highlight w:val="none"/>
        </w:rPr>
      </w:pPr>
    </w:p>
    <w:p w14:paraId="3F0D3FC0">
      <w:pPr>
        <w:spacing w:line="360" w:lineRule="auto"/>
        <w:jc w:val="center"/>
        <w:rPr>
          <w:rFonts w:hint="eastAsia" w:ascii="宋体" w:hAnsi="宋体" w:cs="宋体"/>
          <w:color w:val="auto"/>
          <w:sz w:val="24"/>
          <w:highlight w:val="none"/>
        </w:rPr>
      </w:pPr>
    </w:p>
    <w:p w14:paraId="397B0620">
      <w:pPr>
        <w:spacing w:line="358" w:lineRule="exact"/>
        <w:jc w:val="center"/>
        <w:rPr>
          <w:rFonts w:hint="eastAsia" w:ascii="宋体" w:hAnsi="宋体" w:cs="宋体"/>
          <w:color w:val="auto"/>
          <w:sz w:val="24"/>
          <w:highlight w:val="none"/>
        </w:rPr>
      </w:pPr>
      <w:r>
        <w:rPr>
          <w:rFonts w:hint="eastAsia" w:ascii="宋体" w:hAnsi="宋体" w:cs="宋体"/>
          <w:color w:val="auto"/>
          <w:sz w:val="24"/>
          <w:highlight w:val="none"/>
        </w:rPr>
        <w:t>响应人：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2782AD14">
      <w:pPr>
        <w:spacing w:line="358" w:lineRule="exact"/>
        <w:jc w:val="center"/>
        <w:rPr>
          <w:rFonts w:hint="eastAsia" w:ascii="宋体" w:hAnsi="宋体" w:cs="宋体"/>
          <w:color w:val="auto"/>
          <w:sz w:val="24"/>
          <w:highlight w:val="none"/>
        </w:rPr>
      </w:pPr>
    </w:p>
    <w:p w14:paraId="4CCF614E">
      <w:pPr>
        <w:spacing w:line="358" w:lineRule="exact"/>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eastAsia="zh-CN"/>
        </w:rPr>
        <w:t>（</w:t>
      </w:r>
      <w:r>
        <w:rPr>
          <w:rFonts w:hint="eastAsia" w:ascii="宋体" w:hAnsi="宋体" w:cs="宋体"/>
          <w:color w:val="auto"/>
          <w:kern w:val="0"/>
          <w:sz w:val="24"/>
          <w:szCs w:val="24"/>
          <w:highlight w:val="none"/>
        </w:rPr>
        <w:t>电子签章</w:t>
      </w:r>
      <w:r>
        <w:rPr>
          <w:rFonts w:hint="eastAsia" w:ascii="宋体" w:hAnsi="宋体" w:cs="宋体"/>
          <w:color w:val="auto"/>
          <w:sz w:val="24"/>
          <w:highlight w:val="none"/>
        </w:rPr>
        <w:t>）</w:t>
      </w:r>
    </w:p>
    <w:p w14:paraId="3AD92CA4">
      <w:pPr>
        <w:spacing w:line="358" w:lineRule="exact"/>
        <w:rPr>
          <w:rFonts w:hint="eastAsia" w:ascii="宋体" w:hAnsi="宋体" w:cs="宋体"/>
          <w:color w:val="auto"/>
          <w:sz w:val="24"/>
          <w:highlight w:val="none"/>
          <w:u w:val="single"/>
        </w:rPr>
      </w:pPr>
    </w:p>
    <w:p w14:paraId="280B7254">
      <w:pPr>
        <w:spacing w:line="358" w:lineRule="exact"/>
        <w:jc w:val="center"/>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7A68DB1">
      <w:pPr>
        <w:spacing w:line="0" w:lineRule="atLeast"/>
        <w:ind w:left="4200"/>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 xml:space="preserve"> </w:t>
      </w:r>
    </w:p>
    <w:p w14:paraId="30181072">
      <w:pPr>
        <w:spacing w:line="520" w:lineRule="exact"/>
        <w:jc w:val="center"/>
        <w:textAlignment w:val="center"/>
        <w:outlineLvl w:val="1"/>
        <w:rPr>
          <w:rFonts w:ascii="宋体" w:hAnsi="宋体"/>
          <w:color w:val="auto"/>
          <w:sz w:val="24"/>
          <w:szCs w:val="24"/>
          <w:highlight w:val="none"/>
        </w:rPr>
      </w:pPr>
    </w:p>
    <w:p w14:paraId="23F55B74">
      <w:pPr>
        <w:spacing w:line="520" w:lineRule="exact"/>
        <w:jc w:val="center"/>
        <w:textAlignment w:val="center"/>
        <w:outlineLvl w:val="1"/>
        <w:rPr>
          <w:rFonts w:hint="eastAsia" w:ascii="宋体" w:hAnsi="宋体"/>
          <w:color w:val="auto"/>
          <w:sz w:val="24"/>
          <w:szCs w:val="24"/>
          <w:highlight w:val="none"/>
          <w:lang w:val="en-US" w:eastAsia="zh-CN"/>
        </w:rPr>
      </w:pPr>
      <w:r>
        <w:rPr>
          <w:rFonts w:ascii="宋体" w:hAnsi="宋体"/>
          <w:color w:val="auto"/>
          <w:sz w:val="24"/>
          <w:szCs w:val="24"/>
          <w:highlight w:val="none"/>
        </w:rPr>
        <w:br w:type="page"/>
      </w:r>
      <w:bookmarkStart w:id="282" w:name="_Toc4592"/>
      <w:bookmarkStart w:id="283" w:name="_Toc2735"/>
      <w:r>
        <w:rPr>
          <w:rFonts w:hint="eastAsia" w:ascii="宋体" w:hAnsi="宋体" w:eastAsia="宋体" w:cs="宋体"/>
          <w:b/>
          <w:bCs/>
          <w:color w:val="auto"/>
          <w:sz w:val="30"/>
          <w:szCs w:val="30"/>
          <w:highlight w:val="none"/>
          <w:lang w:val="en-US" w:eastAsia="zh-CN"/>
        </w:rPr>
        <w:t>目录</w:t>
      </w:r>
      <w:bookmarkEnd w:id="282"/>
      <w:bookmarkEnd w:id="283"/>
    </w:p>
    <w:p w14:paraId="4971EE87">
      <w:pPr>
        <w:spacing w:line="520" w:lineRule="exact"/>
        <w:jc w:val="center"/>
        <w:textAlignment w:val="center"/>
        <w:outlineLvl w:val="1"/>
        <w:rPr>
          <w:rFonts w:hint="eastAsia" w:ascii="宋体" w:hAnsi="宋体" w:cs="宋体"/>
          <w:b/>
          <w:bCs/>
          <w:color w:val="auto"/>
          <w:sz w:val="30"/>
          <w:szCs w:val="30"/>
          <w:highlight w:val="none"/>
        </w:rPr>
      </w:pPr>
      <w:bookmarkStart w:id="284" w:name="_Toc12051"/>
      <w:bookmarkStart w:id="285" w:name="_Toc18436"/>
      <w:r>
        <w:rPr>
          <w:rFonts w:hint="eastAsia" w:ascii="宋体" w:hAnsi="宋体"/>
          <w:color w:val="auto"/>
          <w:sz w:val="24"/>
          <w:szCs w:val="24"/>
          <w:highlight w:val="none"/>
          <w:lang w:val="en-US" w:eastAsia="zh-CN"/>
        </w:rPr>
        <w:t>（格式自拟）</w:t>
      </w:r>
      <w:r>
        <w:rPr>
          <w:rFonts w:ascii="宋体" w:hAnsi="宋体"/>
          <w:color w:val="auto"/>
          <w:sz w:val="24"/>
          <w:szCs w:val="24"/>
          <w:highlight w:val="none"/>
        </w:rPr>
        <w:br w:type="page"/>
      </w:r>
      <w:bookmarkStart w:id="286" w:name="_Toc32647"/>
      <w:bookmarkStart w:id="287" w:name="_Toc12186"/>
      <w:bookmarkStart w:id="288" w:name="_Toc18902"/>
      <w:bookmarkStart w:id="289" w:name="_Toc4696"/>
      <w:bookmarkStart w:id="290" w:name="_Toc12028"/>
      <w:r>
        <w:rPr>
          <w:rFonts w:hint="eastAsia" w:ascii="宋体" w:hAnsi="宋体" w:cs="宋体"/>
          <w:b/>
          <w:bCs/>
          <w:color w:val="auto"/>
          <w:sz w:val="30"/>
          <w:szCs w:val="30"/>
          <w:highlight w:val="none"/>
        </w:rPr>
        <w:t>一、磋商函及磋商函附录</w:t>
      </w:r>
      <w:bookmarkEnd w:id="284"/>
      <w:bookmarkEnd w:id="285"/>
      <w:bookmarkEnd w:id="286"/>
      <w:bookmarkEnd w:id="287"/>
      <w:bookmarkEnd w:id="288"/>
      <w:bookmarkEnd w:id="289"/>
      <w:bookmarkEnd w:id="290"/>
    </w:p>
    <w:p w14:paraId="6DD093A3">
      <w:pPr>
        <w:spacing w:line="0" w:lineRule="atLeast"/>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7669B109">
      <w:pPr>
        <w:spacing w:line="0" w:lineRule="atLeas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rPr>
        <w:t>一）磋商函</w:t>
      </w:r>
    </w:p>
    <w:p w14:paraId="42748E05">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A674AEE">
      <w:pPr>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rPr>
        <w:t>招标人名称）</w:t>
      </w:r>
    </w:p>
    <w:p w14:paraId="40591696">
      <w:pPr>
        <w:spacing w:line="6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项目名称）磋商文件全部内容，</w:t>
      </w:r>
      <w:r>
        <w:rPr>
          <w:rFonts w:hint="eastAsia" w:ascii="宋体" w:hAnsi="宋体"/>
          <w:color w:val="auto"/>
          <w:sz w:val="24"/>
          <w:szCs w:val="24"/>
          <w:highlight w:val="none"/>
        </w:rPr>
        <w:t xml:space="preserve">愿意以总报价 </w:t>
      </w:r>
      <w:r>
        <w:rPr>
          <w:rFonts w:hint="eastAsia" w:ascii="宋体" w:hAnsi="宋体"/>
          <w:color w:val="auto"/>
          <w:sz w:val="24"/>
          <w:szCs w:val="24"/>
          <w:highlight w:val="none"/>
          <w:lang w:eastAsia="zh-CN"/>
        </w:rPr>
        <w:t>（</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none"/>
        </w:rPr>
        <w:t>元</w:t>
      </w:r>
      <w:r>
        <w:rPr>
          <w:rFonts w:hint="eastAsia" w:ascii="宋体" w:hAnsi="宋体"/>
          <w:color w:val="auto"/>
          <w:sz w:val="24"/>
          <w:szCs w:val="24"/>
          <w:highlight w:val="none"/>
        </w:rPr>
        <w:t>完成本项目设计，</w:t>
      </w:r>
      <w:r>
        <w:rPr>
          <w:rFonts w:hint="eastAsia" w:ascii="宋体" w:hAnsi="宋体"/>
          <w:color w:val="auto"/>
          <w:sz w:val="24"/>
          <w:szCs w:val="24"/>
          <w:highlight w:val="none"/>
          <w:lang w:val="en-US" w:eastAsia="zh-CN"/>
        </w:rPr>
        <w:t>设计周期</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，质量要求</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w:t>
      </w:r>
    </w:p>
    <w:p w14:paraId="337EEF5C">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2、如果我们的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被接受，我们将履行</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中规定的各项要求，按期、按质、 按量完成本项目设计工作。</w:t>
      </w:r>
    </w:p>
    <w:p w14:paraId="055DE634">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3、我们同意按</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中的规定，本</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的有效期为</w:t>
      </w:r>
      <w:r>
        <w:rPr>
          <w:rFonts w:hint="eastAsia" w:ascii="宋体" w:hAnsi="宋体" w:cs="宋体"/>
          <w:color w:val="auto"/>
          <w:sz w:val="24"/>
          <w:szCs w:val="24"/>
          <w:highlight w:val="none"/>
          <w:lang w:eastAsia="zh-CN"/>
        </w:rPr>
        <w:t>响应截止</w:t>
      </w:r>
      <w:r>
        <w:rPr>
          <w:rFonts w:hint="eastAsia" w:ascii="宋体" w:hAnsi="宋体" w:cs="宋体"/>
          <w:color w:val="auto"/>
          <w:sz w:val="24"/>
          <w:szCs w:val="24"/>
          <w:highlight w:val="none"/>
        </w:rPr>
        <w:t>之日起</w:t>
      </w:r>
      <w:r>
        <w:rPr>
          <w:rFonts w:hint="eastAsia" w:ascii="宋体" w:hAnsi="宋体" w:cs="宋体"/>
          <w:color w:val="auto"/>
          <w:sz w:val="24"/>
          <w:szCs w:val="24"/>
          <w:highlight w:val="none"/>
          <w:u w:val="single"/>
        </w:rPr>
        <w:t xml:space="preserve"> 60</w:t>
      </w:r>
      <w:r>
        <w:rPr>
          <w:rFonts w:hint="eastAsia" w:ascii="宋体" w:hAnsi="宋体" w:cs="宋体"/>
          <w:color w:val="auto"/>
          <w:sz w:val="24"/>
          <w:szCs w:val="24"/>
          <w:highlight w:val="none"/>
        </w:rPr>
        <w:t xml:space="preserve"> 日历天。 如果中标，有效期延长至合同终止日止。 </w:t>
      </w:r>
    </w:p>
    <w:p w14:paraId="2674D42A">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4、我们已经详细审核了全部</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，包括修改、补充的文件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如果有的话）和参考资料及有关附件，我们完全理解并同意放弃对这方面有不明及误解的权利。</w:t>
      </w:r>
    </w:p>
    <w:p w14:paraId="0C966138">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5、我方承诺在本项目</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活动中所有提供的证明、文件、材料均合法、真实、有效，如 有虚假，自愿放弃中标资格，并承担一切后果。</w:t>
      </w:r>
    </w:p>
    <w:p w14:paraId="17F82B02">
      <w:pPr>
        <w:spacing w:line="460" w:lineRule="exact"/>
        <w:ind w:firstLine="480" w:firstLineChars="200"/>
        <w:jc w:val="left"/>
        <w:rPr>
          <w:rFonts w:hint="eastAsia" w:ascii="宋体" w:hAnsi="宋体" w:cs="宋体"/>
          <w:color w:val="auto"/>
          <w:sz w:val="24"/>
          <w:highlight w:val="none"/>
        </w:rPr>
      </w:pPr>
    </w:p>
    <w:p w14:paraId="0461FDE0">
      <w:pPr>
        <w:spacing w:line="460" w:lineRule="exact"/>
        <w:ind w:firstLine="3840" w:firstLineChars="1600"/>
        <w:jc w:val="left"/>
        <w:rPr>
          <w:rFonts w:hint="eastAsia" w:ascii="宋体" w:hAnsi="宋体" w:cs="宋体"/>
          <w:color w:val="auto"/>
          <w:sz w:val="24"/>
          <w:highlight w:val="none"/>
        </w:rPr>
      </w:pPr>
    </w:p>
    <w:p w14:paraId="0377735F">
      <w:pPr>
        <w:spacing w:line="460" w:lineRule="exact"/>
        <w:ind w:firstLine="3840" w:firstLineChars="1600"/>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652D0BF">
      <w:pPr>
        <w:spacing w:line="700" w:lineRule="exact"/>
        <w:ind w:right="480" w:firstLine="3360" w:firstLineChars="1400"/>
        <w:rPr>
          <w:rFonts w:hint="eastAsia" w:ascii="宋体" w:hAnsi="宋体" w:cs="宋体"/>
          <w:color w:val="auto"/>
          <w:sz w:val="24"/>
          <w:highlight w:val="none"/>
        </w:rPr>
      </w:pPr>
      <w:r>
        <w:rPr>
          <w:rFonts w:hint="eastAsia" w:ascii="宋体" w:hAnsi="宋体" w:cs="宋体"/>
          <w:color w:val="auto"/>
          <w:sz w:val="24"/>
          <w:highlight w:val="none"/>
        </w:rPr>
        <w:t>响应人：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1BB1C305">
      <w:pPr>
        <w:wordWrap w:val="0"/>
        <w:spacing w:line="700" w:lineRule="exact"/>
        <w:ind w:firstLine="3360" w:firstLineChars="1400"/>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eastAsia="zh-CN"/>
        </w:rPr>
        <w:t>（</w:t>
      </w:r>
      <w:r>
        <w:rPr>
          <w:rFonts w:hint="eastAsia" w:ascii="宋体" w:hAnsi="宋体" w:cs="宋体"/>
          <w:color w:val="auto"/>
          <w:kern w:val="0"/>
          <w:sz w:val="24"/>
          <w:szCs w:val="24"/>
          <w:highlight w:val="none"/>
        </w:rPr>
        <w:t>电子签章</w:t>
      </w:r>
      <w:r>
        <w:rPr>
          <w:rFonts w:hint="eastAsia" w:ascii="宋体" w:hAnsi="宋体" w:cs="宋体"/>
          <w:color w:val="auto"/>
          <w:sz w:val="24"/>
          <w:highlight w:val="none"/>
        </w:rPr>
        <w:t>）</w:t>
      </w:r>
    </w:p>
    <w:p w14:paraId="00C564E7">
      <w:pPr>
        <w:spacing w:line="700" w:lineRule="exact"/>
        <w:ind w:right="480" w:firstLine="3120" w:firstLineChars="1300"/>
        <w:rPr>
          <w:rFonts w:hint="eastAsia"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rPr>
        <w:t>填写能联系到的电话号码，方便通知二次报价）</w:t>
      </w:r>
    </w:p>
    <w:p w14:paraId="4D24309B">
      <w:pPr>
        <w:spacing w:line="700" w:lineRule="exact"/>
        <w:ind w:right="480" w:firstLine="3360" w:firstLineChars="14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26BFBF31">
      <w:pPr>
        <w:widowControl/>
        <w:jc w:val="left"/>
        <w:rPr>
          <w:rFonts w:hint="eastAsia" w:ascii="宋体" w:hAnsi="宋体" w:cs="宋体"/>
          <w:color w:val="auto"/>
          <w:sz w:val="24"/>
          <w:highlight w:val="none"/>
        </w:rPr>
        <w:sectPr>
          <w:footerReference r:id="rId8" w:type="default"/>
          <w:pgSz w:w="11900" w:h="16838"/>
          <w:pgMar w:top="1077" w:right="1134" w:bottom="1077" w:left="1134" w:header="720" w:footer="720" w:gutter="0"/>
          <w:pgNumType w:fmt="decimal" w:start="1"/>
          <w:cols w:space="720" w:num="1"/>
          <w:docGrid w:type="lines" w:linePitch="360" w:charSpace="0"/>
        </w:sectPr>
      </w:pPr>
    </w:p>
    <w:p w14:paraId="475497DE">
      <w:pPr>
        <w:spacing w:before="312" w:beforeLines="100" w:after="156" w:afterLines="50" w:line="240" w:lineRule="exact"/>
        <w:jc w:val="center"/>
        <w:textAlignment w:val="center"/>
        <w:rPr>
          <w:rFonts w:hint="eastAsia" w:ascii="宋体" w:hAnsi="宋体" w:cs="宋体"/>
          <w:b/>
          <w:bCs/>
          <w:color w:val="auto"/>
          <w:sz w:val="30"/>
          <w:szCs w:val="30"/>
          <w:highlight w:val="none"/>
        </w:rPr>
      </w:pPr>
      <w:bookmarkStart w:id="291" w:name="page58"/>
      <w:bookmarkEnd w:id="291"/>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rPr>
        <w:t>二）磋商函附录</w:t>
      </w: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rPr>
        <w:t>第一次报价）</w:t>
      </w:r>
    </w:p>
    <w:tbl>
      <w:tblPr>
        <w:tblStyle w:val="18"/>
        <w:tblW w:w="91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29"/>
        <w:gridCol w:w="6750"/>
      </w:tblGrid>
      <w:tr w14:paraId="6A303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3" w:hRule="atLeast"/>
          <w:jc w:val="center"/>
        </w:trPr>
        <w:tc>
          <w:tcPr>
            <w:tcW w:w="2429" w:type="dxa"/>
            <w:noWrap w:val="0"/>
            <w:vAlign w:val="center"/>
          </w:tcPr>
          <w:p w14:paraId="78E3055D">
            <w:pPr>
              <w:pStyle w:val="6"/>
              <w:widowControl/>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bidi="ar"/>
              </w:rPr>
              <w:t>项目名称</w:t>
            </w:r>
          </w:p>
        </w:tc>
        <w:tc>
          <w:tcPr>
            <w:tcW w:w="6750" w:type="dxa"/>
            <w:noWrap w:val="0"/>
            <w:vAlign w:val="center"/>
          </w:tcPr>
          <w:p w14:paraId="15628C58">
            <w:pPr>
              <w:jc w:val="center"/>
              <w:rPr>
                <w:rFonts w:hint="eastAsia" w:ascii="宋体" w:hAnsi="宋体" w:eastAsia="宋体" w:cs="宋体"/>
                <w:b w:val="0"/>
                <w:bCs w:val="0"/>
                <w:color w:val="auto"/>
                <w:sz w:val="24"/>
                <w:szCs w:val="24"/>
                <w:highlight w:val="none"/>
              </w:rPr>
            </w:pPr>
          </w:p>
        </w:tc>
      </w:tr>
      <w:tr w14:paraId="5BCB6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8" w:hRule="atLeast"/>
          <w:jc w:val="center"/>
        </w:trPr>
        <w:tc>
          <w:tcPr>
            <w:tcW w:w="2429" w:type="dxa"/>
            <w:noWrap w:val="0"/>
            <w:vAlign w:val="center"/>
          </w:tcPr>
          <w:p w14:paraId="2FF59175">
            <w:pPr>
              <w:pStyle w:val="6"/>
              <w:widowControl/>
              <w:spacing w:line="360" w:lineRule="auto"/>
              <w:jc w:val="center"/>
              <w:rPr>
                <w:rFonts w:hint="eastAsia" w:ascii="宋体" w:hAnsi="宋体" w:eastAsia="宋体" w:cs="宋体"/>
                <w:b w:val="0"/>
                <w:bCs w:val="0"/>
                <w:color w:val="auto"/>
                <w:sz w:val="24"/>
                <w:szCs w:val="24"/>
                <w:highlight w:val="none"/>
              </w:rPr>
            </w:pPr>
            <w:r>
              <w:rPr>
                <w:rFonts w:hint="eastAsia" w:hAnsi="宋体" w:eastAsia="宋体" w:cs="宋体"/>
                <w:b w:val="0"/>
                <w:bCs w:val="0"/>
                <w:color w:val="auto"/>
                <w:sz w:val="24"/>
                <w:szCs w:val="24"/>
                <w:highlight w:val="none"/>
                <w:lang w:eastAsia="zh-CN" w:bidi="ar"/>
              </w:rPr>
              <w:t>响应人</w:t>
            </w:r>
            <w:r>
              <w:rPr>
                <w:rFonts w:hint="eastAsia" w:ascii="宋体" w:hAnsi="宋体" w:eastAsia="宋体" w:cs="宋体"/>
                <w:b w:val="0"/>
                <w:bCs w:val="0"/>
                <w:color w:val="auto"/>
                <w:sz w:val="24"/>
                <w:szCs w:val="24"/>
                <w:highlight w:val="none"/>
                <w:lang w:bidi="ar"/>
              </w:rPr>
              <w:t>名称</w:t>
            </w:r>
          </w:p>
        </w:tc>
        <w:tc>
          <w:tcPr>
            <w:tcW w:w="6750" w:type="dxa"/>
            <w:noWrap w:val="0"/>
            <w:vAlign w:val="center"/>
          </w:tcPr>
          <w:p w14:paraId="4E2C6B88">
            <w:pPr>
              <w:jc w:val="center"/>
              <w:rPr>
                <w:rFonts w:hint="eastAsia" w:ascii="宋体" w:hAnsi="宋体" w:eastAsia="宋体" w:cs="宋体"/>
                <w:b w:val="0"/>
                <w:bCs w:val="0"/>
                <w:color w:val="auto"/>
                <w:sz w:val="24"/>
                <w:szCs w:val="24"/>
                <w:highlight w:val="none"/>
              </w:rPr>
            </w:pPr>
          </w:p>
        </w:tc>
      </w:tr>
      <w:tr w14:paraId="428E9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8" w:hRule="atLeast"/>
          <w:jc w:val="center"/>
        </w:trPr>
        <w:tc>
          <w:tcPr>
            <w:tcW w:w="2429" w:type="dxa"/>
            <w:noWrap w:val="0"/>
            <w:vAlign w:val="center"/>
          </w:tcPr>
          <w:p w14:paraId="46A95491">
            <w:pPr>
              <w:pStyle w:val="6"/>
              <w:widowControl/>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bidi="ar"/>
              </w:rPr>
              <w:t>项目编号</w:t>
            </w:r>
          </w:p>
        </w:tc>
        <w:tc>
          <w:tcPr>
            <w:tcW w:w="6750" w:type="dxa"/>
            <w:noWrap w:val="0"/>
            <w:vAlign w:val="center"/>
          </w:tcPr>
          <w:p w14:paraId="2A96CAB9">
            <w:pPr>
              <w:jc w:val="center"/>
              <w:rPr>
                <w:rFonts w:hint="eastAsia" w:ascii="宋体" w:hAnsi="宋体" w:eastAsia="宋体" w:cs="宋体"/>
                <w:b w:val="0"/>
                <w:bCs w:val="0"/>
                <w:color w:val="auto"/>
                <w:sz w:val="24"/>
                <w:szCs w:val="24"/>
                <w:highlight w:val="none"/>
              </w:rPr>
            </w:pPr>
          </w:p>
        </w:tc>
      </w:tr>
      <w:tr w14:paraId="65E75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2429" w:type="dxa"/>
            <w:noWrap w:val="0"/>
            <w:vAlign w:val="center"/>
          </w:tcPr>
          <w:p w14:paraId="4A376142">
            <w:pPr>
              <w:pStyle w:val="6"/>
              <w:widowControl/>
              <w:spacing w:line="360" w:lineRule="auto"/>
              <w:jc w:val="center"/>
              <w:rPr>
                <w:rFonts w:hint="eastAsia" w:ascii="宋体" w:hAnsi="宋体" w:eastAsia="宋体" w:cs="宋体"/>
                <w:b w:val="0"/>
                <w:bCs w:val="0"/>
                <w:color w:val="auto"/>
                <w:sz w:val="24"/>
                <w:szCs w:val="24"/>
                <w:highlight w:val="none"/>
                <w:lang w:bidi="ar"/>
              </w:rPr>
            </w:pPr>
            <w:r>
              <w:rPr>
                <w:rFonts w:hint="eastAsia" w:hAnsi="宋体" w:eastAsia="宋体" w:cs="宋体"/>
                <w:b w:val="0"/>
                <w:bCs w:val="0"/>
                <w:color w:val="auto"/>
                <w:sz w:val="24"/>
                <w:szCs w:val="24"/>
                <w:highlight w:val="none"/>
                <w:lang w:val="en-US" w:eastAsia="zh-CN" w:bidi="ar"/>
              </w:rPr>
              <w:t>响应</w:t>
            </w:r>
            <w:r>
              <w:rPr>
                <w:rFonts w:hint="eastAsia" w:ascii="宋体" w:hAnsi="宋体" w:eastAsia="宋体" w:cs="宋体"/>
                <w:b w:val="0"/>
                <w:bCs w:val="0"/>
                <w:color w:val="auto"/>
                <w:sz w:val="24"/>
                <w:szCs w:val="24"/>
                <w:highlight w:val="none"/>
                <w:lang w:bidi="ar"/>
              </w:rPr>
              <w:t>报价</w:t>
            </w:r>
          </w:p>
        </w:tc>
        <w:tc>
          <w:tcPr>
            <w:tcW w:w="6750" w:type="dxa"/>
            <w:noWrap w:val="0"/>
            <w:vAlign w:val="center"/>
          </w:tcPr>
          <w:p w14:paraId="78DB6942">
            <w:pPr>
              <w:pStyle w:val="6"/>
              <w:widowControl/>
              <w:spacing w:line="360" w:lineRule="auto"/>
              <w:jc w:val="left"/>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 xml:space="preserve">大写：             </w:t>
            </w:r>
          </w:p>
          <w:p w14:paraId="7B9736E3">
            <w:pPr>
              <w:pStyle w:val="6"/>
              <w:widowControl/>
              <w:spacing w:line="360" w:lineRule="auto"/>
              <w:jc w:val="left"/>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小写：</w:t>
            </w:r>
          </w:p>
        </w:tc>
      </w:tr>
      <w:tr w14:paraId="25A3E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jc w:val="center"/>
        </w:trPr>
        <w:tc>
          <w:tcPr>
            <w:tcW w:w="2429" w:type="dxa"/>
            <w:noWrap w:val="0"/>
            <w:vAlign w:val="center"/>
          </w:tcPr>
          <w:p w14:paraId="2E9DD18C">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bidi="ar"/>
              </w:rPr>
              <w:t>设计周期</w:t>
            </w:r>
          </w:p>
        </w:tc>
        <w:tc>
          <w:tcPr>
            <w:tcW w:w="6750" w:type="dxa"/>
            <w:noWrap w:val="0"/>
            <w:vAlign w:val="center"/>
          </w:tcPr>
          <w:p w14:paraId="08F22A2C">
            <w:pPr>
              <w:jc w:val="center"/>
              <w:rPr>
                <w:rFonts w:hint="eastAsia" w:ascii="宋体" w:hAnsi="宋体" w:eastAsia="宋体" w:cs="宋体"/>
                <w:b w:val="0"/>
                <w:bCs w:val="0"/>
                <w:color w:val="auto"/>
                <w:sz w:val="24"/>
                <w:szCs w:val="24"/>
                <w:highlight w:val="none"/>
              </w:rPr>
            </w:pPr>
          </w:p>
        </w:tc>
      </w:tr>
      <w:tr w14:paraId="707B9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2429" w:type="dxa"/>
            <w:noWrap w:val="0"/>
            <w:vAlign w:val="center"/>
          </w:tcPr>
          <w:p w14:paraId="4EF4DF93">
            <w:pPr>
              <w:pStyle w:val="6"/>
              <w:widowControl/>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bidi="ar"/>
              </w:rPr>
              <w:t>质量要求</w:t>
            </w:r>
          </w:p>
        </w:tc>
        <w:tc>
          <w:tcPr>
            <w:tcW w:w="6750" w:type="dxa"/>
            <w:noWrap w:val="0"/>
            <w:vAlign w:val="center"/>
          </w:tcPr>
          <w:p w14:paraId="1B129828">
            <w:pPr>
              <w:jc w:val="center"/>
              <w:rPr>
                <w:rFonts w:hint="eastAsia" w:ascii="宋体" w:hAnsi="宋体" w:eastAsia="宋体" w:cs="宋体"/>
                <w:b w:val="0"/>
                <w:bCs w:val="0"/>
                <w:color w:val="auto"/>
                <w:sz w:val="24"/>
                <w:szCs w:val="24"/>
                <w:highlight w:val="none"/>
              </w:rPr>
            </w:pPr>
          </w:p>
        </w:tc>
      </w:tr>
      <w:tr w14:paraId="42E5C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2429" w:type="dxa"/>
            <w:noWrap w:val="0"/>
            <w:vAlign w:val="center"/>
          </w:tcPr>
          <w:p w14:paraId="2B15B338">
            <w:pPr>
              <w:pStyle w:val="6"/>
              <w:widowControl/>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bidi="ar"/>
              </w:rPr>
              <w:t>项目负责人</w:t>
            </w:r>
          </w:p>
        </w:tc>
        <w:tc>
          <w:tcPr>
            <w:tcW w:w="6750" w:type="dxa"/>
            <w:noWrap w:val="0"/>
            <w:vAlign w:val="center"/>
          </w:tcPr>
          <w:p w14:paraId="0B6DB83C">
            <w:pPr>
              <w:jc w:val="center"/>
              <w:rPr>
                <w:rFonts w:hint="eastAsia" w:ascii="宋体" w:hAnsi="宋体" w:eastAsia="宋体" w:cs="宋体"/>
                <w:b w:val="0"/>
                <w:bCs w:val="0"/>
                <w:color w:val="auto"/>
                <w:sz w:val="24"/>
                <w:szCs w:val="24"/>
                <w:highlight w:val="none"/>
              </w:rPr>
            </w:pPr>
          </w:p>
        </w:tc>
      </w:tr>
      <w:tr w14:paraId="71ED9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2429" w:type="dxa"/>
            <w:noWrap w:val="0"/>
            <w:vAlign w:val="center"/>
          </w:tcPr>
          <w:p w14:paraId="2B9B3C17">
            <w:pPr>
              <w:pStyle w:val="6"/>
              <w:widowControl/>
              <w:spacing w:line="360" w:lineRule="auto"/>
              <w:jc w:val="center"/>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证书编号</w:t>
            </w:r>
          </w:p>
        </w:tc>
        <w:tc>
          <w:tcPr>
            <w:tcW w:w="6750" w:type="dxa"/>
            <w:noWrap w:val="0"/>
            <w:vAlign w:val="center"/>
          </w:tcPr>
          <w:p w14:paraId="3D6D96DE">
            <w:pPr>
              <w:jc w:val="center"/>
              <w:rPr>
                <w:rFonts w:hint="eastAsia" w:ascii="宋体" w:hAnsi="宋体" w:eastAsia="宋体" w:cs="宋体"/>
                <w:b w:val="0"/>
                <w:bCs w:val="0"/>
                <w:color w:val="auto"/>
                <w:sz w:val="24"/>
                <w:szCs w:val="24"/>
                <w:highlight w:val="none"/>
              </w:rPr>
            </w:pPr>
          </w:p>
        </w:tc>
      </w:tr>
      <w:tr w14:paraId="2F354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jc w:val="center"/>
        </w:trPr>
        <w:tc>
          <w:tcPr>
            <w:tcW w:w="2429" w:type="dxa"/>
            <w:noWrap w:val="0"/>
            <w:vAlign w:val="center"/>
          </w:tcPr>
          <w:p w14:paraId="0B7AE116">
            <w:pPr>
              <w:pStyle w:val="6"/>
              <w:widowControl/>
              <w:spacing w:line="360" w:lineRule="auto"/>
              <w:jc w:val="center"/>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磋商有效期</w:t>
            </w:r>
          </w:p>
        </w:tc>
        <w:tc>
          <w:tcPr>
            <w:tcW w:w="6750" w:type="dxa"/>
            <w:noWrap w:val="0"/>
            <w:vAlign w:val="center"/>
          </w:tcPr>
          <w:p w14:paraId="1C7E148F">
            <w:pPr>
              <w:pStyle w:val="6"/>
              <w:widowControl/>
              <w:spacing w:line="360" w:lineRule="auto"/>
              <w:jc w:val="center"/>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响应文件递交截止之日起      日历天</w:t>
            </w:r>
          </w:p>
        </w:tc>
      </w:tr>
      <w:tr w14:paraId="2E89D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9" w:hRule="atLeast"/>
          <w:jc w:val="center"/>
        </w:trPr>
        <w:tc>
          <w:tcPr>
            <w:tcW w:w="2429" w:type="dxa"/>
            <w:noWrap w:val="0"/>
            <w:vAlign w:val="center"/>
          </w:tcPr>
          <w:p w14:paraId="12183BC3">
            <w:pPr>
              <w:pStyle w:val="6"/>
              <w:widowControl/>
              <w:spacing w:line="360" w:lineRule="auto"/>
              <w:jc w:val="center"/>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val="en-US" w:eastAsia="en-US" w:bidi="ar"/>
              </w:rPr>
              <w:t>报价说明</w:t>
            </w:r>
          </w:p>
        </w:tc>
        <w:tc>
          <w:tcPr>
            <w:tcW w:w="6750" w:type="dxa"/>
            <w:noWrap w:val="0"/>
            <w:vAlign w:val="center"/>
          </w:tcPr>
          <w:p w14:paraId="41A613B1">
            <w:pPr>
              <w:pStyle w:val="6"/>
              <w:widowControl/>
              <w:spacing w:line="360" w:lineRule="auto"/>
              <w:jc w:val="both"/>
              <w:rPr>
                <w:rFonts w:hint="eastAsia" w:ascii="宋体" w:hAnsi="宋体" w:eastAsia="宋体" w:cs="宋体"/>
                <w:b w:val="0"/>
                <w:bCs w:val="0"/>
                <w:color w:val="auto"/>
                <w:sz w:val="24"/>
                <w:szCs w:val="24"/>
                <w:highlight w:val="none"/>
                <w:lang w:bidi="ar"/>
              </w:rPr>
            </w:pPr>
            <w:r>
              <w:rPr>
                <w:rFonts w:hint="eastAsia" w:hAnsi="宋体" w:eastAsia="宋体" w:cs="宋体"/>
                <w:b w:val="0"/>
                <w:bCs w:val="0"/>
                <w:color w:val="auto"/>
                <w:sz w:val="24"/>
                <w:szCs w:val="24"/>
                <w:highlight w:val="none"/>
                <w:lang w:val="en-US" w:eastAsia="zh-CN" w:bidi="ar"/>
              </w:rPr>
              <w:t>（</w:t>
            </w:r>
            <w:r>
              <w:rPr>
                <w:rFonts w:hint="eastAsia" w:ascii="宋体" w:hAnsi="宋体" w:eastAsia="宋体" w:cs="宋体"/>
                <w:b w:val="0"/>
                <w:bCs w:val="0"/>
                <w:color w:val="auto"/>
                <w:sz w:val="24"/>
                <w:szCs w:val="24"/>
                <w:highlight w:val="none"/>
                <w:lang w:val="en-US" w:eastAsia="zh-CN" w:bidi="ar"/>
              </w:rPr>
              <w:t>对本次</w:t>
            </w:r>
            <w:r>
              <w:rPr>
                <w:rFonts w:hint="eastAsia" w:hAnsi="宋体" w:eastAsia="宋体" w:cs="宋体"/>
                <w:b w:val="0"/>
                <w:bCs w:val="0"/>
                <w:color w:val="auto"/>
                <w:sz w:val="24"/>
                <w:szCs w:val="24"/>
                <w:highlight w:val="none"/>
                <w:lang w:val="en-US" w:eastAsia="zh-CN" w:bidi="ar"/>
              </w:rPr>
              <w:t>响应</w:t>
            </w:r>
            <w:r>
              <w:rPr>
                <w:rFonts w:hint="eastAsia" w:ascii="宋体" w:hAnsi="宋体" w:eastAsia="宋体" w:cs="宋体"/>
                <w:b w:val="0"/>
                <w:bCs w:val="0"/>
                <w:color w:val="auto"/>
                <w:sz w:val="24"/>
                <w:szCs w:val="24"/>
                <w:highlight w:val="none"/>
                <w:lang w:val="en-US" w:eastAsia="zh-CN" w:bidi="ar"/>
              </w:rPr>
              <w:t>报价的说明）</w:t>
            </w:r>
          </w:p>
        </w:tc>
      </w:tr>
    </w:tbl>
    <w:p w14:paraId="20A333B8">
      <w:pPr>
        <w:spacing w:line="440" w:lineRule="exact"/>
        <w:ind w:firstLine="480" w:firstLineChars="200"/>
        <w:rPr>
          <w:rFonts w:hint="eastAsia" w:ascii="宋体" w:hAnsi="宋体" w:cs="宋体"/>
          <w:color w:val="auto"/>
          <w:sz w:val="24"/>
          <w:highlight w:val="none"/>
        </w:rPr>
      </w:pPr>
    </w:p>
    <w:p w14:paraId="63076E6D">
      <w:pPr>
        <w:spacing w:line="700" w:lineRule="exact"/>
        <w:jc w:val="right"/>
        <w:rPr>
          <w:rFonts w:hint="eastAsia" w:ascii="宋体" w:hAnsi="宋体" w:cs="宋体"/>
          <w:color w:val="auto"/>
          <w:sz w:val="24"/>
          <w:highlight w:val="none"/>
        </w:rPr>
      </w:pPr>
      <w:r>
        <w:rPr>
          <w:rFonts w:hint="eastAsia" w:ascii="宋体" w:hAnsi="宋体" w:cs="宋体"/>
          <w:color w:val="auto"/>
          <w:sz w:val="24"/>
          <w:highlight w:val="none"/>
        </w:rPr>
        <w:t>响应人：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1B9F7CD6">
      <w:pPr>
        <w:spacing w:line="700" w:lineRule="exact"/>
        <w:jc w:val="right"/>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eastAsia="zh-CN"/>
        </w:rPr>
        <w:t>（</w:t>
      </w:r>
      <w:r>
        <w:rPr>
          <w:rFonts w:hint="eastAsia" w:ascii="宋体" w:hAnsi="宋体" w:cs="宋体"/>
          <w:color w:val="auto"/>
          <w:kern w:val="0"/>
          <w:sz w:val="24"/>
          <w:szCs w:val="24"/>
          <w:highlight w:val="none"/>
        </w:rPr>
        <w:t>电子签章</w:t>
      </w:r>
      <w:r>
        <w:rPr>
          <w:rFonts w:hint="eastAsia" w:ascii="宋体" w:hAnsi="宋体" w:cs="宋体"/>
          <w:color w:val="auto"/>
          <w:sz w:val="24"/>
          <w:highlight w:val="none"/>
        </w:rPr>
        <w:t>）</w:t>
      </w:r>
    </w:p>
    <w:p w14:paraId="00A05DA4">
      <w:pPr>
        <w:spacing w:line="700" w:lineRule="exact"/>
        <w:jc w:val="right"/>
        <w:rPr>
          <w:rFonts w:hint="eastAsia" w:ascii="宋体" w:hAnsi="宋体" w:cs="宋体"/>
          <w:b/>
          <w:bCs/>
          <w:color w:val="auto"/>
          <w:sz w:val="30"/>
          <w:szCs w:val="30"/>
          <w:highlight w:val="none"/>
        </w:rPr>
      </w:pPr>
      <w:r>
        <w:rPr>
          <w:rFonts w:hint="eastAsia" w:ascii="宋体" w:hAnsi="宋体" w:cs="宋体"/>
          <w:color w:val="auto"/>
          <w:sz w:val="24"/>
          <w:highlight w:val="none"/>
        </w:rPr>
        <w:t>日期：   年   月   日</w:t>
      </w:r>
      <w:bookmarkStart w:id="292" w:name="page59"/>
      <w:bookmarkEnd w:id="292"/>
      <w:bookmarkStart w:id="293" w:name="_Toc13852"/>
    </w:p>
    <w:p w14:paraId="3F2E21B6">
      <w:pPr>
        <w:spacing w:line="0" w:lineRule="atLeast"/>
        <w:jc w:val="center"/>
        <w:outlineLvl w:val="1"/>
        <w:rPr>
          <w:rFonts w:hint="eastAsia" w:ascii="宋体" w:hAnsi="宋体" w:cs="宋体"/>
          <w:b/>
          <w:bCs/>
          <w:color w:val="auto"/>
          <w:sz w:val="30"/>
          <w:szCs w:val="30"/>
          <w:highlight w:val="none"/>
        </w:rPr>
      </w:pPr>
      <w:bookmarkStart w:id="294" w:name="_Toc25860"/>
      <w:r>
        <w:rPr>
          <w:rFonts w:hint="eastAsia" w:ascii="宋体" w:hAnsi="宋体" w:cs="宋体"/>
          <w:b/>
          <w:bCs/>
          <w:color w:val="auto"/>
          <w:sz w:val="30"/>
          <w:szCs w:val="30"/>
          <w:highlight w:val="none"/>
        </w:rPr>
        <w:br w:type="page"/>
      </w:r>
      <w:bookmarkStart w:id="295" w:name="_Toc6028"/>
      <w:bookmarkStart w:id="296" w:name="_Toc25131"/>
      <w:bookmarkStart w:id="297" w:name="_Toc13975"/>
      <w:r>
        <w:rPr>
          <w:rFonts w:hint="eastAsia" w:ascii="宋体" w:hAnsi="宋体" w:cs="宋体"/>
          <w:b/>
          <w:bCs/>
          <w:color w:val="auto"/>
          <w:sz w:val="30"/>
          <w:szCs w:val="30"/>
          <w:highlight w:val="none"/>
        </w:rPr>
        <w:t>二、法定代表人身份证明</w:t>
      </w:r>
      <w:bookmarkEnd w:id="293"/>
      <w:bookmarkEnd w:id="294"/>
      <w:bookmarkEnd w:id="295"/>
      <w:bookmarkEnd w:id="296"/>
      <w:bookmarkEnd w:id="297"/>
    </w:p>
    <w:p w14:paraId="6FA9FC47">
      <w:pPr>
        <w:spacing w:line="480" w:lineRule="exact"/>
        <w:textAlignment w:val="cente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CD0FE72">
      <w:pPr>
        <w:spacing w:line="480" w:lineRule="exact"/>
        <w:textAlignment w:val="center"/>
        <w:rPr>
          <w:rFonts w:hint="eastAsia" w:ascii="宋体" w:hAnsi="宋体" w:cs="宋体"/>
          <w:color w:val="auto"/>
          <w:sz w:val="24"/>
          <w:highlight w:val="none"/>
        </w:rPr>
      </w:pPr>
      <w:r>
        <w:rPr>
          <w:rFonts w:hint="eastAsia" w:ascii="宋体" w:hAnsi="宋体" w:cs="宋体"/>
          <w:color w:val="auto"/>
          <w:sz w:val="24"/>
          <w:highlight w:val="none"/>
        </w:rPr>
        <w:t>响 应 人：</w:t>
      </w:r>
    </w:p>
    <w:p w14:paraId="38B359F3">
      <w:pPr>
        <w:spacing w:line="480" w:lineRule="exact"/>
        <w:textAlignment w:val="center"/>
        <w:rPr>
          <w:rFonts w:hint="eastAsia" w:ascii="宋体" w:hAnsi="宋体" w:cs="宋体"/>
          <w:color w:val="auto"/>
          <w:sz w:val="24"/>
          <w:highlight w:val="none"/>
        </w:rPr>
      </w:pPr>
      <w:r>
        <w:rPr>
          <w:rFonts w:hint="eastAsia" w:ascii="宋体" w:hAnsi="宋体" w:cs="宋体"/>
          <w:color w:val="auto"/>
          <w:sz w:val="24"/>
          <w:highlight w:val="none"/>
        </w:rPr>
        <w:t>单位性质：</w:t>
      </w:r>
    </w:p>
    <w:p w14:paraId="643427FD">
      <w:pPr>
        <w:spacing w:line="480" w:lineRule="exact"/>
        <w:textAlignment w:val="center"/>
        <w:rPr>
          <w:rFonts w:hint="eastAsia" w:ascii="宋体" w:hAnsi="宋体" w:cs="宋体"/>
          <w:color w:val="auto"/>
          <w:sz w:val="24"/>
          <w:highlight w:val="none"/>
        </w:rPr>
      </w:pPr>
      <w:r>
        <w:rPr>
          <w:rFonts w:hint="eastAsia" w:ascii="宋体" w:hAnsi="宋体" w:cs="宋体"/>
          <w:color w:val="auto"/>
          <w:sz w:val="24"/>
          <w:highlight w:val="none"/>
        </w:rPr>
        <w:t>地    址：</w:t>
      </w:r>
    </w:p>
    <w:p w14:paraId="36755967">
      <w:pPr>
        <w:spacing w:line="480" w:lineRule="exact"/>
        <w:textAlignment w:val="center"/>
        <w:rPr>
          <w:rFonts w:hint="eastAsia" w:ascii="宋体" w:hAnsi="宋体" w:cs="宋体"/>
          <w:color w:val="auto"/>
          <w:sz w:val="24"/>
          <w:highlight w:val="none"/>
        </w:rPr>
      </w:pPr>
      <w:r>
        <w:rPr>
          <w:rFonts w:hint="eastAsia" w:ascii="宋体" w:hAnsi="宋体" w:cs="宋体"/>
          <w:color w:val="auto"/>
          <w:sz w:val="24"/>
          <w:highlight w:val="none"/>
        </w:rPr>
        <w:t>成立时间：     年  月  日</w:t>
      </w:r>
    </w:p>
    <w:p w14:paraId="0106912F">
      <w:pPr>
        <w:spacing w:line="480" w:lineRule="exact"/>
        <w:textAlignment w:val="center"/>
        <w:rPr>
          <w:rFonts w:hint="eastAsia" w:ascii="宋体" w:hAnsi="宋体" w:cs="宋体"/>
          <w:color w:val="auto"/>
          <w:sz w:val="24"/>
          <w:highlight w:val="none"/>
        </w:rPr>
      </w:pPr>
      <w:r>
        <w:rPr>
          <w:rFonts w:hint="eastAsia" w:ascii="宋体" w:hAnsi="宋体" w:cs="宋体"/>
          <w:color w:val="auto"/>
          <w:sz w:val="24"/>
          <w:highlight w:val="none"/>
        </w:rPr>
        <w:t>经营期限：</w:t>
      </w:r>
    </w:p>
    <w:p w14:paraId="7D0D4D19">
      <w:pPr>
        <w:spacing w:line="480" w:lineRule="exact"/>
        <w:textAlignment w:val="center"/>
        <w:rPr>
          <w:rFonts w:hint="eastAsia" w:ascii="宋体" w:hAnsi="宋体" w:cs="宋体"/>
          <w:color w:val="auto"/>
          <w:sz w:val="24"/>
          <w:highlight w:val="none"/>
        </w:rPr>
      </w:pPr>
      <w:r>
        <w:rPr>
          <w:rFonts w:hint="eastAsia" w:ascii="宋体" w:hAnsi="宋体" w:cs="宋体"/>
          <w:color w:val="auto"/>
          <w:sz w:val="24"/>
          <w:highlight w:val="none"/>
        </w:rPr>
        <w:t>姓    名：         性        别：</w:t>
      </w:r>
    </w:p>
    <w:p w14:paraId="4D2D5A3C">
      <w:pPr>
        <w:spacing w:line="480" w:lineRule="exact"/>
        <w:textAlignment w:val="center"/>
        <w:rPr>
          <w:rFonts w:hint="eastAsia" w:ascii="宋体" w:hAnsi="宋体" w:cs="宋体"/>
          <w:color w:val="auto"/>
          <w:sz w:val="24"/>
          <w:highlight w:val="none"/>
        </w:rPr>
      </w:pPr>
      <w:r>
        <w:rPr>
          <w:rFonts w:hint="eastAsia" w:ascii="宋体" w:hAnsi="宋体" w:cs="宋体"/>
          <w:color w:val="auto"/>
          <w:sz w:val="24"/>
          <w:highlight w:val="none"/>
        </w:rPr>
        <w:t>年    龄：         职        务：</w:t>
      </w:r>
    </w:p>
    <w:p w14:paraId="275E7629">
      <w:pPr>
        <w:spacing w:line="480" w:lineRule="exact"/>
        <w:textAlignment w:val="center"/>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rPr>
        <w:t>响应人名称）的法定代表人。</w:t>
      </w:r>
    </w:p>
    <w:p w14:paraId="4CE1D431">
      <w:pPr>
        <w:spacing w:line="480" w:lineRule="exact"/>
        <w:textAlignment w:val="center"/>
        <w:rPr>
          <w:rFonts w:hint="eastAsia" w:ascii="宋体" w:hAnsi="宋体" w:cs="宋体"/>
          <w:color w:val="auto"/>
          <w:sz w:val="24"/>
          <w:highlight w:val="none"/>
        </w:rPr>
      </w:pPr>
      <w:r>
        <w:rPr>
          <w:rFonts w:hint="eastAsia" w:ascii="宋体" w:hAnsi="宋体" w:cs="宋体"/>
          <w:color w:val="auto"/>
          <w:sz w:val="24"/>
          <w:highlight w:val="none"/>
        </w:rPr>
        <w:t>特此证明。</w:t>
      </w:r>
    </w:p>
    <w:p w14:paraId="0EF9C2C0">
      <w:pPr>
        <w:spacing w:line="480" w:lineRule="exact"/>
        <w:textAlignment w:val="cente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B865AD6">
      <w:pPr>
        <w:spacing w:line="480" w:lineRule="exact"/>
        <w:textAlignment w:val="cente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775587D">
      <w:pPr>
        <w:wordWrap w:val="0"/>
        <w:spacing w:line="520" w:lineRule="exact"/>
        <w:jc w:val="right"/>
        <w:rPr>
          <w:rFonts w:hint="eastAsia" w:ascii="宋体" w:hAnsi="宋体" w:cs="宋体"/>
          <w:color w:val="auto"/>
          <w:sz w:val="24"/>
          <w:highlight w:val="none"/>
        </w:rPr>
      </w:pPr>
      <w:r>
        <w:rPr>
          <w:rFonts w:hint="eastAsia" w:ascii="宋体" w:hAnsi="宋体" w:cs="宋体"/>
          <w:color w:val="auto"/>
          <w:sz w:val="24"/>
          <w:highlight w:val="none"/>
        </w:rPr>
        <w:t>响应人：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58944797">
      <w:pPr>
        <w:spacing w:line="480" w:lineRule="exact"/>
        <w:jc w:val="right"/>
        <w:textAlignment w:val="center"/>
        <w:rPr>
          <w:rFonts w:hint="eastAsia" w:ascii="宋体" w:hAnsi="宋体" w:cs="宋体"/>
          <w:color w:val="auto"/>
          <w:sz w:val="24"/>
          <w:highlight w:val="none"/>
        </w:rPr>
      </w:pPr>
    </w:p>
    <w:p w14:paraId="15817445">
      <w:pPr>
        <w:spacing w:line="480" w:lineRule="exact"/>
        <w:jc w:val="right"/>
        <w:textAlignment w:val="center"/>
        <w:rPr>
          <w:rFonts w:hint="eastAsia" w:ascii="宋体" w:hAnsi="宋体" w:cs="宋体"/>
          <w:color w:val="auto"/>
          <w:sz w:val="24"/>
          <w:highlight w:val="none"/>
        </w:rPr>
      </w:pPr>
      <w:r>
        <w:rPr>
          <w:rFonts w:hint="eastAsia" w:ascii="宋体" w:hAnsi="宋体" w:cs="宋体"/>
          <w:color w:val="auto"/>
          <w:sz w:val="24"/>
          <w:highlight w:val="none"/>
        </w:rPr>
        <w:t xml:space="preserve">年   月   日          </w:t>
      </w:r>
    </w:p>
    <w:p w14:paraId="18C63568">
      <w:pPr>
        <w:spacing w:before="312" w:beforeLines="100" w:after="156" w:afterLines="50" w:line="480" w:lineRule="exact"/>
        <w:textAlignment w:val="center"/>
        <w:rPr>
          <w:rFonts w:hint="eastAsia" w:ascii="宋体" w:hAnsi="宋体" w:cs="宋体"/>
          <w:color w:val="auto"/>
          <w:sz w:val="24"/>
          <w:highlight w:val="none"/>
        </w:rPr>
      </w:pPr>
      <w:r>
        <w:rPr>
          <w:rFonts w:hint="eastAsia" w:ascii="宋体" w:hAnsi="宋体" w:cs="宋体"/>
          <w:color w:val="auto"/>
          <w:sz w:val="24"/>
          <w:highlight w:val="none"/>
        </w:rPr>
        <w:t xml:space="preserve"> </w:t>
      </w:r>
    </w:p>
    <w:tbl>
      <w:tblPr>
        <w:tblStyle w:val="18"/>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961"/>
        <w:gridCol w:w="4961"/>
      </w:tblGrid>
      <w:tr w14:paraId="6380EBB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266" w:hRule="atLeast"/>
          <w:jc w:val="center"/>
        </w:trPr>
        <w:tc>
          <w:tcPr>
            <w:tcW w:w="4961" w:type="dxa"/>
            <w:noWrap w:val="0"/>
            <w:vAlign w:val="center"/>
          </w:tcPr>
          <w:p w14:paraId="2DF78487">
            <w:pPr>
              <w:spacing w:line="480" w:lineRule="auto"/>
              <w:jc w:val="center"/>
              <w:rPr>
                <w:rFonts w:ascii="宋体" w:hAnsi="宋体" w:cs="宋体"/>
                <w:color w:val="auto"/>
                <w:kern w:val="0"/>
                <w:sz w:val="24"/>
                <w:szCs w:val="20"/>
                <w:highlight w:val="none"/>
              </w:rPr>
            </w:pPr>
            <w:r>
              <w:rPr>
                <w:rFonts w:hint="eastAsia" w:ascii="宋体" w:hAnsi="宋体"/>
                <w:color w:val="auto"/>
                <w:spacing w:val="8"/>
                <w:sz w:val="24"/>
                <w:szCs w:val="20"/>
                <w:highlight w:val="none"/>
              </w:rPr>
              <w:t>法定代表人身份证扫描件（</w:t>
            </w:r>
            <w:r>
              <w:rPr>
                <w:rFonts w:hint="eastAsia" w:ascii="宋体" w:hAnsi="宋体"/>
                <w:color w:val="auto"/>
                <w:spacing w:val="8"/>
                <w:sz w:val="24"/>
                <w:szCs w:val="20"/>
                <w:highlight w:val="none"/>
                <w:lang w:val="en-US" w:eastAsia="zh-CN"/>
              </w:rPr>
              <w:t>人像面</w:t>
            </w:r>
            <w:r>
              <w:rPr>
                <w:rFonts w:hint="eastAsia" w:ascii="宋体" w:hAnsi="宋体"/>
                <w:color w:val="auto"/>
                <w:spacing w:val="8"/>
                <w:sz w:val="24"/>
                <w:szCs w:val="20"/>
                <w:highlight w:val="none"/>
              </w:rPr>
              <w:t>）</w:t>
            </w:r>
          </w:p>
        </w:tc>
        <w:tc>
          <w:tcPr>
            <w:tcW w:w="4961" w:type="dxa"/>
            <w:noWrap w:val="0"/>
            <w:vAlign w:val="center"/>
          </w:tcPr>
          <w:p w14:paraId="39CF7E17">
            <w:pPr>
              <w:spacing w:line="480" w:lineRule="auto"/>
              <w:jc w:val="center"/>
              <w:rPr>
                <w:rFonts w:ascii="宋体" w:hAnsi="宋体" w:cs="宋体"/>
                <w:color w:val="auto"/>
                <w:kern w:val="0"/>
                <w:sz w:val="24"/>
                <w:szCs w:val="20"/>
                <w:highlight w:val="none"/>
              </w:rPr>
            </w:pPr>
            <w:r>
              <w:rPr>
                <w:rFonts w:hint="eastAsia" w:ascii="宋体" w:hAnsi="宋体"/>
                <w:color w:val="auto"/>
                <w:spacing w:val="8"/>
                <w:sz w:val="24"/>
                <w:szCs w:val="20"/>
                <w:highlight w:val="none"/>
              </w:rPr>
              <w:t>法定代表人身份证扫描件（</w:t>
            </w:r>
            <w:r>
              <w:rPr>
                <w:rFonts w:hint="eastAsia" w:ascii="宋体" w:hAnsi="宋体"/>
                <w:color w:val="auto"/>
                <w:spacing w:val="8"/>
                <w:sz w:val="24"/>
                <w:szCs w:val="20"/>
                <w:highlight w:val="none"/>
                <w:lang w:val="en-US" w:eastAsia="zh-CN"/>
              </w:rPr>
              <w:t>国徽面</w:t>
            </w:r>
            <w:r>
              <w:rPr>
                <w:rFonts w:hint="eastAsia" w:ascii="宋体" w:hAnsi="宋体"/>
                <w:color w:val="auto"/>
                <w:spacing w:val="8"/>
                <w:sz w:val="24"/>
                <w:szCs w:val="20"/>
                <w:highlight w:val="none"/>
              </w:rPr>
              <w:t>）</w:t>
            </w:r>
          </w:p>
        </w:tc>
      </w:tr>
    </w:tbl>
    <w:p w14:paraId="7A91FF98">
      <w:pPr>
        <w:spacing w:before="312" w:beforeLines="100" w:after="156" w:afterLines="50" w:line="480" w:lineRule="exact"/>
        <w:textAlignment w:val="center"/>
        <w:rPr>
          <w:rFonts w:hint="eastAsia" w:ascii="宋体" w:hAnsi="宋体" w:cs="宋体"/>
          <w:color w:val="auto"/>
          <w:sz w:val="24"/>
          <w:highlight w:val="none"/>
        </w:rPr>
      </w:pPr>
    </w:p>
    <w:p w14:paraId="4FBE51BB">
      <w:pPr>
        <w:spacing w:line="114"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9F64BBF">
      <w:pPr>
        <w:spacing w:line="0" w:lineRule="atLeast"/>
        <w:ind w:left="3740"/>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63661A88">
      <w:pPr>
        <w:spacing w:line="0" w:lineRule="atLeast"/>
        <w:ind w:left="3740"/>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22A90876">
      <w:pPr>
        <w:spacing w:line="0" w:lineRule="atLeast"/>
        <w:ind w:left="3740"/>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23088CE6">
      <w:pPr>
        <w:rPr>
          <w:rFonts w:hint="eastAsia" w:ascii="宋体" w:hAnsi="宋体" w:cs="宋体"/>
          <w:b/>
          <w:bCs/>
          <w:color w:val="auto"/>
          <w:sz w:val="30"/>
          <w:szCs w:val="30"/>
          <w:highlight w:val="none"/>
        </w:rPr>
      </w:pPr>
      <w:bookmarkStart w:id="298" w:name="_Toc24501"/>
      <w:bookmarkStart w:id="299" w:name="_Toc21111"/>
      <w:bookmarkStart w:id="300" w:name="_Toc13827"/>
      <w:bookmarkStart w:id="301" w:name="_Toc27840"/>
      <w:bookmarkStart w:id="302" w:name="_Toc31117"/>
      <w:bookmarkStart w:id="303" w:name="_Toc10900"/>
      <w:r>
        <w:rPr>
          <w:rFonts w:hint="eastAsia" w:ascii="宋体" w:hAnsi="宋体" w:cs="宋体"/>
          <w:b/>
          <w:bCs/>
          <w:color w:val="auto"/>
          <w:sz w:val="30"/>
          <w:szCs w:val="30"/>
          <w:highlight w:val="none"/>
        </w:rPr>
        <w:br w:type="page"/>
      </w:r>
    </w:p>
    <w:p w14:paraId="680D4B42">
      <w:pPr>
        <w:spacing w:line="0" w:lineRule="atLeast"/>
        <w:jc w:val="center"/>
        <w:outlineLvl w:val="1"/>
        <w:rPr>
          <w:rFonts w:hint="eastAsia" w:ascii="宋体" w:hAnsi="宋体" w:cs="宋体"/>
          <w:b/>
          <w:bCs/>
          <w:color w:val="auto"/>
          <w:sz w:val="30"/>
          <w:szCs w:val="30"/>
          <w:highlight w:val="none"/>
        </w:rPr>
      </w:pPr>
      <w:bookmarkStart w:id="304" w:name="_Toc22923"/>
      <w:r>
        <w:rPr>
          <w:rFonts w:hint="eastAsia" w:ascii="宋体" w:hAnsi="宋体" w:cs="宋体"/>
          <w:b/>
          <w:bCs/>
          <w:color w:val="auto"/>
          <w:sz w:val="30"/>
          <w:szCs w:val="30"/>
          <w:highlight w:val="none"/>
        </w:rPr>
        <w:t>三、授权委托书</w:t>
      </w:r>
      <w:bookmarkEnd w:id="298"/>
      <w:bookmarkEnd w:id="299"/>
      <w:bookmarkEnd w:id="300"/>
      <w:bookmarkEnd w:id="301"/>
      <w:bookmarkEnd w:id="302"/>
      <w:bookmarkEnd w:id="303"/>
      <w:bookmarkEnd w:id="304"/>
    </w:p>
    <w:p w14:paraId="303FEF94">
      <w:pPr>
        <w:spacing w:line="480" w:lineRule="exact"/>
        <w:ind w:firstLine="720" w:firstLineChars="300"/>
        <w:textAlignment w:val="cente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9E0BFF2">
      <w:pPr>
        <w:keepNext w:val="0"/>
        <w:keepLines w:val="0"/>
        <w:pageBreakBefore w:val="0"/>
        <w:widowControl w:val="0"/>
        <w:kinsoku/>
        <w:overflowPunct/>
        <w:topLinePunct w:val="0"/>
        <w:autoSpaceDE/>
        <w:autoSpaceDN/>
        <w:bidi w:val="0"/>
        <w:adjustRightInd/>
        <w:snapToGrid/>
        <w:spacing w:line="520" w:lineRule="exact"/>
        <w:ind w:firstLine="720" w:firstLineChars="300"/>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本人</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响应人名称）</w:t>
      </w:r>
      <w:r>
        <w:rPr>
          <w:rFonts w:hint="eastAsia" w:ascii="宋体" w:hAnsi="宋体" w:cs="宋体"/>
          <w:color w:val="auto"/>
          <w:sz w:val="24"/>
          <w:szCs w:val="24"/>
          <w:highlight w:val="none"/>
        </w:rPr>
        <w:t>的法定代表人，现委托</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rPr>
        <w:t>为我方代理人。代理人根据授权，以我方名义签署、澄清、说明、补正、递交、撤回、修改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项目名称）响应文件、签订合同和处理有关事宜，其法律后果由我方承担。</w:t>
      </w:r>
    </w:p>
    <w:p w14:paraId="450311BF">
      <w:pPr>
        <w:keepNext w:val="0"/>
        <w:keepLines w:val="0"/>
        <w:pageBreakBefore w:val="0"/>
        <w:widowControl w:val="0"/>
        <w:kinsoku/>
        <w:overflowPunct/>
        <w:topLinePunct w:val="0"/>
        <w:autoSpaceDE/>
        <w:autoSpaceDN/>
        <w:bidi w:val="0"/>
        <w:adjustRightInd/>
        <w:snapToGrid/>
        <w:spacing w:line="520" w:lineRule="exact"/>
        <w:ind w:firstLine="720" w:firstLineChars="300"/>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代理人无转委托权。</w:t>
      </w:r>
    </w:p>
    <w:p w14:paraId="19F00765">
      <w:pPr>
        <w:keepNext w:val="0"/>
        <w:keepLines w:val="0"/>
        <w:pageBreakBefore w:val="0"/>
        <w:widowControl w:val="0"/>
        <w:kinsoku/>
        <w:overflowPunct/>
        <w:topLinePunct w:val="0"/>
        <w:autoSpaceDE/>
        <w:autoSpaceDN/>
        <w:bidi w:val="0"/>
        <w:adjustRightInd/>
        <w:snapToGrid/>
        <w:spacing w:after="312" w:afterLines="100" w:line="520" w:lineRule="exact"/>
        <w:ind w:firstLine="480" w:firstLineChars="200"/>
        <w:textAlignment w:val="center"/>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附：法定代表人身份证及委托代理人身份证扫描件</w:t>
      </w:r>
    </w:p>
    <w:p w14:paraId="46F811E2">
      <w:pPr>
        <w:keepNext w:val="0"/>
        <w:keepLines w:val="0"/>
        <w:pageBreakBefore w:val="0"/>
        <w:widowControl w:val="0"/>
        <w:kinsoku/>
        <w:overflowPunct/>
        <w:topLinePunct w:val="0"/>
        <w:autoSpaceDE/>
        <w:autoSpaceDN/>
        <w:bidi w:val="0"/>
        <w:adjustRightInd/>
        <w:snapToGrid/>
        <w:spacing w:line="520" w:lineRule="exact"/>
        <w:jc w:val="right"/>
        <w:textAlignment w:val="center"/>
        <w:rPr>
          <w:rFonts w:hint="eastAsia"/>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highlight w:val="none"/>
        </w:rPr>
        <w:t>响应人：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电子签章</w:t>
      </w:r>
      <w:r>
        <w:rPr>
          <w:rFonts w:hint="eastAsia" w:ascii="宋体" w:hAnsi="宋体" w:cs="宋体"/>
          <w:kern w:val="0"/>
          <w:sz w:val="24"/>
          <w:szCs w:val="24"/>
          <w:highlight w:val="none"/>
          <w:lang w:eastAsia="zh-CN"/>
        </w:rPr>
        <w:t>）</w:t>
      </w:r>
    </w:p>
    <w:p w14:paraId="5C7A8934">
      <w:pPr>
        <w:keepNext w:val="0"/>
        <w:keepLines w:val="0"/>
        <w:pageBreakBefore w:val="0"/>
        <w:widowControl w:val="0"/>
        <w:kinsoku/>
        <w:wordWrap w:val="0"/>
        <w:overflowPunct/>
        <w:topLinePunct w:val="0"/>
        <w:autoSpaceDE/>
        <w:autoSpaceDN/>
        <w:bidi w:val="0"/>
        <w:adjustRightInd/>
        <w:snapToGrid/>
        <w:spacing w:line="520" w:lineRule="exact"/>
        <w:jc w:val="right"/>
        <w:rPr>
          <w:rFonts w:ascii="宋体" w:hAnsi="宋体" w:cs="宋体"/>
          <w:color w:val="auto"/>
          <w:sz w:val="24"/>
          <w:szCs w:val="24"/>
          <w:highlight w:val="none"/>
        </w:rPr>
      </w:pPr>
      <w:r>
        <w:rPr>
          <w:rFonts w:hint="eastAsia" w:ascii="宋体" w:hAnsi="宋体" w:cs="宋体"/>
          <w:kern w:val="0"/>
          <w:sz w:val="24"/>
          <w:szCs w:val="24"/>
          <w:highlight w:val="none"/>
        </w:rPr>
        <w:t>法定代表</w:t>
      </w:r>
      <w:r>
        <w:rPr>
          <w:rFonts w:hint="eastAsia" w:ascii="宋体" w:hAnsi="宋体" w:cs="宋体"/>
          <w:kern w:val="0"/>
          <w:sz w:val="24"/>
          <w:szCs w:val="24"/>
          <w:highlight w:val="none"/>
          <w:lang w:val="en-US" w:eastAsia="zh-CN"/>
        </w:rPr>
        <w:t>人</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电子签章</w:t>
      </w:r>
      <w:r>
        <w:rPr>
          <w:rFonts w:hint="eastAsia" w:ascii="宋体" w:hAnsi="宋体" w:cs="宋体"/>
          <w:kern w:val="0"/>
          <w:sz w:val="24"/>
          <w:szCs w:val="24"/>
          <w:highlight w:val="none"/>
        </w:rPr>
        <w:t>）</w:t>
      </w:r>
      <w:r>
        <w:rPr>
          <w:rFonts w:hint="eastAsia" w:ascii="宋体" w:hAnsi="宋体" w:cs="宋体"/>
          <w:color w:val="auto"/>
          <w:sz w:val="24"/>
          <w:szCs w:val="24"/>
          <w:highlight w:val="none"/>
        </w:rPr>
        <w:t xml:space="preserve"> </w:t>
      </w:r>
    </w:p>
    <w:p w14:paraId="76A7A497">
      <w:pPr>
        <w:keepNext w:val="0"/>
        <w:keepLines w:val="0"/>
        <w:pageBreakBefore w:val="0"/>
        <w:widowControl w:val="0"/>
        <w:kinsoku/>
        <w:overflowPunct/>
        <w:topLinePunct w:val="0"/>
        <w:autoSpaceDE/>
        <w:autoSpaceDN/>
        <w:bidi w:val="0"/>
        <w:adjustRightInd/>
        <w:snapToGrid/>
        <w:spacing w:line="520" w:lineRule="exact"/>
        <w:jc w:val="righ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签字或法定代表人电子签章）</w:t>
      </w:r>
    </w:p>
    <w:p w14:paraId="1BC659C4">
      <w:pPr>
        <w:keepNext w:val="0"/>
        <w:keepLines w:val="0"/>
        <w:pageBreakBefore w:val="0"/>
        <w:widowControl w:val="0"/>
        <w:kinsoku/>
        <w:overflowPunct/>
        <w:topLinePunct w:val="0"/>
        <w:autoSpaceDE/>
        <w:autoSpaceDN/>
        <w:bidi w:val="0"/>
        <w:adjustRightInd/>
        <w:snapToGrid/>
        <w:spacing w:line="520" w:lineRule="exact"/>
        <w:jc w:val="right"/>
        <w:textAlignment w:val="center"/>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7DBCFF77">
      <w:pPr>
        <w:keepNext w:val="0"/>
        <w:keepLines w:val="0"/>
        <w:pageBreakBefore w:val="0"/>
        <w:widowControl w:val="0"/>
        <w:kinsoku/>
        <w:overflowPunct/>
        <w:topLinePunct w:val="0"/>
        <w:autoSpaceDE/>
        <w:autoSpaceDN/>
        <w:bidi w:val="0"/>
        <w:adjustRightInd/>
        <w:snapToGrid/>
        <w:spacing w:before="312" w:beforeLines="100" w:after="156" w:afterLines="50" w:line="520" w:lineRule="exact"/>
        <w:textAlignment w:val="center"/>
        <w:rPr>
          <w:rFonts w:hint="eastAsia" w:ascii="宋体"/>
          <w:b/>
          <w:bCs/>
          <w:color w:val="auto"/>
          <w:sz w:val="24"/>
          <w:highlight w:val="none"/>
        </w:rPr>
      </w:pP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eastAsia="zh-CN"/>
        </w:rPr>
        <w:t>（</w:t>
      </w:r>
      <w:r>
        <w:rPr>
          <w:rFonts w:hint="eastAsia" w:ascii="宋体"/>
          <w:b/>
          <w:bCs/>
          <w:color w:val="auto"/>
          <w:sz w:val="24"/>
          <w:highlight w:val="none"/>
        </w:rPr>
        <w:t>因本项目为电子标，委托代理人无法手写签字，可以电脑打印字体为准或以法定代表人电子签章为准</w:t>
      </w:r>
      <w:r>
        <w:rPr>
          <w:rFonts w:hint="eastAsia" w:ascii="宋体" w:hAnsi="宋体" w:cs="宋体"/>
          <w:b/>
          <w:bCs/>
          <w:color w:val="auto"/>
          <w:sz w:val="24"/>
          <w:szCs w:val="24"/>
          <w:highlight w:val="none"/>
          <w:lang w:eastAsia="zh-CN"/>
        </w:rPr>
        <w:t>）</w:t>
      </w:r>
      <w:r>
        <w:rPr>
          <w:rFonts w:hint="eastAsia" w:ascii="宋体"/>
          <w:b/>
          <w:bCs/>
          <w:color w:val="auto"/>
          <w:sz w:val="24"/>
          <w:highlight w:val="none"/>
        </w:rPr>
        <w:t>。</w:t>
      </w:r>
    </w:p>
    <w:p w14:paraId="1DD611D2">
      <w:pPr>
        <w:keepNext w:val="0"/>
        <w:keepLines w:val="0"/>
        <w:pageBreakBefore w:val="0"/>
        <w:widowControl w:val="0"/>
        <w:kinsoku/>
        <w:overflowPunct/>
        <w:topLinePunct w:val="0"/>
        <w:autoSpaceDE/>
        <w:autoSpaceDN/>
        <w:bidi w:val="0"/>
        <w:adjustRightInd/>
        <w:snapToGrid/>
        <w:spacing w:before="312" w:beforeLines="100" w:after="156" w:afterLines="50" w:line="520" w:lineRule="exact"/>
        <w:textAlignment w:val="center"/>
        <w:rPr>
          <w:rFonts w:hint="eastAsia" w:ascii="宋体"/>
          <w:b/>
          <w:bCs/>
          <w:color w:val="auto"/>
          <w:sz w:val="24"/>
          <w:highlight w:val="none"/>
        </w:rPr>
      </w:pPr>
    </w:p>
    <w:tbl>
      <w:tblPr>
        <w:tblStyle w:val="18"/>
        <w:tblW w:w="9177"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336"/>
        <w:gridCol w:w="4841"/>
      </w:tblGrid>
      <w:tr w14:paraId="0188396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339" w:hRule="atLeast"/>
          <w:jc w:val="center"/>
        </w:trPr>
        <w:tc>
          <w:tcPr>
            <w:tcW w:w="4336" w:type="dxa"/>
            <w:noWrap w:val="0"/>
            <w:vAlign w:val="center"/>
          </w:tcPr>
          <w:p w14:paraId="23A9AB42">
            <w:pPr>
              <w:autoSpaceDE w:val="0"/>
              <w:autoSpaceDN w:val="0"/>
              <w:adjustRightInd w:val="0"/>
              <w:spacing w:line="480" w:lineRule="exact"/>
              <w:jc w:val="center"/>
              <w:rPr>
                <w:rFonts w:ascii="宋体" w:hAnsi="宋体" w:cs="宋体"/>
                <w:color w:val="auto"/>
                <w:kern w:val="0"/>
                <w:sz w:val="24"/>
                <w:szCs w:val="20"/>
                <w:highlight w:val="none"/>
              </w:rPr>
            </w:pPr>
            <w:bookmarkStart w:id="305" w:name="_Toc466566720"/>
            <w:bookmarkEnd w:id="305"/>
            <w:r>
              <w:rPr>
                <w:rFonts w:hint="eastAsia" w:ascii="宋体" w:hAnsi="宋体" w:cs="宋体"/>
                <w:color w:val="auto"/>
                <w:kern w:val="0"/>
                <w:sz w:val="24"/>
                <w:szCs w:val="20"/>
                <w:highlight w:val="none"/>
              </w:rPr>
              <w:t>法定代表人身份证</w:t>
            </w:r>
            <w:r>
              <w:rPr>
                <w:rFonts w:hint="eastAsia" w:ascii="宋体" w:hAnsi="宋体"/>
                <w:color w:val="auto"/>
                <w:spacing w:val="8"/>
                <w:sz w:val="24"/>
                <w:szCs w:val="20"/>
                <w:highlight w:val="none"/>
              </w:rPr>
              <w:t>扫描件（</w:t>
            </w:r>
            <w:r>
              <w:rPr>
                <w:rFonts w:hint="eastAsia" w:ascii="宋体" w:hAnsi="宋体"/>
                <w:color w:val="auto"/>
                <w:spacing w:val="8"/>
                <w:sz w:val="24"/>
                <w:szCs w:val="20"/>
                <w:highlight w:val="none"/>
                <w:lang w:val="en-US" w:eastAsia="zh-CN"/>
              </w:rPr>
              <w:t>人像面</w:t>
            </w:r>
            <w:r>
              <w:rPr>
                <w:rFonts w:hint="eastAsia" w:ascii="宋体" w:hAnsi="宋体"/>
                <w:color w:val="auto"/>
                <w:spacing w:val="8"/>
                <w:sz w:val="24"/>
                <w:szCs w:val="20"/>
                <w:highlight w:val="none"/>
              </w:rPr>
              <w:t>）</w:t>
            </w:r>
          </w:p>
          <w:p w14:paraId="4060FA10">
            <w:pPr>
              <w:jc w:val="center"/>
              <w:rPr>
                <w:rFonts w:ascii="宋体" w:hAnsi="宋体" w:cs="宋体"/>
                <w:color w:val="auto"/>
                <w:sz w:val="24"/>
                <w:szCs w:val="20"/>
                <w:highlight w:val="none"/>
              </w:rPr>
            </w:pPr>
          </w:p>
        </w:tc>
        <w:tc>
          <w:tcPr>
            <w:tcW w:w="4841" w:type="dxa"/>
            <w:noWrap w:val="0"/>
            <w:vAlign w:val="center"/>
          </w:tcPr>
          <w:p w14:paraId="206B622B">
            <w:pPr>
              <w:autoSpaceDE w:val="0"/>
              <w:autoSpaceDN w:val="0"/>
              <w:adjustRightInd w:val="0"/>
              <w:spacing w:line="560" w:lineRule="exact"/>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法定代表人身份证</w:t>
            </w:r>
            <w:r>
              <w:rPr>
                <w:rFonts w:hint="eastAsia" w:ascii="宋体" w:hAnsi="宋体"/>
                <w:color w:val="auto"/>
                <w:spacing w:val="8"/>
                <w:sz w:val="24"/>
                <w:szCs w:val="20"/>
                <w:highlight w:val="none"/>
              </w:rPr>
              <w:t>扫描件（</w:t>
            </w:r>
            <w:r>
              <w:rPr>
                <w:rFonts w:hint="eastAsia" w:ascii="宋体" w:hAnsi="宋体"/>
                <w:color w:val="auto"/>
                <w:spacing w:val="8"/>
                <w:sz w:val="24"/>
                <w:szCs w:val="20"/>
                <w:highlight w:val="none"/>
                <w:lang w:val="en-US" w:eastAsia="zh-CN"/>
              </w:rPr>
              <w:t>国徽面</w:t>
            </w:r>
            <w:r>
              <w:rPr>
                <w:rFonts w:hint="eastAsia" w:ascii="宋体" w:hAnsi="宋体"/>
                <w:color w:val="auto"/>
                <w:spacing w:val="8"/>
                <w:sz w:val="24"/>
                <w:szCs w:val="20"/>
                <w:highlight w:val="none"/>
              </w:rPr>
              <w:t>）</w:t>
            </w:r>
          </w:p>
          <w:p w14:paraId="7E2AB448">
            <w:pPr>
              <w:autoSpaceDE w:val="0"/>
              <w:autoSpaceDN w:val="0"/>
              <w:adjustRightInd w:val="0"/>
              <w:spacing w:line="560" w:lineRule="exact"/>
              <w:jc w:val="center"/>
              <w:rPr>
                <w:rFonts w:ascii="宋体" w:hAnsi="宋体" w:cs="宋体"/>
                <w:color w:val="auto"/>
                <w:kern w:val="0"/>
                <w:sz w:val="24"/>
                <w:szCs w:val="20"/>
                <w:highlight w:val="none"/>
              </w:rPr>
            </w:pPr>
          </w:p>
        </w:tc>
      </w:tr>
    </w:tbl>
    <w:p w14:paraId="6CF0AB3F">
      <w:pPr>
        <w:rPr>
          <w:vanish/>
          <w:color w:val="auto"/>
          <w:highlight w:val="none"/>
        </w:rPr>
      </w:pPr>
    </w:p>
    <w:tbl>
      <w:tblPr>
        <w:tblStyle w:val="18"/>
        <w:tblpPr w:leftFromText="180" w:rightFromText="180" w:vertAnchor="text" w:horzAnchor="page" w:tblpX="1506" w:tblpY="478"/>
        <w:tblW w:w="9100"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50"/>
        <w:gridCol w:w="4550"/>
      </w:tblGrid>
      <w:tr w14:paraId="0D04B2E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18" w:hRule="atLeast"/>
        </w:trPr>
        <w:tc>
          <w:tcPr>
            <w:tcW w:w="4550" w:type="dxa"/>
            <w:noWrap w:val="0"/>
            <w:vAlign w:val="center"/>
          </w:tcPr>
          <w:p w14:paraId="699C6452">
            <w:pPr>
              <w:autoSpaceDE w:val="0"/>
              <w:autoSpaceDN w:val="0"/>
              <w:adjustRightInd w:val="0"/>
              <w:spacing w:before="120" w:beforeLines="50" w:line="480" w:lineRule="auto"/>
              <w:jc w:val="center"/>
              <w:rPr>
                <w:rFonts w:ascii="宋体" w:hAnsi="宋体" w:cs="宋体"/>
                <w:color w:val="auto"/>
                <w:kern w:val="0"/>
                <w:sz w:val="24"/>
                <w:szCs w:val="20"/>
                <w:highlight w:val="none"/>
              </w:rPr>
            </w:pPr>
            <w:r>
              <w:rPr>
                <w:rFonts w:hint="eastAsia" w:ascii="宋体" w:hAnsi="宋体"/>
                <w:color w:val="auto"/>
                <w:spacing w:val="8"/>
                <w:sz w:val="24"/>
                <w:szCs w:val="20"/>
                <w:highlight w:val="none"/>
              </w:rPr>
              <w:t>被授权委托人身份证扫描件（</w:t>
            </w:r>
            <w:r>
              <w:rPr>
                <w:rFonts w:hint="eastAsia" w:ascii="宋体" w:hAnsi="宋体"/>
                <w:color w:val="auto"/>
                <w:spacing w:val="8"/>
                <w:sz w:val="24"/>
                <w:szCs w:val="20"/>
                <w:highlight w:val="none"/>
                <w:lang w:val="en-US" w:eastAsia="zh-CN"/>
              </w:rPr>
              <w:t>人像面</w:t>
            </w:r>
            <w:r>
              <w:rPr>
                <w:rFonts w:hint="eastAsia" w:ascii="宋体" w:hAnsi="宋体"/>
                <w:color w:val="auto"/>
                <w:spacing w:val="8"/>
                <w:sz w:val="24"/>
                <w:szCs w:val="20"/>
                <w:highlight w:val="none"/>
              </w:rPr>
              <w:t>）</w:t>
            </w:r>
          </w:p>
        </w:tc>
        <w:tc>
          <w:tcPr>
            <w:tcW w:w="4550" w:type="dxa"/>
            <w:noWrap w:val="0"/>
            <w:vAlign w:val="center"/>
          </w:tcPr>
          <w:p w14:paraId="0D8723CB">
            <w:pPr>
              <w:autoSpaceDE w:val="0"/>
              <w:autoSpaceDN w:val="0"/>
              <w:adjustRightInd w:val="0"/>
              <w:spacing w:before="120" w:beforeLines="50" w:line="480" w:lineRule="auto"/>
              <w:jc w:val="center"/>
              <w:rPr>
                <w:rFonts w:ascii="宋体" w:hAnsi="宋体" w:cs="宋体"/>
                <w:color w:val="auto"/>
                <w:kern w:val="0"/>
                <w:sz w:val="24"/>
                <w:szCs w:val="20"/>
                <w:highlight w:val="none"/>
              </w:rPr>
            </w:pPr>
            <w:r>
              <w:rPr>
                <w:rFonts w:hint="eastAsia" w:ascii="宋体" w:hAnsi="宋体"/>
                <w:color w:val="auto"/>
                <w:spacing w:val="8"/>
                <w:sz w:val="24"/>
                <w:szCs w:val="20"/>
                <w:highlight w:val="none"/>
              </w:rPr>
              <w:t>被授权委托人身份证扫描件（</w:t>
            </w:r>
            <w:r>
              <w:rPr>
                <w:rFonts w:hint="eastAsia" w:ascii="宋体" w:hAnsi="宋体"/>
                <w:color w:val="auto"/>
                <w:spacing w:val="8"/>
                <w:sz w:val="24"/>
                <w:szCs w:val="20"/>
                <w:highlight w:val="none"/>
                <w:lang w:val="en-US" w:eastAsia="zh-CN"/>
              </w:rPr>
              <w:t>国徽面</w:t>
            </w:r>
            <w:r>
              <w:rPr>
                <w:rFonts w:hint="eastAsia" w:ascii="宋体" w:hAnsi="宋体"/>
                <w:color w:val="auto"/>
                <w:spacing w:val="8"/>
                <w:sz w:val="24"/>
                <w:szCs w:val="20"/>
                <w:highlight w:val="none"/>
              </w:rPr>
              <w:t>）</w:t>
            </w:r>
          </w:p>
        </w:tc>
      </w:tr>
    </w:tbl>
    <w:p w14:paraId="6C9F7C3C">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278F70DC">
      <w:pPr>
        <w:spacing w:line="0" w:lineRule="atLeast"/>
        <w:jc w:val="center"/>
        <w:outlineLvl w:val="1"/>
        <w:rPr>
          <w:rFonts w:hint="eastAsia" w:ascii="宋体" w:hAnsi="宋体" w:cs="宋体"/>
          <w:b/>
          <w:bCs/>
          <w:color w:val="auto"/>
          <w:sz w:val="30"/>
          <w:szCs w:val="30"/>
          <w:highlight w:val="none"/>
        </w:rPr>
      </w:pPr>
      <w:bookmarkStart w:id="306" w:name="_Toc27040"/>
      <w:bookmarkStart w:id="307" w:name="_Toc6151"/>
      <w:bookmarkStart w:id="308" w:name="_Toc2502"/>
      <w:bookmarkStart w:id="309" w:name="_Toc20490"/>
      <w:bookmarkStart w:id="310" w:name="_Toc31344"/>
      <w:bookmarkStart w:id="311" w:name="_Toc27702"/>
      <w:bookmarkStart w:id="312" w:name="_Toc27899"/>
      <w:r>
        <w:rPr>
          <w:rFonts w:hint="eastAsia" w:ascii="宋体" w:hAnsi="宋体" w:cs="宋体"/>
          <w:b/>
          <w:bCs/>
          <w:color w:val="auto"/>
          <w:sz w:val="30"/>
          <w:szCs w:val="30"/>
          <w:highlight w:val="none"/>
        </w:rPr>
        <w:t>四、磋商承诺函</w:t>
      </w:r>
      <w:bookmarkEnd w:id="306"/>
      <w:bookmarkEnd w:id="307"/>
      <w:bookmarkEnd w:id="308"/>
      <w:bookmarkEnd w:id="309"/>
      <w:bookmarkEnd w:id="310"/>
      <w:bookmarkEnd w:id="311"/>
      <w:bookmarkEnd w:id="312"/>
    </w:p>
    <w:p w14:paraId="660455ED">
      <w:pPr>
        <w:pageBreakBefore w:val="0"/>
        <w:widowControl w:val="0"/>
        <w:kinsoku/>
        <w:overflowPunct/>
        <w:topLinePunct w:val="0"/>
        <w:autoSpaceDE/>
        <w:autoSpaceDN/>
        <w:bidi w:val="0"/>
        <w:adjustRightInd/>
        <w:spacing w:line="520" w:lineRule="exact"/>
        <w:textAlignment w:val="auto"/>
        <w:rPr>
          <w:rFonts w:hint="eastAsia" w:ascii="宋体" w:hAnsi="宋体"/>
          <w:color w:val="auto"/>
          <w:sz w:val="24"/>
          <w:szCs w:val="24"/>
          <w:highlight w:val="none"/>
        </w:rPr>
      </w:pPr>
    </w:p>
    <w:p w14:paraId="53F1FFE0">
      <w:pPr>
        <w:pageBreakBefore w:val="0"/>
        <w:widowControl w:val="0"/>
        <w:kinsoku/>
        <w:overflowPunct/>
        <w:topLinePunct w:val="0"/>
        <w:autoSpaceDE/>
        <w:autoSpaceDN/>
        <w:bidi w:val="0"/>
        <w:adjustRightInd/>
        <w:spacing w:line="520" w:lineRule="exact"/>
        <w:textAlignment w:val="auto"/>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rPr>
        <w:t>致</w:t>
      </w:r>
      <w:r>
        <w:rPr>
          <w:rFonts w:hint="eastAsia" w:ascii="宋体" w:hAnsi="宋体"/>
          <w:color w:val="auto"/>
          <w:sz w:val="24"/>
          <w:szCs w:val="24"/>
          <w:highlight w:val="none"/>
          <w:lang w:eastAsia="zh-CN"/>
        </w:rPr>
        <w:t>（</w:t>
      </w:r>
      <w:r>
        <w:rPr>
          <w:rFonts w:hint="eastAsia" w:ascii="宋体" w:hAnsi="宋体"/>
          <w:color w:val="auto"/>
          <w:sz w:val="24"/>
          <w:szCs w:val="24"/>
          <w:highlight w:val="none"/>
        </w:rPr>
        <w:t>招标人及招标代理机构）：</w:t>
      </w:r>
      <w:r>
        <w:rPr>
          <w:rFonts w:hint="eastAsia" w:ascii="宋体" w:hAnsi="宋体"/>
          <w:color w:val="auto"/>
          <w:sz w:val="24"/>
          <w:szCs w:val="24"/>
          <w:highlight w:val="none"/>
          <w:u w:val="single"/>
          <w:lang w:val="en-US" w:eastAsia="zh-CN"/>
        </w:rPr>
        <w:t xml:space="preserve">      </w:t>
      </w:r>
    </w:p>
    <w:p w14:paraId="571596BA">
      <w:pPr>
        <w:pageBreakBefore w:val="0"/>
        <w:widowControl w:val="0"/>
        <w:kinsoku/>
        <w:overflowPunct/>
        <w:topLinePunct w:val="0"/>
        <w:autoSpaceDE/>
        <w:autoSpaceDN/>
        <w:bidi w:val="0"/>
        <w:adjustRightInd/>
        <w:spacing w:line="52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我公司作为本次磋商项目的响应人，根据竞争性磋商文件要求，现郑重承诺如下：</w:t>
      </w:r>
    </w:p>
    <w:p w14:paraId="093F2077">
      <w:pPr>
        <w:pageBreakBefore w:val="0"/>
        <w:widowControl w:val="0"/>
        <w:kinsoku/>
        <w:overflowPunct/>
        <w:topLinePunct w:val="0"/>
        <w:autoSpaceDE/>
        <w:autoSpaceDN/>
        <w:bidi w:val="0"/>
        <w:adjustRightInd/>
        <w:spacing w:line="52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04250BED">
      <w:pPr>
        <w:pageBreakBefore w:val="0"/>
        <w:widowControl w:val="0"/>
        <w:kinsoku/>
        <w:overflowPunct/>
        <w:topLinePunct w:val="0"/>
        <w:autoSpaceDE/>
        <w:autoSpaceDN/>
        <w:bidi w:val="0"/>
        <w:adjustRightInd/>
        <w:spacing w:line="52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二、参加本次磋商采购活动，不存在与单位负责人为同一人或者存在直接控股、管理关系的其他</w:t>
      </w:r>
      <w:r>
        <w:rPr>
          <w:rFonts w:hint="eastAsia" w:ascii="宋体" w:hAnsi="宋体"/>
          <w:color w:val="auto"/>
          <w:sz w:val="24"/>
          <w:szCs w:val="24"/>
          <w:highlight w:val="none"/>
          <w:lang w:eastAsia="zh-CN"/>
        </w:rPr>
        <w:t>响应人</w:t>
      </w:r>
      <w:r>
        <w:rPr>
          <w:rFonts w:hint="eastAsia" w:ascii="宋体" w:hAnsi="宋体"/>
          <w:color w:val="auto"/>
          <w:sz w:val="24"/>
          <w:szCs w:val="24"/>
          <w:highlight w:val="none"/>
        </w:rPr>
        <w:t>参与同一合同项下的政府采购活动的行为。</w:t>
      </w:r>
    </w:p>
    <w:p w14:paraId="2D8DFEE4">
      <w:pPr>
        <w:pageBreakBefore w:val="0"/>
        <w:widowControl w:val="0"/>
        <w:kinsoku/>
        <w:overflowPunct/>
        <w:topLinePunct w:val="0"/>
        <w:autoSpaceDE/>
        <w:autoSpaceDN/>
        <w:bidi w:val="0"/>
        <w:adjustRightInd/>
        <w:spacing w:line="52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三、参加本次磋商活动，不存在为磋商项目提供整体设计、规范编制或者项目管理、监理、检测等服务的行为。</w:t>
      </w:r>
    </w:p>
    <w:p w14:paraId="4CFCF379">
      <w:pPr>
        <w:pageBreakBefore w:val="0"/>
        <w:widowControl w:val="0"/>
        <w:kinsoku/>
        <w:overflowPunct/>
        <w:topLinePunct w:val="0"/>
        <w:autoSpaceDE/>
        <w:autoSpaceDN/>
        <w:bidi w:val="0"/>
        <w:adjustRightInd/>
        <w:spacing w:line="52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四、参加本次磋商活动，不存在和其他</w:t>
      </w:r>
      <w:r>
        <w:rPr>
          <w:rFonts w:hint="eastAsia" w:ascii="宋体" w:hAnsi="宋体"/>
          <w:color w:val="auto"/>
          <w:sz w:val="24"/>
          <w:szCs w:val="24"/>
          <w:highlight w:val="none"/>
          <w:lang w:eastAsia="zh-CN"/>
        </w:rPr>
        <w:t>响应人</w:t>
      </w:r>
      <w:r>
        <w:rPr>
          <w:rFonts w:hint="eastAsia" w:ascii="宋体" w:hAnsi="宋体"/>
          <w:color w:val="auto"/>
          <w:sz w:val="24"/>
          <w:szCs w:val="24"/>
          <w:highlight w:val="none"/>
        </w:rPr>
        <w:t>在同一合同项下的采购项目中，同时委托同一个自然人、同一家庭的人员、同一单位的人员作为代理人的行为。</w:t>
      </w:r>
    </w:p>
    <w:p w14:paraId="71393841">
      <w:pPr>
        <w:pageBreakBefore w:val="0"/>
        <w:widowControl w:val="0"/>
        <w:kinsoku/>
        <w:overflowPunct/>
        <w:topLinePunct w:val="0"/>
        <w:autoSpaceDE/>
        <w:autoSpaceDN/>
        <w:bidi w:val="0"/>
        <w:adjustRightInd/>
        <w:spacing w:line="52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五、响应人参加本次磋商活动要求在近三年内响应人和其法定代表人没有行贿犯罪行为。</w:t>
      </w:r>
    </w:p>
    <w:p w14:paraId="0227595B">
      <w:pPr>
        <w:pageBreakBefore w:val="0"/>
        <w:widowControl w:val="0"/>
        <w:kinsoku/>
        <w:overflowPunct/>
        <w:topLinePunct w:val="0"/>
        <w:autoSpaceDE/>
        <w:autoSpaceDN/>
        <w:bidi w:val="0"/>
        <w:adjustRightInd/>
        <w:spacing w:line="520" w:lineRule="exact"/>
        <w:ind w:firstLine="480" w:firstLineChars="200"/>
        <w:textAlignment w:val="auto"/>
        <w:outlineLvl w:val="1"/>
        <w:rPr>
          <w:rFonts w:ascii="宋体" w:hAnsi="宋体"/>
          <w:color w:val="auto"/>
          <w:sz w:val="24"/>
          <w:szCs w:val="24"/>
          <w:highlight w:val="none"/>
        </w:rPr>
      </w:pPr>
      <w:bookmarkStart w:id="313" w:name="_Toc29541"/>
      <w:bookmarkStart w:id="314" w:name="_Toc10989"/>
      <w:bookmarkStart w:id="315" w:name="_Toc31727"/>
      <w:bookmarkStart w:id="316" w:name="_Toc15251"/>
      <w:r>
        <w:rPr>
          <w:rFonts w:hint="eastAsia" w:ascii="宋体" w:hAnsi="宋体"/>
          <w:color w:val="auto"/>
          <w:sz w:val="24"/>
          <w:szCs w:val="24"/>
          <w:highlight w:val="none"/>
        </w:rPr>
        <w:t>六、参加本次磋商活动，不存在联合体磋商。</w:t>
      </w:r>
      <w:bookmarkEnd w:id="313"/>
      <w:bookmarkEnd w:id="314"/>
      <w:bookmarkEnd w:id="315"/>
      <w:bookmarkEnd w:id="316"/>
    </w:p>
    <w:p w14:paraId="6EEEA88E">
      <w:pPr>
        <w:pageBreakBefore w:val="0"/>
        <w:widowControl w:val="0"/>
        <w:kinsoku/>
        <w:overflowPunct/>
        <w:topLinePunct w:val="0"/>
        <w:autoSpaceDE/>
        <w:autoSpaceDN/>
        <w:bidi w:val="0"/>
        <w:adjustRightInd/>
        <w:spacing w:line="52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七、竞争性磋商文件中提供的能够给予我公司带来优惠、好处的任何材料资料和技术、服务、商务等响应承诺情况都是真实的、有效的、合法的。</w:t>
      </w:r>
    </w:p>
    <w:p w14:paraId="3EEF76C4">
      <w:pPr>
        <w:pageBreakBefore w:val="0"/>
        <w:widowControl w:val="0"/>
        <w:kinsoku/>
        <w:overflowPunct/>
        <w:topLinePunct w:val="0"/>
        <w:autoSpaceDE/>
        <w:autoSpaceDN/>
        <w:bidi w:val="0"/>
        <w:adjustRightInd/>
        <w:spacing w:line="52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w:t>
      </w:r>
      <w:r>
        <w:rPr>
          <w:rFonts w:hint="eastAsia" w:ascii="宋体" w:hAnsi="宋体"/>
          <w:color w:val="auto"/>
          <w:sz w:val="24"/>
          <w:szCs w:val="24"/>
          <w:highlight w:val="none"/>
          <w:lang w:eastAsia="zh-CN"/>
        </w:rPr>
        <w:t>（</w:t>
      </w:r>
      <w:r>
        <w:rPr>
          <w:rFonts w:hint="eastAsia" w:ascii="宋体" w:hAnsi="宋体"/>
          <w:color w:val="auto"/>
          <w:sz w:val="24"/>
          <w:szCs w:val="24"/>
          <w:highlight w:val="none"/>
        </w:rPr>
        <w:t>如提供样品）</w:t>
      </w:r>
    </w:p>
    <w:p w14:paraId="3DB02631">
      <w:pPr>
        <w:pageBreakBefore w:val="0"/>
        <w:widowControl w:val="0"/>
        <w:kinsoku/>
        <w:overflowPunct/>
        <w:topLinePunct w:val="0"/>
        <w:autoSpaceDE/>
        <w:autoSpaceDN/>
        <w:bidi w:val="0"/>
        <w:adjustRightInd/>
        <w:spacing w:line="520" w:lineRule="exact"/>
        <w:ind w:firstLine="480" w:firstLineChars="200"/>
        <w:textAlignment w:val="auto"/>
        <w:outlineLvl w:val="1"/>
        <w:rPr>
          <w:rFonts w:ascii="宋体" w:hAnsi="宋体"/>
          <w:color w:val="auto"/>
          <w:sz w:val="24"/>
          <w:szCs w:val="24"/>
          <w:highlight w:val="none"/>
        </w:rPr>
      </w:pPr>
      <w:bookmarkStart w:id="317" w:name="_Toc456"/>
      <w:bookmarkStart w:id="318" w:name="_Toc3586"/>
      <w:bookmarkStart w:id="319" w:name="_Toc12376"/>
      <w:bookmarkStart w:id="320" w:name="_Toc18579"/>
      <w:r>
        <w:rPr>
          <w:rFonts w:hint="eastAsia" w:ascii="宋体" w:hAnsi="宋体"/>
          <w:color w:val="auto"/>
          <w:sz w:val="24"/>
          <w:szCs w:val="24"/>
          <w:highlight w:val="none"/>
        </w:rPr>
        <w:t>九、存在以下行为之一的愿意接受相关部门的处理：</w:t>
      </w:r>
      <w:bookmarkEnd w:id="317"/>
      <w:bookmarkEnd w:id="318"/>
      <w:bookmarkEnd w:id="319"/>
      <w:bookmarkEnd w:id="320"/>
    </w:p>
    <w:p w14:paraId="781F8866">
      <w:pPr>
        <w:pageBreakBefore w:val="0"/>
        <w:widowControl w:val="0"/>
        <w:kinsoku/>
        <w:overflowPunct/>
        <w:topLinePunct w:val="0"/>
        <w:autoSpaceDE/>
        <w:autoSpaceDN/>
        <w:bidi w:val="0"/>
        <w:adjustRightInd/>
        <w:spacing w:line="52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rPr>
        <w:t>一）磋商有效期内撤销竞争性磋商文件的；</w:t>
      </w:r>
    </w:p>
    <w:p w14:paraId="617D61B8">
      <w:pPr>
        <w:pageBreakBefore w:val="0"/>
        <w:widowControl w:val="0"/>
        <w:kinsoku/>
        <w:overflowPunct/>
        <w:topLinePunct w:val="0"/>
        <w:autoSpaceDE/>
        <w:autoSpaceDN/>
        <w:bidi w:val="0"/>
        <w:adjustRightInd/>
        <w:spacing w:line="52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rPr>
        <w:t>二）在招标人确定中标人以前放弃中标候选资格的；</w:t>
      </w:r>
    </w:p>
    <w:p w14:paraId="34E22130">
      <w:pPr>
        <w:pageBreakBefore w:val="0"/>
        <w:widowControl w:val="0"/>
        <w:kinsoku/>
        <w:overflowPunct/>
        <w:topLinePunct w:val="0"/>
        <w:autoSpaceDE/>
        <w:autoSpaceDN/>
        <w:bidi w:val="0"/>
        <w:adjustRightInd/>
        <w:spacing w:line="52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rPr>
        <w:t>三）由于中标人的原因未能按照竞争性磋商文件的规定与招标人签订合同；</w:t>
      </w:r>
    </w:p>
    <w:p w14:paraId="61F0D2B4">
      <w:pPr>
        <w:pageBreakBefore w:val="0"/>
        <w:widowControl w:val="0"/>
        <w:kinsoku/>
        <w:overflowPunct/>
        <w:topLinePunct w:val="0"/>
        <w:autoSpaceDE/>
        <w:autoSpaceDN/>
        <w:bidi w:val="0"/>
        <w:adjustRightInd/>
        <w:spacing w:line="52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rPr>
        <w:t>四）在响应文件中提供虚假材料谋取中标；</w:t>
      </w:r>
    </w:p>
    <w:p w14:paraId="683CC4B1">
      <w:pPr>
        <w:pageBreakBefore w:val="0"/>
        <w:widowControl w:val="0"/>
        <w:kinsoku/>
        <w:overflowPunct/>
        <w:topLinePunct w:val="0"/>
        <w:autoSpaceDE/>
        <w:autoSpaceDN/>
        <w:bidi w:val="0"/>
        <w:adjustRightInd/>
        <w:spacing w:line="52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rPr>
        <w:t>五）与招标人、其他响应人或者招标代理机构恶意串通的；</w:t>
      </w:r>
    </w:p>
    <w:p w14:paraId="5EE45D84">
      <w:pPr>
        <w:pageBreakBefore w:val="0"/>
        <w:widowControl w:val="0"/>
        <w:kinsoku/>
        <w:overflowPunct/>
        <w:topLinePunct w:val="0"/>
        <w:autoSpaceDE/>
        <w:autoSpaceDN/>
        <w:bidi w:val="0"/>
        <w:adjustRightInd/>
        <w:spacing w:line="52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rPr>
        <w:t>六）磋商有效期内，响应人在政府采购活动中有违法、违规、违纪行为。</w:t>
      </w:r>
    </w:p>
    <w:p w14:paraId="20E9AEBB">
      <w:pPr>
        <w:pageBreakBefore w:val="0"/>
        <w:widowControl w:val="0"/>
        <w:kinsoku/>
        <w:overflowPunct/>
        <w:topLinePunct w:val="0"/>
        <w:autoSpaceDE/>
        <w:autoSpaceDN/>
        <w:bidi w:val="0"/>
        <w:adjustRightInd/>
        <w:spacing w:line="52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由此产生的一切法律后果和责任由我公司承担。我公司声明放弃对此提出任何异议和追索的权利。</w:t>
      </w:r>
    </w:p>
    <w:p w14:paraId="33DA72B0">
      <w:pPr>
        <w:pageBreakBefore w:val="0"/>
        <w:widowControl w:val="0"/>
        <w:kinsoku/>
        <w:overflowPunct/>
        <w:topLinePunct w:val="0"/>
        <w:autoSpaceDE/>
        <w:autoSpaceDN/>
        <w:bidi w:val="0"/>
        <w:adjustRightInd/>
        <w:spacing w:line="52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本公司对上述承诺的内容事项真实性负责。如经查实上述承诺的内容事项存在虚假，我公司愿意接受以提供虚假材料谋取中标追究法律责任。</w:t>
      </w:r>
    </w:p>
    <w:p w14:paraId="7F062EC1">
      <w:pPr>
        <w:pageBreakBefore w:val="0"/>
        <w:widowControl w:val="0"/>
        <w:kinsoku/>
        <w:overflowPunct/>
        <w:topLinePunct w:val="0"/>
        <w:autoSpaceDE/>
        <w:autoSpaceDN/>
        <w:bidi w:val="0"/>
        <w:adjustRightInd/>
        <w:spacing w:line="520" w:lineRule="exact"/>
        <w:ind w:firstLine="480" w:firstLineChars="200"/>
        <w:textAlignment w:val="auto"/>
        <w:rPr>
          <w:rFonts w:ascii="宋体" w:hAnsi="宋体"/>
          <w:color w:val="auto"/>
          <w:sz w:val="24"/>
          <w:szCs w:val="24"/>
          <w:highlight w:val="none"/>
        </w:rPr>
      </w:pPr>
    </w:p>
    <w:p w14:paraId="5CC32842">
      <w:pPr>
        <w:pageBreakBefore w:val="0"/>
        <w:widowControl w:val="0"/>
        <w:kinsoku/>
        <w:overflowPunct/>
        <w:topLinePunct w:val="0"/>
        <w:autoSpaceDE/>
        <w:autoSpaceDN/>
        <w:bidi w:val="0"/>
        <w:adjustRightInd/>
        <w:snapToGrid w:val="0"/>
        <w:spacing w:line="520" w:lineRule="exact"/>
        <w:textAlignment w:val="auto"/>
        <w:rPr>
          <w:color w:val="auto"/>
          <w:kern w:val="0"/>
          <w:sz w:val="24"/>
          <w:szCs w:val="24"/>
          <w:highlight w:val="none"/>
        </w:rPr>
      </w:pPr>
    </w:p>
    <w:p w14:paraId="37416FE8">
      <w:pPr>
        <w:pageBreakBefore w:val="0"/>
        <w:widowControl w:val="0"/>
        <w:kinsoku/>
        <w:overflowPunct/>
        <w:topLinePunct w:val="0"/>
        <w:autoSpaceDE/>
        <w:autoSpaceDN/>
        <w:bidi w:val="0"/>
        <w:adjustRightInd/>
        <w:spacing w:line="520" w:lineRule="exact"/>
        <w:jc w:val="right"/>
        <w:textAlignment w:val="auto"/>
        <w:rPr>
          <w:rFonts w:hint="eastAsia" w:ascii="宋体" w:hAnsi="宋体" w:eastAsia="宋体" w:cs="宋体"/>
          <w:kern w:val="0"/>
          <w:sz w:val="24"/>
          <w:szCs w:val="24"/>
          <w:highlight w:val="none"/>
          <w:lang w:eastAsia="zh-CN"/>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color w:val="auto"/>
          <w:sz w:val="24"/>
          <w:highlight w:val="none"/>
        </w:rPr>
        <w:t>响应人</w:t>
      </w:r>
      <w:r>
        <w:rPr>
          <w:rFonts w:hint="eastAsia" w:ascii="宋体" w:hAnsi="宋体" w:cs="宋体"/>
          <w:kern w:val="0"/>
          <w:sz w:val="24"/>
          <w:highlight w:val="none"/>
        </w:rPr>
        <w:t>：</w:t>
      </w:r>
      <w:r>
        <w:rPr>
          <w:rFonts w:hint="eastAsia" w:ascii="宋体" w:hAnsi="宋体" w:cs="宋体"/>
          <w:kern w:val="0"/>
          <w:sz w:val="24"/>
          <w:highlight w:val="none"/>
          <w:u w:val="single"/>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电子签章</w:t>
      </w:r>
      <w:r>
        <w:rPr>
          <w:rFonts w:hint="eastAsia" w:ascii="宋体" w:hAnsi="宋体" w:cs="宋体"/>
          <w:kern w:val="0"/>
          <w:sz w:val="24"/>
          <w:szCs w:val="24"/>
          <w:highlight w:val="none"/>
          <w:lang w:eastAsia="zh-CN"/>
        </w:rPr>
        <w:t>）</w:t>
      </w:r>
    </w:p>
    <w:p w14:paraId="0ED9E31C">
      <w:pPr>
        <w:pageBreakBefore w:val="0"/>
        <w:widowControl w:val="0"/>
        <w:kinsoku/>
        <w:wordWrap w:val="0"/>
        <w:overflowPunct/>
        <w:topLinePunct w:val="0"/>
        <w:autoSpaceDE/>
        <w:autoSpaceDN/>
        <w:bidi w:val="0"/>
        <w:adjustRightInd/>
        <w:spacing w:line="520" w:lineRule="exact"/>
        <w:jc w:val="righ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法定代表人或其委托代理人：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电子签章</w:t>
      </w:r>
      <w:r>
        <w:rPr>
          <w:rFonts w:hint="eastAsia" w:ascii="宋体" w:hAnsi="宋体" w:cs="宋体"/>
          <w:kern w:val="0"/>
          <w:sz w:val="24"/>
          <w:szCs w:val="24"/>
          <w:highlight w:val="none"/>
        </w:rPr>
        <w:t>）</w:t>
      </w:r>
    </w:p>
    <w:p w14:paraId="06FD733A">
      <w:pPr>
        <w:pStyle w:val="2"/>
        <w:pageBreakBefore w:val="0"/>
        <w:widowControl w:val="0"/>
        <w:kinsoku/>
        <w:overflowPunct/>
        <w:topLinePunct w:val="0"/>
        <w:autoSpaceDE/>
        <w:autoSpaceDN/>
        <w:bidi w:val="0"/>
        <w:adjustRightInd/>
        <w:spacing w:line="520" w:lineRule="exact"/>
        <w:jc w:val="right"/>
        <w:textAlignment w:val="auto"/>
        <w:rPr>
          <w:highlight w:val="none"/>
        </w:rPr>
      </w:pPr>
      <w:r>
        <w:rPr>
          <w:rFonts w:hint="eastAsia" w:ascii="宋体" w:hAnsi="宋体" w:eastAsia="宋体" w:cs="宋体"/>
          <w:kern w:val="0"/>
          <w:sz w:val="24"/>
          <w:szCs w:val="24"/>
          <w:highlight w:val="none"/>
          <w:lang w:val="en-US" w:eastAsia="zh-CN"/>
        </w:rPr>
        <w:t xml:space="preserve">   </w:t>
      </w:r>
      <w:bookmarkStart w:id="321" w:name="_Toc4881"/>
      <w:bookmarkStart w:id="322" w:name="_Toc26736"/>
      <w:r>
        <w:rPr>
          <w:rFonts w:hint="eastAsia" w:ascii="宋体" w:hAnsi="宋体" w:eastAsia="宋体" w:cs="宋体"/>
          <w:kern w:val="0"/>
          <w:sz w:val="24"/>
          <w:szCs w:val="24"/>
          <w:highlight w:val="none"/>
          <w:lang w:val="en-US" w:eastAsia="zh-CN"/>
        </w:rPr>
        <w:t>年     月     日</w:t>
      </w:r>
      <w:bookmarkEnd w:id="321"/>
      <w:bookmarkEnd w:id="322"/>
    </w:p>
    <w:p w14:paraId="6B865E57">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056FA03">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4FE2FE9">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B3282FE">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F9A1032">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27E5A18">
      <w:pPr>
        <w:spacing w:before="312" w:beforeLines="100" w:after="156" w:afterLines="50" w:line="480" w:lineRule="exact"/>
        <w:jc w:val="center"/>
        <w:textAlignment w:val="center"/>
        <w:rPr>
          <w:rFonts w:hint="eastAsia" w:ascii="宋体" w:hAnsi="宋体" w:cs="宋体"/>
          <w:b/>
          <w:bCs/>
          <w:color w:val="auto"/>
          <w:sz w:val="24"/>
          <w:highlight w:val="none"/>
        </w:rPr>
      </w:pPr>
    </w:p>
    <w:p w14:paraId="276CBF22">
      <w:pPr>
        <w:spacing w:before="312" w:beforeLines="100" w:after="156" w:afterLines="50" w:line="480" w:lineRule="exact"/>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0274D55F">
      <w:pPr>
        <w:spacing w:before="312" w:beforeLines="100" w:after="156" w:afterLines="50" w:line="480" w:lineRule="exact"/>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040C9545">
      <w:pPr>
        <w:spacing w:before="312" w:beforeLines="100" w:after="156" w:afterLines="50" w:line="480" w:lineRule="exact"/>
        <w:jc w:val="center"/>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2DAAC1BA">
      <w:pPr>
        <w:spacing w:before="312" w:beforeLines="100" w:after="156" w:afterLines="50" w:line="480" w:lineRule="exact"/>
        <w:jc w:val="center"/>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155D933D">
      <w:pPr>
        <w:spacing w:before="312" w:beforeLines="100" w:after="156" w:afterLines="50" w:line="480" w:lineRule="exact"/>
        <w:jc w:val="center"/>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2EF3EDEB">
      <w:pPr>
        <w:spacing w:before="312" w:beforeLines="100" w:after="156" w:afterLines="50" w:line="480" w:lineRule="exact"/>
        <w:jc w:val="center"/>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7ABCE2AC">
      <w:pPr>
        <w:spacing w:before="312" w:beforeLines="100" w:after="156" w:afterLines="50" w:line="480" w:lineRule="exact"/>
        <w:jc w:val="center"/>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1378DC46">
      <w:pPr>
        <w:spacing w:line="0" w:lineRule="atLeast"/>
        <w:jc w:val="center"/>
        <w:rPr>
          <w:rFonts w:hint="eastAsia" w:ascii="宋体" w:hAnsi="宋体" w:cs="宋体"/>
          <w:b/>
          <w:bCs/>
          <w:color w:val="auto"/>
          <w:sz w:val="30"/>
          <w:szCs w:val="30"/>
          <w:highlight w:val="none"/>
        </w:rPr>
      </w:pPr>
    </w:p>
    <w:p w14:paraId="2DBC54B9">
      <w:pPr>
        <w:spacing w:line="0" w:lineRule="atLeast"/>
        <w:jc w:val="center"/>
        <w:rPr>
          <w:rFonts w:hint="eastAsia" w:ascii="宋体" w:hAnsi="宋体" w:cs="宋体"/>
          <w:b/>
          <w:bCs/>
          <w:color w:val="auto"/>
          <w:sz w:val="30"/>
          <w:szCs w:val="30"/>
          <w:highlight w:val="none"/>
        </w:rPr>
      </w:pPr>
    </w:p>
    <w:p w14:paraId="04E4820D">
      <w:pPr>
        <w:rPr>
          <w:rFonts w:hint="eastAsia" w:ascii="宋体" w:hAnsi="宋体" w:cs="宋体"/>
          <w:b/>
          <w:bCs/>
          <w:color w:val="auto"/>
          <w:sz w:val="30"/>
          <w:szCs w:val="30"/>
          <w:highlight w:val="none"/>
        </w:rPr>
      </w:pPr>
      <w:bookmarkStart w:id="323" w:name="_Toc7607"/>
      <w:bookmarkStart w:id="324" w:name="_Toc6115"/>
      <w:bookmarkStart w:id="325" w:name="_Toc30826"/>
      <w:r>
        <w:rPr>
          <w:rFonts w:hint="eastAsia" w:ascii="宋体" w:hAnsi="宋体" w:cs="宋体"/>
          <w:b/>
          <w:bCs/>
          <w:color w:val="auto"/>
          <w:sz w:val="30"/>
          <w:szCs w:val="30"/>
          <w:highlight w:val="none"/>
        </w:rPr>
        <w:br w:type="page"/>
      </w:r>
    </w:p>
    <w:p w14:paraId="3951F789">
      <w:pPr>
        <w:spacing w:line="0" w:lineRule="atLeast"/>
        <w:jc w:val="center"/>
        <w:outlineLvl w:val="1"/>
        <w:rPr>
          <w:rFonts w:hint="eastAsia" w:ascii="宋体" w:hAnsi="宋体" w:eastAsia="宋体" w:cs="宋体"/>
          <w:b/>
          <w:bCs/>
          <w:color w:val="auto"/>
          <w:sz w:val="30"/>
          <w:szCs w:val="30"/>
          <w:highlight w:val="none"/>
          <w:lang w:eastAsia="zh-CN"/>
        </w:rPr>
      </w:pPr>
      <w:bookmarkStart w:id="326" w:name="_Toc19427"/>
      <w:r>
        <w:rPr>
          <w:rFonts w:hint="eastAsia" w:ascii="宋体" w:hAnsi="宋体" w:cs="宋体"/>
          <w:b/>
          <w:bCs/>
          <w:color w:val="auto"/>
          <w:sz w:val="30"/>
          <w:szCs w:val="30"/>
          <w:highlight w:val="none"/>
        </w:rPr>
        <w:t>五、技术</w:t>
      </w:r>
      <w:bookmarkEnd w:id="323"/>
      <w:r>
        <w:rPr>
          <w:rFonts w:hint="eastAsia" w:ascii="宋体" w:hAnsi="宋体" w:cs="宋体"/>
          <w:b/>
          <w:bCs/>
          <w:color w:val="auto"/>
          <w:sz w:val="30"/>
          <w:szCs w:val="30"/>
          <w:highlight w:val="none"/>
          <w:lang w:val="en-US" w:eastAsia="zh-CN"/>
        </w:rPr>
        <w:t>部分</w:t>
      </w:r>
      <w:bookmarkEnd w:id="324"/>
      <w:bookmarkEnd w:id="325"/>
      <w:bookmarkEnd w:id="326"/>
    </w:p>
    <w:p w14:paraId="589CDF03">
      <w:pPr>
        <w:spacing w:line="360" w:lineRule="auto"/>
        <w:ind w:firstLine="560" w:firstLineChars="200"/>
        <w:jc w:val="center"/>
        <w:rPr>
          <w:rFonts w:hint="eastAsia" w:ascii="宋体" w:hAnsi="宋体" w:cs="宋体"/>
          <w:color w:val="auto"/>
          <w:sz w:val="28"/>
          <w:szCs w:val="28"/>
          <w:highlight w:val="none"/>
        </w:rPr>
      </w:pPr>
    </w:p>
    <w:p w14:paraId="67884C6F">
      <w:pPr>
        <w:spacing w:line="360" w:lineRule="auto"/>
        <w:jc w:val="center"/>
        <w:rPr>
          <w:rFonts w:hint="eastAsia" w:ascii="宋体" w:hAnsi="宋体" w:eastAsia="宋体" w:cs="Times New Roman"/>
          <w:color w:val="auto"/>
          <w:sz w:val="24"/>
          <w:szCs w:val="24"/>
          <w:highlight w:val="none"/>
          <w:lang w:eastAsia="zh-CN"/>
        </w:rPr>
        <w:sectPr>
          <w:footerReference r:id="rId9" w:type="default"/>
          <w:pgSz w:w="11906" w:h="16838"/>
          <w:pgMar w:top="1077" w:right="1134" w:bottom="1077" w:left="1134" w:header="851" w:footer="992" w:gutter="0"/>
          <w:pgNumType w:fmt="decimal"/>
          <w:cols w:space="720" w:num="1"/>
          <w:docGrid w:type="lines" w:linePitch="312" w:charSpace="0"/>
        </w:sectPr>
      </w:pP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格式自拟</w:t>
      </w:r>
      <w:r>
        <w:rPr>
          <w:rFonts w:hint="eastAsia" w:ascii="宋体" w:hAnsi="宋体" w:eastAsia="宋体" w:cs="Times New Roman"/>
          <w:color w:val="auto"/>
          <w:sz w:val="24"/>
          <w:szCs w:val="24"/>
          <w:highlight w:val="none"/>
          <w:lang w:eastAsia="zh-CN"/>
        </w:rPr>
        <w:t>）</w:t>
      </w:r>
    </w:p>
    <w:p w14:paraId="600483BB">
      <w:pPr>
        <w:spacing w:line="0" w:lineRule="atLeast"/>
        <w:jc w:val="center"/>
        <w:outlineLvl w:val="1"/>
        <w:rPr>
          <w:rFonts w:hint="eastAsia" w:ascii="宋体" w:hAnsi="宋体" w:cs="宋体"/>
          <w:b/>
          <w:bCs/>
          <w:color w:val="auto"/>
          <w:sz w:val="30"/>
          <w:szCs w:val="30"/>
          <w:highlight w:val="none"/>
        </w:rPr>
      </w:pPr>
      <w:bookmarkStart w:id="327" w:name="_Toc455044845"/>
      <w:bookmarkStart w:id="328" w:name="_Toc17099"/>
      <w:bookmarkStart w:id="329" w:name="_Toc293043555"/>
      <w:bookmarkStart w:id="330" w:name="_Toc30235_WPSOffice_Level1"/>
      <w:bookmarkStart w:id="331" w:name="_Toc4123"/>
      <w:bookmarkStart w:id="332" w:name="_Toc21989"/>
      <w:bookmarkStart w:id="333" w:name="_Toc3241"/>
      <w:bookmarkStart w:id="334" w:name="_Toc14264"/>
      <w:r>
        <w:rPr>
          <w:rFonts w:hint="eastAsia" w:ascii="宋体" w:hAnsi="宋体" w:cs="宋体"/>
          <w:b/>
          <w:bCs/>
          <w:color w:val="auto"/>
          <w:sz w:val="30"/>
          <w:szCs w:val="30"/>
          <w:highlight w:val="none"/>
        </w:rPr>
        <w:t>六、</w:t>
      </w:r>
      <w:bookmarkEnd w:id="327"/>
      <w:bookmarkEnd w:id="328"/>
      <w:bookmarkEnd w:id="329"/>
      <w:bookmarkEnd w:id="330"/>
      <w:r>
        <w:rPr>
          <w:rFonts w:hint="eastAsia" w:ascii="宋体" w:hAnsi="宋体" w:cs="宋体"/>
          <w:b/>
          <w:bCs/>
          <w:color w:val="auto"/>
          <w:sz w:val="30"/>
          <w:szCs w:val="30"/>
          <w:highlight w:val="none"/>
        </w:rPr>
        <w:t>项目组成人员情况表</w:t>
      </w:r>
      <w:bookmarkEnd w:id="331"/>
      <w:bookmarkEnd w:id="332"/>
      <w:bookmarkEnd w:id="333"/>
      <w:bookmarkEnd w:id="334"/>
    </w:p>
    <w:tbl>
      <w:tblPr>
        <w:tblStyle w:val="18"/>
        <w:tblpPr w:leftFromText="180" w:rightFromText="180" w:vertAnchor="text" w:horzAnchor="page" w:tblpX="1778" w:tblpY="642"/>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32"/>
        <w:gridCol w:w="1492"/>
        <w:gridCol w:w="1492"/>
        <w:gridCol w:w="1492"/>
        <w:gridCol w:w="1492"/>
      </w:tblGrid>
      <w:tr w14:paraId="739F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004D3C59">
            <w:pPr>
              <w:jc w:val="center"/>
              <w:rPr>
                <w:rFonts w:ascii="宋体" w:hAnsi="宋体"/>
                <w:color w:val="auto"/>
                <w:highlight w:val="none"/>
              </w:rPr>
            </w:pPr>
            <w:r>
              <w:rPr>
                <w:rFonts w:hint="eastAsia" w:ascii="宋体" w:hAnsi="宋体"/>
                <w:color w:val="auto"/>
                <w:sz w:val="24"/>
                <w:highlight w:val="none"/>
              </w:rPr>
              <w:t>职务</w:t>
            </w:r>
          </w:p>
        </w:tc>
        <w:tc>
          <w:tcPr>
            <w:tcW w:w="1832" w:type="dxa"/>
            <w:tcBorders>
              <w:top w:val="single" w:color="auto" w:sz="4" w:space="0"/>
              <w:left w:val="nil"/>
              <w:bottom w:val="single" w:color="auto" w:sz="4" w:space="0"/>
              <w:right w:val="single" w:color="auto" w:sz="4" w:space="0"/>
            </w:tcBorders>
            <w:noWrap w:val="0"/>
            <w:vAlign w:val="center"/>
          </w:tcPr>
          <w:p w14:paraId="32A9054E">
            <w:pPr>
              <w:jc w:val="center"/>
              <w:rPr>
                <w:rFonts w:ascii="宋体" w:hAnsi="宋体"/>
                <w:color w:val="auto"/>
                <w:highlight w:val="none"/>
              </w:rPr>
            </w:pPr>
            <w:r>
              <w:rPr>
                <w:rFonts w:hint="eastAsia" w:ascii="宋体" w:hAnsi="宋体"/>
                <w:color w:val="auto"/>
                <w:sz w:val="24"/>
                <w:highlight w:val="none"/>
              </w:rPr>
              <w:t>姓名</w:t>
            </w:r>
          </w:p>
        </w:tc>
        <w:tc>
          <w:tcPr>
            <w:tcW w:w="1492" w:type="dxa"/>
            <w:tcBorders>
              <w:top w:val="single" w:color="auto" w:sz="4" w:space="0"/>
              <w:left w:val="nil"/>
              <w:bottom w:val="single" w:color="auto" w:sz="4" w:space="0"/>
              <w:right w:val="single" w:color="auto" w:sz="4" w:space="0"/>
            </w:tcBorders>
            <w:noWrap w:val="0"/>
            <w:vAlign w:val="center"/>
          </w:tcPr>
          <w:p w14:paraId="3AA52411">
            <w:pPr>
              <w:jc w:val="center"/>
              <w:rPr>
                <w:rFonts w:ascii="宋体" w:hAnsi="宋体"/>
                <w:color w:val="auto"/>
                <w:highlight w:val="none"/>
              </w:rPr>
            </w:pPr>
            <w:r>
              <w:rPr>
                <w:rFonts w:hint="eastAsia" w:ascii="宋体" w:hAnsi="宋体"/>
                <w:color w:val="auto"/>
                <w:sz w:val="24"/>
                <w:highlight w:val="none"/>
              </w:rPr>
              <w:t>职称</w:t>
            </w:r>
          </w:p>
        </w:tc>
        <w:tc>
          <w:tcPr>
            <w:tcW w:w="1492" w:type="dxa"/>
            <w:tcBorders>
              <w:top w:val="single" w:color="auto" w:sz="4" w:space="0"/>
              <w:left w:val="nil"/>
              <w:bottom w:val="single" w:color="auto" w:sz="4" w:space="0"/>
              <w:right w:val="single" w:color="auto" w:sz="4" w:space="0"/>
            </w:tcBorders>
            <w:noWrap w:val="0"/>
            <w:vAlign w:val="center"/>
          </w:tcPr>
          <w:p w14:paraId="6F4770A3">
            <w:pPr>
              <w:jc w:val="center"/>
              <w:rPr>
                <w:rFonts w:ascii="宋体" w:hAnsi="宋体"/>
                <w:color w:val="auto"/>
                <w:highlight w:val="none"/>
              </w:rPr>
            </w:pPr>
            <w:r>
              <w:rPr>
                <w:rFonts w:hint="eastAsia" w:ascii="宋体" w:hAnsi="宋体"/>
                <w:color w:val="auto"/>
                <w:sz w:val="24"/>
                <w:highlight w:val="none"/>
              </w:rPr>
              <w:t>证号</w:t>
            </w:r>
          </w:p>
        </w:tc>
        <w:tc>
          <w:tcPr>
            <w:tcW w:w="1492" w:type="dxa"/>
            <w:tcBorders>
              <w:top w:val="single" w:color="auto" w:sz="4" w:space="0"/>
              <w:left w:val="nil"/>
              <w:bottom w:val="single" w:color="auto" w:sz="4" w:space="0"/>
              <w:right w:val="single" w:color="auto" w:sz="4" w:space="0"/>
            </w:tcBorders>
            <w:noWrap w:val="0"/>
            <w:vAlign w:val="center"/>
          </w:tcPr>
          <w:p w14:paraId="72FFAEA1">
            <w:pPr>
              <w:jc w:val="center"/>
              <w:rPr>
                <w:rFonts w:ascii="宋体" w:hAnsi="宋体"/>
                <w:color w:val="auto"/>
                <w:highlight w:val="none"/>
              </w:rPr>
            </w:pPr>
            <w:r>
              <w:rPr>
                <w:rFonts w:hint="eastAsia" w:ascii="宋体" w:hAnsi="宋体"/>
                <w:color w:val="auto"/>
                <w:sz w:val="24"/>
                <w:highlight w:val="none"/>
              </w:rPr>
              <w:t>养老保险</w:t>
            </w:r>
          </w:p>
        </w:tc>
        <w:tc>
          <w:tcPr>
            <w:tcW w:w="1492" w:type="dxa"/>
            <w:tcBorders>
              <w:top w:val="single" w:color="auto" w:sz="4" w:space="0"/>
              <w:left w:val="nil"/>
              <w:bottom w:val="single" w:color="auto" w:sz="4" w:space="0"/>
              <w:right w:val="single" w:color="auto" w:sz="4" w:space="0"/>
            </w:tcBorders>
            <w:noWrap w:val="0"/>
            <w:vAlign w:val="center"/>
          </w:tcPr>
          <w:p w14:paraId="45F0F14F">
            <w:pPr>
              <w:jc w:val="center"/>
              <w:rPr>
                <w:rFonts w:ascii="宋体" w:hAnsi="宋体"/>
                <w:color w:val="auto"/>
                <w:highlight w:val="none"/>
              </w:rPr>
            </w:pPr>
            <w:r>
              <w:rPr>
                <w:rFonts w:hint="eastAsia" w:ascii="宋体" w:hAnsi="宋体"/>
                <w:color w:val="auto"/>
                <w:sz w:val="24"/>
                <w:highlight w:val="none"/>
              </w:rPr>
              <w:t>备注</w:t>
            </w:r>
          </w:p>
        </w:tc>
      </w:tr>
      <w:tr w14:paraId="4497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18D944FC">
            <w:pPr>
              <w:jc w:val="center"/>
              <w:rPr>
                <w:rFonts w:ascii="宋体" w:hAnsi="宋体"/>
                <w:color w:val="auto"/>
                <w:highlight w:val="none"/>
              </w:rPr>
            </w:pPr>
          </w:p>
        </w:tc>
        <w:tc>
          <w:tcPr>
            <w:tcW w:w="1832" w:type="dxa"/>
            <w:tcBorders>
              <w:top w:val="single" w:color="auto" w:sz="4" w:space="0"/>
              <w:left w:val="nil"/>
              <w:bottom w:val="single" w:color="auto" w:sz="4" w:space="0"/>
              <w:right w:val="single" w:color="auto" w:sz="4" w:space="0"/>
            </w:tcBorders>
            <w:noWrap w:val="0"/>
            <w:vAlign w:val="center"/>
          </w:tcPr>
          <w:p w14:paraId="1469100B">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350B636F">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16C8BD34">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3BD65337">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352C602B">
            <w:pPr>
              <w:jc w:val="center"/>
              <w:rPr>
                <w:rFonts w:ascii="宋体" w:hAnsi="宋体"/>
                <w:color w:val="auto"/>
                <w:highlight w:val="none"/>
              </w:rPr>
            </w:pPr>
          </w:p>
        </w:tc>
      </w:tr>
      <w:tr w14:paraId="5A1E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37B2041E">
            <w:pPr>
              <w:jc w:val="center"/>
              <w:rPr>
                <w:rFonts w:ascii="宋体" w:hAnsi="宋体"/>
                <w:color w:val="auto"/>
                <w:highlight w:val="none"/>
              </w:rPr>
            </w:pPr>
          </w:p>
        </w:tc>
        <w:tc>
          <w:tcPr>
            <w:tcW w:w="1832" w:type="dxa"/>
            <w:tcBorders>
              <w:top w:val="single" w:color="auto" w:sz="4" w:space="0"/>
              <w:left w:val="nil"/>
              <w:bottom w:val="single" w:color="auto" w:sz="4" w:space="0"/>
              <w:right w:val="single" w:color="auto" w:sz="4" w:space="0"/>
            </w:tcBorders>
            <w:noWrap w:val="0"/>
            <w:vAlign w:val="center"/>
          </w:tcPr>
          <w:p w14:paraId="6A1930C4">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0C3CD41D">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1540C997">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3004A435">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5F2C5AB2">
            <w:pPr>
              <w:jc w:val="center"/>
              <w:rPr>
                <w:rFonts w:ascii="宋体" w:hAnsi="宋体"/>
                <w:color w:val="auto"/>
                <w:highlight w:val="none"/>
              </w:rPr>
            </w:pPr>
          </w:p>
        </w:tc>
      </w:tr>
      <w:tr w14:paraId="17C8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74C57A6E">
            <w:pPr>
              <w:jc w:val="center"/>
              <w:rPr>
                <w:rFonts w:ascii="宋体" w:hAnsi="宋体"/>
                <w:color w:val="auto"/>
                <w:highlight w:val="none"/>
              </w:rPr>
            </w:pPr>
          </w:p>
        </w:tc>
        <w:tc>
          <w:tcPr>
            <w:tcW w:w="1832" w:type="dxa"/>
            <w:tcBorders>
              <w:top w:val="single" w:color="auto" w:sz="4" w:space="0"/>
              <w:left w:val="nil"/>
              <w:bottom w:val="single" w:color="auto" w:sz="4" w:space="0"/>
              <w:right w:val="single" w:color="auto" w:sz="4" w:space="0"/>
            </w:tcBorders>
            <w:noWrap w:val="0"/>
            <w:vAlign w:val="center"/>
          </w:tcPr>
          <w:p w14:paraId="78F6C9B7">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214B402F">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4D576169">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2D5A3889">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3249AEB1">
            <w:pPr>
              <w:jc w:val="center"/>
              <w:rPr>
                <w:rFonts w:ascii="宋体" w:hAnsi="宋体"/>
                <w:color w:val="auto"/>
                <w:highlight w:val="none"/>
              </w:rPr>
            </w:pPr>
          </w:p>
        </w:tc>
      </w:tr>
      <w:tr w14:paraId="4BED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5C7D5BD5">
            <w:pPr>
              <w:jc w:val="center"/>
              <w:rPr>
                <w:rFonts w:ascii="宋体" w:hAnsi="宋体"/>
                <w:color w:val="auto"/>
                <w:highlight w:val="none"/>
              </w:rPr>
            </w:pPr>
          </w:p>
        </w:tc>
        <w:tc>
          <w:tcPr>
            <w:tcW w:w="1832" w:type="dxa"/>
            <w:tcBorders>
              <w:top w:val="single" w:color="auto" w:sz="4" w:space="0"/>
              <w:left w:val="nil"/>
              <w:bottom w:val="single" w:color="auto" w:sz="4" w:space="0"/>
              <w:right w:val="single" w:color="auto" w:sz="4" w:space="0"/>
            </w:tcBorders>
            <w:noWrap w:val="0"/>
            <w:vAlign w:val="center"/>
          </w:tcPr>
          <w:p w14:paraId="78010A24">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6B266886">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65AA86C2">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11AC8812">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7A8D1BCC">
            <w:pPr>
              <w:jc w:val="center"/>
              <w:rPr>
                <w:rFonts w:ascii="宋体" w:hAnsi="宋体"/>
                <w:color w:val="auto"/>
                <w:highlight w:val="none"/>
              </w:rPr>
            </w:pPr>
          </w:p>
        </w:tc>
      </w:tr>
      <w:tr w14:paraId="3FFF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262561A0">
            <w:pPr>
              <w:jc w:val="center"/>
              <w:rPr>
                <w:rFonts w:ascii="宋体" w:hAnsi="宋体"/>
                <w:color w:val="auto"/>
                <w:highlight w:val="none"/>
              </w:rPr>
            </w:pPr>
          </w:p>
        </w:tc>
        <w:tc>
          <w:tcPr>
            <w:tcW w:w="1832" w:type="dxa"/>
            <w:tcBorders>
              <w:top w:val="single" w:color="auto" w:sz="4" w:space="0"/>
              <w:left w:val="nil"/>
              <w:bottom w:val="single" w:color="auto" w:sz="4" w:space="0"/>
              <w:right w:val="single" w:color="auto" w:sz="4" w:space="0"/>
            </w:tcBorders>
            <w:noWrap w:val="0"/>
            <w:vAlign w:val="center"/>
          </w:tcPr>
          <w:p w14:paraId="4DADD5F5">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7E9D38AD">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1013ACCE">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5498D5B5">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64C3C7DC">
            <w:pPr>
              <w:jc w:val="center"/>
              <w:rPr>
                <w:rFonts w:ascii="宋体" w:hAnsi="宋体"/>
                <w:color w:val="auto"/>
                <w:highlight w:val="none"/>
              </w:rPr>
            </w:pPr>
          </w:p>
        </w:tc>
      </w:tr>
      <w:tr w14:paraId="44AB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0CA79BEC">
            <w:pPr>
              <w:jc w:val="center"/>
              <w:rPr>
                <w:rFonts w:ascii="宋体" w:hAnsi="宋体"/>
                <w:color w:val="auto"/>
                <w:highlight w:val="none"/>
              </w:rPr>
            </w:pPr>
          </w:p>
        </w:tc>
        <w:tc>
          <w:tcPr>
            <w:tcW w:w="1832" w:type="dxa"/>
            <w:tcBorders>
              <w:top w:val="single" w:color="auto" w:sz="4" w:space="0"/>
              <w:left w:val="nil"/>
              <w:bottom w:val="single" w:color="auto" w:sz="4" w:space="0"/>
              <w:right w:val="single" w:color="auto" w:sz="4" w:space="0"/>
            </w:tcBorders>
            <w:noWrap w:val="0"/>
            <w:vAlign w:val="center"/>
          </w:tcPr>
          <w:p w14:paraId="7BB5E8F2">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43A39A21">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51E5021D">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5B0052E6">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017904C4">
            <w:pPr>
              <w:jc w:val="center"/>
              <w:rPr>
                <w:rFonts w:ascii="宋体" w:hAnsi="宋体"/>
                <w:color w:val="auto"/>
                <w:highlight w:val="none"/>
              </w:rPr>
            </w:pPr>
          </w:p>
        </w:tc>
      </w:tr>
      <w:tr w14:paraId="00F4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65ABB1DA">
            <w:pPr>
              <w:jc w:val="center"/>
              <w:rPr>
                <w:rFonts w:ascii="宋体" w:hAnsi="宋体"/>
                <w:color w:val="auto"/>
                <w:highlight w:val="none"/>
              </w:rPr>
            </w:pPr>
          </w:p>
        </w:tc>
        <w:tc>
          <w:tcPr>
            <w:tcW w:w="1832" w:type="dxa"/>
            <w:tcBorders>
              <w:top w:val="single" w:color="auto" w:sz="4" w:space="0"/>
              <w:left w:val="nil"/>
              <w:bottom w:val="single" w:color="auto" w:sz="4" w:space="0"/>
              <w:right w:val="single" w:color="auto" w:sz="4" w:space="0"/>
            </w:tcBorders>
            <w:noWrap w:val="0"/>
            <w:vAlign w:val="center"/>
          </w:tcPr>
          <w:p w14:paraId="36D1ED43">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5F3A6DF8">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203D3145">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4D268A01">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35B29323">
            <w:pPr>
              <w:jc w:val="center"/>
              <w:rPr>
                <w:rFonts w:ascii="宋体" w:hAnsi="宋体"/>
                <w:color w:val="auto"/>
                <w:highlight w:val="none"/>
              </w:rPr>
            </w:pPr>
          </w:p>
        </w:tc>
      </w:tr>
      <w:tr w14:paraId="1659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69AF1CE1">
            <w:pPr>
              <w:jc w:val="center"/>
              <w:rPr>
                <w:rFonts w:ascii="宋体" w:hAnsi="宋体"/>
                <w:color w:val="auto"/>
                <w:highlight w:val="none"/>
              </w:rPr>
            </w:pPr>
          </w:p>
        </w:tc>
        <w:tc>
          <w:tcPr>
            <w:tcW w:w="1832" w:type="dxa"/>
            <w:tcBorders>
              <w:top w:val="single" w:color="auto" w:sz="4" w:space="0"/>
              <w:left w:val="nil"/>
              <w:bottom w:val="single" w:color="auto" w:sz="4" w:space="0"/>
              <w:right w:val="single" w:color="auto" w:sz="4" w:space="0"/>
            </w:tcBorders>
            <w:noWrap w:val="0"/>
            <w:vAlign w:val="center"/>
          </w:tcPr>
          <w:p w14:paraId="4784FAA9">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4A8B6ACF">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15FEB692">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4E0117B8">
            <w:pPr>
              <w:jc w:val="center"/>
              <w:rPr>
                <w:rFonts w:ascii="宋体" w:hAnsi="宋体"/>
                <w:color w:val="auto"/>
                <w:highlight w:val="none"/>
              </w:rPr>
            </w:pPr>
          </w:p>
        </w:tc>
        <w:tc>
          <w:tcPr>
            <w:tcW w:w="1492" w:type="dxa"/>
            <w:tcBorders>
              <w:top w:val="single" w:color="auto" w:sz="4" w:space="0"/>
              <w:left w:val="nil"/>
              <w:bottom w:val="single" w:color="auto" w:sz="4" w:space="0"/>
              <w:right w:val="single" w:color="auto" w:sz="4" w:space="0"/>
            </w:tcBorders>
            <w:noWrap w:val="0"/>
            <w:vAlign w:val="center"/>
          </w:tcPr>
          <w:p w14:paraId="53B80458">
            <w:pPr>
              <w:jc w:val="center"/>
              <w:rPr>
                <w:rFonts w:ascii="宋体" w:hAnsi="宋体"/>
                <w:color w:val="auto"/>
                <w:highlight w:val="none"/>
              </w:rPr>
            </w:pPr>
          </w:p>
        </w:tc>
      </w:tr>
    </w:tbl>
    <w:p w14:paraId="66DD833B">
      <w:pPr>
        <w:spacing w:before="138"/>
        <w:jc w:val="left"/>
        <w:rPr>
          <w:rFonts w:hint="eastAsia"/>
          <w:b/>
          <w:color w:val="auto"/>
          <w:sz w:val="24"/>
          <w:highlight w:val="none"/>
        </w:rPr>
      </w:pPr>
    </w:p>
    <w:p w14:paraId="6253D80F">
      <w:pPr>
        <w:spacing w:before="138"/>
        <w:ind w:firstLine="482" w:firstLineChars="200"/>
        <w:jc w:val="left"/>
        <w:rPr>
          <w:b/>
          <w:color w:val="auto"/>
          <w:sz w:val="24"/>
          <w:highlight w:val="none"/>
        </w:rPr>
      </w:pPr>
      <w:r>
        <w:rPr>
          <w:rFonts w:hint="eastAsia"/>
          <w:b/>
          <w:color w:val="auto"/>
          <w:sz w:val="24"/>
          <w:highlight w:val="none"/>
        </w:rPr>
        <w:t>需要在标书中附上相关证明材料.</w:t>
      </w:r>
    </w:p>
    <w:p w14:paraId="58C89592">
      <w:pPr>
        <w:spacing w:line="360" w:lineRule="auto"/>
        <w:jc w:val="center"/>
        <w:rPr>
          <w:rFonts w:hint="eastAsia" w:ascii="宋体" w:hAnsi="宋体" w:cs="宋体"/>
          <w:b/>
          <w:color w:val="auto"/>
          <w:sz w:val="28"/>
          <w:szCs w:val="28"/>
          <w:highlight w:val="none"/>
        </w:rPr>
      </w:pPr>
    </w:p>
    <w:p w14:paraId="34194486">
      <w:pPr>
        <w:spacing w:line="360" w:lineRule="auto"/>
        <w:jc w:val="center"/>
        <w:rPr>
          <w:rFonts w:hint="eastAsia" w:ascii="宋体" w:hAnsi="宋体" w:cs="宋体"/>
          <w:b/>
          <w:color w:val="auto"/>
          <w:sz w:val="28"/>
          <w:szCs w:val="28"/>
          <w:highlight w:val="none"/>
        </w:rPr>
      </w:pPr>
    </w:p>
    <w:p w14:paraId="3226E72B">
      <w:pPr>
        <w:spacing w:line="360" w:lineRule="auto"/>
        <w:jc w:val="center"/>
        <w:rPr>
          <w:rFonts w:hint="eastAsia" w:ascii="宋体" w:hAnsi="宋体" w:cs="宋体"/>
          <w:b/>
          <w:color w:val="auto"/>
          <w:sz w:val="28"/>
          <w:szCs w:val="28"/>
          <w:highlight w:val="none"/>
        </w:rPr>
      </w:pPr>
    </w:p>
    <w:p w14:paraId="0993C4C2">
      <w:pPr>
        <w:spacing w:line="360" w:lineRule="auto"/>
        <w:jc w:val="center"/>
        <w:rPr>
          <w:rFonts w:hint="eastAsia" w:ascii="宋体" w:hAnsi="宋体" w:cs="宋体"/>
          <w:b/>
          <w:color w:val="auto"/>
          <w:sz w:val="28"/>
          <w:szCs w:val="28"/>
          <w:highlight w:val="none"/>
        </w:rPr>
      </w:pPr>
    </w:p>
    <w:p w14:paraId="4B9F8F18">
      <w:pPr>
        <w:spacing w:line="360" w:lineRule="auto"/>
        <w:jc w:val="center"/>
        <w:rPr>
          <w:rFonts w:hint="eastAsia" w:ascii="宋体" w:hAnsi="宋体" w:cs="宋体"/>
          <w:b/>
          <w:color w:val="auto"/>
          <w:sz w:val="28"/>
          <w:szCs w:val="28"/>
          <w:highlight w:val="none"/>
        </w:rPr>
      </w:pPr>
    </w:p>
    <w:p w14:paraId="0AD78B7D">
      <w:pPr>
        <w:spacing w:line="360" w:lineRule="auto"/>
        <w:jc w:val="center"/>
        <w:rPr>
          <w:rFonts w:hint="eastAsia" w:ascii="宋体" w:hAnsi="宋体" w:cs="宋体"/>
          <w:b/>
          <w:color w:val="auto"/>
          <w:sz w:val="28"/>
          <w:szCs w:val="28"/>
          <w:highlight w:val="none"/>
        </w:rPr>
      </w:pPr>
    </w:p>
    <w:p w14:paraId="49D954AB">
      <w:pPr>
        <w:spacing w:line="0" w:lineRule="atLeast"/>
        <w:jc w:val="center"/>
        <w:rPr>
          <w:rFonts w:hint="eastAsia" w:ascii="宋体" w:hAnsi="宋体" w:cs="宋体"/>
          <w:b/>
          <w:bCs/>
          <w:color w:val="auto"/>
          <w:sz w:val="30"/>
          <w:szCs w:val="30"/>
          <w:highlight w:val="none"/>
        </w:rPr>
      </w:pPr>
      <w:bookmarkStart w:id="335" w:name="_Toc293043556"/>
      <w:bookmarkStart w:id="336" w:name="_Toc18610"/>
      <w:bookmarkStart w:id="337" w:name="_Toc27335_WPSOffice_Level1"/>
      <w:bookmarkStart w:id="338" w:name="_Toc455044846"/>
    </w:p>
    <w:p w14:paraId="17E351DC">
      <w:pPr>
        <w:spacing w:line="0" w:lineRule="atLeast"/>
        <w:jc w:val="center"/>
        <w:rPr>
          <w:rFonts w:hint="eastAsia" w:ascii="宋体" w:hAnsi="宋体" w:cs="宋体"/>
          <w:b/>
          <w:bCs/>
          <w:color w:val="auto"/>
          <w:sz w:val="30"/>
          <w:szCs w:val="30"/>
          <w:highlight w:val="none"/>
        </w:rPr>
      </w:pPr>
    </w:p>
    <w:p w14:paraId="5278658B">
      <w:pPr>
        <w:rPr>
          <w:rFonts w:hint="eastAsia" w:ascii="宋体" w:hAnsi="宋体" w:cs="宋体"/>
          <w:b/>
          <w:bCs/>
          <w:color w:val="auto"/>
          <w:sz w:val="30"/>
          <w:szCs w:val="30"/>
          <w:highlight w:val="none"/>
        </w:rPr>
      </w:pPr>
      <w:bookmarkStart w:id="339" w:name="_Toc15086"/>
      <w:bookmarkStart w:id="340" w:name="_Toc30024"/>
      <w:bookmarkStart w:id="341" w:name="_Toc9639"/>
      <w:r>
        <w:rPr>
          <w:rFonts w:hint="eastAsia" w:ascii="宋体" w:hAnsi="宋体" w:cs="宋体"/>
          <w:b/>
          <w:bCs/>
          <w:color w:val="auto"/>
          <w:sz w:val="30"/>
          <w:szCs w:val="30"/>
          <w:highlight w:val="none"/>
        </w:rPr>
        <w:br w:type="page"/>
      </w:r>
    </w:p>
    <w:p w14:paraId="2B467BEE">
      <w:pPr>
        <w:spacing w:line="0" w:lineRule="atLeast"/>
        <w:jc w:val="center"/>
        <w:outlineLvl w:val="1"/>
        <w:rPr>
          <w:rFonts w:hint="eastAsia" w:ascii="宋体" w:hAnsi="宋体" w:cs="宋体"/>
          <w:b/>
          <w:bCs/>
          <w:color w:val="auto"/>
          <w:sz w:val="30"/>
          <w:szCs w:val="30"/>
          <w:highlight w:val="none"/>
        </w:rPr>
      </w:pPr>
      <w:bookmarkStart w:id="342" w:name="_Toc4270"/>
      <w:r>
        <w:rPr>
          <w:rFonts w:hint="eastAsia" w:ascii="宋体" w:hAnsi="宋体" w:cs="宋体"/>
          <w:b/>
          <w:bCs/>
          <w:color w:val="auto"/>
          <w:sz w:val="30"/>
          <w:szCs w:val="30"/>
          <w:highlight w:val="none"/>
        </w:rPr>
        <w:t>七、资格审查资料</w:t>
      </w:r>
      <w:bookmarkEnd w:id="335"/>
      <w:bookmarkEnd w:id="336"/>
      <w:bookmarkEnd w:id="337"/>
      <w:bookmarkEnd w:id="338"/>
      <w:bookmarkEnd w:id="339"/>
      <w:bookmarkEnd w:id="340"/>
      <w:bookmarkEnd w:id="341"/>
      <w:bookmarkEnd w:id="342"/>
    </w:p>
    <w:p w14:paraId="0B439A3C">
      <w:pPr>
        <w:spacing w:line="360" w:lineRule="auto"/>
        <w:rPr>
          <w:rFonts w:hint="eastAsia" w:ascii="宋体" w:hAnsi="宋体" w:eastAsia="宋体" w:cs="宋体"/>
          <w:b/>
          <w:color w:val="auto"/>
          <w:sz w:val="24"/>
          <w:highlight w:val="none"/>
          <w:lang w:val="zh-CN" w:bidi="zh-CN"/>
        </w:rPr>
      </w:pPr>
      <w:r>
        <w:rPr>
          <w:rFonts w:hint="eastAsia" w:ascii="宋体" w:hAnsi="宋体" w:eastAsia="宋体" w:cs="宋体"/>
          <w:b/>
          <w:color w:val="auto"/>
          <w:sz w:val="24"/>
          <w:highlight w:val="none"/>
          <w:lang w:val="zh-CN" w:bidi="zh-CN"/>
        </w:rPr>
        <w:t>（一）基本情况表</w:t>
      </w:r>
    </w:p>
    <w:p w14:paraId="0C4C5A92">
      <w:pPr>
        <w:autoSpaceDE w:val="0"/>
        <w:autoSpaceDN w:val="0"/>
        <w:spacing w:before="6" w:after="1"/>
        <w:rPr>
          <w:rFonts w:ascii="宋体" w:hAnsi="宋体" w:cs="宋体"/>
          <w:b/>
          <w:color w:val="auto"/>
          <w:sz w:val="18"/>
          <w:szCs w:val="21"/>
          <w:highlight w:val="none"/>
          <w:lang w:val="zh-CN" w:bidi="zh-CN"/>
        </w:rPr>
      </w:pPr>
    </w:p>
    <w:tbl>
      <w:tblPr>
        <w:tblStyle w:val="18"/>
        <w:tblW w:w="92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5"/>
        <w:gridCol w:w="941"/>
        <w:gridCol w:w="885"/>
        <w:gridCol w:w="1110"/>
        <w:gridCol w:w="792"/>
        <w:gridCol w:w="877"/>
        <w:gridCol w:w="849"/>
        <w:gridCol w:w="290"/>
        <w:gridCol w:w="1377"/>
      </w:tblGrid>
      <w:tr w14:paraId="035A7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095" w:type="dxa"/>
            <w:noWrap w:val="0"/>
            <w:vAlign w:val="top"/>
          </w:tcPr>
          <w:p w14:paraId="7D580F83">
            <w:pPr>
              <w:autoSpaceDE w:val="0"/>
              <w:autoSpaceDN w:val="0"/>
              <w:spacing w:before="128"/>
              <w:ind w:left="599"/>
              <w:rPr>
                <w:rFonts w:ascii="宋体" w:hAnsi="宋体" w:cs="宋体"/>
                <w:color w:val="auto"/>
                <w:highlight w:val="none"/>
                <w:lang w:val="zh-CN" w:eastAsia="en-US" w:bidi="zh-CN"/>
              </w:rPr>
            </w:pPr>
            <w:r>
              <w:rPr>
                <w:rFonts w:hint="eastAsia" w:ascii="宋体" w:hAnsi="宋体" w:cs="宋体"/>
                <w:color w:val="auto"/>
                <w:highlight w:val="none"/>
                <w:lang w:val="zh-CN" w:eastAsia="en-US" w:bidi="zh-CN"/>
              </w:rPr>
              <w:t>响应人</w:t>
            </w:r>
            <w:r>
              <w:rPr>
                <w:rFonts w:ascii="宋体" w:hAnsi="宋体" w:cs="宋体"/>
                <w:color w:val="auto"/>
                <w:highlight w:val="none"/>
                <w:lang w:val="zh-CN" w:eastAsia="en-US" w:bidi="zh-CN"/>
              </w:rPr>
              <w:t>名称</w:t>
            </w:r>
          </w:p>
        </w:tc>
        <w:tc>
          <w:tcPr>
            <w:tcW w:w="7121" w:type="dxa"/>
            <w:gridSpan w:val="8"/>
            <w:noWrap w:val="0"/>
            <w:vAlign w:val="top"/>
          </w:tcPr>
          <w:p w14:paraId="3745BD8B">
            <w:pPr>
              <w:autoSpaceDE w:val="0"/>
              <w:autoSpaceDN w:val="0"/>
              <w:rPr>
                <w:rFonts w:hAnsi="宋体" w:cs="宋体"/>
                <w:color w:val="auto"/>
                <w:sz w:val="20"/>
                <w:highlight w:val="none"/>
                <w:lang w:val="zh-CN" w:eastAsia="en-US" w:bidi="zh-CN"/>
              </w:rPr>
            </w:pPr>
          </w:p>
        </w:tc>
      </w:tr>
      <w:tr w14:paraId="0B79A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095" w:type="dxa"/>
            <w:noWrap w:val="0"/>
            <w:vAlign w:val="top"/>
          </w:tcPr>
          <w:p w14:paraId="6E432928">
            <w:pPr>
              <w:autoSpaceDE w:val="0"/>
              <w:autoSpaceDN w:val="0"/>
              <w:spacing w:before="130"/>
              <w:ind w:left="705"/>
              <w:rPr>
                <w:rFonts w:ascii="宋体" w:hAnsi="宋体" w:cs="宋体"/>
                <w:color w:val="auto"/>
                <w:highlight w:val="none"/>
                <w:lang w:val="zh-CN" w:eastAsia="en-US" w:bidi="zh-CN"/>
              </w:rPr>
            </w:pPr>
            <w:r>
              <w:rPr>
                <w:rFonts w:ascii="宋体" w:hAnsi="宋体" w:cs="宋体"/>
                <w:color w:val="auto"/>
                <w:highlight w:val="none"/>
                <w:lang w:val="zh-CN" w:eastAsia="en-US" w:bidi="zh-CN"/>
              </w:rPr>
              <w:t>注册地址</w:t>
            </w:r>
          </w:p>
        </w:tc>
        <w:tc>
          <w:tcPr>
            <w:tcW w:w="2936" w:type="dxa"/>
            <w:gridSpan w:val="3"/>
            <w:noWrap w:val="0"/>
            <w:vAlign w:val="top"/>
          </w:tcPr>
          <w:p w14:paraId="6D007C4D">
            <w:pPr>
              <w:autoSpaceDE w:val="0"/>
              <w:autoSpaceDN w:val="0"/>
              <w:rPr>
                <w:rFonts w:hAnsi="宋体" w:cs="宋体"/>
                <w:color w:val="auto"/>
                <w:sz w:val="20"/>
                <w:highlight w:val="none"/>
                <w:lang w:val="zh-CN" w:eastAsia="en-US" w:bidi="zh-CN"/>
              </w:rPr>
            </w:pPr>
          </w:p>
        </w:tc>
        <w:tc>
          <w:tcPr>
            <w:tcW w:w="1669" w:type="dxa"/>
            <w:gridSpan w:val="2"/>
            <w:noWrap w:val="0"/>
            <w:vAlign w:val="top"/>
          </w:tcPr>
          <w:p w14:paraId="314FEE54">
            <w:pPr>
              <w:autoSpaceDE w:val="0"/>
              <w:autoSpaceDN w:val="0"/>
              <w:spacing w:before="130"/>
              <w:ind w:left="223"/>
              <w:rPr>
                <w:rFonts w:ascii="宋体" w:hAnsi="宋体" w:cs="宋体"/>
                <w:color w:val="auto"/>
                <w:highlight w:val="none"/>
                <w:lang w:val="zh-CN" w:eastAsia="en-US" w:bidi="zh-CN"/>
              </w:rPr>
            </w:pPr>
            <w:r>
              <w:rPr>
                <w:rFonts w:ascii="宋体" w:hAnsi="宋体" w:cs="宋体"/>
                <w:color w:val="auto"/>
                <w:highlight w:val="none"/>
                <w:lang w:val="zh-CN" w:eastAsia="en-US" w:bidi="zh-CN"/>
              </w:rPr>
              <w:t>邮政编码</w:t>
            </w:r>
          </w:p>
        </w:tc>
        <w:tc>
          <w:tcPr>
            <w:tcW w:w="2516" w:type="dxa"/>
            <w:gridSpan w:val="3"/>
            <w:noWrap w:val="0"/>
            <w:vAlign w:val="top"/>
          </w:tcPr>
          <w:p w14:paraId="31B5BB31">
            <w:pPr>
              <w:autoSpaceDE w:val="0"/>
              <w:autoSpaceDN w:val="0"/>
              <w:rPr>
                <w:rFonts w:hAnsi="宋体" w:cs="宋体"/>
                <w:color w:val="auto"/>
                <w:sz w:val="20"/>
                <w:highlight w:val="none"/>
                <w:lang w:val="zh-CN" w:eastAsia="en-US" w:bidi="zh-CN"/>
              </w:rPr>
            </w:pPr>
          </w:p>
        </w:tc>
      </w:tr>
      <w:tr w14:paraId="03F27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095" w:type="dxa"/>
            <w:vMerge w:val="restart"/>
            <w:noWrap w:val="0"/>
            <w:vAlign w:val="top"/>
          </w:tcPr>
          <w:p w14:paraId="4C8B5C2A">
            <w:pPr>
              <w:autoSpaceDE w:val="0"/>
              <w:autoSpaceDN w:val="0"/>
              <w:spacing w:before="5"/>
              <w:rPr>
                <w:rFonts w:ascii="宋体" w:hAnsi="宋体" w:cs="宋体"/>
                <w:b/>
                <w:color w:val="auto"/>
                <w:sz w:val="24"/>
                <w:highlight w:val="none"/>
                <w:lang w:val="zh-CN" w:eastAsia="en-US" w:bidi="zh-CN"/>
              </w:rPr>
            </w:pPr>
          </w:p>
          <w:p w14:paraId="3148AC1D">
            <w:pPr>
              <w:autoSpaceDE w:val="0"/>
              <w:autoSpaceDN w:val="0"/>
              <w:ind w:left="602"/>
              <w:rPr>
                <w:rFonts w:ascii="宋体" w:hAnsi="宋体" w:cs="宋体"/>
                <w:color w:val="auto"/>
                <w:highlight w:val="none"/>
                <w:lang w:val="zh-CN" w:eastAsia="en-US" w:bidi="zh-CN"/>
              </w:rPr>
            </w:pPr>
            <w:r>
              <w:rPr>
                <w:rFonts w:ascii="宋体" w:hAnsi="宋体" w:cs="宋体"/>
                <w:color w:val="auto"/>
                <w:highlight w:val="none"/>
                <w:lang w:val="zh-CN" w:eastAsia="en-US" w:bidi="zh-CN"/>
              </w:rPr>
              <w:t>联系方式</w:t>
            </w:r>
          </w:p>
        </w:tc>
        <w:tc>
          <w:tcPr>
            <w:tcW w:w="941" w:type="dxa"/>
            <w:noWrap w:val="0"/>
            <w:vAlign w:val="top"/>
          </w:tcPr>
          <w:p w14:paraId="088990B0">
            <w:pPr>
              <w:autoSpaceDE w:val="0"/>
              <w:autoSpaceDN w:val="0"/>
              <w:spacing w:before="128"/>
              <w:ind w:left="13"/>
              <w:jc w:val="center"/>
              <w:rPr>
                <w:rFonts w:ascii="宋体" w:hAnsi="宋体" w:cs="宋体"/>
                <w:color w:val="auto"/>
                <w:highlight w:val="none"/>
                <w:lang w:val="zh-CN" w:eastAsia="en-US" w:bidi="zh-CN"/>
              </w:rPr>
            </w:pPr>
            <w:r>
              <w:rPr>
                <w:rFonts w:ascii="宋体" w:hAnsi="宋体" w:cs="宋体"/>
                <w:color w:val="auto"/>
                <w:highlight w:val="none"/>
                <w:lang w:val="zh-CN" w:eastAsia="en-US" w:bidi="zh-CN"/>
              </w:rPr>
              <w:t>联系人</w:t>
            </w:r>
          </w:p>
        </w:tc>
        <w:tc>
          <w:tcPr>
            <w:tcW w:w="1995" w:type="dxa"/>
            <w:gridSpan w:val="2"/>
            <w:noWrap w:val="0"/>
            <w:vAlign w:val="top"/>
          </w:tcPr>
          <w:p w14:paraId="4F5A35AC">
            <w:pPr>
              <w:autoSpaceDE w:val="0"/>
              <w:autoSpaceDN w:val="0"/>
              <w:rPr>
                <w:rFonts w:hAnsi="宋体" w:cs="宋体"/>
                <w:color w:val="auto"/>
                <w:sz w:val="20"/>
                <w:highlight w:val="none"/>
                <w:lang w:val="zh-CN" w:eastAsia="en-US" w:bidi="zh-CN"/>
              </w:rPr>
            </w:pPr>
          </w:p>
        </w:tc>
        <w:tc>
          <w:tcPr>
            <w:tcW w:w="1669" w:type="dxa"/>
            <w:gridSpan w:val="2"/>
            <w:noWrap w:val="0"/>
            <w:vAlign w:val="top"/>
          </w:tcPr>
          <w:p w14:paraId="15F033B3">
            <w:pPr>
              <w:autoSpaceDE w:val="0"/>
              <w:autoSpaceDN w:val="0"/>
              <w:spacing w:before="128"/>
              <w:ind w:left="381"/>
              <w:rPr>
                <w:rFonts w:ascii="宋体" w:hAnsi="宋体" w:cs="宋体"/>
                <w:color w:val="auto"/>
                <w:highlight w:val="none"/>
                <w:lang w:val="zh-CN" w:eastAsia="en-US" w:bidi="zh-CN"/>
              </w:rPr>
            </w:pPr>
            <w:r>
              <w:rPr>
                <w:rFonts w:ascii="宋体" w:hAnsi="宋体" w:cs="宋体"/>
                <w:color w:val="auto"/>
                <w:highlight w:val="none"/>
                <w:lang w:val="zh-CN" w:eastAsia="en-US" w:bidi="zh-CN"/>
              </w:rPr>
              <w:t>电 话</w:t>
            </w:r>
          </w:p>
        </w:tc>
        <w:tc>
          <w:tcPr>
            <w:tcW w:w="2516" w:type="dxa"/>
            <w:gridSpan w:val="3"/>
            <w:noWrap w:val="0"/>
            <w:vAlign w:val="top"/>
          </w:tcPr>
          <w:p w14:paraId="2E914F98">
            <w:pPr>
              <w:autoSpaceDE w:val="0"/>
              <w:autoSpaceDN w:val="0"/>
              <w:rPr>
                <w:rFonts w:hAnsi="宋体" w:cs="宋体"/>
                <w:color w:val="auto"/>
                <w:sz w:val="20"/>
                <w:highlight w:val="none"/>
                <w:lang w:val="zh-CN" w:eastAsia="en-US" w:bidi="zh-CN"/>
              </w:rPr>
            </w:pPr>
          </w:p>
        </w:tc>
      </w:tr>
      <w:tr w14:paraId="15970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095" w:type="dxa"/>
            <w:vMerge w:val="continue"/>
            <w:tcBorders>
              <w:top w:val="nil"/>
            </w:tcBorders>
            <w:noWrap w:val="0"/>
            <w:vAlign w:val="top"/>
          </w:tcPr>
          <w:p w14:paraId="2F3ECE01">
            <w:pPr>
              <w:autoSpaceDE w:val="0"/>
              <w:autoSpaceDN w:val="0"/>
              <w:rPr>
                <w:rFonts w:ascii="宋体" w:hAnsi="宋体" w:cs="宋体"/>
                <w:color w:val="auto"/>
                <w:sz w:val="2"/>
                <w:szCs w:val="2"/>
                <w:highlight w:val="none"/>
                <w:lang w:val="zh-CN" w:eastAsia="en-US" w:bidi="zh-CN"/>
              </w:rPr>
            </w:pPr>
          </w:p>
        </w:tc>
        <w:tc>
          <w:tcPr>
            <w:tcW w:w="941" w:type="dxa"/>
            <w:noWrap w:val="0"/>
            <w:vAlign w:val="top"/>
          </w:tcPr>
          <w:p w14:paraId="2E94D54C">
            <w:pPr>
              <w:tabs>
                <w:tab w:val="left" w:pos="430"/>
              </w:tabs>
              <w:autoSpaceDE w:val="0"/>
              <w:autoSpaceDN w:val="0"/>
              <w:spacing w:before="130"/>
              <w:ind w:left="10"/>
              <w:jc w:val="center"/>
              <w:rPr>
                <w:rFonts w:ascii="宋体" w:hAnsi="宋体" w:cs="宋体"/>
                <w:color w:val="auto"/>
                <w:highlight w:val="none"/>
                <w:lang w:val="zh-CN" w:eastAsia="en-US" w:bidi="zh-CN"/>
              </w:rPr>
            </w:pPr>
            <w:r>
              <w:rPr>
                <w:rFonts w:ascii="宋体" w:hAnsi="宋体" w:cs="宋体"/>
                <w:color w:val="auto"/>
                <w:highlight w:val="none"/>
                <w:lang w:val="zh-CN" w:eastAsia="en-US" w:bidi="zh-CN"/>
              </w:rPr>
              <w:t>传</w:t>
            </w:r>
            <w:r>
              <w:rPr>
                <w:rFonts w:ascii="宋体" w:hAnsi="宋体" w:cs="宋体"/>
                <w:color w:val="auto"/>
                <w:highlight w:val="none"/>
                <w:lang w:val="zh-CN" w:eastAsia="en-US" w:bidi="zh-CN"/>
              </w:rPr>
              <w:tab/>
            </w:r>
            <w:r>
              <w:rPr>
                <w:rFonts w:ascii="宋体" w:hAnsi="宋体" w:cs="宋体"/>
                <w:color w:val="auto"/>
                <w:highlight w:val="none"/>
                <w:lang w:val="zh-CN" w:eastAsia="en-US" w:bidi="zh-CN"/>
              </w:rPr>
              <w:t>真</w:t>
            </w:r>
          </w:p>
        </w:tc>
        <w:tc>
          <w:tcPr>
            <w:tcW w:w="1995" w:type="dxa"/>
            <w:gridSpan w:val="2"/>
            <w:noWrap w:val="0"/>
            <w:vAlign w:val="top"/>
          </w:tcPr>
          <w:p w14:paraId="4432759C">
            <w:pPr>
              <w:autoSpaceDE w:val="0"/>
              <w:autoSpaceDN w:val="0"/>
              <w:rPr>
                <w:rFonts w:hAnsi="宋体" w:cs="宋体"/>
                <w:color w:val="auto"/>
                <w:sz w:val="20"/>
                <w:highlight w:val="none"/>
                <w:lang w:val="zh-CN" w:eastAsia="en-US" w:bidi="zh-CN"/>
              </w:rPr>
            </w:pPr>
          </w:p>
        </w:tc>
        <w:tc>
          <w:tcPr>
            <w:tcW w:w="1669" w:type="dxa"/>
            <w:gridSpan w:val="2"/>
            <w:noWrap w:val="0"/>
            <w:vAlign w:val="top"/>
          </w:tcPr>
          <w:p w14:paraId="6BA08875">
            <w:pPr>
              <w:autoSpaceDE w:val="0"/>
              <w:autoSpaceDN w:val="0"/>
              <w:spacing w:before="130"/>
              <w:ind w:left="381"/>
              <w:rPr>
                <w:rFonts w:ascii="宋体" w:hAnsi="宋体" w:cs="宋体"/>
                <w:color w:val="auto"/>
                <w:highlight w:val="none"/>
                <w:lang w:val="zh-CN" w:eastAsia="en-US" w:bidi="zh-CN"/>
              </w:rPr>
            </w:pPr>
            <w:r>
              <w:rPr>
                <w:rFonts w:ascii="宋体" w:hAnsi="宋体" w:cs="宋体"/>
                <w:color w:val="auto"/>
                <w:highlight w:val="none"/>
                <w:lang w:val="zh-CN" w:eastAsia="en-US" w:bidi="zh-CN"/>
              </w:rPr>
              <w:t>网 址</w:t>
            </w:r>
          </w:p>
        </w:tc>
        <w:tc>
          <w:tcPr>
            <w:tcW w:w="2516" w:type="dxa"/>
            <w:gridSpan w:val="3"/>
            <w:noWrap w:val="0"/>
            <w:vAlign w:val="top"/>
          </w:tcPr>
          <w:p w14:paraId="143B158D">
            <w:pPr>
              <w:autoSpaceDE w:val="0"/>
              <w:autoSpaceDN w:val="0"/>
              <w:rPr>
                <w:rFonts w:hAnsi="宋体" w:cs="宋体"/>
                <w:color w:val="auto"/>
                <w:sz w:val="20"/>
                <w:highlight w:val="none"/>
                <w:lang w:val="zh-CN" w:eastAsia="en-US" w:bidi="zh-CN"/>
              </w:rPr>
            </w:pPr>
          </w:p>
        </w:tc>
      </w:tr>
      <w:tr w14:paraId="04A39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095" w:type="dxa"/>
            <w:noWrap w:val="0"/>
            <w:vAlign w:val="top"/>
          </w:tcPr>
          <w:p w14:paraId="390E407A">
            <w:pPr>
              <w:autoSpaceDE w:val="0"/>
              <w:autoSpaceDN w:val="0"/>
              <w:spacing w:before="128"/>
              <w:ind w:left="496"/>
              <w:rPr>
                <w:rFonts w:ascii="宋体" w:hAnsi="宋体" w:cs="宋体"/>
                <w:color w:val="auto"/>
                <w:highlight w:val="none"/>
                <w:lang w:val="zh-CN" w:eastAsia="en-US" w:bidi="zh-CN"/>
              </w:rPr>
            </w:pPr>
            <w:r>
              <w:rPr>
                <w:rFonts w:ascii="宋体" w:hAnsi="宋体" w:cs="宋体"/>
                <w:color w:val="auto"/>
                <w:highlight w:val="none"/>
                <w:lang w:val="zh-CN" w:eastAsia="en-US" w:bidi="zh-CN"/>
              </w:rPr>
              <w:t>法定代表人</w:t>
            </w:r>
          </w:p>
        </w:tc>
        <w:tc>
          <w:tcPr>
            <w:tcW w:w="941" w:type="dxa"/>
            <w:noWrap w:val="0"/>
            <w:vAlign w:val="top"/>
          </w:tcPr>
          <w:p w14:paraId="6D562E22">
            <w:pPr>
              <w:autoSpaceDE w:val="0"/>
              <w:autoSpaceDN w:val="0"/>
              <w:spacing w:before="128"/>
              <w:ind w:left="13"/>
              <w:jc w:val="center"/>
              <w:rPr>
                <w:rFonts w:ascii="宋体" w:hAnsi="宋体" w:cs="宋体"/>
                <w:color w:val="auto"/>
                <w:highlight w:val="none"/>
                <w:lang w:val="zh-CN" w:eastAsia="en-US" w:bidi="zh-CN"/>
              </w:rPr>
            </w:pPr>
            <w:r>
              <w:rPr>
                <w:rFonts w:ascii="宋体" w:hAnsi="宋体" w:cs="宋体"/>
                <w:color w:val="auto"/>
                <w:highlight w:val="none"/>
                <w:lang w:val="zh-CN" w:eastAsia="en-US" w:bidi="zh-CN"/>
              </w:rPr>
              <w:t>姓名</w:t>
            </w:r>
          </w:p>
        </w:tc>
        <w:tc>
          <w:tcPr>
            <w:tcW w:w="885" w:type="dxa"/>
            <w:noWrap w:val="0"/>
            <w:vAlign w:val="top"/>
          </w:tcPr>
          <w:p w14:paraId="174FC260">
            <w:pPr>
              <w:autoSpaceDE w:val="0"/>
              <w:autoSpaceDN w:val="0"/>
              <w:rPr>
                <w:rFonts w:hAnsi="宋体" w:cs="宋体"/>
                <w:color w:val="auto"/>
                <w:sz w:val="20"/>
                <w:highlight w:val="none"/>
                <w:lang w:val="zh-CN" w:eastAsia="en-US" w:bidi="zh-CN"/>
              </w:rPr>
            </w:pPr>
          </w:p>
        </w:tc>
        <w:tc>
          <w:tcPr>
            <w:tcW w:w="1110" w:type="dxa"/>
            <w:noWrap w:val="0"/>
            <w:vAlign w:val="top"/>
          </w:tcPr>
          <w:p w14:paraId="0F56DD94">
            <w:pPr>
              <w:autoSpaceDE w:val="0"/>
              <w:autoSpaceDN w:val="0"/>
              <w:spacing w:before="128"/>
              <w:ind w:left="223"/>
              <w:rPr>
                <w:rFonts w:ascii="宋体" w:hAnsi="宋体" w:cs="宋体"/>
                <w:color w:val="auto"/>
                <w:highlight w:val="none"/>
                <w:lang w:val="zh-CN" w:eastAsia="en-US" w:bidi="zh-CN"/>
              </w:rPr>
            </w:pPr>
            <w:r>
              <w:rPr>
                <w:rFonts w:ascii="宋体" w:hAnsi="宋体" w:cs="宋体"/>
                <w:color w:val="auto"/>
                <w:highlight w:val="none"/>
                <w:lang w:val="zh-CN" w:eastAsia="en-US" w:bidi="zh-CN"/>
              </w:rPr>
              <w:t>技术职称</w:t>
            </w:r>
          </w:p>
        </w:tc>
        <w:tc>
          <w:tcPr>
            <w:tcW w:w="1669" w:type="dxa"/>
            <w:gridSpan w:val="2"/>
            <w:noWrap w:val="0"/>
            <w:vAlign w:val="top"/>
          </w:tcPr>
          <w:p w14:paraId="6DF94D68">
            <w:pPr>
              <w:autoSpaceDE w:val="0"/>
              <w:autoSpaceDN w:val="0"/>
              <w:rPr>
                <w:rFonts w:hAnsi="宋体" w:cs="宋体"/>
                <w:color w:val="auto"/>
                <w:sz w:val="20"/>
                <w:highlight w:val="none"/>
                <w:lang w:val="zh-CN" w:eastAsia="en-US" w:bidi="zh-CN"/>
              </w:rPr>
            </w:pPr>
          </w:p>
        </w:tc>
        <w:tc>
          <w:tcPr>
            <w:tcW w:w="1139" w:type="dxa"/>
            <w:gridSpan w:val="2"/>
            <w:noWrap w:val="0"/>
            <w:vAlign w:val="top"/>
          </w:tcPr>
          <w:p w14:paraId="58926F18">
            <w:pPr>
              <w:autoSpaceDE w:val="0"/>
              <w:autoSpaceDN w:val="0"/>
              <w:spacing w:before="128"/>
              <w:ind w:left="342"/>
              <w:rPr>
                <w:rFonts w:ascii="宋体" w:hAnsi="宋体" w:cs="宋体"/>
                <w:color w:val="auto"/>
                <w:highlight w:val="none"/>
                <w:lang w:val="zh-CN" w:eastAsia="en-US" w:bidi="zh-CN"/>
              </w:rPr>
            </w:pPr>
            <w:r>
              <w:rPr>
                <w:rFonts w:ascii="宋体" w:hAnsi="宋体" w:cs="宋体"/>
                <w:color w:val="auto"/>
                <w:highlight w:val="none"/>
                <w:lang w:val="zh-CN" w:eastAsia="en-US" w:bidi="zh-CN"/>
              </w:rPr>
              <w:t>电话</w:t>
            </w:r>
          </w:p>
        </w:tc>
        <w:tc>
          <w:tcPr>
            <w:tcW w:w="1377" w:type="dxa"/>
            <w:noWrap w:val="0"/>
            <w:vAlign w:val="top"/>
          </w:tcPr>
          <w:p w14:paraId="59B94828">
            <w:pPr>
              <w:autoSpaceDE w:val="0"/>
              <w:autoSpaceDN w:val="0"/>
              <w:rPr>
                <w:rFonts w:hAnsi="宋体" w:cs="宋体"/>
                <w:color w:val="auto"/>
                <w:sz w:val="20"/>
                <w:highlight w:val="none"/>
                <w:lang w:val="zh-CN" w:eastAsia="en-US" w:bidi="zh-CN"/>
              </w:rPr>
            </w:pPr>
          </w:p>
        </w:tc>
      </w:tr>
      <w:tr w14:paraId="5564A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095" w:type="dxa"/>
            <w:noWrap w:val="0"/>
            <w:vAlign w:val="top"/>
          </w:tcPr>
          <w:p w14:paraId="52D11587">
            <w:pPr>
              <w:autoSpaceDE w:val="0"/>
              <w:autoSpaceDN w:val="0"/>
              <w:spacing w:before="131"/>
              <w:ind w:left="496"/>
              <w:rPr>
                <w:rFonts w:ascii="宋体" w:hAnsi="宋体" w:cs="宋体"/>
                <w:color w:val="auto"/>
                <w:highlight w:val="none"/>
                <w:lang w:val="zh-CN" w:eastAsia="en-US" w:bidi="zh-CN"/>
              </w:rPr>
            </w:pPr>
            <w:r>
              <w:rPr>
                <w:rFonts w:ascii="宋体" w:hAnsi="宋体" w:cs="宋体"/>
                <w:color w:val="auto"/>
                <w:highlight w:val="none"/>
                <w:lang w:val="zh-CN" w:eastAsia="en-US" w:bidi="zh-CN"/>
              </w:rPr>
              <w:t>技术负责人</w:t>
            </w:r>
          </w:p>
        </w:tc>
        <w:tc>
          <w:tcPr>
            <w:tcW w:w="941" w:type="dxa"/>
            <w:noWrap w:val="0"/>
            <w:vAlign w:val="top"/>
          </w:tcPr>
          <w:p w14:paraId="38734958">
            <w:pPr>
              <w:autoSpaceDE w:val="0"/>
              <w:autoSpaceDN w:val="0"/>
              <w:spacing w:before="131"/>
              <w:ind w:left="13"/>
              <w:jc w:val="center"/>
              <w:rPr>
                <w:rFonts w:ascii="宋体" w:hAnsi="宋体" w:cs="宋体"/>
                <w:color w:val="auto"/>
                <w:highlight w:val="none"/>
                <w:lang w:val="zh-CN" w:eastAsia="en-US" w:bidi="zh-CN"/>
              </w:rPr>
            </w:pPr>
            <w:r>
              <w:rPr>
                <w:rFonts w:ascii="宋体" w:hAnsi="宋体" w:cs="宋体"/>
                <w:color w:val="auto"/>
                <w:highlight w:val="none"/>
                <w:lang w:val="zh-CN" w:eastAsia="en-US" w:bidi="zh-CN"/>
              </w:rPr>
              <w:t>姓名</w:t>
            </w:r>
          </w:p>
        </w:tc>
        <w:tc>
          <w:tcPr>
            <w:tcW w:w="885" w:type="dxa"/>
            <w:noWrap w:val="0"/>
            <w:vAlign w:val="top"/>
          </w:tcPr>
          <w:p w14:paraId="25B4448F">
            <w:pPr>
              <w:autoSpaceDE w:val="0"/>
              <w:autoSpaceDN w:val="0"/>
              <w:rPr>
                <w:rFonts w:hAnsi="宋体" w:cs="宋体"/>
                <w:color w:val="auto"/>
                <w:sz w:val="20"/>
                <w:highlight w:val="none"/>
                <w:lang w:val="zh-CN" w:eastAsia="en-US" w:bidi="zh-CN"/>
              </w:rPr>
            </w:pPr>
          </w:p>
        </w:tc>
        <w:tc>
          <w:tcPr>
            <w:tcW w:w="1110" w:type="dxa"/>
            <w:noWrap w:val="0"/>
            <w:vAlign w:val="top"/>
          </w:tcPr>
          <w:p w14:paraId="441574F4">
            <w:pPr>
              <w:autoSpaceDE w:val="0"/>
              <w:autoSpaceDN w:val="0"/>
              <w:spacing w:before="131"/>
              <w:ind w:left="223"/>
              <w:rPr>
                <w:rFonts w:ascii="宋体" w:hAnsi="宋体" w:cs="宋体"/>
                <w:color w:val="auto"/>
                <w:highlight w:val="none"/>
                <w:lang w:val="zh-CN" w:eastAsia="en-US" w:bidi="zh-CN"/>
              </w:rPr>
            </w:pPr>
            <w:r>
              <w:rPr>
                <w:rFonts w:ascii="宋体" w:hAnsi="宋体" w:cs="宋体"/>
                <w:color w:val="auto"/>
                <w:highlight w:val="none"/>
                <w:lang w:val="zh-CN" w:eastAsia="en-US" w:bidi="zh-CN"/>
              </w:rPr>
              <w:t>技术职称</w:t>
            </w:r>
          </w:p>
        </w:tc>
        <w:tc>
          <w:tcPr>
            <w:tcW w:w="1669" w:type="dxa"/>
            <w:gridSpan w:val="2"/>
            <w:noWrap w:val="0"/>
            <w:vAlign w:val="top"/>
          </w:tcPr>
          <w:p w14:paraId="207F21C7">
            <w:pPr>
              <w:autoSpaceDE w:val="0"/>
              <w:autoSpaceDN w:val="0"/>
              <w:rPr>
                <w:rFonts w:hAnsi="宋体" w:cs="宋体"/>
                <w:color w:val="auto"/>
                <w:sz w:val="20"/>
                <w:highlight w:val="none"/>
                <w:lang w:val="zh-CN" w:eastAsia="en-US" w:bidi="zh-CN"/>
              </w:rPr>
            </w:pPr>
          </w:p>
        </w:tc>
        <w:tc>
          <w:tcPr>
            <w:tcW w:w="1139" w:type="dxa"/>
            <w:gridSpan w:val="2"/>
            <w:noWrap w:val="0"/>
            <w:vAlign w:val="top"/>
          </w:tcPr>
          <w:p w14:paraId="7DEBF1F5">
            <w:pPr>
              <w:autoSpaceDE w:val="0"/>
              <w:autoSpaceDN w:val="0"/>
              <w:spacing w:before="131"/>
              <w:ind w:left="342"/>
              <w:rPr>
                <w:rFonts w:ascii="宋体" w:hAnsi="宋体" w:cs="宋体"/>
                <w:color w:val="auto"/>
                <w:highlight w:val="none"/>
                <w:lang w:val="zh-CN" w:eastAsia="en-US" w:bidi="zh-CN"/>
              </w:rPr>
            </w:pPr>
            <w:r>
              <w:rPr>
                <w:rFonts w:ascii="宋体" w:hAnsi="宋体" w:cs="宋体"/>
                <w:color w:val="auto"/>
                <w:highlight w:val="none"/>
                <w:lang w:val="zh-CN" w:eastAsia="en-US" w:bidi="zh-CN"/>
              </w:rPr>
              <w:t>电话</w:t>
            </w:r>
          </w:p>
        </w:tc>
        <w:tc>
          <w:tcPr>
            <w:tcW w:w="1377" w:type="dxa"/>
            <w:noWrap w:val="0"/>
            <w:vAlign w:val="top"/>
          </w:tcPr>
          <w:p w14:paraId="244C6F2B">
            <w:pPr>
              <w:autoSpaceDE w:val="0"/>
              <w:autoSpaceDN w:val="0"/>
              <w:rPr>
                <w:rFonts w:hAnsi="宋体" w:cs="宋体"/>
                <w:color w:val="auto"/>
                <w:sz w:val="20"/>
                <w:highlight w:val="none"/>
                <w:lang w:val="zh-CN" w:eastAsia="en-US" w:bidi="zh-CN"/>
              </w:rPr>
            </w:pPr>
          </w:p>
        </w:tc>
      </w:tr>
      <w:tr w14:paraId="131BE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095" w:type="dxa"/>
            <w:noWrap w:val="0"/>
            <w:vAlign w:val="top"/>
          </w:tcPr>
          <w:p w14:paraId="68FF6B2F">
            <w:pPr>
              <w:autoSpaceDE w:val="0"/>
              <w:autoSpaceDN w:val="0"/>
              <w:spacing w:before="130"/>
              <w:ind w:left="496"/>
              <w:rPr>
                <w:rFonts w:ascii="宋体" w:hAnsi="宋体" w:cs="宋体"/>
                <w:color w:val="auto"/>
                <w:highlight w:val="none"/>
                <w:lang w:val="zh-CN" w:eastAsia="en-US" w:bidi="zh-CN"/>
              </w:rPr>
            </w:pPr>
            <w:r>
              <w:rPr>
                <w:rFonts w:ascii="宋体" w:hAnsi="宋体" w:cs="宋体"/>
                <w:color w:val="auto"/>
                <w:highlight w:val="none"/>
                <w:lang w:val="zh-CN" w:eastAsia="en-US" w:bidi="zh-CN"/>
              </w:rPr>
              <w:t>营业执照号</w:t>
            </w:r>
          </w:p>
        </w:tc>
        <w:tc>
          <w:tcPr>
            <w:tcW w:w="2936" w:type="dxa"/>
            <w:gridSpan w:val="3"/>
            <w:noWrap w:val="0"/>
            <w:vAlign w:val="top"/>
          </w:tcPr>
          <w:p w14:paraId="74B358C0">
            <w:pPr>
              <w:autoSpaceDE w:val="0"/>
              <w:autoSpaceDN w:val="0"/>
              <w:rPr>
                <w:rFonts w:hAnsi="宋体" w:cs="宋体"/>
                <w:color w:val="auto"/>
                <w:sz w:val="20"/>
                <w:highlight w:val="none"/>
                <w:lang w:val="zh-CN" w:eastAsia="en-US" w:bidi="zh-CN"/>
              </w:rPr>
            </w:pPr>
          </w:p>
        </w:tc>
        <w:tc>
          <w:tcPr>
            <w:tcW w:w="4185" w:type="dxa"/>
            <w:gridSpan w:val="5"/>
            <w:noWrap w:val="0"/>
            <w:vAlign w:val="top"/>
          </w:tcPr>
          <w:p w14:paraId="68D4D79F">
            <w:pPr>
              <w:autoSpaceDE w:val="0"/>
              <w:autoSpaceDN w:val="0"/>
              <w:spacing w:before="130"/>
              <w:ind w:left="1286"/>
              <w:rPr>
                <w:rFonts w:ascii="宋体" w:hAnsi="宋体" w:cs="宋体"/>
                <w:color w:val="auto"/>
                <w:highlight w:val="none"/>
                <w:lang w:val="zh-CN" w:eastAsia="en-US" w:bidi="zh-CN"/>
              </w:rPr>
            </w:pPr>
            <w:r>
              <w:rPr>
                <w:rFonts w:ascii="宋体" w:hAnsi="宋体" w:cs="宋体"/>
                <w:color w:val="auto"/>
                <w:highlight w:val="none"/>
                <w:lang w:val="zh-CN" w:eastAsia="en-US" w:bidi="zh-CN"/>
              </w:rPr>
              <w:t>员工总人数：</w:t>
            </w:r>
          </w:p>
        </w:tc>
      </w:tr>
      <w:tr w14:paraId="29675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095" w:type="dxa"/>
            <w:noWrap w:val="0"/>
            <w:vAlign w:val="top"/>
          </w:tcPr>
          <w:p w14:paraId="6DD3052D">
            <w:pPr>
              <w:autoSpaceDE w:val="0"/>
              <w:autoSpaceDN w:val="0"/>
              <w:spacing w:before="128"/>
              <w:ind w:left="602"/>
              <w:rPr>
                <w:rFonts w:ascii="宋体" w:hAnsi="宋体" w:cs="宋体"/>
                <w:color w:val="auto"/>
                <w:highlight w:val="none"/>
                <w:lang w:val="zh-CN" w:eastAsia="en-US" w:bidi="zh-CN"/>
              </w:rPr>
            </w:pPr>
            <w:r>
              <w:rPr>
                <w:rFonts w:ascii="宋体" w:hAnsi="宋体" w:cs="宋体"/>
                <w:color w:val="auto"/>
                <w:highlight w:val="none"/>
                <w:lang w:val="zh-CN" w:eastAsia="en-US" w:bidi="zh-CN"/>
              </w:rPr>
              <w:t>注册资本</w:t>
            </w:r>
          </w:p>
        </w:tc>
        <w:tc>
          <w:tcPr>
            <w:tcW w:w="2936" w:type="dxa"/>
            <w:gridSpan w:val="3"/>
            <w:noWrap w:val="0"/>
            <w:vAlign w:val="top"/>
          </w:tcPr>
          <w:p w14:paraId="3700F8D9">
            <w:pPr>
              <w:autoSpaceDE w:val="0"/>
              <w:autoSpaceDN w:val="0"/>
              <w:rPr>
                <w:rFonts w:hAnsi="宋体" w:cs="宋体"/>
                <w:color w:val="auto"/>
                <w:sz w:val="20"/>
                <w:highlight w:val="none"/>
                <w:lang w:val="zh-CN" w:eastAsia="en-US" w:bidi="zh-CN"/>
              </w:rPr>
            </w:pPr>
          </w:p>
        </w:tc>
        <w:tc>
          <w:tcPr>
            <w:tcW w:w="792" w:type="dxa"/>
            <w:vMerge w:val="restart"/>
            <w:noWrap w:val="0"/>
            <w:vAlign w:val="top"/>
          </w:tcPr>
          <w:p w14:paraId="05DF088D">
            <w:pPr>
              <w:autoSpaceDE w:val="0"/>
              <w:autoSpaceDN w:val="0"/>
              <w:rPr>
                <w:rFonts w:ascii="宋体" w:hAnsi="宋体" w:cs="宋体"/>
                <w:b/>
                <w:color w:val="auto"/>
                <w:sz w:val="20"/>
                <w:highlight w:val="none"/>
                <w:lang w:val="zh-CN" w:eastAsia="en-US" w:bidi="zh-CN"/>
              </w:rPr>
            </w:pPr>
          </w:p>
          <w:p w14:paraId="0B289474">
            <w:pPr>
              <w:autoSpaceDE w:val="0"/>
              <w:autoSpaceDN w:val="0"/>
              <w:spacing w:before="2"/>
              <w:rPr>
                <w:rFonts w:ascii="宋体" w:hAnsi="宋体" w:cs="宋体"/>
                <w:b/>
                <w:color w:val="auto"/>
                <w:sz w:val="20"/>
                <w:highlight w:val="none"/>
                <w:lang w:val="zh-CN" w:eastAsia="en-US" w:bidi="zh-CN"/>
              </w:rPr>
            </w:pPr>
          </w:p>
          <w:p w14:paraId="2CC19D0B">
            <w:pPr>
              <w:autoSpaceDE w:val="0"/>
              <w:autoSpaceDN w:val="0"/>
              <w:spacing w:line="446" w:lineRule="auto"/>
              <w:ind w:left="108" w:right="81"/>
              <w:rPr>
                <w:rFonts w:ascii="宋体" w:hAnsi="宋体" w:cs="宋体"/>
                <w:color w:val="auto"/>
                <w:highlight w:val="none"/>
                <w:lang w:val="zh-CN" w:eastAsia="en-US" w:bidi="zh-CN"/>
              </w:rPr>
            </w:pPr>
            <w:r>
              <w:rPr>
                <w:rFonts w:ascii="宋体" w:hAnsi="宋体" w:cs="宋体"/>
                <w:color w:val="auto"/>
                <w:highlight w:val="none"/>
                <w:lang w:val="zh-CN" w:eastAsia="en-US" w:bidi="zh-CN"/>
              </w:rPr>
              <w:t>其中</w:t>
            </w:r>
          </w:p>
        </w:tc>
        <w:tc>
          <w:tcPr>
            <w:tcW w:w="1726" w:type="dxa"/>
            <w:gridSpan w:val="2"/>
            <w:noWrap w:val="0"/>
            <w:vAlign w:val="top"/>
          </w:tcPr>
          <w:p w14:paraId="5C2066BE">
            <w:pPr>
              <w:autoSpaceDE w:val="0"/>
              <w:autoSpaceDN w:val="0"/>
              <w:spacing w:before="128"/>
              <w:ind w:left="321"/>
              <w:rPr>
                <w:rFonts w:ascii="宋体" w:hAnsi="宋体" w:cs="宋体"/>
                <w:color w:val="auto"/>
                <w:highlight w:val="none"/>
                <w:lang w:val="zh-CN" w:eastAsia="en-US" w:bidi="zh-CN"/>
              </w:rPr>
            </w:pPr>
            <w:r>
              <w:rPr>
                <w:rFonts w:ascii="宋体" w:hAnsi="宋体" w:cs="宋体"/>
                <w:color w:val="auto"/>
                <w:highlight w:val="none"/>
                <w:lang w:val="zh-CN" w:eastAsia="en-US" w:bidi="zh-CN"/>
              </w:rPr>
              <w:t>高级职称人员</w:t>
            </w:r>
          </w:p>
        </w:tc>
        <w:tc>
          <w:tcPr>
            <w:tcW w:w="1667" w:type="dxa"/>
            <w:gridSpan w:val="2"/>
            <w:noWrap w:val="0"/>
            <w:vAlign w:val="top"/>
          </w:tcPr>
          <w:p w14:paraId="2F527B53">
            <w:pPr>
              <w:autoSpaceDE w:val="0"/>
              <w:autoSpaceDN w:val="0"/>
              <w:rPr>
                <w:rFonts w:hAnsi="宋体" w:cs="宋体"/>
                <w:color w:val="auto"/>
                <w:sz w:val="20"/>
                <w:highlight w:val="none"/>
                <w:lang w:val="zh-CN" w:eastAsia="en-US" w:bidi="zh-CN"/>
              </w:rPr>
            </w:pPr>
          </w:p>
        </w:tc>
      </w:tr>
      <w:tr w14:paraId="19043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095" w:type="dxa"/>
            <w:noWrap w:val="0"/>
            <w:vAlign w:val="top"/>
          </w:tcPr>
          <w:p w14:paraId="5C25EB45">
            <w:pPr>
              <w:autoSpaceDE w:val="0"/>
              <w:autoSpaceDN w:val="0"/>
              <w:spacing w:before="130"/>
              <w:ind w:left="602"/>
              <w:rPr>
                <w:rFonts w:ascii="宋体" w:hAnsi="宋体" w:cs="宋体"/>
                <w:color w:val="auto"/>
                <w:highlight w:val="none"/>
                <w:lang w:val="zh-CN" w:eastAsia="en-US" w:bidi="zh-CN"/>
              </w:rPr>
            </w:pPr>
            <w:r>
              <w:rPr>
                <w:rFonts w:ascii="宋体" w:hAnsi="宋体" w:cs="宋体"/>
                <w:color w:val="auto"/>
                <w:highlight w:val="none"/>
                <w:lang w:val="zh-CN" w:eastAsia="en-US" w:bidi="zh-CN"/>
              </w:rPr>
              <w:t>成立日期</w:t>
            </w:r>
          </w:p>
        </w:tc>
        <w:tc>
          <w:tcPr>
            <w:tcW w:w="2936" w:type="dxa"/>
            <w:gridSpan w:val="3"/>
            <w:noWrap w:val="0"/>
            <w:vAlign w:val="top"/>
          </w:tcPr>
          <w:p w14:paraId="2D08130E">
            <w:pPr>
              <w:autoSpaceDE w:val="0"/>
              <w:autoSpaceDN w:val="0"/>
              <w:rPr>
                <w:rFonts w:hAnsi="宋体" w:cs="宋体"/>
                <w:color w:val="auto"/>
                <w:sz w:val="20"/>
                <w:highlight w:val="none"/>
                <w:lang w:val="zh-CN" w:eastAsia="en-US" w:bidi="zh-CN"/>
              </w:rPr>
            </w:pPr>
          </w:p>
        </w:tc>
        <w:tc>
          <w:tcPr>
            <w:tcW w:w="792" w:type="dxa"/>
            <w:vMerge w:val="continue"/>
            <w:tcBorders>
              <w:top w:val="nil"/>
            </w:tcBorders>
            <w:noWrap w:val="0"/>
            <w:vAlign w:val="top"/>
          </w:tcPr>
          <w:p w14:paraId="69CA28A4">
            <w:pPr>
              <w:autoSpaceDE w:val="0"/>
              <w:autoSpaceDN w:val="0"/>
              <w:rPr>
                <w:rFonts w:ascii="宋体" w:hAnsi="宋体" w:cs="宋体"/>
                <w:color w:val="auto"/>
                <w:sz w:val="2"/>
                <w:szCs w:val="2"/>
                <w:highlight w:val="none"/>
                <w:lang w:val="zh-CN" w:eastAsia="en-US" w:bidi="zh-CN"/>
              </w:rPr>
            </w:pPr>
          </w:p>
        </w:tc>
        <w:tc>
          <w:tcPr>
            <w:tcW w:w="1726" w:type="dxa"/>
            <w:gridSpan w:val="2"/>
            <w:noWrap w:val="0"/>
            <w:vAlign w:val="top"/>
          </w:tcPr>
          <w:p w14:paraId="7800949D">
            <w:pPr>
              <w:autoSpaceDE w:val="0"/>
              <w:autoSpaceDN w:val="0"/>
              <w:spacing w:before="130"/>
              <w:ind w:left="321"/>
              <w:rPr>
                <w:rFonts w:ascii="宋体" w:hAnsi="宋体" w:cs="宋体"/>
                <w:color w:val="auto"/>
                <w:highlight w:val="none"/>
                <w:lang w:val="zh-CN" w:eastAsia="en-US" w:bidi="zh-CN"/>
              </w:rPr>
            </w:pPr>
            <w:r>
              <w:rPr>
                <w:rFonts w:ascii="宋体" w:hAnsi="宋体" w:cs="宋体"/>
                <w:color w:val="auto"/>
                <w:highlight w:val="none"/>
                <w:lang w:val="zh-CN" w:eastAsia="en-US" w:bidi="zh-CN"/>
              </w:rPr>
              <w:t>中级职称人员</w:t>
            </w:r>
          </w:p>
        </w:tc>
        <w:tc>
          <w:tcPr>
            <w:tcW w:w="1667" w:type="dxa"/>
            <w:gridSpan w:val="2"/>
            <w:noWrap w:val="0"/>
            <w:vAlign w:val="top"/>
          </w:tcPr>
          <w:p w14:paraId="09A9BE7B">
            <w:pPr>
              <w:autoSpaceDE w:val="0"/>
              <w:autoSpaceDN w:val="0"/>
              <w:rPr>
                <w:rFonts w:hAnsi="宋体" w:cs="宋体"/>
                <w:color w:val="auto"/>
                <w:sz w:val="20"/>
                <w:highlight w:val="none"/>
                <w:lang w:val="zh-CN" w:eastAsia="en-US" w:bidi="zh-CN"/>
              </w:rPr>
            </w:pPr>
          </w:p>
        </w:tc>
      </w:tr>
      <w:tr w14:paraId="3202C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095" w:type="dxa"/>
            <w:noWrap w:val="0"/>
            <w:vAlign w:val="top"/>
          </w:tcPr>
          <w:p w14:paraId="269A37C8">
            <w:pPr>
              <w:autoSpaceDE w:val="0"/>
              <w:autoSpaceDN w:val="0"/>
              <w:spacing w:before="128"/>
              <w:ind w:left="182"/>
              <w:rPr>
                <w:rFonts w:ascii="宋体" w:hAnsi="宋体" w:cs="宋体"/>
                <w:color w:val="auto"/>
                <w:highlight w:val="none"/>
                <w:lang w:val="zh-CN" w:eastAsia="en-US" w:bidi="zh-CN"/>
              </w:rPr>
            </w:pPr>
            <w:r>
              <w:rPr>
                <w:rFonts w:ascii="宋体" w:hAnsi="宋体" w:cs="宋体"/>
                <w:color w:val="auto"/>
                <w:highlight w:val="none"/>
                <w:lang w:val="zh-CN" w:eastAsia="en-US" w:bidi="zh-CN"/>
              </w:rPr>
              <w:t>基本账户开户银行</w:t>
            </w:r>
          </w:p>
        </w:tc>
        <w:tc>
          <w:tcPr>
            <w:tcW w:w="2936" w:type="dxa"/>
            <w:gridSpan w:val="3"/>
            <w:noWrap w:val="0"/>
            <w:vAlign w:val="top"/>
          </w:tcPr>
          <w:p w14:paraId="4634ED2A">
            <w:pPr>
              <w:autoSpaceDE w:val="0"/>
              <w:autoSpaceDN w:val="0"/>
              <w:rPr>
                <w:rFonts w:hAnsi="宋体" w:cs="宋体"/>
                <w:color w:val="auto"/>
                <w:sz w:val="20"/>
                <w:highlight w:val="none"/>
                <w:lang w:val="zh-CN" w:eastAsia="en-US" w:bidi="zh-CN"/>
              </w:rPr>
            </w:pPr>
          </w:p>
        </w:tc>
        <w:tc>
          <w:tcPr>
            <w:tcW w:w="792" w:type="dxa"/>
            <w:vMerge w:val="continue"/>
            <w:tcBorders>
              <w:top w:val="nil"/>
            </w:tcBorders>
            <w:noWrap w:val="0"/>
            <w:vAlign w:val="top"/>
          </w:tcPr>
          <w:p w14:paraId="0FF5044E">
            <w:pPr>
              <w:autoSpaceDE w:val="0"/>
              <w:autoSpaceDN w:val="0"/>
              <w:rPr>
                <w:rFonts w:ascii="宋体" w:hAnsi="宋体" w:cs="宋体"/>
                <w:color w:val="auto"/>
                <w:sz w:val="2"/>
                <w:szCs w:val="2"/>
                <w:highlight w:val="none"/>
                <w:lang w:val="zh-CN" w:eastAsia="en-US" w:bidi="zh-CN"/>
              </w:rPr>
            </w:pPr>
          </w:p>
        </w:tc>
        <w:tc>
          <w:tcPr>
            <w:tcW w:w="1726" w:type="dxa"/>
            <w:gridSpan w:val="2"/>
            <w:noWrap w:val="0"/>
            <w:vAlign w:val="top"/>
          </w:tcPr>
          <w:p w14:paraId="153FFDB3">
            <w:pPr>
              <w:autoSpaceDE w:val="0"/>
              <w:autoSpaceDN w:val="0"/>
              <w:spacing w:before="128"/>
              <w:ind w:left="321"/>
              <w:rPr>
                <w:rFonts w:ascii="宋体" w:hAnsi="宋体" w:cs="宋体"/>
                <w:color w:val="auto"/>
                <w:highlight w:val="none"/>
                <w:lang w:val="zh-CN" w:eastAsia="en-US" w:bidi="zh-CN"/>
              </w:rPr>
            </w:pPr>
            <w:r>
              <w:rPr>
                <w:rFonts w:ascii="宋体" w:hAnsi="宋体" w:cs="宋体"/>
                <w:color w:val="auto"/>
                <w:highlight w:val="none"/>
                <w:lang w:val="zh-CN" w:eastAsia="en-US" w:bidi="zh-CN"/>
              </w:rPr>
              <w:t>技术人员数量</w:t>
            </w:r>
          </w:p>
        </w:tc>
        <w:tc>
          <w:tcPr>
            <w:tcW w:w="1667" w:type="dxa"/>
            <w:gridSpan w:val="2"/>
            <w:noWrap w:val="0"/>
            <w:vAlign w:val="top"/>
          </w:tcPr>
          <w:p w14:paraId="3668CA77">
            <w:pPr>
              <w:autoSpaceDE w:val="0"/>
              <w:autoSpaceDN w:val="0"/>
              <w:rPr>
                <w:rFonts w:hAnsi="宋体" w:cs="宋体"/>
                <w:color w:val="auto"/>
                <w:sz w:val="20"/>
                <w:highlight w:val="none"/>
                <w:lang w:val="zh-CN" w:eastAsia="en-US" w:bidi="zh-CN"/>
              </w:rPr>
            </w:pPr>
          </w:p>
        </w:tc>
      </w:tr>
      <w:tr w14:paraId="7015B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095" w:type="dxa"/>
            <w:noWrap w:val="0"/>
            <w:vAlign w:val="top"/>
          </w:tcPr>
          <w:p w14:paraId="7A89CE43">
            <w:pPr>
              <w:autoSpaceDE w:val="0"/>
              <w:autoSpaceDN w:val="0"/>
              <w:spacing w:before="130"/>
              <w:ind w:left="182"/>
              <w:rPr>
                <w:rFonts w:ascii="宋体" w:hAnsi="宋体" w:cs="宋体"/>
                <w:color w:val="auto"/>
                <w:highlight w:val="none"/>
                <w:lang w:val="zh-CN" w:eastAsia="en-US" w:bidi="zh-CN"/>
              </w:rPr>
            </w:pPr>
            <w:r>
              <w:rPr>
                <w:rFonts w:ascii="宋体" w:hAnsi="宋体" w:cs="宋体"/>
                <w:color w:val="auto"/>
                <w:highlight w:val="none"/>
                <w:lang w:val="zh-CN" w:eastAsia="en-US" w:bidi="zh-CN"/>
              </w:rPr>
              <w:t>基本账户银行账号</w:t>
            </w:r>
          </w:p>
        </w:tc>
        <w:tc>
          <w:tcPr>
            <w:tcW w:w="2936" w:type="dxa"/>
            <w:gridSpan w:val="3"/>
            <w:noWrap w:val="0"/>
            <w:vAlign w:val="top"/>
          </w:tcPr>
          <w:p w14:paraId="67CEDAFD">
            <w:pPr>
              <w:autoSpaceDE w:val="0"/>
              <w:autoSpaceDN w:val="0"/>
              <w:rPr>
                <w:rFonts w:hAnsi="宋体" w:cs="宋体"/>
                <w:color w:val="auto"/>
                <w:sz w:val="20"/>
                <w:highlight w:val="none"/>
                <w:lang w:val="zh-CN" w:eastAsia="en-US" w:bidi="zh-CN"/>
              </w:rPr>
            </w:pPr>
          </w:p>
        </w:tc>
        <w:tc>
          <w:tcPr>
            <w:tcW w:w="792" w:type="dxa"/>
            <w:vMerge w:val="continue"/>
            <w:tcBorders>
              <w:top w:val="nil"/>
            </w:tcBorders>
            <w:noWrap w:val="0"/>
            <w:vAlign w:val="top"/>
          </w:tcPr>
          <w:p w14:paraId="1E666D0B">
            <w:pPr>
              <w:autoSpaceDE w:val="0"/>
              <w:autoSpaceDN w:val="0"/>
              <w:rPr>
                <w:rFonts w:ascii="宋体" w:hAnsi="宋体" w:cs="宋体"/>
                <w:color w:val="auto"/>
                <w:sz w:val="2"/>
                <w:szCs w:val="2"/>
                <w:highlight w:val="none"/>
                <w:lang w:val="zh-CN" w:eastAsia="en-US" w:bidi="zh-CN"/>
              </w:rPr>
            </w:pPr>
          </w:p>
        </w:tc>
        <w:tc>
          <w:tcPr>
            <w:tcW w:w="1726" w:type="dxa"/>
            <w:gridSpan w:val="2"/>
            <w:noWrap w:val="0"/>
            <w:vAlign w:val="top"/>
          </w:tcPr>
          <w:p w14:paraId="41502AD9">
            <w:pPr>
              <w:autoSpaceDE w:val="0"/>
              <w:autoSpaceDN w:val="0"/>
              <w:spacing w:before="130"/>
              <w:ind w:left="321"/>
              <w:rPr>
                <w:rFonts w:ascii="宋体" w:hAnsi="宋体" w:cs="宋体"/>
                <w:color w:val="auto"/>
                <w:highlight w:val="none"/>
                <w:lang w:val="zh-CN" w:eastAsia="en-US" w:bidi="zh-CN"/>
              </w:rPr>
            </w:pPr>
            <w:r>
              <w:rPr>
                <w:rFonts w:ascii="宋体" w:hAnsi="宋体" w:cs="宋体"/>
                <w:color w:val="auto"/>
                <w:highlight w:val="none"/>
                <w:lang w:val="zh-CN" w:eastAsia="en-US" w:bidi="zh-CN"/>
              </w:rPr>
              <w:t>各类注册人员</w:t>
            </w:r>
          </w:p>
        </w:tc>
        <w:tc>
          <w:tcPr>
            <w:tcW w:w="1667" w:type="dxa"/>
            <w:gridSpan w:val="2"/>
            <w:noWrap w:val="0"/>
            <w:vAlign w:val="top"/>
          </w:tcPr>
          <w:p w14:paraId="0276FA7E">
            <w:pPr>
              <w:autoSpaceDE w:val="0"/>
              <w:autoSpaceDN w:val="0"/>
              <w:rPr>
                <w:rFonts w:hAnsi="宋体" w:cs="宋体"/>
                <w:color w:val="auto"/>
                <w:sz w:val="20"/>
                <w:highlight w:val="none"/>
                <w:lang w:val="zh-CN" w:eastAsia="en-US" w:bidi="zh-CN"/>
              </w:rPr>
            </w:pPr>
          </w:p>
        </w:tc>
      </w:tr>
      <w:tr w14:paraId="26E77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2" w:hRule="atLeast"/>
        </w:trPr>
        <w:tc>
          <w:tcPr>
            <w:tcW w:w="2095" w:type="dxa"/>
            <w:noWrap w:val="0"/>
            <w:vAlign w:val="top"/>
          </w:tcPr>
          <w:p w14:paraId="46552D4A">
            <w:pPr>
              <w:autoSpaceDE w:val="0"/>
              <w:autoSpaceDN w:val="0"/>
              <w:spacing w:before="128"/>
              <w:ind w:left="602"/>
              <w:rPr>
                <w:rFonts w:ascii="宋体" w:hAnsi="宋体" w:cs="宋体"/>
                <w:color w:val="auto"/>
                <w:highlight w:val="none"/>
                <w:lang w:val="zh-CN" w:eastAsia="en-US" w:bidi="zh-CN"/>
              </w:rPr>
            </w:pPr>
            <w:r>
              <w:rPr>
                <w:rFonts w:ascii="宋体" w:hAnsi="宋体" w:cs="宋体"/>
                <w:color w:val="auto"/>
                <w:highlight w:val="none"/>
                <w:lang w:val="zh-CN" w:eastAsia="en-US" w:bidi="zh-CN"/>
              </w:rPr>
              <w:t>经营范围</w:t>
            </w:r>
          </w:p>
        </w:tc>
        <w:tc>
          <w:tcPr>
            <w:tcW w:w="7121" w:type="dxa"/>
            <w:gridSpan w:val="8"/>
            <w:noWrap w:val="0"/>
            <w:vAlign w:val="top"/>
          </w:tcPr>
          <w:p w14:paraId="1FFA0EB5">
            <w:pPr>
              <w:autoSpaceDE w:val="0"/>
              <w:autoSpaceDN w:val="0"/>
              <w:rPr>
                <w:rFonts w:hAnsi="宋体" w:cs="宋体"/>
                <w:color w:val="auto"/>
                <w:sz w:val="20"/>
                <w:highlight w:val="none"/>
                <w:lang w:val="zh-CN" w:eastAsia="en-US" w:bidi="zh-CN"/>
              </w:rPr>
            </w:pPr>
          </w:p>
        </w:tc>
      </w:tr>
      <w:tr w14:paraId="45D9D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2095" w:type="dxa"/>
            <w:noWrap w:val="0"/>
            <w:vAlign w:val="top"/>
          </w:tcPr>
          <w:p w14:paraId="45D43BB7">
            <w:pPr>
              <w:autoSpaceDE w:val="0"/>
              <w:autoSpaceDN w:val="0"/>
              <w:spacing w:before="130"/>
              <w:ind w:left="792" w:right="785"/>
              <w:jc w:val="center"/>
              <w:rPr>
                <w:rFonts w:ascii="宋体" w:hAnsi="宋体" w:cs="宋体"/>
                <w:color w:val="auto"/>
                <w:highlight w:val="none"/>
                <w:lang w:val="zh-CN" w:eastAsia="en-US" w:bidi="zh-CN"/>
              </w:rPr>
            </w:pPr>
            <w:r>
              <w:rPr>
                <w:rFonts w:ascii="宋体" w:hAnsi="宋体" w:cs="宋体"/>
                <w:color w:val="auto"/>
                <w:highlight w:val="none"/>
                <w:lang w:val="zh-CN" w:eastAsia="en-US" w:bidi="zh-CN"/>
              </w:rPr>
              <w:t>备注</w:t>
            </w:r>
          </w:p>
        </w:tc>
        <w:tc>
          <w:tcPr>
            <w:tcW w:w="7121" w:type="dxa"/>
            <w:gridSpan w:val="8"/>
            <w:noWrap w:val="0"/>
            <w:vAlign w:val="top"/>
          </w:tcPr>
          <w:p w14:paraId="05E530BD">
            <w:pPr>
              <w:autoSpaceDE w:val="0"/>
              <w:autoSpaceDN w:val="0"/>
              <w:rPr>
                <w:rFonts w:hAnsi="宋体" w:cs="宋体"/>
                <w:color w:val="auto"/>
                <w:sz w:val="20"/>
                <w:highlight w:val="none"/>
                <w:lang w:val="zh-CN" w:eastAsia="en-US" w:bidi="zh-CN"/>
              </w:rPr>
            </w:pPr>
          </w:p>
        </w:tc>
      </w:tr>
    </w:tbl>
    <w:p w14:paraId="093345B8">
      <w:pPr>
        <w:spacing w:line="360" w:lineRule="auto"/>
        <w:rPr>
          <w:rStyle w:val="32"/>
          <w:rFonts w:ascii="宋体" w:hAnsi="宋体"/>
          <w:color w:val="auto"/>
          <w:kern w:val="10"/>
          <w:sz w:val="24"/>
          <w:highlight w:val="none"/>
        </w:rPr>
      </w:pPr>
    </w:p>
    <w:p w14:paraId="20CDA7BF">
      <w:pPr>
        <w:spacing w:line="360" w:lineRule="auto"/>
        <w:rPr>
          <w:rStyle w:val="32"/>
          <w:rFonts w:ascii="宋体" w:hAnsi="宋体"/>
          <w:color w:val="auto"/>
          <w:kern w:val="10"/>
          <w:sz w:val="24"/>
          <w:highlight w:val="none"/>
        </w:rPr>
      </w:pPr>
    </w:p>
    <w:p w14:paraId="53F410A3">
      <w:pPr>
        <w:spacing w:line="360" w:lineRule="auto"/>
        <w:rPr>
          <w:rStyle w:val="32"/>
          <w:rFonts w:ascii="宋体" w:hAnsi="宋体"/>
          <w:color w:val="auto"/>
          <w:kern w:val="10"/>
          <w:sz w:val="24"/>
          <w:highlight w:val="none"/>
        </w:rPr>
      </w:pPr>
    </w:p>
    <w:p w14:paraId="04A97EEE">
      <w:pPr>
        <w:pStyle w:val="16"/>
        <w:ind w:firstLine="220"/>
        <w:rPr>
          <w:rFonts w:hint="eastAsia"/>
          <w:color w:val="auto"/>
          <w:highlight w:val="none"/>
          <w:lang w:val="zh-CN"/>
        </w:rPr>
      </w:pPr>
    </w:p>
    <w:p w14:paraId="41D54636">
      <w:pPr>
        <w:spacing w:line="360" w:lineRule="auto"/>
        <w:rPr>
          <w:rFonts w:hint="eastAsia" w:ascii="宋体" w:hAnsi="宋体" w:cs="宋体"/>
          <w:b/>
          <w:color w:val="auto"/>
          <w:sz w:val="24"/>
          <w:highlight w:val="none"/>
          <w:lang w:val="zh-CN" w:bidi="zh-CN"/>
        </w:rPr>
      </w:pPr>
    </w:p>
    <w:p w14:paraId="6BE162FC">
      <w:pPr>
        <w:spacing w:line="360" w:lineRule="auto"/>
        <w:rPr>
          <w:rFonts w:hint="eastAsia" w:ascii="宋体" w:hAnsi="宋体" w:cs="宋体"/>
          <w:b/>
          <w:color w:val="auto"/>
          <w:sz w:val="24"/>
          <w:highlight w:val="none"/>
          <w:lang w:val="zh-CN" w:bidi="zh-CN"/>
        </w:rPr>
      </w:pPr>
    </w:p>
    <w:p w14:paraId="49DE8FFF">
      <w:pPr>
        <w:spacing w:line="360" w:lineRule="auto"/>
        <w:rPr>
          <w:rFonts w:ascii="宋体" w:hAnsi="宋体" w:cs="宋体"/>
          <w:b/>
          <w:color w:val="auto"/>
          <w:sz w:val="24"/>
          <w:highlight w:val="none"/>
          <w:lang w:bidi="zh-CN"/>
        </w:rPr>
      </w:pPr>
      <w:r>
        <w:rPr>
          <w:rFonts w:hint="eastAsia" w:ascii="宋体" w:hAnsi="宋体" w:cs="宋体"/>
          <w:b/>
          <w:color w:val="auto"/>
          <w:sz w:val="24"/>
          <w:highlight w:val="none"/>
          <w:lang w:val="zh-CN" w:bidi="zh-CN"/>
        </w:rPr>
        <w:t>（二）响应人资格证明</w:t>
      </w:r>
      <w:r>
        <w:rPr>
          <w:rFonts w:hint="eastAsia" w:ascii="宋体" w:hAnsi="宋体" w:cs="宋体"/>
          <w:b/>
          <w:color w:val="auto"/>
          <w:sz w:val="24"/>
          <w:highlight w:val="none"/>
          <w:lang w:bidi="zh-CN"/>
        </w:rPr>
        <w:t>文件</w:t>
      </w:r>
    </w:p>
    <w:p w14:paraId="24DEDA68">
      <w:pPr>
        <w:spacing w:line="360" w:lineRule="auto"/>
        <w:rPr>
          <w:rStyle w:val="32"/>
          <w:rFonts w:ascii="宋体" w:hAnsi="宋体"/>
          <w:color w:val="auto"/>
          <w:kern w:val="10"/>
          <w:sz w:val="24"/>
          <w:highlight w:val="none"/>
        </w:rPr>
      </w:pPr>
    </w:p>
    <w:p w14:paraId="38D02C4C">
      <w:pPr>
        <w:spacing w:line="360" w:lineRule="auto"/>
        <w:jc w:val="center"/>
        <w:rPr>
          <w:rStyle w:val="32"/>
          <w:rFonts w:ascii="宋体" w:hAnsi="宋体" w:cs="宋体"/>
          <w:b/>
          <w:bCs/>
          <w:color w:val="auto"/>
          <w:kern w:val="10"/>
          <w:sz w:val="28"/>
          <w:szCs w:val="28"/>
          <w:highlight w:val="none"/>
        </w:rPr>
      </w:pPr>
    </w:p>
    <w:p w14:paraId="45F7781A">
      <w:pPr>
        <w:rPr>
          <w:rFonts w:hint="eastAsia"/>
          <w:color w:val="auto"/>
          <w:szCs w:val="24"/>
          <w:highlight w:val="none"/>
        </w:rPr>
      </w:pPr>
    </w:p>
    <w:p w14:paraId="2F03B879">
      <w:pPr>
        <w:rPr>
          <w:rFonts w:hint="eastAsia"/>
          <w:color w:val="auto"/>
          <w:szCs w:val="24"/>
          <w:highlight w:val="none"/>
        </w:rPr>
      </w:pPr>
    </w:p>
    <w:p w14:paraId="4456E8D0">
      <w:pPr>
        <w:spacing w:line="360" w:lineRule="auto"/>
        <w:rPr>
          <w:rFonts w:hint="eastAsia" w:ascii="宋体" w:hAnsi="宋体" w:cs="宋体"/>
          <w:color w:val="auto"/>
          <w:sz w:val="24"/>
          <w:szCs w:val="24"/>
          <w:highlight w:val="none"/>
        </w:rPr>
      </w:pPr>
    </w:p>
    <w:p w14:paraId="17A19DB6">
      <w:pPr>
        <w:spacing w:line="360" w:lineRule="auto"/>
        <w:rPr>
          <w:rFonts w:hint="eastAsia" w:ascii="宋体" w:hAnsi="宋体" w:cs="宋体"/>
          <w:color w:val="auto"/>
          <w:sz w:val="24"/>
          <w:szCs w:val="24"/>
          <w:highlight w:val="none"/>
        </w:rPr>
      </w:pPr>
    </w:p>
    <w:p w14:paraId="0F55D035">
      <w:pPr>
        <w:spacing w:line="360" w:lineRule="auto"/>
        <w:rPr>
          <w:rFonts w:hint="eastAsia" w:ascii="宋体" w:hAnsi="宋体" w:cs="宋体"/>
          <w:color w:val="auto"/>
          <w:sz w:val="24"/>
          <w:szCs w:val="24"/>
          <w:highlight w:val="none"/>
        </w:rPr>
      </w:pPr>
    </w:p>
    <w:p w14:paraId="40C515B3">
      <w:pPr>
        <w:spacing w:line="360" w:lineRule="auto"/>
        <w:rPr>
          <w:rFonts w:hint="eastAsia" w:ascii="宋体" w:hAnsi="宋体" w:cs="宋体"/>
          <w:color w:val="auto"/>
          <w:sz w:val="24"/>
          <w:szCs w:val="24"/>
          <w:highlight w:val="none"/>
        </w:rPr>
      </w:pPr>
    </w:p>
    <w:p w14:paraId="39236A12">
      <w:pPr>
        <w:shd w:val="clear" w:color="auto" w:fill="FFFFFF"/>
        <w:tabs>
          <w:tab w:val="right" w:pos="6077"/>
        </w:tabs>
        <w:spacing w:line="560" w:lineRule="exact"/>
        <w:jc w:val="center"/>
        <w:outlineLvl w:val="1"/>
        <w:rPr>
          <w:rFonts w:hint="eastAsia" w:ascii="宋体" w:hAnsi="宋体" w:cs="宋体"/>
          <w:b/>
          <w:bCs/>
          <w:color w:val="auto"/>
          <w:sz w:val="30"/>
          <w:szCs w:val="30"/>
          <w:highlight w:val="none"/>
        </w:rPr>
      </w:pPr>
      <w:bookmarkStart w:id="343" w:name="_Toc350785315"/>
      <w:bookmarkStart w:id="344" w:name="_Toc260213948"/>
      <w:bookmarkStart w:id="345" w:name="_Toc4034"/>
      <w:bookmarkStart w:id="346" w:name="_Toc12411"/>
      <w:bookmarkStart w:id="347" w:name="_Toc9579_WPSOffice_Level1"/>
      <w:bookmarkStart w:id="348" w:name="_Toc25548"/>
      <w:bookmarkStart w:id="349" w:name="_Toc455044847"/>
      <w:r>
        <w:rPr>
          <w:rFonts w:hint="eastAsia" w:ascii="宋体" w:hAnsi="宋体" w:cs="宋体"/>
          <w:color w:val="auto"/>
          <w:kern w:val="0"/>
          <w:sz w:val="30"/>
          <w:szCs w:val="30"/>
          <w:highlight w:val="none"/>
        </w:rPr>
        <w:br w:type="page"/>
      </w:r>
      <w:bookmarkStart w:id="350" w:name="_Toc8690"/>
      <w:bookmarkStart w:id="351" w:name="_Toc7282"/>
      <w:bookmarkStart w:id="352" w:name="_Toc88"/>
      <w:bookmarkStart w:id="353" w:name="_Toc11267"/>
      <w:r>
        <w:rPr>
          <w:rFonts w:hint="eastAsia" w:ascii="宋体" w:hAnsi="宋体" w:cs="宋体"/>
          <w:b/>
          <w:bCs/>
          <w:color w:val="auto"/>
          <w:sz w:val="30"/>
          <w:szCs w:val="30"/>
          <w:highlight w:val="none"/>
        </w:rPr>
        <w:t>八、优惠服务承诺</w:t>
      </w:r>
      <w:bookmarkEnd w:id="350"/>
      <w:bookmarkEnd w:id="351"/>
      <w:bookmarkEnd w:id="352"/>
      <w:bookmarkEnd w:id="353"/>
    </w:p>
    <w:p w14:paraId="067095A9">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1D509756">
      <w:pPr>
        <w:widowControl/>
        <w:spacing w:line="480" w:lineRule="exact"/>
        <w:ind w:firstLine="480" w:firstLineChars="200"/>
        <w:jc w:val="center"/>
        <w:textAlignment w:val="baseline"/>
        <w:rPr>
          <w:rStyle w:val="32"/>
          <w:rFonts w:ascii="宋体" w:hAnsi="宋体" w:cs="宋体"/>
          <w:bCs/>
          <w:color w:val="auto"/>
          <w:sz w:val="24"/>
          <w:highlight w:val="none"/>
        </w:rPr>
      </w:pPr>
      <w:r>
        <w:rPr>
          <w:rStyle w:val="32"/>
          <w:rFonts w:ascii="宋体" w:hAnsi="宋体" w:cs="宋体"/>
          <w:bCs/>
          <w:color w:val="auto"/>
          <w:sz w:val="24"/>
          <w:highlight w:val="none"/>
        </w:rPr>
        <w:t>格式自拟</w:t>
      </w:r>
    </w:p>
    <w:p w14:paraId="7A3E50EF">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4E7358E2">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57B12344">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5A8F23EF">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568E8040">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020EF2A8">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59F7C9DE">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7FD0C9F5">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1E78ECA7">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05A0C61F">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34902D34">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086E328C">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383446F8">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3BB99335">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1AF51E65">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67A46F41">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48C5E60F">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050B080F">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5E84B49A">
      <w:pPr>
        <w:pStyle w:val="4"/>
        <w:rPr>
          <w:rStyle w:val="32"/>
          <w:rFonts w:ascii="宋体" w:hAnsi="宋体" w:cs="宋体"/>
          <w:b/>
          <w:bCs/>
          <w:color w:val="auto"/>
          <w:sz w:val="32"/>
          <w:szCs w:val="32"/>
          <w:highlight w:val="none"/>
        </w:rPr>
      </w:pPr>
    </w:p>
    <w:p w14:paraId="6A92AF40">
      <w:pPr>
        <w:pStyle w:val="34"/>
        <w:rPr>
          <w:color w:val="auto"/>
          <w:highlight w:val="none"/>
        </w:rPr>
      </w:pPr>
    </w:p>
    <w:p w14:paraId="522A825F">
      <w:pPr>
        <w:pStyle w:val="34"/>
        <w:rPr>
          <w:color w:val="auto"/>
          <w:highlight w:val="none"/>
        </w:rPr>
      </w:pPr>
    </w:p>
    <w:p w14:paraId="69E80C24">
      <w:pPr>
        <w:shd w:val="clear" w:color="auto" w:fill="FFFFFF"/>
        <w:tabs>
          <w:tab w:val="right" w:pos="6077"/>
        </w:tabs>
        <w:spacing w:line="560" w:lineRule="exact"/>
        <w:jc w:val="center"/>
        <w:rPr>
          <w:rStyle w:val="32"/>
          <w:rFonts w:ascii="宋体" w:hAnsi="宋体" w:cs="宋体"/>
          <w:b/>
          <w:bCs/>
          <w:color w:val="auto"/>
          <w:sz w:val="32"/>
          <w:szCs w:val="32"/>
          <w:highlight w:val="none"/>
        </w:rPr>
      </w:pPr>
    </w:p>
    <w:p w14:paraId="452DF331">
      <w:pPr>
        <w:spacing w:line="0" w:lineRule="atLeast"/>
        <w:jc w:val="center"/>
        <w:rPr>
          <w:rFonts w:hint="eastAsia" w:ascii="宋体" w:hAnsi="宋体" w:cs="宋体"/>
          <w:b/>
          <w:bCs/>
          <w:color w:val="auto"/>
          <w:sz w:val="30"/>
          <w:szCs w:val="30"/>
          <w:highlight w:val="none"/>
        </w:rPr>
      </w:pPr>
    </w:p>
    <w:p w14:paraId="6492CB8D">
      <w:pPr>
        <w:spacing w:line="0" w:lineRule="atLeast"/>
        <w:jc w:val="center"/>
        <w:rPr>
          <w:rFonts w:hint="eastAsia" w:ascii="宋体" w:hAnsi="宋体" w:cs="宋体"/>
          <w:b/>
          <w:bCs/>
          <w:color w:val="auto"/>
          <w:sz w:val="30"/>
          <w:szCs w:val="30"/>
          <w:highlight w:val="none"/>
        </w:rPr>
      </w:pPr>
    </w:p>
    <w:p w14:paraId="3628E82F">
      <w:pPr>
        <w:spacing w:line="0" w:lineRule="atLeast"/>
        <w:jc w:val="center"/>
        <w:outlineLvl w:val="1"/>
        <w:rPr>
          <w:rFonts w:hint="eastAsia" w:ascii="宋体" w:hAnsi="宋体" w:cs="宋体"/>
          <w:b/>
          <w:bCs/>
          <w:color w:val="auto"/>
          <w:sz w:val="30"/>
          <w:szCs w:val="30"/>
          <w:highlight w:val="none"/>
        </w:rPr>
      </w:pPr>
      <w:bookmarkStart w:id="354" w:name="_Toc12574"/>
      <w:bookmarkStart w:id="355" w:name="_Toc19371"/>
      <w:bookmarkStart w:id="356" w:name="_Toc11534"/>
      <w:bookmarkStart w:id="357" w:name="_Toc9658"/>
      <w:r>
        <w:rPr>
          <w:rFonts w:hint="eastAsia" w:ascii="宋体" w:hAnsi="宋体" w:cs="宋体"/>
          <w:b/>
          <w:bCs/>
          <w:color w:val="auto"/>
          <w:sz w:val="30"/>
          <w:szCs w:val="30"/>
          <w:highlight w:val="none"/>
        </w:rPr>
        <w:t>九、</w:t>
      </w:r>
      <w:r>
        <w:rPr>
          <w:rFonts w:hint="eastAsia" w:ascii="宋体" w:hAnsi="宋体" w:cs="宋体"/>
          <w:b/>
          <w:bCs/>
          <w:color w:val="auto"/>
          <w:sz w:val="30"/>
          <w:szCs w:val="30"/>
          <w:highlight w:val="none"/>
          <w:lang w:eastAsia="zh-CN"/>
        </w:rPr>
        <w:t>响应人</w:t>
      </w:r>
      <w:r>
        <w:rPr>
          <w:rFonts w:hint="eastAsia" w:ascii="宋体" w:hAnsi="宋体" w:cs="宋体"/>
          <w:b/>
          <w:bCs/>
          <w:color w:val="auto"/>
          <w:sz w:val="30"/>
          <w:szCs w:val="30"/>
          <w:highlight w:val="none"/>
        </w:rPr>
        <w:t>认为应附的其他证明材料</w:t>
      </w:r>
      <w:bookmarkEnd w:id="354"/>
    </w:p>
    <w:bookmarkEnd w:id="355"/>
    <w:bookmarkEnd w:id="356"/>
    <w:bookmarkEnd w:id="357"/>
    <w:p w14:paraId="15D80C0D">
      <w:pPr>
        <w:rPr>
          <w:rFonts w:hint="eastAsia" w:ascii="宋体" w:hAnsi="宋体" w:eastAsia="宋体" w:cs="宋体"/>
          <w:color w:val="auto"/>
          <w:sz w:val="24"/>
          <w:szCs w:val="24"/>
          <w:highlight w:val="none"/>
        </w:rPr>
      </w:pPr>
      <w:bookmarkStart w:id="358" w:name="_Toc20432"/>
      <w:bookmarkStart w:id="359" w:name="_Toc946"/>
      <w:bookmarkStart w:id="360" w:name="_Toc18699"/>
    </w:p>
    <w:p w14:paraId="10E6FF91">
      <w:pPr>
        <w:rPr>
          <w:rFonts w:hint="eastAsia" w:ascii="宋体" w:hAnsi="宋体" w:eastAsia="宋体" w:cs="宋体"/>
          <w:color w:val="auto"/>
          <w:sz w:val="24"/>
          <w:szCs w:val="24"/>
          <w:highlight w:val="none"/>
        </w:rPr>
      </w:pPr>
    </w:p>
    <w:p w14:paraId="157A07F4">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0C21C707">
      <w:pPr>
        <w:spacing w:line="0" w:lineRule="atLeast"/>
        <w:jc w:val="center"/>
        <w:outlineLvl w:val="1"/>
        <w:rPr>
          <w:rFonts w:hint="eastAsia" w:ascii="宋体" w:hAnsi="宋体" w:cs="宋体"/>
          <w:b/>
          <w:bCs/>
          <w:color w:val="auto"/>
          <w:sz w:val="30"/>
          <w:szCs w:val="30"/>
          <w:highlight w:val="none"/>
        </w:rPr>
      </w:pPr>
      <w:bookmarkStart w:id="361" w:name="_Toc27106"/>
      <w:r>
        <w:rPr>
          <w:rFonts w:hint="eastAsia" w:ascii="宋体" w:hAnsi="宋体" w:cs="宋体"/>
          <w:b/>
          <w:bCs/>
          <w:color w:val="auto"/>
          <w:sz w:val="30"/>
          <w:szCs w:val="30"/>
          <w:highlight w:val="none"/>
        </w:rPr>
        <w:t>十、</w:t>
      </w:r>
      <w:bookmarkEnd w:id="358"/>
      <w:bookmarkEnd w:id="359"/>
      <w:bookmarkEnd w:id="360"/>
      <w:r>
        <w:rPr>
          <w:rFonts w:hint="eastAsia" w:ascii="宋体" w:hAnsi="宋体" w:cs="宋体"/>
          <w:b/>
          <w:bCs/>
          <w:color w:val="auto"/>
          <w:sz w:val="30"/>
          <w:szCs w:val="30"/>
          <w:highlight w:val="none"/>
        </w:rPr>
        <w:t>中小微企业声明函、监狱企业证明材料</w:t>
      </w:r>
      <w:bookmarkEnd w:id="361"/>
    </w:p>
    <w:p w14:paraId="5AB66DEC">
      <w:pPr>
        <w:shd w:val="clear" w:color="auto" w:fill="FFFFFF"/>
        <w:tabs>
          <w:tab w:val="right" w:pos="6077"/>
        </w:tabs>
        <w:spacing w:line="560" w:lineRule="exact"/>
        <w:ind w:firstLine="643" w:firstLineChars="200"/>
        <w:rPr>
          <w:rStyle w:val="32"/>
          <w:rFonts w:ascii="宋体" w:hAnsi="宋体" w:cs="宋体"/>
          <w:b/>
          <w:bCs/>
          <w:color w:val="auto"/>
          <w:sz w:val="32"/>
          <w:szCs w:val="32"/>
          <w:highlight w:val="none"/>
        </w:rPr>
      </w:pPr>
    </w:p>
    <w:p w14:paraId="6EAFA612">
      <w:pPr>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（属于中小微企业的填写，不属于的无需填写此项内容）</w:t>
      </w:r>
    </w:p>
    <w:p w14:paraId="01A178A1">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附件1：</w:t>
      </w:r>
    </w:p>
    <w:p w14:paraId="2B441BC1">
      <w:pPr>
        <w:spacing w:line="48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val="0"/>
          <w:kern w:val="0"/>
          <w:sz w:val="24"/>
          <w:szCs w:val="24"/>
          <w:highlight w:val="none"/>
        </w:rPr>
        <w:t>中小企业声明函（</w:t>
      </w:r>
      <w:r>
        <w:rPr>
          <w:rFonts w:hint="eastAsia" w:ascii="宋体" w:hAnsi="宋体" w:eastAsia="宋体" w:cs="宋体"/>
          <w:b/>
          <w:bCs w:val="0"/>
          <w:kern w:val="0"/>
          <w:sz w:val="24"/>
          <w:szCs w:val="24"/>
          <w:highlight w:val="none"/>
          <w:lang w:val="en-US" w:eastAsia="zh-CN"/>
        </w:rPr>
        <w:t>服务</w:t>
      </w:r>
      <w:r>
        <w:rPr>
          <w:rFonts w:hint="eastAsia" w:ascii="宋体" w:hAnsi="宋体" w:eastAsia="宋体" w:cs="宋体"/>
          <w:b/>
          <w:bCs w:val="0"/>
          <w:kern w:val="0"/>
          <w:sz w:val="24"/>
          <w:szCs w:val="24"/>
          <w:highlight w:val="none"/>
        </w:rPr>
        <w:t>）</w:t>
      </w:r>
    </w:p>
    <w:p w14:paraId="33B27DB9">
      <w:pPr>
        <w:spacing w:before="312" w:beforeLines="100"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采购活动，工程的施工单位全部为符合政策要求的中小企业（或者：服务全部由符合政策要求的中小企业承接）。相关企业的具体情况如下：</w:t>
      </w:r>
    </w:p>
    <w:p w14:paraId="098BA2EF">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u w:val="single"/>
        </w:rPr>
        <w:t xml:space="preserve">（标的名称）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万元，属于（中型企业/小型企业/微型企业）；</w:t>
      </w:r>
    </w:p>
    <w:p w14:paraId="1BF09D87">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u w:val="single"/>
        </w:rPr>
        <w:t xml:space="preserve">（标的名称）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610B1AF7">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0C9E81D9">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358ACCE7">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50722F8E">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企业名称（盖公章）：</w:t>
      </w:r>
    </w:p>
    <w:p w14:paraId="376F812B">
      <w:pPr>
        <w:spacing w:line="360" w:lineRule="auto"/>
        <w:ind w:firstLine="638" w:firstLineChars="266"/>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日期：</w:t>
      </w:r>
    </w:p>
    <w:p w14:paraId="00CC7BB6">
      <w:pPr>
        <w:keepNext w:val="0"/>
        <w:keepLines w:val="0"/>
        <w:pageBreakBefore w:val="0"/>
        <w:widowControl/>
        <w:kinsoku/>
        <w:wordWrap/>
        <w:overflowPunct/>
        <w:topLinePunct w:val="0"/>
        <w:autoSpaceDE/>
        <w:autoSpaceDN/>
        <w:bidi w:val="0"/>
        <w:adjustRightInd w:val="0"/>
        <w:snapToGrid w:val="0"/>
        <w:spacing w:line="420" w:lineRule="exact"/>
        <w:ind w:firstLine="641" w:firstLineChars="266"/>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注：1、从业人员、营业收入、资产总额填报上一年度数据，无上一年度数据的新成立企业可不填报。</w:t>
      </w:r>
    </w:p>
    <w:p w14:paraId="64FFA346">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firstLine="641" w:firstLineChars="266"/>
        <w:jc w:val="left"/>
        <w:textAlignment w:val="auto"/>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2、</w:t>
      </w:r>
      <w:r>
        <w:rPr>
          <w:rFonts w:hint="eastAsia" w:ascii="宋体" w:hAnsi="宋体" w:eastAsia="宋体" w:cs="宋体"/>
          <w:b/>
          <w:bCs/>
          <w:sz w:val="24"/>
          <w:szCs w:val="24"/>
          <w:highlight w:val="none"/>
        </w:rPr>
        <w:t>中小企业划分标准见工业和信息化部国家统计局国家发展和改革委员财政部《关于印发中小企业划型标准规定的通知》（工信部联企业【2011】300号）。</w:t>
      </w:r>
    </w:p>
    <w:p w14:paraId="34515CEB">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firstLine="641" w:firstLineChars="266"/>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本次采购标的对应的中小企业划分标准所属行业均为“其他未列明行业”。</w:t>
      </w:r>
    </w:p>
    <w:p w14:paraId="214B7E93">
      <w:pPr>
        <w:pStyle w:val="10"/>
        <w:ind w:firstLine="632"/>
        <w:rPr>
          <w:rFonts w:ascii="宋体" w:hAnsi="宋体" w:cs="宋体"/>
          <w:b/>
          <w:bCs/>
          <w:color w:val="000000"/>
          <w:sz w:val="28"/>
          <w:szCs w:val="28"/>
          <w:highlight w:val="none"/>
        </w:rPr>
      </w:pPr>
    </w:p>
    <w:p w14:paraId="0BC2A17D">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br w:type="page"/>
      </w:r>
      <w:r>
        <w:rPr>
          <w:rFonts w:hint="eastAsia" w:ascii="宋体" w:hAnsi="宋体" w:eastAsia="宋体" w:cs="宋体"/>
          <w:b/>
          <w:bCs w:val="0"/>
          <w:color w:val="auto"/>
          <w:kern w:val="0"/>
          <w:sz w:val="24"/>
          <w:szCs w:val="24"/>
          <w:highlight w:val="none"/>
          <w:lang w:val="en-US" w:eastAsia="zh-CN" w:bidi="ar"/>
        </w:rPr>
        <w:t>附件2：监狱企业证明文件（非监狱企业可不附此表）</w:t>
      </w:r>
    </w:p>
    <w:p w14:paraId="3F4F972A">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p w14:paraId="3C1FAF63">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p w14:paraId="522AA45A">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p w14:paraId="569BA205">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监狱企业证明文件（参考格式）</w:t>
      </w:r>
    </w:p>
    <w:p w14:paraId="787BB0C6">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color w:val="auto"/>
          <w:sz w:val="24"/>
          <w:szCs w:val="24"/>
          <w:highlight w:val="none"/>
          <w:lang w:val="en-US" w:eastAsia="zh-CN"/>
        </w:rPr>
      </w:pPr>
    </w:p>
    <w:p w14:paraId="52A9387C">
      <w:pPr>
        <w:keepNext w:val="0"/>
        <w:keepLines w:val="0"/>
        <w:widowControl w:val="0"/>
        <w:suppressLineNumbers w:val="0"/>
        <w:autoSpaceDE w:val="0"/>
        <w:autoSpaceDN w:val="0"/>
        <w:spacing w:before="0" w:beforeAutospacing="0" w:after="0" w:afterAutospacing="0"/>
        <w:ind w:left="0" w:right="0" w:firstLine="423" w:firstLineChars="168"/>
        <w:jc w:val="left"/>
        <w:rPr>
          <w:rFonts w:hint="eastAsia" w:ascii="宋体" w:hAnsi="宋体" w:eastAsia="宋体" w:cs="宋体"/>
          <w:color w:val="auto"/>
          <w:spacing w:val="6"/>
          <w:sz w:val="24"/>
          <w:szCs w:val="24"/>
          <w:highlight w:val="none"/>
          <w:lang w:val="en-US" w:eastAsia="zh-CN"/>
        </w:rPr>
      </w:pPr>
    </w:p>
    <w:p w14:paraId="01891E70">
      <w:pPr>
        <w:keepNext w:val="0"/>
        <w:keepLines w:val="0"/>
        <w:widowControl w:val="0"/>
        <w:suppressLineNumbers w:val="0"/>
        <w:autoSpaceDE w:val="0"/>
        <w:autoSpaceDN w:val="0"/>
        <w:spacing w:before="0" w:beforeAutospacing="0" w:after="0" w:afterAutospacing="0"/>
        <w:ind w:left="0" w:right="0" w:firstLine="423" w:firstLineChars="168"/>
        <w:jc w:val="lef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bidi="ar"/>
        </w:rPr>
        <w:t>省级以上监狱管理局、戒毒管理局（含新疆生产建设兵团）出具的属于监狱企业的证明文件。</w:t>
      </w:r>
    </w:p>
    <w:p w14:paraId="1D410BE1">
      <w:pPr>
        <w:keepNext w:val="0"/>
        <w:keepLines w:val="0"/>
        <w:widowControl w:val="0"/>
        <w:suppressLineNumbers w:val="0"/>
        <w:autoSpaceDE w:val="0"/>
        <w:autoSpaceDN w:val="0"/>
        <w:spacing w:before="0" w:beforeAutospacing="0" w:after="0" w:afterAutospacing="0" w:line="588" w:lineRule="exact"/>
        <w:ind w:left="0" w:right="0"/>
        <w:jc w:val="left"/>
        <w:rPr>
          <w:rFonts w:hint="eastAsia" w:ascii="宋体" w:hAnsi="宋体" w:eastAsia="宋体" w:cs="宋体"/>
          <w:b/>
          <w:bCs w:val="0"/>
          <w:color w:val="auto"/>
          <w:spacing w:val="6"/>
          <w:sz w:val="24"/>
          <w:szCs w:val="24"/>
          <w:highlight w:val="none"/>
          <w:lang w:val="en-US" w:eastAsia="zh-CN"/>
        </w:rPr>
      </w:pPr>
      <w:r>
        <w:rPr>
          <w:rFonts w:hint="eastAsia" w:ascii="宋体" w:hAnsi="宋体" w:eastAsia="宋体" w:cs="宋体"/>
          <w:b/>
          <w:bCs w:val="0"/>
          <w:color w:val="auto"/>
          <w:spacing w:val="6"/>
          <w:sz w:val="24"/>
          <w:szCs w:val="24"/>
          <w:highlight w:val="none"/>
          <w:lang w:val="en-US" w:eastAsia="zh-CN" w:bidi="ar"/>
        </w:rPr>
        <w:br w:type="page"/>
      </w:r>
      <w:r>
        <w:rPr>
          <w:rFonts w:hint="eastAsia" w:ascii="宋体" w:hAnsi="宋体" w:eastAsia="宋体" w:cs="宋体"/>
          <w:b/>
          <w:bCs w:val="0"/>
          <w:color w:val="auto"/>
          <w:kern w:val="0"/>
          <w:sz w:val="24"/>
          <w:szCs w:val="24"/>
          <w:highlight w:val="none"/>
          <w:lang w:val="en-US" w:eastAsia="zh-CN" w:bidi="ar"/>
        </w:rPr>
        <w:t>附件3：残疾人福利性单位声明函（非残疾人福利性单位可不附此表）</w:t>
      </w:r>
    </w:p>
    <w:p w14:paraId="4FF0E9B9">
      <w:pPr>
        <w:keepNext w:val="0"/>
        <w:keepLines w:val="0"/>
        <w:widowControl w:val="0"/>
        <w:suppressLineNumbers w:val="0"/>
        <w:autoSpaceDE w:val="0"/>
        <w:autoSpaceDN w:val="0"/>
        <w:spacing w:before="0" w:beforeAutospacing="0" w:after="0" w:afterAutospacing="0" w:line="588" w:lineRule="exact"/>
        <w:ind w:left="0" w:right="0"/>
        <w:jc w:val="center"/>
        <w:rPr>
          <w:rFonts w:hint="eastAsia" w:ascii="宋体" w:hAnsi="宋体" w:eastAsia="宋体" w:cs="宋体"/>
          <w:b/>
          <w:bCs w:val="0"/>
          <w:color w:val="auto"/>
          <w:spacing w:val="6"/>
          <w:sz w:val="24"/>
          <w:szCs w:val="24"/>
          <w:highlight w:val="none"/>
          <w:lang w:val="en-US" w:eastAsia="zh-CN"/>
        </w:rPr>
      </w:pPr>
    </w:p>
    <w:p w14:paraId="6A602542">
      <w:pPr>
        <w:keepNext w:val="0"/>
        <w:keepLines w:val="0"/>
        <w:widowControl w:val="0"/>
        <w:suppressLineNumbers w:val="0"/>
        <w:autoSpaceDE w:val="0"/>
        <w:autoSpaceDN w:val="0"/>
        <w:spacing w:before="0" w:beforeAutospacing="0" w:after="0" w:afterAutospacing="0" w:line="588" w:lineRule="exact"/>
        <w:ind w:left="0" w:right="0"/>
        <w:jc w:val="center"/>
        <w:rPr>
          <w:rFonts w:hint="eastAsia" w:ascii="宋体" w:hAnsi="宋体" w:eastAsia="宋体" w:cs="宋体"/>
          <w:b/>
          <w:bCs w:val="0"/>
          <w:color w:val="auto"/>
          <w:spacing w:val="6"/>
          <w:sz w:val="24"/>
          <w:szCs w:val="24"/>
          <w:highlight w:val="none"/>
          <w:lang w:val="en-US" w:eastAsia="zh-CN"/>
        </w:rPr>
      </w:pPr>
    </w:p>
    <w:p w14:paraId="73688ABF">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残疾人福利性单位声明函</w:t>
      </w:r>
    </w:p>
    <w:p w14:paraId="1B349D41">
      <w:pPr>
        <w:keepNext w:val="0"/>
        <w:keepLines w:val="0"/>
        <w:widowControl w:val="0"/>
        <w:suppressLineNumbers w:val="0"/>
        <w:autoSpaceDE w:val="0"/>
        <w:autoSpaceDN w:val="0"/>
        <w:spacing w:before="0" w:beforeAutospacing="0" w:after="0" w:afterAutospacing="0" w:line="588" w:lineRule="exact"/>
        <w:ind w:left="0" w:right="0"/>
        <w:jc w:val="left"/>
        <w:rPr>
          <w:rFonts w:hint="eastAsia" w:ascii="宋体" w:hAnsi="宋体" w:eastAsia="宋体" w:cs="宋体"/>
          <w:b/>
          <w:bCs w:val="0"/>
          <w:color w:val="auto"/>
          <w:spacing w:val="6"/>
          <w:sz w:val="24"/>
          <w:szCs w:val="24"/>
          <w:highlight w:val="none"/>
          <w:lang w:val="en-US" w:eastAsia="zh-CN"/>
        </w:rPr>
      </w:pPr>
    </w:p>
    <w:p w14:paraId="5CEF9E9C">
      <w:pPr>
        <w:keepNext w:val="0"/>
        <w:keepLines w:val="0"/>
        <w:widowControl w:val="0"/>
        <w:suppressLineNumbers w:val="0"/>
        <w:autoSpaceDE w:val="0"/>
        <w:autoSpaceDN w:val="0"/>
        <w:spacing w:before="0" w:beforeAutospacing="0" w:after="0" w:afterAutospacing="0" w:line="588" w:lineRule="exact"/>
        <w:ind w:left="0" w:right="0" w:firstLine="504" w:firstLineChars="200"/>
        <w:jc w:val="lef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bidi="ar"/>
        </w:rPr>
        <w:t>本单位郑重声明，根据《财政部 民政部 中国残疾人联合会关于促进残疾人就业政府采购政策的通知》（财库</w:t>
      </w:r>
      <w:r>
        <w:rPr>
          <w:rFonts w:hint="eastAsia" w:ascii="宋体" w:hAnsi="宋体" w:eastAsia="宋体" w:cs="宋体"/>
          <w:color w:val="auto"/>
          <w:kern w:val="0"/>
          <w:sz w:val="24"/>
          <w:szCs w:val="24"/>
          <w:highlight w:val="none"/>
          <w:lang w:val="en-US" w:eastAsia="zh-CN" w:bidi="ar"/>
        </w:rPr>
        <w:t>〔2017〕 141</w:t>
      </w:r>
      <w:r>
        <w:rPr>
          <w:rFonts w:hint="eastAsia" w:ascii="宋体" w:hAnsi="宋体" w:eastAsia="宋体" w:cs="宋体"/>
          <w:color w:val="auto"/>
          <w:spacing w:val="6"/>
          <w:kern w:val="0"/>
          <w:sz w:val="24"/>
          <w:szCs w:val="24"/>
          <w:highlight w:val="none"/>
          <w:lang w:val="en-US" w:eastAsia="zh-CN" w:bidi="ar"/>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4A28BC2">
      <w:pPr>
        <w:keepNext w:val="0"/>
        <w:keepLines w:val="0"/>
        <w:widowControl w:val="0"/>
        <w:suppressLineNumbers w:val="0"/>
        <w:autoSpaceDE w:val="0"/>
        <w:autoSpaceDN w:val="0"/>
        <w:spacing w:before="0" w:beforeAutospacing="0" w:after="0" w:afterAutospacing="0" w:line="588" w:lineRule="exact"/>
        <w:ind w:left="0" w:right="0" w:firstLine="504" w:firstLineChars="200"/>
        <w:jc w:val="lef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bidi="ar"/>
        </w:rPr>
        <w:t>本单位对上述声明的真实性负责。如有虚假，将依法承担相应责任。</w:t>
      </w:r>
    </w:p>
    <w:p w14:paraId="0D54BA0F">
      <w:pPr>
        <w:keepNext w:val="0"/>
        <w:keepLines w:val="0"/>
        <w:widowControl w:val="0"/>
        <w:suppressLineNumbers w:val="0"/>
        <w:autoSpaceDE w:val="0"/>
        <w:autoSpaceDN w:val="0"/>
        <w:spacing w:before="0" w:beforeAutospacing="0" w:after="0" w:afterAutospacing="0" w:line="588" w:lineRule="exact"/>
        <w:ind w:left="0" w:right="0" w:firstLine="504" w:firstLineChars="200"/>
        <w:jc w:val="left"/>
        <w:rPr>
          <w:rFonts w:hint="eastAsia" w:ascii="宋体" w:hAnsi="宋体" w:eastAsia="宋体" w:cs="宋体"/>
          <w:color w:val="auto"/>
          <w:spacing w:val="6"/>
          <w:sz w:val="24"/>
          <w:szCs w:val="24"/>
          <w:highlight w:val="none"/>
          <w:lang w:val="en-US" w:eastAsia="zh-CN"/>
        </w:rPr>
      </w:pPr>
    </w:p>
    <w:p w14:paraId="2E558096">
      <w:pPr>
        <w:keepNext w:val="0"/>
        <w:keepLines w:val="0"/>
        <w:widowControl w:val="0"/>
        <w:suppressLineNumbers w:val="0"/>
        <w:autoSpaceDE w:val="0"/>
        <w:autoSpaceDN w:val="0"/>
        <w:spacing w:before="0" w:beforeAutospacing="0" w:after="0" w:afterAutospacing="0" w:line="588" w:lineRule="exact"/>
        <w:ind w:left="0" w:right="0" w:firstLine="504" w:firstLineChars="200"/>
        <w:jc w:val="left"/>
        <w:rPr>
          <w:rFonts w:hint="eastAsia" w:ascii="宋体" w:hAnsi="宋体" w:eastAsia="宋体" w:cs="宋体"/>
          <w:color w:val="auto"/>
          <w:spacing w:val="6"/>
          <w:sz w:val="24"/>
          <w:szCs w:val="24"/>
          <w:highlight w:val="none"/>
          <w:lang w:val="en-US" w:eastAsia="zh-CN"/>
        </w:rPr>
      </w:pPr>
    </w:p>
    <w:p w14:paraId="3816C5DC">
      <w:pPr>
        <w:keepNext w:val="0"/>
        <w:keepLines w:val="0"/>
        <w:widowControl w:val="0"/>
        <w:suppressLineNumbers w:val="0"/>
        <w:tabs>
          <w:tab w:val="left" w:pos="4860"/>
        </w:tabs>
        <w:autoSpaceDE w:val="0"/>
        <w:autoSpaceDN w:val="0"/>
        <w:spacing w:before="0" w:beforeAutospacing="0" w:after="0" w:afterAutospacing="0" w:line="588" w:lineRule="exact"/>
        <w:ind w:left="0" w:right="1560" w:firstLine="504" w:firstLineChars="200"/>
        <w:jc w:val="center"/>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bidi="ar"/>
        </w:rPr>
        <w:t xml:space="preserve">               单位名称（盖章）：</w:t>
      </w:r>
    </w:p>
    <w:p w14:paraId="2597B7BD">
      <w:pPr>
        <w:keepNext w:val="0"/>
        <w:keepLines w:val="0"/>
        <w:widowControl w:val="0"/>
        <w:suppressLineNumbers w:val="0"/>
        <w:tabs>
          <w:tab w:val="left" w:pos="4860"/>
        </w:tabs>
        <w:autoSpaceDE w:val="0"/>
        <w:autoSpaceDN w:val="0"/>
        <w:spacing w:before="0" w:beforeAutospacing="0" w:after="0" w:afterAutospacing="0" w:line="588" w:lineRule="exact"/>
        <w:ind w:left="0" w:right="1560" w:firstLine="504" w:firstLineChars="200"/>
        <w:jc w:val="center"/>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bidi="ar"/>
        </w:rPr>
        <w:t xml:space="preserve">       日  期：</w:t>
      </w:r>
    </w:p>
    <w:p w14:paraId="79D0212C">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color w:val="auto"/>
          <w:sz w:val="24"/>
          <w:szCs w:val="24"/>
          <w:highlight w:val="none"/>
          <w:lang w:val="en-US" w:eastAsia="zh-CN"/>
        </w:rPr>
      </w:pPr>
    </w:p>
    <w:p w14:paraId="540AC361">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color w:val="auto"/>
          <w:sz w:val="24"/>
          <w:szCs w:val="24"/>
          <w:highlight w:val="none"/>
          <w:lang w:val="en-US" w:eastAsia="zh-CN"/>
        </w:rPr>
      </w:pPr>
    </w:p>
    <w:p w14:paraId="696DC971">
      <w:pP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br w:type="page"/>
      </w:r>
    </w:p>
    <w:p w14:paraId="05CDD5BE">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中小企业划型标准规定</w:t>
      </w:r>
    </w:p>
    <w:p w14:paraId="29AD075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一、根据《中华人民共和国中小企业促进法》和《国务院关于进一步促进中小企业发展的若干意见》(国发〔2009〕36号)，制定本规定。</w:t>
      </w:r>
    </w:p>
    <w:p w14:paraId="0B4400CD">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二、中小企业划分为中型、小型、微型三种类型，具体标准根据企业从业人员、营业收入、资产总额等指标，结合行业特点制定。</w:t>
      </w:r>
    </w:p>
    <w:p w14:paraId="0000587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DB52803">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color w:val="auto"/>
          <w:sz w:val="24"/>
          <w:szCs w:val="24"/>
          <w:highlight w:val="none"/>
          <w:lang w:val="en-US"/>
        </w:rPr>
      </w:pPr>
      <w:bookmarkStart w:id="362" w:name="_Toc16174"/>
      <w:r>
        <w:rPr>
          <w:rFonts w:hint="eastAsia" w:ascii="宋体" w:hAnsi="宋体" w:eastAsia="宋体" w:cs="宋体"/>
          <w:color w:val="auto"/>
          <w:kern w:val="2"/>
          <w:sz w:val="24"/>
          <w:szCs w:val="24"/>
          <w:highlight w:val="none"/>
          <w:lang w:val="en-US" w:eastAsia="zh-CN" w:bidi="ar"/>
        </w:rPr>
        <w:t>四、各行业划型标准为</w:t>
      </w:r>
      <w:bookmarkEnd w:id="362"/>
    </w:p>
    <w:p w14:paraId="2A01A38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（一）农、林、牧、渔业。营业收入20000万元以下的为中小微型企业。其中，营业收入500万元及以上的为中型企业，营业收入50万元及以上的为小型企业，营业收入50万元以下的为微型企业。</w:t>
      </w:r>
    </w:p>
    <w:p w14:paraId="043E609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22D714">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E061C4">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82A6BD6">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8BC43DC">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CB4473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40EC96">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2756DCA">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AC80907">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85510D">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A094151">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E65D6B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531B031">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9FC5083">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C23EBE4">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shd w:val="clear" w:fill="FFFFFF"/>
          <w:lang w:val="en-US" w:eastAsia="zh-CN" w:bidi="ar"/>
        </w:rPr>
        <w:t>（十六）其他未列明行业。从业人员300人以下的为中小微型企业。其中，从业人员100人及以上的为中型企业；从业人员10人及以上的为小型企业；从业人员10人以下的为微型企业。</w:t>
      </w:r>
    </w:p>
    <w:p w14:paraId="78C46B51">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color w:val="auto"/>
          <w:sz w:val="24"/>
          <w:szCs w:val="24"/>
          <w:highlight w:val="none"/>
          <w:lang w:val="en-US"/>
        </w:rPr>
      </w:pPr>
      <w:bookmarkStart w:id="363" w:name="_Toc21682"/>
      <w:r>
        <w:rPr>
          <w:rFonts w:hint="eastAsia" w:ascii="宋体" w:hAnsi="宋体" w:eastAsia="宋体" w:cs="宋体"/>
          <w:color w:val="auto"/>
          <w:kern w:val="2"/>
          <w:sz w:val="24"/>
          <w:szCs w:val="24"/>
          <w:highlight w:val="none"/>
          <w:lang w:val="en-US" w:eastAsia="zh-CN" w:bidi="ar"/>
        </w:rPr>
        <w:t>五、企业类型的划分以统计部门的统计数据为依据。</w:t>
      </w:r>
      <w:bookmarkEnd w:id="363"/>
    </w:p>
    <w:p w14:paraId="65B6A2AA">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六、本规定适用于在中华人民共和国境内依法设立的各类所有制和各种组织形式的企业。个体工商户和本规定以外的行业，参照本规定进行划型。</w:t>
      </w:r>
    </w:p>
    <w:p w14:paraId="4DC8E32C">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6C3145E4">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八、本规定由工业和信息化部、国家统计局会同有关部门根据《国民经济行业分类》修订情况和企业发展变化情况适时修订。</w:t>
      </w:r>
    </w:p>
    <w:p w14:paraId="24D8568D">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color w:val="auto"/>
          <w:sz w:val="24"/>
          <w:szCs w:val="24"/>
          <w:highlight w:val="none"/>
          <w:lang w:val="en-US"/>
        </w:rPr>
      </w:pPr>
      <w:bookmarkStart w:id="364" w:name="_Toc22360"/>
      <w:r>
        <w:rPr>
          <w:rFonts w:hint="eastAsia" w:ascii="宋体" w:hAnsi="宋体" w:eastAsia="宋体" w:cs="宋体"/>
          <w:color w:val="auto"/>
          <w:kern w:val="2"/>
          <w:sz w:val="24"/>
          <w:szCs w:val="24"/>
          <w:highlight w:val="none"/>
          <w:lang w:val="en-US" w:eastAsia="zh-CN" w:bidi="ar"/>
        </w:rPr>
        <w:t>九、本规定由工业和信息化部、国家统计局会同有关部门负责解释。</w:t>
      </w:r>
      <w:bookmarkEnd w:id="364"/>
    </w:p>
    <w:p w14:paraId="52E6E35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十、本规定自发布之日起执行，原国家经贸委、原国家计委、财政部和国家统计局2003年颁布的《中小企业标准暂行规定》同时废止。</w:t>
      </w:r>
    </w:p>
    <w:bookmarkEnd w:id="343"/>
    <w:bookmarkEnd w:id="344"/>
    <w:bookmarkEnd w:id="345"/>
    <w:bookmarkEnd w:id="346"/>
    <w:bookmarkEnd w:id="347"/>
    <w:bookmarkEnd w:id="348"/>
    <w:bookmarkEnd w:id="349"/>
    <w:p w14:paraId="7C1F8E71">
      <w:pPr>
        <w:spacing w:line="0" w:lineRule="atLeast"/>
        <w:jc w:val="center"/>
        <w:outlineLvl w:val="1"/>
        <w:rPr>
          <w:rFonts w:hint="eastAsia" w:ascii="宋体" w:hAnsi="宋体" w:cs="宋体"/>
          <w:b/>
          <w:bCs/>
          <w:color w:val="auto"/>
          <w:sz w:val="30"/>
          <w:szCs w:val="30"/>
          <w:highlight w:val="none"/>
        </w:rPr>
      </w:pPr>
    </w:p>
    <w:sectPr>
      <w:footerReference r:id="rId10" w:type="default"/>
      <w:pgSz w:w="11906" w:h="16838"/>
      <w:pgMar w:top="1247" w:right="1134" w:bottom="1077" w:left="113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7D329">
    <w:pPr>
      <w:pStyle w:val="11"/>
      <w:jc w:val="center"/>
    </w:pPr>
  </w:p>
  <w:p w14:paraId="47CDF6D0">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D2FC">
    <w:pPr>
      <w:pStyle w:val="11"/>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393AA">
    <w:pPr>
      <w:pStyle w:val="11"/>
      <w:jc w:val="center"/>
    </w:pPr>
  </w:p>
  <w:p w14:paraId="06ED500A">
    <w:pPr>
      <w:pStyle w:val="11"/>
      <w:rPr>
        <w:rFonts w:hint="eastAsia" w:cs="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6E140">
    <w:pPr>
      <w:pStyle w:val="11"/>
      <w:jc w:val="cente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99DAB7">
                          <w:pPr>
                            <w:pStyle w:val="11"/>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33</w:t>
                          </w:r>
                          <w:r>
                            <w:rPr>
                              <w:rFonts w:hint="eastAsia" w:ascii="宋体" w:hAnsi="宋体" w:eastAsia="宋体" w:cs="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499DAB7">
                    <w:pPr>
                      <w:pStyle w:val="11"/>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33</w:t>
                    </w:r>
                    <w:r>
                      <w:rPr>
                        <w:rFonts w:hint="eastAsia" w:ascii="宋体" w:hAnsi="宋体" w:eastAsia="宋体" w:cs="宋体"/>
                        <w:sz w:val="21"/>
                        <w:szCs w:val="21"/>
                      </w:rPr>
                      <w:fldChar w:fldCharType="end"/>
                    </w:r>
                  </w:p>
                </w:txbxContent>
              </v:textbox>
            </v:shape>
          </w:pict>
        </mc:Fallback>
      </mc:AlternateContent>
    </w:r>
  </w:p>
  <w:p w14:paraId="3C162B19">
    <w:pPr>
      <w:pStyle w:val="11"/>
      <w:rPr>
        <w:rFonts w:hint="eastAsia" w:cs="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592CC">
    <w:pPr>
      <w:pStyle w:val="11"/>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7DA23D2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right;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Ickdt0PAgAAEAQAAA4AAAAAAAAAAQAgAAAA&#10;HwEAAGRycy9lMm9Eb2MueG1sUEsFBgAAAAAGAAYAWQEAAKAFAAAAAA==&#10;">
              <v:fill on="f" focussize="0,0"/>
              <v:stroke on="f"/>
              <v:imagedata o:title=""/>
              <o:lock v:ext="edit" aspectratio="f"/>
              <v:textbox inset="0mm,0mm,0mm,0mm" style="mso-fit-shape-to-text:t;">
                <w:txbxContent>
                  <w:p w14:paraId="7DA23D2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8C99D">
    <w:pPr>
      <w:pStyle w:val="11"/>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A80FFB">
                          <w:pPr>
                            <w:pStyle w:val="11"/>
                            <w:jc w:val="center"/>
                          </w:pPr>
                          <w:r>
                            <w:fldChar w:fldCharType="begin"/>
                          </w:r>
                          <w:r>
                            <w:instrText xml:space="preserve"> PAGE   \* MERGEFORMAT </w:instrText>
                          </w:r>
                          <w:r>
                            <w:fldChar w:fldCharType="separate"/>
                          </w:r>
                          <w:r>
                            <w:rPr>
                              <w:lang w:val="zh-CN"/>
                            </w:rP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AA80FFB">
                    <w:pPr>
                      <w:pStyle w:val="11"/>
                      <w:jc w:val="center"/>
                    </w:pPr>
                    <w:r>
                      <w:fldChar w:fldCharType="begin"/>
                    </w:r>
                    <w:r>
                      <w:instrText xml:space="preserve"> PAGE   \* MERGEFORMAT </w:instrText>
                    </w:r>
                    <w:r>
                      <w:fldChar w:fldCharType="separate"/>
                    </w:r>
                    <w:r>
                      <w:rPr>
                        <w:lang w:val="zh-CN"/>
                      </w:rPr>
                      <w:t>46</w:t>
                    </w:r>
                    <w:r>
                      <w:fldChar w:fldCharType="end"/>
                    </w:r>
                  </w:p>
                </w:txbxContent>
              </v:textbox>
            </v:shape>
          </w:pict>
        </mc:Fallback>
      </mc:AlternateContent>
    </w:r>
  </w:p>
  <w:p w14:paraId="16861F0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A5935">
    <w:pPr>
      <w:pStyle w:val="12"/>
      <w:ind w:firstLine="360" w:firstLineChars="200"/>
      <w:rPr>
        <w:rFonts w:hint="default"/>
        <w:sz w:val="18"/>
        <w:szCs w:val="18"/>
        <w:u w:val="single"/>
        <w:lang w:val="en-US"/>
      </w:rPr>
    </w:pPr>
    <w:r>
      <w:rPr>
        <w:sz w:val="18"/>
        <w:szCs w:val="18"/>
        <w:u w:val="single"/>
      </w:rPr>
      <w:drawing>
        <wp:anchor distT="0" distB="0" distL="114300" distR="114300" simplePos="0" relativeHeight="251662336" behindDoc="0" locked="0" layoutInCell="1" allowOverlap="1">
          <wp:simplePos x="0" y="0"/>
          <wp:positionH relativeFrom="column">
            <wp:posOffset>15875</wp:posOffset>
          </wp:positionH>
          <wp:positionV relativeFrom="paragraph">
            <wp:posOffset>-40640</wp:posOffset>
          </wp:positionV>
          <wp:extent cx="191135" cy="188595"/>
          <wp:effectExtent l="0" t="0" r="18415" b="1905"/>
          <wp:wrapNone/>
          <wp:docPr id="15" name="图片 15" descr="微信截图_2025030417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截图_20250304170621"/>
                  <pic:cNvPicPr>
                    <a:picLocks noChangeAspect="1"/>
                  </pic:cNvPicPr>
                </pic:nvPicPr>
                <pic:blipFill>
                  <a:blip r:embed="rId1"/>
                  <a:stretch>
                    <a:fillRect/>
                  </a:stretch>
                </pic:blipFill>
                <pic:spPr>
                  <a:xfrm>
                    <a:off x="0" y="0"/>
                    <a:ext cx="191135" cy="188595"/>
                  </a:xfrm>
                  <a:prstGeom prst="rect">
                    <a:avLst/>
                  </a:prstGeom>
                </pic:spPr>
              </pic:pic>
            </a:graphicData>
          </a:graphic>
        </wp:anchor>
      </w:drawing>
    </w:r>
    <w:r>
      <w:rPr>
        <w:rFonts w:hint="eastAsia" w:ascii="宋体" w:hAnsi="宋体" w:eastAsia="宋体" w:cs="宋体"/>
        <w:color w:val="auto"/>
        <w:sz w:val="18"/>
        <w:szCs w:val="18"/>
        <w:highlight w:val="none"/>
        <w:u w:val="single"/>
        <w:lang w:eastAsia="zh-CN"/>
      </w:rPr>
      <w:t>灵宝市2025年中央水库移民扶持基金项目设计</w:t>
    </w:r>
    <w:r>
      <w:rPr>
        <w:rFonts w:hint="eastAsia" w:ascii="宋体" w:hAnsi="宋体" w:eastAsia="宋体" w:cs="宋体"/>
        <w:color w:val="auto"/>
        <w:sz w:val="18"/>
        <w:szCs w:val="18"/>
        <w:highlight w:val="none"/>
        <w:u w:val="single"/>
        <w:lang w:val="en-US" w:eastAsia="zh-CN"/>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0E500">
    <w:pPr>
      <w:pStyle w:val="12"/>
      <w:ind w:firstLine="360" w:firstLineChars="200"/>
      <w:rPr>
        <w:rFonts w:hint="default"/>
        <w:sz w:val="18"/>
        <w:szCs w:val="18"/>
        <w:u w:val="single"/>
        <w:lang w:val="en-US"/>
      </w:rPr>
    </w:pPr>
    <w:r>
      <w:rPr>
        <w:sz w:val="18"/>
        <w:szCs w:val="18"/>
        <w:u w:val="single"/>
      </w:rPr>
      <w:drawing>
        <wp:anchor distT="0" distB="0" distL="114300" distR="114300" simplePos="0" relativeHeight="251663360" behindDoc="0" locked="0" layoutInCell="1" allowOverlap="1">
          <wp:simplePos x="0" y="0"/>
          <wp:positionH relativeFrom="column">
            <wp:posOffset>15875</wp:posOffset>
          </wp:positionH>
          <wp:positionV relativeFrom="paragraph">
            <wp:posOffset>-40640</wp:posOffset>
          </wp:positionV>
          <wp:extent cx="191135" cy="188595"/>
          <wp:effectExtent l="0" t="0" r="18415" b="1905"/>
          <wp:wrapNone/>
          <wp:docPr id="6" name="图片 6" descr="微信截图_2025030417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截图_20250304170621"/>
                  <pic:cNvPicPr>
                    <a:picLocks noChangeAspect="1"/>
                  </pic:cNvPicPr>
                </pic:nvPicPr>
                <pic:blipFill>
                  <a:blip r:embed="rId1"/>
                  <a:stretch>
                    <a:fillRect/>
                  </a:stretch>
                </pic:blipFill>
                <pic:spPr>
                  <a:xfrm>
                    <a:off x="0" y="0"/>
                    <a:ext cx="191135" cy="188595"/>
                  </a:xfrm>
                  <a:prstGeom prst="rect">
                    <a:avLst/>
                  </a:prstGeom>
                </pic:spPr>
              </pic:pic>
            </a:graphicData>
          </a:graphic>
        </wp:anchor>
      </w:drawing>
    </w:r>
    <w:r>
      <w:rPr>
        <w:rFonts w:hint="eastAsia" w:ascii="宋体" w:hAnsi="宋体" w:eastAsia="宋体" w:cs="宋体"/>
        <w:color w:val="auto"/>
        <w:sz w:val="18"/>
        <w:szCs w:val="18"/>
        <w:highlight w:val="none"/>
        <w:u w:val="single"/>
        <w:lang w:eastAsia="zh-CN"/>
      </w:rPr>
      <w:t>灵宝市2025年中央水库移民扶持基金项目设计</w:t>
    </w:r>
    <w:r>
      <w:rPr>
        <w:rFonts w:hint="eastAsia" w:ascii="宋体" w:hAnsi="宋体" w:eastAsia="宋体" w:cs="宋体"/>
        <w:color w:val="auto"/>
        <w:sz w:val="18"/>
        <w:szCs w:val="18"/>
        <w:highlight w:val="none"/>
        <w:u w:val="single"/>
        <w:lang w:val="en-US" w:eastAsia="zh-CN"/>
      </w:rPr>
      <w:t xml:space="preserve">                                                竞争性磋商文件</w:t>
    </w:r>
  </w:p>
  <w:p w14:paraId="4E2DAA20">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1C9305F5"/>
    <w:multiLevelType w:val="singleLevel"/>
    <w:tmpl w:val="1C9305F5"/>
    <w:lvl w:ilvl="0" w:tentative="0">
      <w:start w:val="1"/>
      <w:numFmt w:val="decimal"/>
      <w:suff w:val="nothing"/>
      <w:lvlText w:val="%1、"/>
      <w:lvlJc w:val="left"/>
    </w:lvl>
  </w:abstractNum>
  <w:abstractNum w:abstractNumId="2">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59ED77A"/>
    <w:multiLevelType w:val="singleLevel"/>
    <w:tmpl w:val="359ED77A"/>
    <w:lvl w:ilvl="0" w:tentative="0">
      <w:start w:val="3"/>
      <w:numFmt w:val="chineseCounting"/>
      <w:suff w:val="space"/>
      <w:lvlText w:val="第%1条"/>
      <w:lvlJc w:val="left"/>
      <w:rPr>
        <w:rFonts w:hint="eastAsia"/>
      </w:rPr>
    </w:lvl>
  </w:abstractNum>
  <w:abstractNum w:abstractNumId="4">
    <w:nsid w:val="63F52923"/>
    <w:multiLevelType w:val="singleLevel"/>
    <w:tmpl w:val="63F52923"/>
    <w:lvl w:ilvl="0" w:tentative="0">
      <w:start w:val="2"/>
      <w:numFmt w:val="chineseCounting"/>
      <w:suff w:val="nothing"/>
      <w:lvlText w:val="%1、"/>
      <w:lvlJc w:val="left"/>
      <w:rPr>
        <w:rFonts w:hint="eastAsia"/>
      </w:r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uyTamsD8ylHRxMeKC4kkQwEwPz4=" w:salt="oxG3k6hs9md/wZ2Mcjkc4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0Y2NlNTdkZjNkNTNlNTM1ZjY1YTIzMzE3MmQxMzMifQ=="/>
  </w:docVars>
  <w:rsids>
    <w:rsidRoot w:val="00000000"/>
    <w:rsid w:val="00B400F0"/>
    <w:rsid w:val="01EC6911"/>
    <w:rsid w:val="02647ECA"/>
    <w:rsid w:val="03F52369"/>
    <w:rsid w:val="04C42EA2"/>
    <w:rsid w:val="07E32C45"/>
    <w:rsid w:val="07F6145F"/>
    <w:rsid w:val="08305804"/>
    <w:rsid w:val="087B3C77"/>
    <w:rsid w:val="0BFC55BE"/>
    <w:rsid w:val="0C0B13B7"/>
    <w:rsid w:val="0E146C48"/>
    <w:rsid w:val="10B91A4B"/>
    <w:rsid w:val="17992297"/>
    <w:rsid w:val="17DB2585"/>
    <w:rsid w:val="186D44BD"/>
    <w:rsid w:val="189F35B2"/>
    <w:rsid w:val="18A31F35"/>
    <w:rsid w:val="1BB42F34"/>
    <w:rsid w:val="203B258C"/>
    <w:rsid w:val="24633790"/>
    <w:rsid w:val="262319BC"/>
    <w:rsid w:val="267D7B8F"/>
    <w:rsid w:val="29E15E23"/>
    <w:rsid w:val="2A355152"/>
    <w:rsid w:val="2C097269"/>
    <w:rsid w:val="3148438F"/>
    <w:rsid w:val="316B1AD2"/>
    <w:rsid w:val="32091D40"/>
    <w:rsid w:val="32EC6376"/>
    <w:rsid w:val="33E53DDB"/>
    <w:rsid w:val="341868E0"/>
    <w:rsid w:val="37036D5A"/>
    <w:rsid w:val="3B8767F3"/>
    <w:rsid w:val="3FA77B45"/>
    <w:rsid w:val="40183AC7"/>
    <w:rsid w:val="41686388"/>
    <w:rsid w:val="47F941DE"/>
    <w:rsid w:val="495E19D1"/>
    <w:rsid w:val="4D4335AB"/>
    <w:rsid w:val="4D502E06"/>
    <w:rsid w:val="4D8602C2"/>
    <w:rsid w:val="4DDB3183"/>
    <w:rsid w:val="502A7C11"/>
    <w:rsid w:val="509E689A"/>
    <w:rsid w:val="510E3C07"/>
    <w:rsid w:val="52374A57"/>
    <w:rsid w:val="55C66791"/>
    <w:rsid w:val="56F764C1"/>
    <w:rsid w:val="585851B0"/>
    <w:rsid w:val="58F809B1"/>
    <w:rsid w:val="5A6B5FC8"/>
    <w:rsid w:val="5B1B73B3"/>
    <w:rsid w:val="5DAE579A"/>
    <w:rsid w:val="5E37588E"/>
    <w:rsid w:val="5E763E0A"/>
    <w:rsid w:val="5FA66BB7"/>
    <w:rsid w:val="60474A68"/>
    <w:rsid w:val="609D6221"/>
    <w:rsid w:val="627B5AC3"/>
    <w:rsid w:val="647B2BEE"/>
    <w:rsid w:val="65416C31"/>
    <w:rsid w:val="658F415F"/>
    <w:rsid w:val="683155B5"/>
    <w:rsid w:val="68703D1F"/>
    <w:rsid w:val="69E33BDE"/>
    <w:rsid w:val="6AFC6593"/>
    <w:rsid w:val="6C9A123C"/>
    <w:rsid w:val="6D512242"/>
    <w:rsid w:val="6D612FDB"/>
    <w:rsid w:val="70997814"/>
    <w:rsid w:val="71A1306D"/>
    <w:rsid w:val="73B54BAD"/>
    <w:rsid w:val="77C06618"/>
    <w:rsid w:val="77C30BA9"/>
    <w:rsid w:val="79775971"/>
    <w:rsid w:val="7B9854E0"/>
    <w:rsid w:val="7C8A4953"/>
    <w:rsid w:val="7CBA5BE2"/>
    <w:rsid w:val="7E4B5344"/>
    <w:rsid w:val="7E503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line="240" w:lineRule="atLeast"/>
      <w:ind w:left="851" w:hanging="284"/>
      <w:outlineLvl w:val="1"/>
    </w:pPr>
    <w:rPr>
      <w:rFonts w:ascii="黑体" w:hAnsi="Arial" w:eastAsia="黑体"/>
      <w:kern w:val="0"/>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99"/>
    <w:pPr>
      <w:snapToGrid w:val="0"/>
      <w:spacing w:line="360" w:lineRule="auto"/>
    </w:pPr>
    <w:rPr>
      <w:kern w:val="0"/>
      <w:sz w:val="24"/>
      <w:szCs w:val="24"/>
    </w:rPr>
  </w:style>
  <w:style w:type="paragraph" w:styleId="5">
    <w:name w:val="Body Text 2"/>
    <w:basedOn w:val="1"/>
    <w:next w:val="6"/>
    <w:qFormat/>
    <w:uiPriority w:val="99"/>
    <w:pPr>
      <w:widowControl/>
      <w:spacing w:before="100" w:beforeAutospacing="1" w:after="100" w:afterAutospacing="1"/>
      <w:jc w:val="left"/>
    </w:pPr>
    <w:rPr>
      <w:rFonts w:ascii="宋体" w:hAnsi="宋体"/>
      <w:kern w:val="0"/>
      <w:sz w:val="24"/>
      <w:szCs w:val="24"/>
    </w:rPr>
  </w:style>
  <w:style w:type="paragraph" w:styleId="6">
    <w:name w:val="Plain Text"/>
    <w:basedOn w:val="1"/>
    <w:qFormat/>
    <w:uiPriority w:val="0"/>
    <w:rPr>
      <w:rFonts w:ascii="宋体" w:hAnsi="Courier New" w:eastAsia="华文宋体"/>
      <w:kern w:val="0"/>
      <w:sz w:val="28"/>
      <w:szCs w:val="28"/>
    </w:rPr>
  </w:style>
  <w:style w:type="paragraph" w:styleId="7">
    <w:name w:val="Body Text Indent"/>
    <w:basedOn w:val="1"/>
    <w:next w:val="8"/>
    <w:qFormat/>
    <w:uiPriority w:val="0"/>
    <w:pPr>
      <w:ind w:firstLine="645"/>
    </w:pPr>
    <w:rPr>
      <w:rFonts w:ascii="宋体" w:hAnsi="宋体"/>
      <w:kern w:val="0"/>
      <w:sz w:val="32"/>
      <w:szCs w:val="32"/>
    </w:rPr>
  </w:style>
  <w:style w:type="paragraph" w:customStyle="1" w:styleId="8">
    <w:name w:val="Blockquote"/>
    <w:basedOn w:val="1"/>
    <w:next w:val="1"/>
    <w:qFormat/>
    <w:uiPriority w:val="99"/>
    <w:pPr>
      <w:widowControl w:val="0"/>
      <w:autoSpaceDE w:val="0"/>
      <w:autoSpaceDN w:val="0"/>
      <w:adjustRightInd w:val="0"/>
      <w:spacing w:before="100" w:after="100" w:line="240" w:lineRule="auto"/>
      <w:ind w:left="360" w:right="360"/>
    </w:pPr>
    <w:rPr>
      <w:color w:val="auto"/>
      <w:sz w:val="24"/>
    </w:rPr>
  </w:style>
  <w:style w:type="paragraph" w:styleId="9">
    <w:name w:val="Block Text"/>
    <w:basedOn w:val="1"/>
    <w:qFormat/>
    <w:uiPriority w:val="0"/>
    <w:pPr>
      <w:spacing w:line="480" w:lineRule="exact"/>
      <w:ind w:left="100" w:right="111" w:firstLine="556" w:firstLineChars="0"/>
    </w:pPr>
    <w:rPr>
      <w:sz w:val="28"/>
      <w:szCs w:val="20"/>
    </w:rPr>
  </w:style>
  <w:style w:type="paragraph" w:styleId="10">
    <w:name w:val="Body Text Indent 2"/>
    <w:basedOn w:val="1"/>
    <w:qFormat/>
    <w:uiPriority w:val="0"/>
    <w:pPr>
      <w:ind w:firstLine="630"/>
    </w:pPr>
    <w:rPr>
      <w:rFonts w:ascii="宋体" w:hAnsi="宋体"/>
      <w:kern w:val="0"/>
      <w:sz w:val="32"/>
      <w:szCs w:val="32"/>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Body Text First Indent"/>
    <w:basedOn w:val="4"/>
    <w:next w:val="17"/>
    <w:unhideWhenUsed/>
    <w:qFormat/>
    <w:uiPriority w:val="99"/>
    <w:pPr>
      <w:spacing w:after="120"/>
      <w:ind w:firstLine="420" w:firstLineChars="100"/>
    </w:pPr>
    <w:rPr>
      <w:sz w:val="22"/>
      <w:szCs w:val="22"/>
    </w:rPr>
  </w:style>
  <w:style w:type="paragraph" w:styleId="17">
    <w:name w:val="Body Text First Indent 2"/>
    <w:basedOn w:val="7"/>
    <w:next w:val="3"/>
    <w:qFormat/>
    <w:uiPriority w:val="0"/>
    <w:pPr>
      <w:ind w:firstLine="420" w:firstLineChars="200"/>
    </w:pPr>
  </w:style>
  <w:style w:type="character" w:styleId="20">
    <w:name w:val="FollowedHyperlink"/>
    <w:basedOn w:val="19"/>
    <w:qFormat/>
    <w:uiPriority w:val="0"/>
    <w:rPr>
      <w:color w:val="800080"/>
      <w:u w:val="none"/>
    </w:rPr>
  </w:style>
  <w:style w:type="character" w:styleId="21">
    <w:name w:val="HTML Definition"/>
    <w:basedOn w:val="19"/>
    <w:qFormat/>
    <w:uiPriority w:val="0"/>
  </w:style>
  <w:style w:type="character" w:styleId="22">
    <w:name w:val="HTML Typewriter"/>
    <w:basedOn w:val="19"/>
    <w:qFormat/>
    <w:uiPriority w:val="0"/>
    <w:rPr>
      <w:rFonts w:hint="default" w:ascii="monospace" w:hAnsi="monospace" w:eastAsia="monospace" w:cs="monospace"/>
      <w:sz w:val="20"/>
    </w:rPr>
  </w:style>
  <w:style w:type="character" w:styleId="23">
    <w:name w:val="HTML Acronym"/>
    <w:basedOn w:val="19"/>
    <w:qFormat/>
    <w:uiPriority w:val="0"/>
  </w:style>
  <w:style w:type="character" w:styleId="24">
    <w:name w:val="HTML Variable"/>
    <w:basedOn w:val="19"/>
    <w:qFormat/>
    <w:uiPriority w:val="0"/>
  </w:style>
  <w:style w:type="character" w:styleId="25">
    <w:name w:val="Hyperlink"/>
    <w:qFormat/>
    <w:uiPriority w:val="99"/>
    <w:rPr>
      <w:color w:val="666666"/>
      <w:u w:val="none"/>
    </w:rPr>
  </w:style>
  <w:style w:type="character" w:styleId="26">
    <w:name w:val="HTML Code"/>
    <w:basedOn w:val="19"/>
    <w:qFormat/>
    <w:uiPriority w:val="0"/>
    <w:rPr>
      <w:rFonts w:ascii="monospace" w:hAnsi="monospace" w:eastAsia="monospace" w:cs="monospace"/>
      <w:sz w:val="20"/>
    </w:rPr>
  </w:style>
  <w:style w:type="character" w:styleId="27">
    <w:name w:val="HTML Cite"/>
    <w:basedOn w:val="19"/>
    <w:qFormat/>
    <w:uiPriority w:val="0"/>
  </w:style>
  <w:style w:type="character" w:styleId="28">
    <w:name w:val="HTML Keyboard"/>
    <w:basedOn w:val="19"/>
    <w:qFormat/>
    <w:uiPriority w:val="0"/>
    <w:rPr>
      <w:rFonts w:hint="default" w:ascii="monospace" w:hAnsi="monospace" w:eastAsia="monospace" w:cs="monospace"/>
      <w:sz w:val="20"/>
    </w:rPr>
  </w:style>
  <w:style w:type="character" w:styleId="29">
    <w:name w:val="HTML Sample"/>
    <w:basedOn w:val="19"/>
    <w:qFormat/>
    <w:uiPriority w:val="0"/>
    <w:rPr>
      <w:rFonts w:hint="default" w:ascii="monospace" w:hAnsi="monospace" w:eastAsia="monospace" w:cs="monospace"/>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Body Text Indent 3"/>
    <w:basedOn w:val="1"/>
    <w:qFormat/>
    <w:uiPriority w:val="0"/>
    <w:pPr>
      <w:tabs>
        <w:tab w:val="left" w:pos="0"/>
      </w:tabs>
      <w:ind w:firstLine="538" w:firstLineChars="192"/>
    </w:pPr>
    <w:rPr>
      <w:rFonts w:ascii="宋体" w:hAnsi="宋体"/>
      <w:sz w:val="28"/>
    </w:rPr>
  </w:style>
  <w:style w:type="character" w:customStyle="1" w:styleId="32">
    <w:name w:val="NormalCharacter"/>
    <w:qFormat/>
    <w:uiPriority w:val="0"/>
    <w:rPr>
      <w:rFonts w:ascii="Times New Roman" w:hAnsi="Times New Roman" w:eastAsia="宋体"/>
    </w:rPr>
  </w:style>
  <w:style w:type="paragraph" w:customStyle="1" w:styleId="33">
    <w:name w:val="Table Paragraph"/>
    <w:basedOn w:val="1"/>
    <w:qFormat/>
    <w:uiPriority w:val="1"/>
    <w:rPr>
      <w:rFonts w:ascii="宋体" w:hAnsi="宋体" w:eastAsia="宋体" w:cs="宋体"/>
      <w:lang w:val="zh-CN" w:eastAsia="zh-CN" w:bidi="zh-CN"/>
    </w:rPr>
  </w:style>
  <w:style w:type="paragraph" w:customStyle="1" w:styleId="3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5">
    <w:name w:val="layui-layer-tabnow"/>
    <w:basedOn w:val="19"/>
    <w:qFormat/>
    <w:uiPriority w:val="0"/>
    <w:rPr>
      <w:bdr w:val="single" w:color="CCCCCC" w:sz="6" w:space="0"/>
      <w:shd w:val="clear" w:fill="FFFFFF"/>
    </w:rPr>
  </w:style>
  <w:style w:type="character" w:customStyle="1" w:styleId="36">
    <w:name w:val="first-child"/>
    <w:basedOn w:val="19"/>
    <w:qFormat/>
    <w:uiPriority w:val="0"/>
  </w:style>
  <w:style w:type="paragraph" w:customStyle="1" w:styleId="37">
    <w:name w:val="段"/>
    <w:basedOn w:val="1"/>
    <w:next w:val="1"/>
    <w:qFormat/>
    <w:uiPriority w:val="0"/>
    <w:pPr>
      <w:keepNext w:val="0"/>
      <w:keepLines w:val="0"/>
      <w:widowControl/>
      <w:suppressLineNumbers w:val="0"/>
      <w:autoSpaceDE w:val="0"/>
      <w:autoSpaceDN w:val="0"/>
      <w:adjustRightInd w:val="0"/>
      <w:snapToGrid w:val="0"/>
      <w:spacing w:before="0" w:beforeAutospacing="0" w:after="0" w:afterAutospacing="0" w:line="360" w:lineRule="auto"/>
      <w:ind w:left="0" w:right="0" w:firstLine="200" w:firstLineChars="200"/>
      <w:jc w:val="both"/>
    </w:pPr>
    <w:rPr>
      <w:rFonts w:hint="eastAsia" w:ascii="宋体" w:hAnsi="Calibri" w:eastAsia="宋体" w:cs="Times New Roman"/>
      <w:kern w:val="0"/>
      <w:sz w:val="24"/>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26457</Words>
  <Characters>28321</Characters>
  <Lines>0</Lines>
  <Paragraphs>0</Paragraphs>
  <TotalTime>4</TotalTime>
  <ScaleCrop>false</ScaleCrop>
  <LinksUpToDate>false</LinksUpToDate>
  <CharactersWithSpaces>29629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2024-06-25T07:22:00Z</dcterms:created>
  <dc:creator>Administrator</dc:creator>
  <cp:lastModifiedBy>-</cp:lastModifiedBy>
  <dcterms:modified xsi:type="dcterms:W3CDTF">2025-03-21T08:28:21Z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DEF0968DE6A64DD9AFAC1F0CE3409B2E_13</vt:lpwstr>
  </property>
  <property fmtid="{D5CDD505-2E9C-101B-9397-08002B2CF9AE}" pid="4" name="KSOTemplateDocerSaveRecord">
    <vt:lpwstr>eyJoZGlkIjoiZDBjZTFmNjY0ZWYzMjI0ZThjZDQ4ZmIxYjViNDYxM2MiLCJ1c2VySWQiOiIyOTQ1NTMzNDQifQ==</vt:lpwstr>
  </property>
</Properties>
</file>