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8979E0">
      <w:pPr>
        <w:spacing w:line="240" w:lineRule="exact"/>
        <w:jc w:val="center"/>
        <w:rPr>
          <w:rFonts w:ascii="宋体" w:hAnsi="宋体" w:eastAsia="宋体" w:cs="Times New Roman"/>
          <w:b/>
          <w:bCs/>
          <w:sz w:val="44"/>
          <w:szCs w:val="44"/>
        </w:rPr>
      </w:pPr>
    </w:p>
    <w:p w14:paraId="597DCEBD">
      <w:pPr>
        <w:jc w:val="center"/>
        <w:rPr>
          <w:rFonts w:ascii="宋体" w:hAnsi="宋体" w:eastAsia="宋体" w:cs="Times New Roman"/>
          <w:b/>
          <w:bCs/>
          <w:sz w:val="44"/>
          <w:szCs w:val="44"/>
        </w:rPr>
      </w:pPr>
    </w:p>
    <w:p w14:paraId="7A8E704C">
      <w:pPr>
        <w:jc w:val="center"/>
        <w:rPr>
          <w:rFonts w:ascii="宋体" w:hAnsi="宋体" w:eastAsia="宋体" w:cs="Times New Roman"/>
          <w:b/>
          <w:bCs/>
          <w:sz w:val="44"/>
          <w:szCs w:val="44"/>
        </w:rPr>
      </w:pPr>
      <w:r>
        <w:rPr>
          <w:rFonts w:hint="eastAsia" w:ascii="宋体" w:hAnsi="宋体" w:eastAsia="宋体" w:cs="Times New Roman"/>
          <w:b/>
          <w:bCs/>
          <w:sz w:val="44"/>
          <w:szCs w:val="44"/>
          <w:lang w:val="en-US" w:eastAsia="zh-CN"/>
        </w:rPr>
        <w:t>三门峡市陕州区城市管理局垃圾一体化综合处理项目渗滤液收集车、压缩式垃圾车、皮卡型工具车采购项目</w:t>
      </w:r>
    </w:p>
    <w:p w14:paraId="34522ED0">
      <w:pPr>
        <w:jc w:val="center"/>
        <w:rPr>
          <w:rFonts w:ascii="宋体" w:hAnsi="宋体" w:eastAsia="宋体" w:cs="宋体"/>
          <w:b/>
          <w:bCs/>
          <w:sz w:val="28"/>
          <w:szCs w:val="28"/>
        </w:rPr>
      </w:pPr>
    </w:p>
    <w:p w14:paraId="772AE3AB">
      <w:pPr>
        <w:jc w:val="center"/>
        <w:rPr>
          <w:rFonts w:ascii="宋体" w:hAnsi="宋体" w:eastAsia="宋体" w:cs="宋体"/>
          <w:b/>
          <w:bCs/>
          <w:sz w:val="28"/>
          <w:szCs w:val="28"/>
        </w:rPr>
      </w:pPr>
    </w:p>
    <w:p w14:paraId="34A3EE97">
      <w:pPr>
        <w:spacing w:line="360" w:lineRule="auto"/>
        <w:ind w:firstLine="420"/>
        <w:rPr>
          <w:rFonts w:ascii="宋体" w:hAnsi="宋体" w:eastAsia="宋体" w:cs="宋体"/>
          <w:b/>
          <w:kern w:val="1"/>
          <w:sz w:val="24"/>
          <w:szCs w:val="21"/>
        </w:rPr>
      </w:pPr>
    </w:p>
    <w:p w14:paraId="2BC60B31">
      <w:pPr>
        <w:spacing w:line="360" w:lineRule="auto"/>
        <w:jc w:val="center"/>
        <w:rPr>
          <w:rFonts w:ascii="宋体" w:hAnsi="宋体" w:eastAsia="宋体" w:cs="Times New Roman"/>
          <w:b/>
          <w:bCs/>
          <w:sz w:val="76"/>
          <w:szCs w:val="76"/>
        </w:rPr>
      </w:pPr>
      <w:r>
        <w:rPr>
          <w:rFonts w:hint="eastAsia" w:ascii="宋体" w:hAnsi="宋体" w:eastAsia="宋体" w:cs="Times New Roman"/>
          <w:b/>
          <w:bCs/>
          <w:sz w:val="76"/>
          <w:szCs w:val="76"/>
        </w:rPr>
        <w:t>竞争性磋商文件</w:t>
      </w:r>
    </w:p>
    <w:p w14:paraId="37938648">
      <w:pPr>
        <w:keepNext/>
        <w:keepLines/>
        <w:spacing w:before="160" w:after="160" w:line="400" w:lineRule="exact"/>
        <w:ind w:left="851" w:hanging="284"/>
        <w:textAlignment w:val="baseline"/>
        <w:outlineLvl w:val="1"/>
        <w:rPr>
          <w:rFonts w:ascii="宋体" w:hAnsi="宋体" w:eastAsia="宋体" w:cs="Times New Roman"/>
          <w:kern w:val="0"/>
          <w:sz w:val="28"/>
          <w:szCs w:val="28"/>
        </w:rPr>
      </w:pPr>
    </w:p>
    <w:p w14:paraId="78085AAE">
      <w:pPr>
        <w:spacing w:line="360" w:lineRule="auto"/>
        <w:jc w:val="center"/>
        <w:rPr>
          <w:rFonts w:hint="eastAsia" w:ascii="宋体" w:hAnsi="宋体" w:eastAsia="宋体" w:cs="宋体"/>
          <w:b/>
          <w:bCs/>
          <w:kern w:val="1"/>
          <w:sz w:val="30"/>
          <w:szCs w:val="30"/>
          <w:highlight w:val="none"/>
          <w:lang w:eastAsia="zh-CN"/>
        </w:rPr>
      </w:pPr>
      <w:r>
        <w:rPr>
          <w:rFonts w:hint="eastAsia" w:ascii="宋体" w:hAnsi="宋体" w:eastAsia="宋体" w:cs="宋体"/>
          <w:b/>
          <w:bCs/>
          <w:kern w:val="1"/>
          <w:sz w:val="30"/>
          <w:szCs w:val="30"/>
          <w:highlight w:val="none"/>
        </w:rPr>
        <w:t>项目编号：</w:t>
      </w:r>
      <w:r>
        <w:rPr>
          <w:rFonts w:hint="eastAsia" w:ascii="宋体" w:hAnsi="宋体" w:eastAsia="宋体" w:cs="宋体"/>
          <w:b/>
          <w:bCs/>
          <w:kern w:val="1"/>
          <w:sz w:val="30"/>
          <w:szCs w:val="30"/>
          <w:highlight w:val="none"/>
          <w:lang w:val="en-US" w:eastAsia="zh-CN"/>
        </w:rPr>
        <w:t>SZGZ[2025]126-ZC087</w:t>
      </w:r>
      <w:r>
        <w:rPr>
          <w:rFonts w:hint="eastAsia" w:ascii="宋体" w:hAnsi="宋体" w:eastAsia="宋体" w:cs="宋体"/>
          <w:b/>
          <w:bCs/>
          <w:kern w:val="1"/>
          <w:sz w:val="30"/>
          <w:szCs w:val="30"/>
          <w:highlight w:val="none"/>
          <w:lang w:eastAsia="zh-CN"/>
        </w:rPr>
        <w:t>；陕州竞磋采购-2025-79</w:t>
      </w:r>
    </w:p>
    <w:p w14:paraId="38943D0C">
      <w:pPr>
        <w:spacing w:line="360" w:lineRule="auto"/>
        <w:jc w:val="center"/>
        <w:rPr>
          <w:rFonts w:hint="eastAsia" w:ascii="宋体" w:hAnsi="宋体" w:eastAsia="宋体" w:cs="宋体"/>
          <w:b/>
          <w:bCs/>
          <w:kern w:val="1"/>
          <w:sz w:val="30"/>
          <w:szCs w:val="30"/>
          <w:lang w:eastAsia="zh-CN"/>
        </w:rPr>
      </w:pPr>
      <w:r>
        <w:rPr>
          <w:rFonts w:hint="eastAsia" w:ascii="宋体" w:hAnsi="宋体" w:eastAsia="宋体" w:cs="宋体"/>
          <w:b/>
          <w:bCs/>
          <w:kern w:val="1"/>
          <w:sz w:val="30"/>
          <w:szCs w:val="30"/>
          <w:lang w:val="en-US" w:eastAsia="zh-CN"/>
        </w:rPr>
        <w:t xml:space="preserve"> </w:t>
      </w:r>
    </w:p>
    <w:p w14:paraId="115D1128">
      <w:pPr>
        <w:spacing w:line="360" w:lineRule="auto"/>
        <w:jc w:val="center"/>
        <w:rPr>
          <w:rFonts w:hint="default" w:ascii="宋体" w:hAnsi="宋体" w:eastAsia="宋体" w:cs="宋体"/>
          <w:b/>
          <w:bCs/>
          <w:kern w:val="1"/>
          <w:sz w:val="30"/>
          <w:szCs w:val="30"/>
          <w:lang w:val="en-US" w:eastAsia="zh-CN"/>
        </w:rPr>
      </w:pPr>
    </w:p>
    <w:p w14:paraId="7A7FDD77">
      <w:pPr>
        <w:spacing w:line="360" w:lineRule="auto"/>
        <w:jc w:val="center"/>
        <w:rPr>
          <w:rFonts w:ascii="宋体" w:hAnsi="宋体" w:eastAsia="宋体" w:cs="Times New Roman"/>
          <w:b/>
          <w:bCs/>
          <w:sz w:val="30"/>
          <w:szCs w:val="30"/>
        </w:rPr>
      </w:pPr>
      <w:r>
        <w:rPr>
          <w:rFonts w:hint="eastAsia" w:ascii="宋体" w:hAnsi="宋体" w:eastAsia="宋体" w:cs="宋体"/>
          <w:b/>
          <w:bCs/>
          <w:kern w:val="1"/>
          <w:sz w:val="30"/>
          <w:szCs w:val="30"/>
        </w:rPr>
        <w:t xml:space="preserve">     </w:t>
      </w:r>
    </w:p>
    <w:p w14:paraId="5F727788">
      <w:pPr>
        <w:jc w:val="center"/>
        <w:rPr>
          <w:rFonts w:ascii="宋体" w:hAnsi="宋体" w:eastAsia="宋体" w:cs="Times New Roman"/>
          <w:b/>
          <w:bCs/>
          <w:sz w:val="30"/>
          <w:szCs w:val="30"/>
        </w:rPr>
      </w:pPr>
    </w:p>
    <w:p w14:paraId="6FC04881">
      <w:pPr>
        <w:spacing w:line="360" w:lineRule="auto"/>
        <w:ind w:firstLine="420"/>
        <w:jc w:val="center"/>
        <w:rPr>
          <w:rFonts w:ascii="宋体" w:hAnsi="宋体" w:eastAsia="宋体" w:cs="宋体"/>
          <w:b/>
          <w:kern w:val="1"/>
          <w:sz w:val="24"/>
          <w:szCs w:val="21"/>
        </w:rPr>
      </w:pPr>
    </w:p>
    <w:p w14:paraId="31529285">
      <w:pPr>
        <w:spacing w:line="360" w:lineRule="auto"/>
        <w:ind w:firstLine="420"/>
        <w:jc w:val="center"/>
        <w:rPr>
          <w:rFonts w:ascii="宋体" w:hAnsi="宋体" w:eastAsia="宋体" w:cs="宋体"/>
          <w:b/>
          <w:kern w:val="1"/>
          <w:sz w:val="24"/>
          <w:szCs w:val="21"/>
        </w:rPr>
      </w:pPr>
    </w:p>
    <w:p w14:paraId="4AB6ADBE">
      <w:pPr>
        <w:spacing w:line="360" w:lineRule="auto"/>
        <w:ind w:firstLine="420"/>
        <w:jc w:val="center"/>
        <w:rPr>
          <w:rFonts w:ascii="宋体" w:hAnsi="宋体" w:eastAsia="宋体" w:cs="宋体"/>
          <w:b/>
          <w:kern w:val="1"/>
          <w:sz w:val="24"/>
          <w:szCs w:val="21"/>
        </w:rPr>
      </w:pPr>
    </w:p>
    <w:p w14:paraId="6C8622FD">
      <w:pPr>
        <w:spacing w:line="360" w:lineRule="auto"/>
        <w:ind w:firstLine="420"/>
        <w:jc w:val="center"/>
        <w:rPr>
          <w:rFonts w:ascii="宋体" w:hAnsi="宋体" w:eastAsia="宋体" w:cs="宋体"/>
          <w:b/>
          <w:kern w:val="1"/>
          <w:sz w:val="24"/>
          <w:szCs w:val="21"/>
        </w:rPr>
      </w:pPr>
    </w:p>
    <w:p w14:paraId="05C0FABC">
      <w:pPr>
        <w:spacing w:line="360" w:lineRule="auto"/>
        <w:ind w:firstLine="1558" w:firstLineChars="485"/>
        <w:jc w:val="left"/>
        <w:rPr>
          <w:rFonts w:ascii="宋体" w:hAnsi="宋体" w:eastAsia="宋体" w:cs="Times New Roman"/>
          <w:b/>
          <w:bCs/>
          <w:kern w:val="0"/>
          <w:sz w:val="32"/>
          <w:szCs w:val="32"/>
        </w:rPr>
      </w:pPr>
    </w:p>
    <w:p w14:paraId="18A49E95">
      <w:pPr>
        <w:spacing w:line="360" w:lineRule="auto"/>
        <w:ind w:firstLine="1558" w:firstLineChars="485"/>
        <w:jc w:val="left"/>
        <w:rPr>
          <w:rFonts w:ascii="宋体" w:hAnsi="宋体" w:eastAsia="宋体" w:cs="Times New Roman"/>
          <w:b/>
          <w:bCs/>
          <w:kern w:val="0"/>
          <w:sz w:val="32"/>
          <w:szCs w:val="32"/>
        </w:rPr>
      </w:pPr>
      <w:r>
        <w:rPr>
          <w:rFonts w:hint="eastAsia" w:ascii="宋体" w:hAnsi="宋体" w:eastAsia="宋体" w:cs="Times New Roman"/>
          <w:b/>
          <w:bCs/>
          <w:kern w:val="0"/>
          <w:sz w:val="32"/>
          <w:szCs w:val="32"/>
        </w:rPr>
        <w:t>采</w:t>
      </w:r>
      <w:r>
        <w:rPr>
          <w:rFonts w:hint="eastAsia" w:ascii="宋体" w:hAnsi="宋体" w:eastAsia="宋体" w:cs="Times New Roman"/>
          <w:b/>
          <w:bCs/>
          <w:kern w:val="0"/>
          <w:sz w:val="32"/>
          <w:szCs w:val="32"/>
          <w:lang w:val="en-US" w:eastAsia="zh-CN"/>
        </w:rPr>
        <w:t xml:space="preserve">   </w:t>
      </w:r>
      <w:r>
        <w:rPr>
          <w:rFonts w:hint="eastAsia" w:ascii="宋体" w:hAnsi="宋体" w:eastAsia="宋体" w:cs="Times New Roman"/>
          <w:b/>
          <w:bCs/>
          <w:kern w:val="0"/>
          <w:sz w:val="32"/>
          <w:szCs w:val="32"/>
        </w:rPr>
        <w:t>购</w:t>
      </w:r>
      <w:r>
        <w:rPr>
          <w:rFonts w:hint="eastAsia" w:ascii="宋体" w:hAnsi="宋体" w:eastAsia="宋体" w:cs="Times New Roman"/>
          <w:b/>
          <w:bCs/>
          <w:kern w:val="0"/>
          <w:sz w:val="32"/>
          <w:szCs w:val="32"/>
          <w:lang w:val="en-US" w:eastAsia="zh-CN"/>
        </w:rPr>
        <w:t xml:space="preserve">   </w:t>
      </w:r>
      <w:r>
        <w:rPr>
          <w:rFonts w:hint="eastAsia" w:ascii="宋体" w:hAnsi="宋体" w:eastAsia="宋体" w:cs="Times New Roman"/>
          <w:b/>
          <w:bCs/>
          <w:kern w:val="0"/>
          <w:sz w:val="32"/>
          <w:szCs w:val="32"/>
        </w:rPr>
        <w:t>人：三门峡市陕州区城市管理局</w:t>
      </w:r>
    </w:p>
    <w:p w14:paraId="44827CEC">
      <w:pPr>
        <w:spacing w:line="360" w:lineRule="auto"/>
        <w:ind w:firstLine="1558" w:firstLineChars="485"/>
        <w:jc w:val="left"/>
        <w:rPr>
          <w:rFonts w:hint="eastAsia" w:ascii="宋体" w:hAnsi="宋体" w:eastAsia="宋体" w:cs="Times New Roman"/>
          <w:b/>
          <w:bCs/>
          <w:kern w:val="0"/>
          <w:sz w:val="32"/>
          <w:szCs w:val="32"/>
          <w:lang w:eastAsia="zh-CN"/>
        </w:rPr>
      </w:pPr>
      <w:r>
        <w:rPr>
          <w:rFonts w:hint="eastAsia" w:ascii="宋体" w:hAnsi="宋体" w:eastAsia="宋体" w:cs="Times New Roman"/>
          <w:b/>
          <w:bCs/>
          <w:kern w:val="0"/>
          <w:sz w:val="32"/>
          <w:szCs w:val="32"/>
        </w:rPr>
        <w:t>采购代理机构：</w:t>
      </w:r>
      <w:r>
        <w:rPr>
          <w:rFonts w:hint="eastAsia" w:ascii="宋体" w:hAnsi="宋体" w:eastAsia="宋体" w:cs="Times New Roman"/>
          <w:b/>
          <w:bCs/>
          <w:kern w:val="0"/>
          <w:sz w:val="32"/>
          <w:szCs w:val="32"/>
          <w:lang w:eastAsia="zh-CN"/>
        </w:rPr>
        <w:t>正为技术有限公司</w:t>
      </w:r>
    </w:p>
    <w:p w14:paraId="1ED28D67">
      <w:pPr>
        <w:widowControl/>
        <w:spacing w:line="360" w:lineRule="auto"/>
        <w:ind w:firstLine="1558" w:firstLineChars="485"/>
        <w:rPr>
          <w:rFonts w:ascii="宋体" w:hAnsi="宋体" w:eastAsia="宋体" w:cs="Times New Roman"/>
          <w:szCs w:val="21"/>
        </w:rPr>
      </w:pPr>
      <w:r>
        <w:rPr>
          <w:rFonts w:hint="eastAsia" w:ascii="宋体" w:hAnsi="宋体" w:eastAsia="宋体" w:cs="Times New Roman"/>
          <w:b/>
          <w:bCs/>
          <w:kern w:val="0"/>
          <w:sz w:val="32"/>
          <w:szCs w:val="32"/>
        </w:rPr>
        <w:t>日        期：二零二</w:t>
      </w:r>
      <w:r>
        <w:rPr>
          <w:rFonts w:hint="eastAsia" w:ascii="宋体" w:hAnsi="宋体" w:eastAsia="宋体" w:cs="Times New Roman"/>
          <w:b/>
          <w:bCs/>
          <w:kern w:val="0"/>
          <w:sz w:val="32"/>
          <w:szCs w:val="32"/>
          <w:lang w:val="en-US" w:eastAsia="zh-CN"/>
        </w:rPr>
        <w:t>五</w:t>
      </w:r>
      <w:r>
        <w:rPr>
          <w:rFonts w:hint="eastAsia" w:ascii="宋体" w:hAnsi="宋体" w:eastAsia="宋体" w:cs="Times New Roman"/>
          <w:b/>
          <w:bCs/>
          <w:kern w:val="0"/>
          <w:sz w:val="32"/>
          <w:szCs w:val="32"/>
        </w:rPr>
        <w:t>年</w:t>
      </w:r>
      <w:r>
        <w:rPr>
          <w:rFonts w:hint="eastAsia" w:ascii="宋体" w:hAnsi="宋体" w:eastAsia="宋体" w:cs="Times New Roman"/>
          <w:b/>
          <w:bCs/>
          <w:kern w:val="0"/>
          <w:sz w:val="32"/>
          <w:szCs w:val="32"/>
          <w:lang w:val="en-US" w:eastAsia="zh-CN"/>
        </w:rPr>
        <w:t>七</w:t>
      </w:r>
      <w:r>
        <w:rPr>
          <w:rFonts w:hint="eastAsia" w:ascii="宋体" w:hAnsi="宋体" w:eastAsia="宋体" w:cs="Times New Roman"/>
          <w:b/>
          <w:bCs/>
          <w:kern w:val="0"/>
          <w:sz w:val="32"/>
          <w:szCs w:val="32"/>
        </w:rPr>
        <w:t>月</w:t>
      </w:r>
    </w:p>
    <w:p w14:paraId="3EF6AB5D">
      <w:pPr>
        <w:spacing w:line="360" w:lineRule="auto"/>
        <w:jc w:val="center"/>
        <w:rPr>
          <w:rFonts w:ascii="宋体" w:hAnsi="宋体" w:eastAsia="宋体" w:cs="Times New Roman"/>
          <w:b/>
          <w:bCs/>
          <w:kern w:val="0"/>
          <w:sz w:val="44"/>
          <w:szCs w:val="44"/>
          <w:shd w:val="clear" w:color="auto" w:fill="FFFFFF"/>
        </w:rPr>
        <w:sectPr>
          <w:pgSz w:w="11906" w:h="16838"/>
          <w:pgMar w:top="1361" w:right="1361" w:bottom="1361" w:left="1361" w:header="851" w:footer="992" w:gutter="0"/>
          <w:cols w:space="720" w:num="1"/>
          <w:docGrid w:type="lines" w:linePitch="312" w:charSpace="0"/>
        </w:sectPr>
      </w:pPr>
    </w:p>
    <w:p w14:paraId="028E1073">
      <w:pPr>
        <w:spacing w:line="360" w:lineRule="auto"/>
        <w:jc w:val="center"/>
        <w:rPr>
          <w:rFonts w:ascii="宋体" w:hAnsi="宋体" w:eastAsia="宋体" w:cs="Times New Roman"/>
          <w:kern w:val="0"/>
          <w:sz w:val="18"/>
          <w:szCs w:val="18"/>
          <w:shd w:val="clear" w:color="auto" w:fill="FFFFFF"/>
        </w:rPr>
      </w:pPr>
      <w:r>
        <w:rPr>
          <w:rFonts w:hint="eastAsia" w:ascii="宋体" w:hAnsi="宋体" w:eastAsia="宋体" w:cs="Times New Roman"/>
          <w:b/>
          <w:bCs/>
          <w:kern w:val="0"/>
          <w:sz w:val="44"/>
          <w:szCs w:val="44"/>
          <w:shd w:val="clear" w:color="auto" w:fill="FFFFFF"/>
        </w:rPr>
        <w:t>目  录</w:t>
      </w:r>
    </w:p>
    <w:p w14:paraId="0616DAB0">
      <w:pPr>
        <w:autoSpaceDE w:val="0"/>
        <w:spacing w:line="900" w:lineRule="exact"/>
        <w:ind w:firstLine="424" w:firstLineChars="132"/>
        <w:jc w:val="distribute"/>
        <w:rPr>
          <w:rFonts w:ascii="宋体" w:hAnsi="宋体" w:eastAsia="宋体" w:cs="Times New Roman"/>
          <w:b/>
          <w:bCs/>
          <w:sz w:val="32"/>
          <w:szCs w:val="32"/>
        </w:rPr>
      </w:pPr>
      <w:r>
        <w:rPr>
          <w:rFonts w:hint="eastAsia" w:ascii="宋体" w:hAnsi="宋体" w:eastAsia="宋体" w:cs="Times New Roman"/>
          <w:b/>
          <w:bCs/>
          <w:sz w:val="32"/>
          <w:szCs w:val="32"/>
        </w:rPr>
        <w:t>第一章 竞争性磋商公告…………………………………………3</w:t>
      </w:r>
    </w:p>
    <w:p w14:paraId="58CD4D9F">
      <w:pPr>
        <w:autoSpaceDE w:val="0"/>
        <w:spacing w:line="900" w:lineRule="exact"/>
        <w:ind w:firstLine="424" w:firstLineChars="132"/>
        <w:jc w:val="distribute"/>
        <w:rPr>
          <w:rFonts w:ascii="宋体" w:hAnsi="宋体" w:eastAsia="宋体" w:cs="Times New Roman"/>
          <w:b/>
          <w:bCs/>
          <w:sz w:val="32"/>
          <w:szCs w:val="32"/>
        </w:rPr>
      </w:pPr>
      <w:r>
        <w:rPr>
          <w:rFonts w:hint="eastAsia" w:ascii="宋体" w:hAnsi="宋体" w:eastAsia="宋体" w:cs="Times New Roman"/>
          <w:b/>
          <w:bCs/>
          <w:sz w:val="32"/>
          <w:szCs w:val="32"/>
        </w:rPr>
        <w:t>第二章 磋商响应供应商须知及前附表…………………………</w:t>
      </w:r>
      <w:r>
        <w:rPr>
          <w:rFonts w:ascii="宋体" w:hAnsi="宋体" w:eastAsia="宋体" w:cs="Times New Roman"/>
          <w:b/>
          <w:bCs/>
          <w:sz w:val="32"/>
          <w:szCs w:val="32"/>
        </w:rPr>
        <w:t>7</w:t>
      </w:r>
    </w:p>
    <w:p w14:paraId="6CCEF9DE">
      <w:pPr>
        <w:autoSpaceDE w:val="0"/>
        <w:spacing w:line="900" w:lineRule="exact"/>
        <w:ind w:firstLine="424" w:firstLineChars="132"/>
        <w:jc w:val="distribute"/>
        <w:rPr>
          <w:rFonts w:ascii="宋体" w:hAnsi="宋体" w:eastAsia="宋体" w:cs="Times New Roman"/>
          <w:b/>
          <w:bCs/>
          <w:sz w:val="32"/>
          <w:szCs w:val="32"/>
        </w:rPr>
      </w:pPr>
      <w:r>
        <w:rPr>
          <w:rFonts w:hint="eastAsia" w:ascii="宋体" w:hAnsi="宋体" w:eastAsia="宋体" w:cs="Times New Roman"/>
          <w:b/>
          <w:bCs/>
          <w:sz w:val="32"/>
          <w:szCs w:val="32"/>
        </w:rPr>
        <w:t>第三章 采购内容及要求………………………………………</w:t>
      </w:r>
      <w:r>
        <w:rPr>
          <w:rFonts w:ascii="宋体" w:hAnsi="宋体" w:eastAsia="宋体" w:cs="Times New Roman"/>
          <w:b/>
          <w:bCs/>
          <w:sz w:val="32"/>
          <w:szCs w:val="32"/>
        </w:rPr>
        <w:t>2</w:t>
      </w:r>
      <w:r>
        <w:rPr>
          <w:rFonts w:hint="eastAsia" w:ascii="宋体" w:hAnsi="宋体" w:eastAsia="宋体" w:cs="Times New Roman"/>
          <w:b/>
          <w:bCs/>
          <w:sz w:val="32"/>
          <w:szCs w:val="32"/>
        </w:rPr>
        <w:t>4</w:t>
      </w:r>
    </w:p>
    <w:p w14:paraId="6BB294B7">
      <w:pPr>
        <w:autoSpaceDE w:val="0"/>
        <w:spacing w:line="900" w:lineRule="exact"/>
        <w:ind w:firstLine="424" w:firstLineChars="132"/>
        <w:jc w:val="distribute"/>
        <w:rPr>
          <w:rFonts w:ascii="宋体" w:hAnsi="宋体" w:eastAsia="宋体" w:cs="Times New Roman"/>
          <w:b/>
          <w:bCs/>
          <w:sz w:val="32"/>
          <w:szCs w:val="32"/>
        </w:rPr>
      </w:pPr>
      <w:r>
        <w:rPr>
          <w:rFonts w:hint="eastAsia" w:ascii="宋体" w:hAnsi="宋体" w:eastAsia="宋体" w:cs="Times New Roman"/>
          <w:b/>
          <w:bCs/>
          <w:sz w:val="32"/>
          <w:szCs w:val="32"/>
        </w:rPr>
        <w:t>第四章 评审办法………………………………………………26</w:t>
      </w:r>
    </w:p>
    <w:p w14:paraId="13169945">
      <w:pPr>
        <w:autoSpaceDE w:val="0"/>
        <w:spacing w:line="900" w:lineRule="exact"/>
        <w:ind w:firstLine="424" w:firstLineChars="132"/>
        <w:jc w:val="distribute"/>
        <w:rPr>
          <w:rFonts w:ascii="宋体" w:hAnsi="宋体" w:eastAsia="宋体" w:cs="Times New Roman"/>
          <w:b/>
          <w:bCs/>
          <w:sz w:val="32"/>
          <w:szCs w:val="32"/>
        </w:rPr>
      </w:pPr>
      <w:r>
        <w:rPr>
          <w:rFonts w:hint="eastAsia" w:ascii="宋体" w:hAnsi="宋体" w:eastAsia="宋体" w:cs="Times New Roman"/>
          <w:b/>
          <w:bCs/>
          <w:sz w:val="32"/>
          <w:szCs w:val="32"/>
        </w:rPr>
        <w:t>第五章 合同主要条款及格式…………………………………31</w:t>
      </w:r>
    </w:p>
    <w:p w14:paraId="2365E983">
      <w:pPr>
        <w:autoSpaceDE w:val="0"/>
        <w:spacing w:line="900" w:lineRule="exact"/>
        <w:ind w:firstLine="424" w:firstLineChars="132"/>
        <w:jc w:val="distribute"/>
        <w:rPr>
          <w:rFonts w:ascii="宋体" w:hAnsi="宋体" w:eastAsia="宋体" w:cs="Times New Roman"/>
          <w:b/>
          <w:bCs/>
          <w:sz w:val="32"/>
          <w:szCs w:val="32"/>
        </w:rPr>
      </w:pPr>
      <w:r>
        <w:rPr>
          <w:rFonts w:hint="eastAsia" w:ascii="宋体" w:hAnsi="宋体" w:eastAsia="宋体" w:cs="Times New Roman"/>
          <w:b/>
          <w:bCs/>
          <w:sz w:val="32"/>
          <w:szCs w:val="32"/>
        </w:rPr>
        <w:t xml:space="preserve">第六章 </w:t>
      </w:r>
      <w:r>
        <w:rPr>
          <w:rFonts w:hint="eastAsia" w:ascii="宋体" w:hAnsi="宋体" w:eastAsia="宋体" w:cs="Times New Roman"/>
          <w:b/>
          <w:bCs/>
          <w:kern w:val="0"/>
          <w:sz w:val="32"/>
          <w:szCs w:val="32"/>
        </w:rPr>
        <w:t>电子化</w:t>
      </w:r>
      <w:r>
        <w:rPr>
          <w:rFonts w:hint="eastAsia" w:ascii="宋体" w:hAnsi="宋体" w:eastAsia="宋体" w:cs="Times New Roman"/>
          <w:b/>
          <w:bCs/>
          <w:sz w:val="32"/>
          <w:szCs w:val="32"/>
        </w:rPr>
        <w:t>响应文件内容及格式…………………………36</w:t>
      </w:r>
    </w:p>
    <w:p w14:paraId="06B44AF1">
      <w:pPr>
        <w:widowControl/>
        <w:spacing w:before="100" w:beforeAutospacing="1" w:after="100" w:afterAutospacing="1" w:line="360" w:lineRule="auto"/>
        <w:rPr>
          <w:rFonts w:ascii="宋体" w:hAnsi="宋体" w:eastAsia="宋体" w:cs="Times New Roman"/>
          <w:b/>
          <w:bCs/>
          <w:kern w:val="0"/>
          <w:sz w:val="32"/>
          <w:szCs w:val="32"/>
          <w:shd w:val="clear" w:color="auto" w:fill="FFFFFF"/>
        </w:rPr>
      </w:pPr>
    </w:p>
    <w:p w14:paraId="39428020">
      <w:pPr>
        <w:rPr>
          <w:rFonts w:ascii="宋体" w:hAnsi="宋体" w:eastAsia="宋体" w:cs="Times New Roman"/>
          <w:b/>
          <w:bCs/>
          <w:kern w:val="0"/>
          <w:sz w:val="32"/>
          <w:szCs w:val="32"/>
          <w:shd w:val="clear" w:color="auto" w:fill="FFFFFF"/>
        </w:rPr>
      </w:pPr>
      <w:r>
        <w:rPr>
          <w:rFonts w:hint="eastAsia" w:ascii="宋体" w:hAnsi="宋体" w:eastAsia="宋体" w:cs="Times New Roman"/>
          <w:b/>
          <w:bCs/>
          <w:kern w:val="0"/>
          <w:sz w:val="32"/>
          <w:szCs w:val="32"/>
          <w:shd w:val="clear" w:color="auto" w:fill="FFFFFF"/>
        </w:rPr>
        <w:br w:type="page"/>
      </w:r>
    </w:p>
    <w:p w14:paraId="07F3D5CB">
      <w:pPr>
        <w:widowControl/>
        <w:shd w:val="clear" w:color="auto" w:fill="FFFFFF"/>
        <w:spacing w:line="360" w:lineRule="auto"/>
        <w:jc w:val="center"/>
        <w:rPr>
          <w:rFonts w:ascii="宋体" w:hAnsi="宋体" w:eastAsia="宋体" w:cs="Times New Roman"/>
          <w:b/>
          <w:bCs/>
          <w:kern w:val="0"/>
          <w:sz w:val="32"/>
          <w:szCs w:val="32"/>
          <w:shd w:val="clear" w:color="auto" w:fill="FFFFFF"/>
        </w:rPr>
      </w:pPr>
      <w:r>
        <w:rPr>
          <w:rFonts w:hint="eastAsia" w:ascii="宋体" w:hAnsi="宋体" w:eastAsia="宋体" w:cs="Times New Roman"/>
          <w:b/>
          <w:bCs/>
          <w:kern w:val="0"/>
          <w:sz w:val="32"/>
          <w:szCs w:val="32"/>
          <w:shd w:val="clear" w:color="auto" w:fill="FFFFFF"/>
        </w:rPr>
        <w:t>第一章 竞争性磋商公告</w:t>
      </w:r>
    </w:p>
    <w:p w14:paraId="3D0B7A10">
      <w:pPr>
        <w:spacing w:line="240" w:lineRule="exact"/>
        <w:ind w:firstLine="420"/>
        <w:rPr>
          <w:rFonts w:ascii="宋体" w:hAnsi="宋体" w:eastAsia="宋体" w:cs="宋体"/>
          <w:b/>
          <w:kern w:val="1"/>
          <w:sz w:val="24"/>
          <w:szCs w:val="21"/>
        </w:rPr>
      </w:pPr>
    </w:p>
    <w:p w14:paraId="758E24AC">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项目概况</w:t>
      </w:r>
    </w:p>
    <w:p w14:paraId="723DA85C">
      <w:pPr>
        <w:spacing w:line="360" w:lineRule="auto"/>
        <w:ind w:firstLine="566" w:firstLineChars="236"/>
        <w:rPr>
          <w:rFonts w:ascii="宋体" w:hAnsi="宋体" w:eastAsia="宋体" w:cs="Times New Roman"/>
          <w:sz w:val="24"/>
          <w:szCs w:val="24"/>
        </w:rPr>
      </w:pPr>
      <w:r>
        <w:rPr>
          <w:rFonts w:hint="eastAsia" w:ascii="宋体" w:hAnsi="宋体" w:eastAsia="宋体" w:cs="Times New Roman"/>
          <w:kern w:val="0"/>
          <w:sz w:val="24"/>
          <w:shd w:val="clear" w:color="auto" w:fill="FFFFFF"/>
          <w:lang w:val="en-US" w:eastAsia="zh-CN"/>
        </w:rPr>
        <w:t>三门峡市陕州区城市管理局垃圾一体化综合处理项目渗滤液收集车、压缩式垃圾车、皮卡型工具车采购项目</w:t>
      </w:r>
      <w:r>
        <w:rPr>
          <w:rFonts w:hint="eastAsia" w:ascii="宋体" w:hAnsi="宋体" w:eastAsia="宋体" w:cs="Times New Roman"/>
          <w:sz w:val="24"/>
          <w:szCs w:val="24"/>
        </w:rPr>
        <w:t>的潜在供应商应在三门峡市公共资源交易中心网上获取竞争性磋商文件</w:t>
      </w:r>
      <w:r>
        <w:rPr>
          <w:rFonts w:hint="eastAsia" w:ascii="宋体" w:hAnsi="宋体" w:eastAsia="宋体" w:cs="Times New Roman"/>
          <w:sz w:val="24"/>
          <w:szCs w:val="24"/>
          <w:highlight w:val="none"/>
        </w:rPr>
        <w:t>，并于202</w:t>
      </w:r>
      <w:r>
        <w:rPr>
          <w:rFonts w:hint="eastAsia" w:ascii="宋体" w:hAnsi="宋体" w:eastAsia="宋体" w:cs="Times New Roman"/>
          <w:sz w:val="24"/>
          <w:szCs w:val="24"/>
          <w:highlight w:val="none"/>
          <w:lang w:val="en-US" w:eastAsia="zh-CN"/>
        </w:rPr>
        <w:t>5</w:t>
      </w:r>
      <w:r>
        <w:rPr>
          <w:rFonts w:hint="eastAsia" w:ascii="宋体" w:hAnsi="宋体" w:eastAsia="宋体" w:cs="Times New Roman"/>
          <w:sz w:val="24"/>
          <w:szCs w:val="24"/>
          <w:highlight w:val="none"/>
        </w:rPr>
        <w:t>年</w:t>
      </w:r>
      <w:r>
        <w:rPr>
          <w:rFonts w:hint="eastAsia" w:ascii="宋体" w:hAnsi="宋体" w:eastAsia="宋体" w:cs="Times New Roman"/>
          <w:sz w:val="24"/>
          <w:szCs w:val="24"/>
          <w:highlight w:val="none"/>
          <w:lang w:val="en-US" w:eastAsia="zh-CN"/>
        </w:rPr>
        <w:t>07</w:t>
      </w:r>
      <w:r>
        <w:rPr>
          <w:rFonts w:hint="eastAsia" w:ascii="宋体" w:hAnsi="宋体" w:eastAsia="宋体" w:cs="Times New Roman"/>
          <w:sz w:val="24"/>
          <w:szCs w:val="24"/>
          <w:highlight w:val="none"/>
        </w:rPr>
        <w:t>月</w:t>
      </w:r>
      <w:r>
        <w:rPr>
          <w:rFonts w:hint="eastAsia" w:ascii="宋体" w:hAnsi="宋体" w:eastAsia="宋体" w:cs="Times New Roman"/>
          <w:sz w:val="24"/>
          <w:szCs w:val="24"/>
          <w:highlight w:val="none"/>
          <w:lang w:val="en-US" w:eastAsia="zh-CN"/>
        </w:rPr>
        <w:t>28</w:t>
      </w:r>
      <w:r>
        <w:rPr>
          <w:rFonts w:hint="eastAsia" w:ascii="宋体" w:hAnsi="宋体" w:eastAsia="宋体" w:cs="Times New Roman"/>
          <w:sz w:val="24"/>
          <w:szCs w:val="24"/>
          <w:highlight w:val="none"/>
        </w:rPr>
        <w:t>日8</w:t>
      </w:r>
      <w:r>
        <w:rPr>
          <w:rFonts w:hint="eastAsia" w:ascii="宋体" w:hAnsi="宋体" w:eastAsia="宋体" w:cs="Times New Roman"/>
          <w:sz w:val="24"/>
          <w:szCs w:val="24"/>
        </w:rPr>
        <w:t>时</w:t>
      </w:r>
      <w:r>
        <w:rPr>
          <w:rFonts w:hint="eastAsia" w:ascii="宋体" w:hAnsi="宋体" w:eastAsia="宋体" w:cs="Times New Roman"/>
          <w:sz w:val="24"/>
          <w:szCs w:val="24"/>
          <w:lang w:val="en-US" w:eastAsia="zh-CN"/>
        </w:rPr>
        <w:t>3</w:t>
      </w:r>
      <w:r>
        <w:rPr>
          <w:rFonts w:hint="eastAsia" w:ascii="宋体" w:hAnsi="宋体" w:eastAsia="宋体" w:cs="Times New Roman"/>
          <w:sz w:val="24"/>
          <w:szCs w:val="24"/>
        </w:rPr>
        <w:t>0分（北京时间）前递交响应文件。</w:t>
      </w:r>
    </w:p>
    <w:p w14:paraId="5D1F5905">
      <w:pPr>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一</w:t>
      </w:r>
      <w:r>
        <w:rPr>
          <w:rFonts w:ascii="宋体" w:hAnsi="宋体" w:eastAsia="宋体" w:cs="Times New Roman"/>
          <w:sz w:val="24"/>
          <w:szCs w:val="24"/>
        </w:rPr>
        <w:t>、项目基本情况</w:t>
      </w:r>
    </w:p>
    <w:p w14:paraId="73076392">
      <w:pPr>
        <w:spacing w:line="360" w:lineRule="auto"/>
        <w:ind w:firstLine="484" w:firstLineChars="202"/>
        <w:rPr>
          <w:rFonts w:hint="eastAsia" w:ascii="宋体" w:hAnsi="宋体" w:eastAsia="宋体" w:cs="Times New Roman"/>
          <w:sz w:val="24"/>
          <w:szCs w:val="24"/>
          <w:highlight w:val="none"/>
          <w:lang w:eastAsia="zh-CN"/>
        </w:rPr>
      </w:pPr>
      <w:r>
        <w:rPr>
          <w:rFonts w:hint="eastAsia" w:ascii="宋体" w:hAnsi="宋体" w:eastAsia="宋体" w:cs="Times New Roman"/>
          <w:sz w:val="24"/>
          <w:szCs w:val="28"/>
          <w:highlight w:val="none"/>
        </w:rPr>
        <w:t>1.采购项目</w:t>
      </w:r>
      <w:r>
        <w:rPr>
          <w:rFonts w:hint="eastAsia" w:ascii="宋体" w:hAnsi="宋体" w:eastAsia="宋体" w:cs="Times New Roman"/>
          <w:sz w:val="24"/>
          <w:szCs w:val="24"/>
          <w:highlight w:val="none"/>
        </w:rPr>
        <w:t>编</w:t>
      </w:r>
      <w:r>
        <w:rPr>
          <w:rFonts w:hint="eastAsia" w:ascii="宋体" w:hAnsi="宋体" w:eastAsia="宋体" w:cs="Times New Roman"/>
          <w:sz w:val="24"/>
          <w:szCs w:val="28"/>
          <w:highlight w:val="none"/>
        </w:rPr>
        <w:t>号</w:t>
      </w:r>
      <w:r>
        <w:rPr>
          <w:rFonts w:hint="eastAsia" w:ascii="宋体" w:hAnsi="宋体" w:eastAsia="宋体" w:cs="Times New Roman"/>
          <w:sz w:val="24"/>
          <w:szCs w:val="28"/>
          <w:highlight w:val="none"/>
          <w:lang w:eastAsia="zh-CN"/>
        </w:rPr>
        <w:t>：</w:t>
      </w:r>
      <w:r>
        <w:rPr>
          <w:rFonts w:hint="eastAsia" w:ascii="宋体" w:hAnsi="宋体" w:eastAsia="宋体" w:cs="Times New Roman"/>
          <w:sz w:val="24"/>
          <w:szCs w:val="28"/>
          <w:highlight w:val="none"/>
          <w:lang w:val="en-US" w:eastAsia="zh-CN"/>
        </w:rPr>
        <w:t>SZGZ[2025]126-ZC087；陕</w:t>
      </w:r>
      <w:r>
        <w:rPr>
          <w:rFonts w:hint="eastAsia" w:ascii="宋体" w:hAnsi="宋体" w:eastAsia="宋体" w:cs="Times New Roman"/>
          <w:sz w:val="24"/>
          <w:szCs w:val="24"/>
          <w:highlight w:val="none"/>
          <w:lang w:val="en-US" w:eastAsia="zh-CN"/>
        </w:rPr>
        <w:t>州竞磋采购-2025-79</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 xml:space="preserve"> </w:t>
      </w:r>
      <w:r>
        <w:rPr>
          <w:rFonts w:hint="eastAsia" w:ascii="宋体" w:hAnsi="宋体" w:eastAsia="宋体" w:cs="Times New Roman"/>
          <w:sz w:val="24"/>
          <w:szCs w:val="24"/>
          <w:highlight w:val="none"/>
          <w:lang w:val="en-US" w:eastAsia="zh-CN"/>
        </w:rPr>
        <w:t xml:space="preserve"> </w:t>
      </w:r>
    </w:p>
    <w:p w14:paraId="1D53CE51">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采购</w:t>
      </w:r>
      <w:r>
        <w:rPr>
          <w:rFonts w:ascii="宋体" w:hAnsi="宋体" w:eastAsia="宋体" w:cs="Times New Roman"/>
          <w:sz w:val="24"/>
          <w:szCs w:val="24"/>
        </w:rPr>
        <w:t>项目名称：</w:t>
      </w:r>
      <w:r>
        <w:rPr>
          <w:rFonts w:hint="eastAsia" w:ascii="宋体" w:hAnsi="宋体" w:eastAsia="宋体" w:cs="Times New Roman"/>
          <w:kern w:val="0"/>
          <w:sz w:val="24"/>
          <w:shd w:val="clear" w:color="auto" w:fill="FFFFFF"/>
          <w:lang w:val="en-US" w:eastAsia="zh-CN"/>
        </w:rPr>
        <w:t>三门峡市陕州区城市管理局垃圾一体化综合处理项目渗滤液收集车、压缩式垃圾车、皮卡型工具车采购项目</w:t>
      </w:r>
    </w:p>
    <w:p w14:paraId="4C6A09DE">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3.采购方式：竞争性磋商</w:t>
      </w:r>
    </w:p>
    <w:p w14:paraId="2371684C">
      <w:pPr>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4.</w:t>
      </w:r>
      <w:r>
        <w:rPr>
          <w:rFonts w:ascii="宋体" w:hAnsi="宋体" w:eastAsia="宋体" w:cs="Times New Roman"/>
          <w:sz w:val="24"/>
          <w:szCs w:val="24"/>
        </w:rPr>
        <w:t>预算金额：</w:t>
      </w:r>
      <w:r>
        <w:rPr>
          <w:rFonts w:hint="eastAsia" w:ascii="宋体" w:hAnsi="宋体" w:eastAsia="宋体" w:cs="Times New Roman"/>
          <w:sz w:val="24"/>
          <w:szCs w:val="24"/>
          <w:lang w:val="en-US" w:eastAsia="zh-CN"/>
        </w:rPr>
        <w:t>1890000</w:t>
      </w:r>
      <w:r>
        <w:rPr>
          <w:rFonts w:hint="eastAsia" w:ascii="宋体" w:hAnsi="宋体" w:eastAsia="宋体" w:cs="Times New Roman"/>
          <w:sz w:val="24"/>
          <w:szCs w:val="24"/>
        </w:rPr>
        <w:t>元</w:t>
      </w:r>
    </w:p>
    <w:p w14:paraId="6D177798">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最高限价：</w:t>
      </w:r>
      <w:r>
        <w:rPr>
          <w:rFonts w:hint="eastAsia" w:ascii="宋体" w:hAnsi="宋体" w:eastAsia="宋体" w:cs="Times New Roman"/>
          <w:sz w:val="24"/>
          <w:szCs w:val="24"/>
          <w:lang w:val="en-US" w:eastAsia="zh-CN"/>
        </w:rPr>
        <w:t>1890000</w:t>
      </w:r>
      <w:r>
        <w:rPr>
          <w:rFonts w:hint="eastAsia" w:ascii="宋体" w:hAnsi="宋体" w:eastAsia="宋体" w:cs="Times New Roman"/>
          <w:sz w:val="24"/>
          <w:szCs w:val="24"/>
        </w:rPr>
        <w:t>元</w:t>
      </w:r>
    </w:p>
    <w:tbl>
      <w:tblPr>
        <w:tblStyle w:val="21"/>
        <w:tblW w:w="9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973"/>
        <w:gridCol w:w="3509"/>
        <w:gridCol w:w="1337"/>
        <w:gridCol w:w="1451"/>
      </w:tblGrid>
      <w:tr w14:paraId="3337B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noWrap/>
            <w:vAlign w:val="center"/>
          </w:tcPr>
          <w:p w14:paraId="7637FA91">
            <w:pPr>
              <w:widowControl/>
              <w:spacing w:line="276" w:lineRule="auto"/>
              <w:jc w:val="center"/>
              <w:rPr>
                <w:rFonts w:ascii="宋体" w:hAnsi="宋体" w:eastAsia="宋体" w:cs="宋体"/>
                <w:kern w:val="0"/>
                <w:sz w:val="24"/>
                <w:szCs w:val="24"/>
              </w:rPr>
            </w:pPr>
            <w:r>
              <w:rPr>
                <w:rFonts w:ascii="宋体" w:hAnsi="宋体" w:eastAsia="宋体" w:cs="宋体"/>
                <w:kern w:val="0"/>
                <w:sz w:val="24"/>
                <w:szCs w:val="24"/>
              </w:rPr>
              <w:t>序号</w:t>
            </w:r>
          </w:p>
        </w:tc>
        <w:tc>
          <w:tcPr>
            <w:tcW w:w="1973" w:type="dxa"/>
            <w:noWrap/>
            <w:vAlign w:val="center"/>
          </w:tcPr>
          <w:p w14:paraId="25039336">
            <w:pPr>
              <w:widowControl/>
              <w:spacing w:line="276" w:lineRule="auto"/>
              <w:jc w:val="center"/>
              <w:rPr>
                <w:rFonts w:ascii="宋体" w:hAnsi="宋体" w:eastAsia="宋体" w:cs="宋体"/>
                <w:kern w:val="0"/>
                <w:sz w:val="24"/>
                <w:szCs w:val="24"/>
              </w:rPr>
            </w:pPr>
            <w:r>
              <w:rPr>
                <w:rFonts w:hint="eastAsia" w:ascii="宋体" w:hAnsi="宋体" w:eastAsia="宋体" w:cs="宋体"/>
                <w:kern w:val="0"/>
                <w:sz w:val="24"/>
                <w:szCs w:val="24"/>
              </w:rPr>
              <w:t>包号</w:t>
            </w:r>
          </w:p>
        </w:tc>
        <w:tc>
          <w:tcPr>
            <w:tcW w:w="3509" w:type="dxa"/>
            <w:noWrap/>
            <w:vAlign w:val="center"/>
          </w:tcPr>
          <w:p w14:paraId="3751990B">
            <w:pPr>
              <w:widowControl/>
              <w:spacing w:line="276" w:lineRule="auto"/>
              <w:jc w:val="center"/>
              <w:rPr>
                <w:rFonts w:ascii="宋体" w:hAnsi="宋体" w:eastAsia="宋体" w:cs="宋体"/>
                <w:kern w:val="0"/>
                <w:sz w:val="24"/>
                <w:szCs w:val="24"/>
              </w:rPr>
            </w:pPr>
            <w:r>
              <w:rPr>
                <w:rFonts w:hint="eastAsia" w:ascii="宋体" w:hAnsi="宋体" w:eastAsia="宋体" w:cs="宋体"/>
                <w:kern w:val="0"/>
                <w:sz w:val="24"/>
                <w:szCs w:val="24"/>
              </w:rPr>
              <w:t>包名称</w:t>
            </w:r>
          </w:p>
        </w:tc>
        <w:tc>
          <w:tcPr>
            <w:tcW w:w="1337" w:type="dxa"/>
            <w:noWrap/>
            <w:vAlign w:val="center"/>
          </w:tcPr>
          <w:p w14:paraId="591486EE">
            <w:pPr>
              <w:widowControl/>
              <w:spacing w:line="276" w:lineRule="auto"/>
              <w:jc w:val="center"/>
              <w:rPr>
                <w:rFonts w:ascii="宋体" w:hAnsi="宋体" w:eastAsia="宋体" w:cs="宋体"/>
                <w:kern w:val="0"/>
                <w:sz w:val="24"/>
                <w:szCs w:val="24"/>
              </w:rPr>
            </w:pPr>
            <w:r>
              <w:rPr>
                <w:rFonts w:hint="eastAsia" w:ascii="宋体" w:hAnsi="宋体" w:eastAsia="宋体" w:cs="宋体"/>
                <w:kern w:val="0"/>
                <w:sz w:val="24"/>
                <w:szCs w:val="24"/>
              </w:rPr>
              <w:t>包预算</w:t>
            </w:r>
          </w:p>
          <w:p w14:paraId="24365F38">
            <w:pPr>
              <w:widowControl/>
              <w:spacing w:line="276" w:lineRule="auto"/>
              <w:jc w:val="center"/>
              <w:rPr>
                <w:rFonts w:ascii="宋体" w:hAnsi="宋体" w:eastAsia="宋体" w:cs="宋体"/>
                <w:kern w:val="0"/>
                <w:sz w:val="24"/>
                <w:szCs w:val="24"/>
              </w:rPr>
            </w:pPr>
            <w:r>
              <w:rPr>
                <w:rFonts w:hint="eastAsia" w:ascii="宋体" w:hAnsi="宋体" w:eastAsia="宋体" w:cs="宋体"/>
                <w:kern w:val="0"/>
                <w:sz w:val="24"/>
                <w:szCs w:val="24"/>
              </w:rPr>
              <w:t>（元）</w:t>
            </w:r>
          </w:p>
        </w:tc>
        <w:tc>
          <w:tcPr>
            <w:tcW w:w="1451" w:type="dxa"/>
            <w:noWrap/>
            <w:vAlign w:val="center"/>
          </w:tcPr>
          <w:p w14:paraId="0856FA2C">
            <w:pPr>
              <w:widowControl/>
              <w:spacing w:line="276" w:lineRule="auto"/>
              <w:jc w:val="center"/>
              <w:rPr>
                <w:rFonts w:ascii="宋体" w:hAnsi="宋体" w:eastAsia="宋体" w:cs="宋体"/>
                <w:kern w:val="0"/>
                <w:sz w:val="24"/>
                <w:szCs w:val="24"/>
              </w:rPr>
            </w:pPr>
            <w:r>
              <w:rPr>
                <w:rFonts w:hint="eastAsia" w:ascii="宋体" w:hAnsi="宋体" w:eastAsia="宋体" w:cs="宋体"/>
                <w:kern w:val="0"/>
                <w:sz w:val="24"/>
                <w:szCs w:val="24"/>
              </w:rPr>
              <w:t>包最高限价</w:t>
            </w:r>
          </w:p>
          <w:p w14:paraId="7A485BC0">
            <w:pPr>
              <w:widowControl/>
              <w:spacing w:line="276" w:lineRule="auto"/>
              <w:jc w:val="center"/>
              <w:rPr>
                <w:rFonts w:ascii="宋体" w:hAnsi="宋体" w:eastAsia="宋体" w:cs="宋体"/>
                <w:kern w:val="0"/>
                <w:sz w:val="24"/>
                <w:szCs w:val="24"/>
              </w:rPr>
            </w:pPr>
            <w:r>
              <w:rPr>
                <w:rFonts w:hint="eastAsia" w:ascii="宋体" w:hAnsi="宋体" w:eastAsia="宋体" w:cs="宋体"/>
                <w:kern w:val="0"/>
                <w:sz w:val="24"/>
                <w:szCs w:val="24"/>
              </w:rPr>
              <w:t>（元）</w:t>
            </w:r>
          </w:p>
        </w:tc>
      </w:tr>
      <w:tr w14:paraId="7E94A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783" w:type="dxa"/>
            <w:noWrap/>
            <w:vAlign w:val="center"/>
          </w:tcPr>
          <w:p w14:paraId="101E5344">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73" w:type="dxa"/>
            <w:noWrap/>
            <w:vAlign w:val="center"/>
          </w:tcPr>
          <w:p w14:paraId="0A8CB5B3">
            <w:pPr>
              <w:widowControl/>
              <w:spacing w:line="360" w:lineRule="auto"/>
              <w:jc w:val="center"/>
              <w:rPr>
                <w:rFonts w:hint="default" w:ascii="宋体" w:hAnsi="宋体" w:eastAsia="宋体" w:cs="宋体"/>
                <w:kern w:val="0"/>
                <w:sz w:val="24"/>
                <w:szCs w:val="24"/>
                <w:lang w:val="en-US" w:eastAsia="zh-CN"/>
              </w:rPr>
            </w:pPr>
            <w:r>
              <w:rPr>
                <w:rFonts w:hint="eastAsia" w:ascii="宋体" w:hAnsi="宋体" w:eastAsia="宋体" w:cs="Times New Roman"/>
                <w:sz w:val="24"/>
                <w:szCs w:val="24"/>
                <w:highlight w:val="none"/>
              </w:rPr>
              <w:t>SZGZ[2025]126-ZC087</w:t>
            </w:r>
            <w:r>
              <w:rPr>
                <w:rFonts w:hint="eastAsia" w:ascii="宋体" w:hAnsi="宋体" w:eastAsia="宋体" w:cs="Times New Roman"/>
                <w:sz w:val="24"/>
                <w:szCs w:val="24"/>
                <w:highlight w:val="none"/>
                <w:lang w:val="en-US" w:eastAsia="zh-CN"/>
              </w:rPr>
              <w:t>-1</w:t>
            </w:r>
          </w:p>
        </w:tc>
        <w:tc>
          <w:tcPr>
            <w:tcW w:w="3509" w:type="dxa"/>
            <w:noWrap/>
            <w:vAlign w:val="center"/>
          </w:tcPr>
          <w:p w14:paraId="34DE1683">
            <w:pPr>
              <w:spacing w:line="360" w:lineRule="auto"/>
              <w:jc w:val="center"/>
              <w:rPr>
                <w:rFonts w:ascii="宋体" w:hAnsi="宋体" w:eastAsia="宋体" w:cs="Times New Roman"/>
                <w:sz w:val="24"/>
                <w:szCs w:val="24"/>
              </w:rPr>
            </w:pPr>
            <w:r>
              <w:rPr>
                <w:rFonts w:hint="eastAsia" w:ascii="宋体" w:hAnsi="宋体" w:eastAsia="宋体" w:cs="Times New Roman"/>
                <w:kern w:val="0"/>
                <w:sz w:val="24"/>
                <w:shd w:val="clear" w:color="auto" w:fill="FFFFFF"/>
                <w:lang w:val="en-US" w:eastAsia="zh-CN"/>
              </w:rPr>
              <w:t>三门峡市陕州区城市管理局垃圾一体化综合处理项目渗滤液收集车、压缩式垃圾车、皮卡型工具车采购项目</w:t>
            </w:r>
          </w:p>
        </w:tc>
        <w:tc>
          <w:tcPr>
            <w:tcW w:w="1337" w:type="dxa"/>
            <w:noWrap/>
            <w:vAlign w:val="center"/>
          </w:tcPr>
          <w:p w14:paraId="216A5CF4">
            <w:pPr>
              <w:widowControl/>
              <w:spacing w:line="360" w:lineRule="auto"/>
              <w:jc w:val="center"/>
              <w:rPr>
                <w:rFonts w:ascii="宋体" w:hAnsi="宋体" w:eastAsia="宋体" w:cs="宋体"/>
                <w:kern w:val="0"/>
                <w:sz w:val="24"/>
                <w:szCs w:val="24"/>
              </w:rPr>
            </w:pPr>
            <w:r>
              <w:rPr>
                <w:rFonts w:hint="eastAsia" w:ascii="宋体" w:hAnsi="宋体" w:eastAsia="宋体" w:cs="Times New Roman"/>
                <w:sz w:val="24"/>
                <w:szCs w:val="24"/>
                <w:lang w:val="en-US" w:eastAsia="zh-CN"/>
              </w:rPr>
              <w:t>1890000</w:t>
            </w:r>
          </w:p>
        </w:tc>
        <w:tc>
          <w:tcPr>
            <w:tcW w:w="1451" w:type="dxa"/>
            <w:noWrap/>
            <w:vAlign w:val="center"/>
          </w:tcPr>
          <w:p w14:paraId="1B42EC87">
            <w:pPr>
              <w:widowControl/>
              <w:spacing w:line="360" w:lineRule="auto"/>
              <w:jc w:val="center"/>
              <w:rPr>
                <w:rFonts w:ascii="宋体" w:hAnsi="宋体" w:eastAsia="宋体" w:cs="宋体"/>
                <w:kern w:val="0"/>
                <w:sz w:val="24"/>
                <w:szCs w:val="24"/>
              </w:rPr>
            </w:pPr>
            <w:r>
              <w:rPr>
                <w:rFonts w:hint="eastAsia" w:ascii="宋体" w:hAnsi="宋体" w:eastAsia="宋体" w:cs="Times New Roman"/>
                <w:sz w:val="24"/>
                <w:szCs w:val="24"/>
                <w:lang w:val="en-US" w:eastAsia="zh-CN"/>
              </w:rPr>
              <w:t>1890000</w:t>
            </w:r>
          </w:p>
        </w:tc>
      </w:tr>
    </w:tbl>
    <w:p w14:paraId="5EB93A96">
      <w:pPr>
        <w:spacing w:line="360" w:lineRule="auto"/>
        <w:ind w:firstLine="424" w:firstLineChars="177"/>
        <w:rPr>
          <w:rFonts w:ascii="宋体" w:hAnsi="宋体" w:eastAsia="宋体" w:cs="Times New Roman"/>
          <w:sz w:val="24"/>
          <w:szCs w:val="24"/>
        </w:rPr>
      </w:pPr>
      <w:r>
        <w:rPr>
          <w:rFonts w:hint="eastAsia" w:ascii="宋体" w:hAnsi="宋体" w:eastAsia="宋体" w:cs="Times New Roman"/>
          <w:sz w:val="24"/>
          <w:szCs w:val="24"/>
        </w:rPr>
        <w:t>5.</w:t>
      </w:r>
      <w:r>
        <w:rPr>
          <w:rFonts w:ascii="宋体" w:hAnsi="宋体" w:eastAsia="宋体" w:cs="Times New Roman"/>
          <w:sz w:val="24"/>
          <w:szCs w:val="24"/>
        </w:rPr>
        <w:t>采购需求（包括但不限于标的的名称、数量、简要技术需求或服务要求等）</w:t>
      </w:r>
    </w:p>
    <w:p w14:paraId="55A44B76">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5.1</w:t>
      </w:r>
      <w:r>
        <w:rPr>
          <w:rFonts w:hint="eastAsia" w:ascii="宋体" w:hAnsi="宋体" w:eastAsia="宋体" w:cs="Times New Roman"/>
          <w:sz w:val="24"/>
          <w:szCs w:val="24"/>
        </w:rPr>
        <w:t>采购范</w:t>
      </w:r>
      <w:r>
        <w:rPr>
          <w:rFonts w:hint="eastAsia" w:ascii="宋体" w:hAnsi="宋体" w:eastAsia="宋体" w:cs="Times New Roman"/>
          <w:sz w:val="24"/>
          <w:szCs w:val="28"/>
        </w:rPr>
        <w:t>围：本项目为</w:t>
      </w:r>
      <w:r>
        <w:rPr>
          <w:rFonts w:hint="eastAsia" w:ascii="宋体" w:hAnsi="宋体" w:eastAsia="宋体" w:cs="Times New Roman"/>
          <w:sz w:val="24"/>
          <w:szCs w:val="28"/>
          <w:lang w:eastAsia="zh-CN"/>
        </w:rPr>
        <w:t>三门峡市陕州区城市管理局垃圾一体化综合处理项目渗滤液收集车、压缩式垃圾车、皮卡型工具车采购项目</w:t>
      </w:r>
      <w:r>
        <w:rPr>
          <w:rFonts w:hint="eastAsia" w:ascii="宋体" w:hAnsi="宋体" w:eastAsia="宋体" w:cs="Times New Roman"/>
          <w:sz w:val="24"/>
          <w:szCs w:val="28"/>
        </w:rPr>
        <w:t>，主要内容是渗滤液收集车、压缩式垃圾车、皮卡型工具车采购及培训、验收、质保期服务、与货物有关的运输和保险及其他伴随服务，具体采购内容及参数要求详见竞争性磋商文件</w:t>
      </w:r>
      <w:r>
        <w:rPr>
          <w:rFonts w:hint="eastAsia" w:ascii="宋体" w:hAnsi="宋体" w:eastAsia="宋体" w:cs="Times New Roman"/>
          <w:sz w:val="24"/>
          <w:szCs w:val="24"/>
        </w:rPr>
        <w:t>。</w:t>
      </w:r>
    </w:p>
    <w:p w14:paraId="3BE775EF">
      <w:pPr>
        <w:spacing w:line="360" w:lineRule="auto"/>
        <w:ind w:firstLine="484" w:firstLineChars="202"/>
        <w:rPr>
          <w:rFonts w:ascii="宋体" w:hAnsi="宋体" w:eastAsia="宋体" w:cs="Times New Roman"/>
          <w:sz w:val="24"/>
          <w:szCs w:val="28"/>
        </w:rPr>
      </w:pPr>
      <w:r>
        <w:rPr>
          <w:rFonts w:ascii="宋体" w:hAnsi="宋体" w:eastAsia="宋体" w:cs="Times New Roman"/>
          <w:sz w:val="24"/>
          <w:szCs w:val="28"/>
        </w:rPr>
        <w:t>5.2</w:t>
      </w:r>
      <w:r>
        <w:rPr>
          <w:rFonts w:hint="eastAsia" w:ascii="宋体" w:hAnsi="宋体" w:eastAsia="宋体" w:cs="Times New Roman"/>
          <w:sz w:val="24"/>
          <w:szCs w:val="28"/>
        </w:rPr>
        <w:t>资金来源：财政资金，已落实。</w:t>
      </w:r>
    </w:p>
    <w:p w14:paraId="336962CE">
      <w:pPr>
        <w:spacing w:line="360" w:lineRule="auto"/>
        <w:ind w:firstLine="484" w:firstLineChars="202"/>
        <w:rPr>
          <w:rFonts w:ascii="宋体" w:hAnsi="宋体" w:eastAsia="宋体" w:cs="Times New Roman"/>
          <w:color w:val="auto"/>
          <w:sz w:val="24"/>
          <w:szCs w:val="28"/>
          <w:highlight w:val="none"/>
        </w:rPr>
      </w:pPr>
      <w:r>
        <w:rPr>
          <w:rFonts w:ascii="宋体" w:hAnsi="宋体" w:eastAsia="宋体" w:cs="Times New Roman"/>
          <w:color w:val="auto"/>
          <w:sz w:val="24"/>
          <w:szCs w:val="28"/>
          <w:highlight w:val="none"/>
        </w:rPr>
        <w:t>5.3</w:t>
      </w:r>
      <w:r>
        <w:rPr>
          <w:rFonts w:hint="eastAsia" w:ascii="宋体" w:hAnsi="宋体" w:eastAsia="宋体" w:cs="Times New Roman"/>
          <w:color w:val="auto"/>
          <w:sz w:val="24"/>
          <w:szCs w:val="28"/>
          <w:highlight w:val="none"/>
        </w:rPr>
        <w:t>质 保 期：</w:t>
      </w:r>
      <w:r>
        <w:rPr>
          <w:rFonts w:hint="eastAsia" w:ascii="宋体" w:hAnsi="宋体" w:eastAsia="宋体" w:cs="Times New Roman"/>
          <w:color w:val="auto"/>
          <w:sz w:val="24"/>
          <w:szCs w:val="28"/>
          <w:highlight w:val="none"/>
          <w:lang w:val="en-US" w:eastAsia="zh-CN"/>
        </w:rPr>
        <w:t>三电（电机、电控、电池）质保期为8年，除三电以外质保期为1年</w:t>
      </w:r>
      <w:r>
        <w:rPr>
          <w:rFonts w:hint="eastAsia" w:ascii="宋体" w:hAnsi="宋体" w:eastAsia="宋体" w:cs="Times New Roman"/>
          <w:color w:val="auto"/>
          <w:sz w:val="24"/>
          <w:szCs w:val="28"/>
          <w:highlight w:val="none"/>
        </w:rPr>
        <w:t>。</w:t>
      </w:r>
    </w:p>
    <w:p w14:paraId="0BF73768">
      <w:pPr>
        <w:spacing w:line="360" w:lineRule="auto"/>
        <w:ind w:firstLine="484" w:firstLineChars="202"/>
        <w:rPr>
          <w:rFonts w:ascii="宋体" w:hAnsi="宋体" w:eastAsia="宋体" w:cs="Times New Roman"/>
          <w:sz w:val="24"/>
          <w:szCs w:val="28"/>
        </w:rPr>
      </w:pPr>
      <w:r>
        <w:rPr>
          <w:rFonts w:ascii="宋体" w:hAnsi="宋体" w:eastAsia="宋体" w:cs="Times New Roman"/>
          <w:sz w:val="24"/>
          <w:szCs w:val="28"/>
        </w:rPr>
        <w:t>5.4</w:t>
      </w:r>
      <w:r>
        <w:rPr>
          <w:rFonts w:hint="eastAsia" w:ascii="宋体" w:hAnsi="宋体" w:eastAsia="宋体" w:cs="Times New Roman"/>
          <w:sz w:val="24"/>
          <w:szCs w:val="28"/>
        </w:rPr>
        <w:t>质量要求：符合国家及行业相关规范和标准。</w:t>
      </w:r>
    </w:p>
    <w:p w14:paraId="63AF0ACB">
      <w:pPr>
        <w:spacing w:line="360" w:lineRule="auto"/>
        <w:ind w:firstLine="484" w:firstLineChars="202"/>
        <w:rPr>
          <w:rFonts w:ascii="宋体" w:hAnsi="宋体" w:eastAsia="宋体" w:cs="Times New Roman"/>
          <w:sz w:val="24"/>
          <w:szCs w:val="28"/>
        </w:rPr>
      </w:pPr>
      <w:r>
        <w:rPr>
          <w:rFonts w:hint="eastAsia" w:ascii="宋体" w:hAnsi="宋体" w:eastAsia="宋体" w:cs="Times New Roman"/>
          <w:sz w:val="24"/>
          <w:szCs w:val="28"/>
        </w:rPr>
        <w:t>5.</w:t>
      </w:r>
      <w:r>
        <w:rPr>
          <w:rFonts w:ascii="宋体" w:hAnsi="宋体" w:eastAsia="宋体" w:cs="Times New Roman"/>
          <w:sz w:val="24"/>
          <w:szCs w:val="28"/>
        </w:rPr>
        <w:t>5</w:t>
      </w:r>
      <w:r>
        <w:rPr>
          <w:rFonts w:hint="eastAsia" w:ascii="宋体" w:hAnsi="宋体" w:eastAsia="宋体" w:cs="Times New Roman"/>
          <w:sz w:val="24"/>
          <w:szCs w:val="28"/>
        </w:rPr>
        <w:t>交 货 期：签订合同后</w:t>
      </w:r>
      <w:r>
        <w:rPr>
          <w:rFonts w:hint="eastAsia" w:ascii="宋体" w:hAnsi="宋体" w:eastAsia="宋体" w:cs="Times New Roman"/>
          <w:sz w:val="24"/>
          <w:szCs w:val="28"/>
          <w:lang w:val="en-US" w:eastAsia="zh-CN"/>
        </w:rPr>
        <w:t>30</w:t>
      </w:r>
      <w:r>
        <w:rPr>
          <w:rFonts w:hint="eastAsia" w:ascii="宋体" w:hAnsi="宋体" w:eastAsia="宋体" w:cs="Times New Roman"/>
          <w:sz w:val="24"/>
          <w:szCs w:val="28"/>
        </w:rPr>
        <w:t>日历天内。</w:t>
      </w:r>
    </w:p>
    <w:p w14:paraId="713D8156">
      <w:pPr>
        <w:spacing w:line="360" w:lineRule="auto"/>
        <w:ind w:firstLine="484" w:firstLineChars="202"/>
        <w:rPr>
          <w:rFonts w:ascii="宋体" w:hAnsi="宋体" w:eastAsia="宋体" w:cs="Times New Roman"/>
          <w:sz w:val="24"/>
          <w:szCs w:val="28"/>
        </w:rPr>
      </w:pPr>
      <w:r>
        <w:rPr>
          <w:rFonts w:ascii="宋体" w:hAnsi="宋体" w:eastAsia="宋体" w:cs="Times New Roman"/>
          <w:sz w:val="24"/>
          <w:szCs w:val="28"/>
        </w:rPr>
        <w:t>5.6</w:t>
      </w:r>
      <w:r>
        <w:rPr>
          <w:rFonts w:hint="eastAsia" w:ascii="宋体" w:hAnsi="宋体" w:eastAsia="宋体" w:cs="Times New Roman"/>
          <w:sz w:val="24"/>
          <w:szCs w:val="28"/>
        </w:rPr>
        <w:t>交货地点：采购人指定地点。</w:t>
      </w:r>
    </w:p>
    <w:p w14:paraId="67E3AB1A">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6</w:t>
      </w:r>
      <w:r>
        <w:rPr>
          <w:rFonts w:hint="eastAsia" w:ascii="宋体" w:hAnsi="宋体" w:eastAsia="宋体" w:cs="Times New Roman"/>
          <w:sz w:val="24"/>
          <w:szCs w:val="24"/>
        </w:rPr>
        <w:t>.</w:t>
      </w:r>
      <w:r>
        <w:rPr>
          <w:rFonts w:ascii="宋体" w:hAnsi="宋体" w:eastAsia="宋体" w:cs="Times New Roman"/>
          <w:sz w:val="24"/>
          <w:szCs w:val="24"/>
        </w:rPr>
        <w:t>合同履行期限：</w:t>
      </w:r>
      <w:r>
        <w:rPr>
          <w:rFonts w:hint="eastAsia" w:ascii="宋体" w:hAnsi="宋体" w:eastAsia="宋体" w:cs="Times New Roman"/>
          <w:sz w:val="24"/>
          <w:szCs w:val="24"/>
        </w:rPr>
        <w:t>按合同约定执行。</w:t>
      </w:r>
    </w:p>
    <w:p w14:paraId="03E60B1C">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7</w:t>
      </w:r>
      <w:r>
        <w:rPr>
          <w:rFonts w:hint="eastAsia" w:ascii="宋体" w:hAnsi="宋体" w:eastAsia="宋体" w:cs="Times New Roman"/>
          <w:sz w:val="24"/>
          <w:szCs w:val="24"/>
        </w:rPr>
        <w:t>.</w:t>
      </w:r>
      <w:r>
        <w:rPr>
          <w:rFonts w:ascii="宋体" w:hAnsi="宋体" w:eastAsia="宋体" w:cs="Times New Roman"/>
          <w:sz w:val="24"/>
          <w:szCs w:val="24"/>
        </w:rPr>
        <w:t>本项目是否接受联合体投标：否</w:t>
      </w:r>
    </w:p>
    <w:p w14:paraId="4FD1268F">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8</w:t>
      </w:r>
      <w:r>
        <w:rPr>
          <w:rFonts w:hint="eastAsia" w:ascii="宋体" w:hAnsi="宋体" w:eastAsia="宋体" w:cs="Times New Roman"/>
          <w:sz w:val="24"/>
          <w:szCs w:val="24"/>
        </w:rPr>
        <w:t>.</w:t>
      </w:r>
      <w:r>
        <w:rPr>
          <w:rFonts w:ascii="宋体" w:hAnsi="宋体" w:eastAsia="宋体" w:cs="Times New Roman"/>
          <w:sz w:val="24"/>
          <w:szCs w:val="24"/>
        </w:rPr>
        <w:t>是否接受进口产品：</w:t>
      </w:r>
      <w:r>
        <w:rPr>
          <w:rFonts w:hint="eastAsia" w:ascii="宋体" w:hAnsi="宋体" w:eastAsia="宋体" w:cs="Times New Roman"/>
          <w:sz w:val="24"/>
          <w:szCs w:val="24"/>
        </w:rPr>
        <w:t>否</w:t>
      </w:r>
    </w:p>
    <w:p w14:paraId="4073AFDF">
      <w:pPr>
        <w:spacing w:line="360" w:lineRule="auto"/>
        <w:ind w:firstLine="484" w:firstLineChars="202"/>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9.是否专门面向中小企业：</w:t>
      </w:r>
      <w:r>
        <w:rPr>
          <w:rFonts w:hint="eastAsia" w:ascii="宋体" w:hAnsi="宋体" w:eastAsia="宋体" w:cs="Times New Roman"/>
          <w:sz w:val="24"/>
          <w:szCs w:val="24"/>
        </w:rPr>
        <w:t>否</w:t>
      </w:r>
    </w:p>
    <w:p w14:paraId="4B2482E0">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二、申请人资格要求</w:t>
      </w:r>
    </w:p>
    <w:p w14:paraId="31F1B938">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w:t>
      </w:r>
      <w:r>
        <w:rPr>
          <w:rFonts w:ascii="宋体" w:hAnsi="宋体" w:eastAsia="宋体" w:cs="Times New Roman"/>
          <w:sz w:val="24"/>
          <w:szCs w:val="24"/>
        </w:rPr>
        <w:t>满足《中华人民共和国政府采购法》第二十二条规定；</w:t>
      </w:r>
    </w:p>
    <w:p w14:paraId="6954C760">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w:t>
      </w:r>
      <w:r>
        <w:rPr>
          <w:rFonts w:ascii="宋体" w:hAnsi="宋体" w:eastAsia="宋体" w:cs="Times New Roman"/>
          <w:sz w:val="24"/>
          <w:szCs w:val="24"/>
        </w:rPr>
        <w:t>落实政府采购政策满足的资格要求：</w:t>
      </w:r>
      <w:r>
        <w:rPr>
          <w:rFonts w:hint="eastAsia" w:ascii="宋体" w:hAnsi="宋体" w:eastAsia="宋体" w:cs="Times New Roman"/>
          <w:sz w:val="24"/>
          <w:szCs w:val="24"/>
        </w:rPr>
        <w:t>本项目</w:t>
      </w:r>
      <w:r>
        <w:rPr>
          <w:rFonts w:hint="eastAsia" w:ascii="宋体" w:hAnsi="宋体" w:eastAsia="宋体" w:cs="Times New Roman"/>
          <w:sz w:val="24"/>
          <w:szCs w:val="24"/>
          <w:lang w:val="en-US" w:eastAsia="zh-CN"/>
        </w:rPr>
        <w:t>非</w:t>
      </w:r>
      <w:r>
        <w:rPr>
          <w:rFonts w:hint="eastAsia" w:ascii="宋体" w:hAnsi="宋体" w:eastAsia="宋体" w:cs="Times New Roman"/>
          <w:sz w:val="24"/>
          <w:szCs w:val="24"/>
        </w:rPr>
        <w:t>专门面向中小微企业采购项目,执行促进中小企业（监狱企业、残疾人福利性企业）发展等政府采购政策。</w:t>
      </w:r>
    </w:p>
    <w:p w14:paraId="28449D24">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w:t>
      </w:r>
      <w:r>
        <w:rPr>
          <w:rFonts w:ascii="宋体" w:hAnsi="宋体" w:eastAsia="宋体" w:cs="Times New Roman"/>
          <w:sz w:val="24"/>
          <w:szCs w:val="24"/>
        </w:rPr>
        <w:t>本项目的特定资格要求</w:t>
      </w:r>
    </w:p>
    <w:p w14:paraId="319BD5EB">
      <w:pPr>
        <w:spacing w:line="360" w:lineRule="auto"/>
        <w:ind w:firstLine="566" w:firstLineChars="236"/>
        <w:rPr>
          <w:rFonts w:ascii="宋体" w:hAnsi="宋体" w:eastAsia="宋体" w:cs="Times New Roman"/>
          <w:sz w:val="24"/>
          <w:szCs w:val="24"/>
        </w:rPr>
      </w:pPr>
      <w:r>
        <w:rPr>
          <w:rFonts w:ascii="宋体" w:hAnsi="宋体" w:eastAsia="宋体" w:cs="Times New Roman"/>
          <w:sz w:val="24"/>
          <w:szCs w:val="24"/>
        </w:rPr>
        <w:t>3.1</w:t>
      </w:r>
      <w:r>
        <w:rPr>
          <w:rFonts w:hint="eastAsia" w:ascii="宋体" w:hAnsi="宋体" w:eastAsia="宋体" w:cs="Times New Roman"/>
          <w:sz w:val="24"/>
          <w:szCs w:val="24"/>
        </w:rPr>
        <w:t>供应商具有合格有效的</w:t>
      </w:r>
      <w:r>
        <w:rPr>
          <w:rFonts w:hint="eastAsia" w:ascii="宋体" w:hAnsi="宋体" w:eastAsia="宋体" w:cs="Times New Roman"/>
          <w:sz w:val="24"/>
          <w:szCs w:val="24"/>
          <w:lang w:eastAsia="zh-CN"/>
        </w:rPr>
        <w:t>营业执照；提供具有履行合同所必需的设备和专业技术能力（自行作出承诺，格式自拟）；</w:t>
      </w:r>
    </w:p>
    <w:p w14:paraId="2A2A7189">
      <w:pPr>
        <w:spacing w:line="360" w:lineRule="auto"/>
        <w:ind w:firstLine="566" w:firstLineChars="236"/>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lang w:eastAsia="zh-CN"/>
        </w:rPr>
        <w:t>2供应商</w:t>
      </w:r>
      <w:r>
        <w:rPr>
          <w:rFonts w:hint="eastAsia" w:ascii="宋体" w:hAnsi="宋体" w:eastAsia="宋体" w:cs="Times New Roman"/>
          <w:sz w:val="24"/>
          <w:szCs w:val="24"/>
          <w:lang w:val="en-US" w:eastAsia="zh-CN"/>
        </w:rPr>
        <w:t>出具无行贿记录在中国裁判文书网自行查询或自行承诺（查询对象：企业、法定代表人）及企业自行承诺无商业贿赂和不正当竞争行为</w:t>
      </w:r>
      <w:r>
        <w:rPr>
          <w:rFonts w:hint="eastAsia" w:ascii="宋体" w:hAnsi="宋体" w:eastAsia="宋体" w:cs="Times New Roman"/>
          <w:sz w:val="24"/>
          <w:szCs w:val="24"/>
          <w:lang w:eastAsia="zh-CN"/>
        </w:rPr>
        <w:t>；</w:t>
      </w:r>
    </w:p>
    <w:p w14:paraId="081CA60D">
      <w:pPr>
        <w:spacing w:line="360" w:lineRule="auto"/>
        <w:ind w:firstLine="566" w:firstLineChars="236"/>
        <w:rPr>
          <w:rFonts w:ascii="宋体" w:hAnsi="宋体" w:eastAsia="宋体" w:cs="Times New Roman"/>
          <w:sz w:val="24"/>
          <w:szCs w:val="24"/>
        </w:rPr>
      </w:pPr>
      <w:r>
        <w:rPr>
          <w:rFonts w:ascii="宋体" w:hAnsi="宋体" w:eastAsia="宋体" w:cs="Times New Roman"/>
          <w:sz w:val="24"/>
          <w:szCs w:val="24"/>
        </w:rPr>
        <w:t>3.3</w:t>
      </w:r>
      <w:r>
        <w:rPr>
          <w:rFonts w:hint="eastAsia" w:ascii="宋体" w:hAnsi="宋体" w:eastAsia="宋体" w:cs="Times New Roman"/>
          <w:sz w:val="24"/>
          <w:szCs w:val="24"/>
          <w:lang w:val="en-US" w:eastAsia="zh-CN"/>
        </w:rPr>
        <w:t>根据《关于在政府采购活动中查询及使用信用记录有关问题的通知》(财库[2016]125号)和豫财购【2016】15号的规定，企业没有被列入“信用中国”网站的“失信被执行人”、“重大税收违法失信主体”及“中国政府采购网站”的“政府采购严重违法失信行为记录名单”的供应商。【查询渠道：“信用中国”网站（www.creditchina.gov.cn）、中国政府采购网（www.ccgp.gov.cn）】（提供“信用中国”和“中国政府采购网”网站的查询信息截图，查询时间自公告发布之日起)</w:t>
      </w:r>
      <w:r>
        <w:rPr>
          <w:rFonts w:hint="eastAsia" w:ascii="宋体" w:hAnsi="宋体" w:eastAsia="宋体" w:cs="Times New Roman"/>
          <w:sz w:val="24"/>
          <w:szCs w:val="24"/>
        </w:rPr>
        <w:t>；</w:t>
      </w:r>
    </w:p>
    <w:p w14:paraId="38DAAE4D">
      <w:pPr>
        <w:spacing w:line="360" w:lineRule="auto"/>
        <w:ind w:firstLine="566" w:firstLineChars="236"/>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3.4本项目不接受联合体投标；</w:t>
      </w:r>
    </w:p>
    <w:p w14:paraId="2C72073B">
      <w:pPr>
        <w:spacing w:line="360" w:lineRule="auto"/>
        <w:ind w:firstLine="566" w:firstLineChars="236"/>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3.5本次磋商实行资格后审；</w:t>
      </w:r>
    </w:p>
    <w:p w14:paraId="048E029A">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三、获取采购文件</w:t>
      </w:r>
    </w:p>
    <w:p w14:paraId="4DA76C24">
      <w:pPr>
        <w:spacing w:line="360" w:lineRule="auto"/>
        <w:ind w:firstLine="484" w:firstLineChars="202"/>
        <w:rPr>
          <w:rFonts w:ascii="宋体" w:hAnsi="宋体" w:eastAsia="宋体" w:cs="Times New Roman"/>
          <w:sz w:val="24"/>
          <w:szCs w:val="24"/>
          <w:highlight w:val="none"/>
        </w:rPr>
      </w:pPr>
      <w:r>
        <w:rPr>
          <w:rFonts w:ascii="宋体" w:hAnsi="宋体" w:eastAsia="宋体" w:cs="Times New Roman"/>
          <w:sz w:val="24"/>
          <w:szCs w:val="24"/>
          <w:highlight w:val="none"/>
        </w:rPr>
        <w:t>1.时间：</w:t>
      </w:r>
      <w:r>
        <w:rPr>
          <w:rFonts w:hint="eastAsia" w:ascii="宋体" w:hAnsi="宋体" w:eastAsia="宋体" w:cs="Times New Roman"/>
          <w:sz w:val="24"/>
          <w:szCs w:val="24"/>
          <w:highlight w:val="none"/>
        </w:rPr>
        <w:t>202</w:t>
      </w:r>
      <w:r>
        <w:rPr>
          <w:rFonts w:hint="eastAsia" w:ascii="宋体" w:hAnsi="宋体" w:eastAsia="宋体" w:cs="Times New Roman"/>
          <w:sz w:val="24"/>
          <w:szCs w:val="24"/>
          <w:highlight w:val="none"/>
          <w:lang w:val="en-US" w:eastAsia="zh-CN"/>
        </w:rPr>
        <w:t>5</w:t>
      </w:r>
      <w:r>
        <w:rPr>
          <w:rFonts w:hint="eastAsia" w:ascii="宋体" w:hAnsi="宋体" w:eastAsia="宋体" w:cs="Times New Roman"/>
          <w:sz w:val="24"/>
          <w:szCs w:val="24"/>
          <w:highlight w:val="none"/>
        </w:rPr>
        <w:t>年</w:t>
      </w:r>
      <w:r>
        <w:rPr>
          <w:rFonts w:hint="eastAsia" w:ascii="宋体" w:hAnsi="宋体" w:eastAsia="宋体" w:cs="Times New Roman"/>
          <w:sz w:val="24"/>
          <w:szCs w:val="24"/>
          <w:highlight w:val="none"/>
          <w:lang w:val="en-US" w:eastAsia="zh-CN"/>
        </w:rPr>
        <w:t>07</w:t>
      </w:r>
      <w:r>
        <w:rPr>
          <w:rFonts w:hint="eastAsia" w:ascii="宋体" w:hAnsi="宋体" w:eastAsia="宋体" w:cs="Times New Roman"/>
          <w:sz w:val="24"/>
          <w:szCs w:val="24"/>
          <w:highlight w:val="none"/>
        </w:rPr>
        <w:t>月</w:t>
      </w:r>
      <w:r>
        <w:rPr>
          <w:rFonts w:hint="eastAsia" w:ascii="宋体" w:hAnsi="宋体" w:eastAsia="宋体" w:cs="Times New Roman"/>
          <w:sz w:val="24"/>
          <w:szCs w:val="24"/>
          <w:highlight w:val="none"/>
          <w:lang w:val="en-US" w:eastAsia="zh-CN"/>
        </w:rPr>
        <w:t>18</w:t>
      </w:r>
      <w:r>
        <w:rPr>
          <w:rFonts w:hint="eastAsia" w:ascii="宋体" w:hAnsi="宋体" w:eastAsia="宋体" w:cs="Times New Roman"/>
          <w:sz w:val="24"/>
          <w:szCs w:val="24"/>
          <w:highlight w:val="none"/>
        </w:rPr>
        <w:t>日至202</w:t>
      </w:r>
      <w:r>
        <w:rPr>
          <w:rFonts w:hint="eastAsia" w:ascii="宋体" w:hAnsi="宋体" w:eastAsia="宋体" w:cs="Times New Roman"/>
          <w:sz w:val="24"/>
          <w:szCs w:val="24"/>
          <w:highlight w:val="none"/>
          <w:lang w:val="en-US" w:eastAsia="zh-CN"/>
        </w:rPr>
        <w:t>5</w:t>
      </w:r>
      <w:r>
        <w:rPr>
          <w:rFonts w:hint="eastAsia" w:ascii="宋体" w:hAnsi="宋体" w:eastAsia="宋体" w:cs="Times New Roman"/>
          <w:sz w:val="24"/>
          <w:szCs w:val="24"/>
          <w:highlight w:val="none"/>
        </w:rPr>
        <w:t>年</w:t>
      </w:r>
      <w:r>
        <w:rPr>
          <w:rFonts w:hint="eastAsia" w:ascii="宋体" w:hAnsi="宋体" w:eastAsia="宋体" w:cs="Times New Roman"/>
          <w:sz w:val="24"/>
          <w:szCs w:val="24"/>
          <w:highlight w:val="none"/>
          <w:lang w:val="en-US" w:eastAsia="zh-CN"/>
        </w:rPr>
        <w:t>07</w:t>
      </w:r>
      <w:r>
        <w:rPr>
          <w:rFonts w:hint="eastAsia" w:ascii="宋体" w:hAnsi="宋体" w:eastAsia="宋体" w:cs="Times New Roman"/>
          <w:sz w:val="24"/>
          <w:szCs w:val="24"/>
          <w:highlight w:val="none"/>
        </w:rPr>
        <w:t>月</w:t>
      </w:r>
      <w:r>
        <w:rPr>
          <w:rFonts w:hint="eastAsia" w:ascii="宋体" w:hAnsi="宋体" w:eastAsia="宋体" w:cs="Times New Roman"/>
          <w:sz w:val="24"/>
          <w:szCs w:val="24"/>
          <w:highlight w:val="none"/>
          <w:lang w:val="en-US" w:eastAsia="zh-CN"/>
        </w:rPr>
        <w:t>27</w:t>
      </w:r>
      <w:r>
        <w:rPr>
          <w:rFonts w:hint="eastAsia" w:ascii="宋体" w:hAnsi="宋体" w:eastAsia="宋体" w:cs="Times New Roman"/>
          <w:sz w:val="24"/>
          <w:szCs w:val="24"/>
          <w:highlight w:val="none"/>
        </w:rPr>
        <w:t>日，每天上午00:00至12:00，下午12:00至23:59（北京时间，法定节假日除外。）</w:t>
      </w:r>
    </w:p>
    <w:p w14:paraId="7890B3EE">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2.地点：三门峡市公共资源交易中心网</w:t>
      </w:r>
      <w:r>
        <w:rPr>
          <w:rFonts w:hint="eastAsia" w:ascii="宋体" w:hAnsi="宋体" w:eastAsia="宋体" w:cs="Times New Roman"/>
          <w:sz w:val="24"/>
          <w:szCs w:val="24"/>
        </w:rPr>
        <w:t>上</w:t>
      </w:r>
    </w:p>
    <w:p w14:paraId="627BCF34">
      <w:pPr>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3.方式：本项目没有报名环节，投标人凭CA数字证书通过三门峡市公共资源交易中心网（网址：http://gzjy.smx.gov.cn/），点击交易平台选择“市场主体登录”，在所参与项目右侧点击参与投标,即可直接下载本项目磋商文件。</w:t>
      </w:r>
    </w:p>
    <w:p w14:paraId="62076388">
      <w:pPr>
        <w:spacing w:line="360" w:lineRule="auto"/>
        <w:ind w:firstLine="484" w:firstLineChars="202"/>
        <w:rPr>
          <w:rFonts w:hint="eastAsia" w:ascii="宋体" w:hAnsi="宋体" w:eastAsia="宋体" w:cs="Times New Roman"/>
          <w:sz w:val="24"/>
          <w:szCs w:val="24"/>
        </w:rPr>
      </w:pPr>
      <w:r>
        <w:rPr>
          <w:rFonts w:hint="eastAsia" w:ascii="宋体" w:hAnsi="宋体" w:eastAsia="宋体" w:cs="Times New Roman"/>
          <w:sz w:val="24"/>
          <w:szCs w:val="24"/>
        </w:rPr>
        <w:t>4. 售价：0元</w:t>
      </w:r>
    </w:p>
    <w:p w14:paraId="7712B721">
      <w:pPr>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四</w:t>
      </w:r>
      <w:r>
        <w:rPr>
          <w:rFonts w:ascii="宋体" w:hAnsi="宋体" w:eastAsia="宋体" w:cs="Times New Roman"/>
          <w:sz w:val="24"/>
          <w:szCs w:val="24"/>
        </w:rPr>
        <w:t>、响应文件提交</w:t>
      </w:r>
    </w:p>
    <w:p w14:paraId="5F2D02A9">
      <w:pPr>
        <w:spacing w:line="360" w:lineRule="auto"/>
        <w:ind w:firstLine="484" w:firstLineChars="202"/>
        <w:rPr>
          <w:rFonts w:ascii="宋体" w:hAnsi="宋体" w:eastAsia="宋体" w:cs="Times New Roman"/>
          <w:sz w:val="24"/>
          <w:szCs w:val="24"/>
          <w:highlight w:val="none"/>
        </w:rPr>
      </w:pPr>
      <w:r>
        <w:rPr>
          <w:rFonts w:ascii="宋体" w:hAnsi="宋体" w:eastAsia="宋体" w:cs="Times New Roman"/>
          <w:sz w:val="24"/>
          <w:szCs w:val="24"/>
          <w:highlight w:val="none"/>
        </w:rPr>
        <w:t>1.</w:t>
      </w:r>
      <w:r>
        <w:rPr>
          <w:rFonts w:hint="eastAsia" w:ascii="宋体" w:hAnsi="宋体" w:eastAsia="宋体" w:cs="Times New Roman"/>
          <w:sz w:val="24"/>
          <w:szCs w:val="24"/>
          <w:highlight w:val="none"/>
        </w:rPr>
        <w:t>截止</w:t>
      </w:r>
      <w:r>
        <w:rPr>
          <w:rFonts w:ascii="宋体" w:hAnsi="宋体" w:eastAsia="宋体" w:cs="Times New Roman"/>
          <w:sz w:val="24"/>
          <w:szCs w:val="24"/>
          <w:highlight w:val="none"/>
        </w:rPr>
        <w:t>时间：202</w:t>
      </w:r>
      <w:r>
        <w:rPr>
          <w:rFonts w:hint="eastAsia" w:ascii="宋体" w:hAnsi="宋体" w:eastAsia="宋体" w:cs="Times New Roman"/>
          <w:sz w:val="24"/>
          <w:szCs w:val="24"/>
          <w:highlight w:val="none"/>
          <w:lang w:val="en-US" w:eastAsia="zh-CN"/>
        </w:rPr>
        <w:t>5</w:t>
      </w:r>
      <w:r>
        <w:rPr>
          <w:rFonts w:ascii="宋体" w:hAnsi="宋体" w:eastAsia="宋体" w:cs="Times New Roman"/>
          <w:sz w:val="24"/>
          <w:szCs w:val="24"/>
          <w:highlight w:val="none"/>
        </w:rPr>
        <w:t>年</w:t>
      </w:r>
      <w:r>
        <w:rPr>
          <w:rFonts w:hint="eastAsia" w:ascii="宋体" w:hAnsi="宋体" w:eastAsia="宋体" w:cs="Times New Roman"/>
          <w:sz w:val="24"/>
          <w:szCs w:val="24"/>
          <w:highlight w:val="none"/>
          <w:lang w:val="en-US" w:eastAsia="zh-CN"/>
        </w:rPr>
        <w:t>07</w:t>
      </w:r>
      <w:r>
        <w:rPr>
          <w:rFonts w:ascii="宋体" w:hAnsi="宋体" w:eastAsia="宋体" w:cs="Times New Roman"/>
          <w:sz w:val="24"/>
          <w:szCs w:val="24"/>
          <w:highlight w:val="none"/>
        </w:rPr>
        <w:t>月</w:t>
      </w:r>
      <w:r>
        <w:rPr>
          <w:rFonts w:hint="eastAsia" w:ascii="宋体" w:hAnsi="宋体" w:eastAsia="宋体" w:cs="Times New Roman"/>
          <w:sz w:val="24"/>
          <w:szCs w:val="24"/>
          <w:highlight w:val="none"/>
          <w:lang w:val="en-US" w:eastAsia="zh-CN"/>
        </w:rPr>
        <w:t>28</w:t>
      </w:r>
      <w:r>
        <w:rPr>
          <w:rFonts w:ascii="宋体" w:hAnsi="宋体" w:eastAsia="宋体" w:cs="Times New Roman"/>
          <w:sz w:val="24"/>
          <w:szCs w:val="24"/>
          <w:highlight w:val="none"/>
        </w:rPr>
        <w:t>日</w:t>
      </w:r>
      <w:r>
        <w:rPr>
          <w:rFonts w:hint="eastAsia" w:ascii="宋体" w:hAnsi="宋体" w:eastAsia="宋体" w:cs="Times New Roman"/>
          <w:sz w:val="24"/>
          <w:szCs w:val="24"/>
          <w:highlight w:val="none"/>
          <w:lang w:val="en-US" w:eastAsia="zh-CN"/>
        </w:rPr>
        <w:t>8</w:t>
      </w:r>
      <w:r>
        <w:rPr>
          <w:rFonts w:hint="eastAsia" w:ascii="宋体" w:hAnsi="宋体" w:eastAsia="宋体" w:cs="Times New Roman"/>
          <w:sz w:val="24"/>
          <w:szCs w:val="24"/>
          <w:highlight w:val="none"/>
        </w:rPr>
        <w:t>时</w:t>
      </w:r>
      <w:r>
        <w:rPr>
          <w:rFonts w:hint="eastAsia" w:ascii="宋体" w:hAnsi="宋体" w:eastAsia="宋体" w:cs="Times New Roman"/>
          <w:sz w:val="24"/>
          <w:szCs w:val="24"/>
          <w:highlight w:val="none"/>
          <w:lang w:val="en-US" w:eastAsia="zh-CN"/>
        </w:rPr>
        <w:t>3</w:t>
      </w:r>
      <w:r>
        <w:rPr>
          <w:rFonts w:hint="eastAsia" w:ascii="宋体" w:hAnsi="宋体" w:eastAsia="宋体" w:cs="Times New Roman"/>
          <w:sz w:val="24"/>
          <w:szCs w:val="24"/>
          <w:highlight w:val="none"/>
        </w:rPr>
        <w:t>0分</w:t>
      </w:r>
      <w:r>
        <w:rPr>
          <w:rFonts w:ascii="宋体" w:hAnsi="宋体" w:eastAsia="宋体" w:cs="Times New Roman"/>
          <w:sz w:val="24"/>
          <w:szCs w:val="24"/>
          <w:highlight w:val="none"/>
        </w:rPr>
        <w:t>（北京时间）</w:t>
      </w:r>
    </w:p>
    <w:p w14:paraId="2A6783DF">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2.地</w:t>
      </w:r>
      <w:r>
        <w:rPr>
          <w:rFonts w:hint="eastAsia" w:ascii="宋体" w:hAnsi="宋体" w:eastAsia="宋体" w:cs="Times New Roman"/>
          <w:sz w:val="24"/>
          <w:szCs w:val="24"/>
          <w:lang w:val="en-US" w:eastAsia="zh-CN"/>
        </w:rPr>
        <w:t>点：在三门峡市公共资源交易中心网中上传加密响应文件。</w:t>
      </w:r>
    </w:p>
    <w:p w14:paraId="0DC58D10">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五、响应文件开启</w:t>
      </w:r>
    </w:p>
    <w:p w14:paraId="65F1AD6D">
      <w:pPr>
        <w:spacing w:line="360" w:lineRule="auto"/>
        <w:ind w:firstLine="484" w:firstLineChars="202"/>
        <w:rPr>
          <w:rFonts w:ascii="宋体" w:hAnsi="宋体" w:eastAsia="宋体" w:cs="Times New Roman"/>
          <w:sz w:val="24"/>
          <w:szCs w:val="24"/>
          <w:highlight w:val="none"/>
        </w:rPr>
      </w:pPr>
      <w:r>
        <w:rPr>
          <w:rFonts w:hint="eastAsia" w:ascii="宋体" w:hAnsi="宋体" w:eastAsia="宋体" w:cs="Times New Roman"/>
          <w:sz w:val="24"/>
          <w:szCs w:val="24"/>
          <w:highlight w:val="none"/>
        </w:rPr>
        <w:t>1.</w:t>
      </w:r>
      <w:r>
        <w:rPr>
          <w:rFonts w:ascii="宋体" w:hAnsi="宋体" w:eastAsia="宋体" w:cs="Times New Roman"/>
          <w:sz w:val="24"/>
          <w:szCs w:val="24"/>
          <w:highlight w:val="none"/>
        </w:rPr>
        <w:t>时间：202</w:t>
      </w:r>
      <w:r>
        <w:rPr>
          <w:rFonts w:hint="eastAsia" w:ascii="宋体" w:hAnsi="宋体" w:eastAsia="宋体" w:cs="Times New Roman"/>
          <w:sz w:val="24"/>
          <w:szCs w:val="24"/>
          <w:highlight w:val="none"/>
          <w:lang w:val="en-US" w:eastAsia="zh-CN"/>
        </w:rPr>
        <w:t>5</w:t>
      </w:r>
      <w:r>
        <w:rPr>
          <w:rFonts w:ascii="宋体" w:hAnsi="宋体" w:eastAsia="宋体" w:cs="Times New Roman"/>
          <w:sz w:val="24"/>
          <w:szCs w:val="24"/>
          <w:highlight w:val="none"/>
        </w:rPr>
        <w:t>年</w:t>
      </w:r>
      <w:r>
        <w:rPr>
          <w:rFonts w:hint="eastAsia" w:ascii="宋体" w:hAnsi="宋体" w:eastAsia="宋体" w:cs="Times New Roman"/>
          <w:sz w:val="24"/>
          <w:szCs w:val="24"/>
          <w:highlight w:val="none"/>
          <w:lang w:val="en-US" w:eastAsia="zh-CN"/>
        </w:rPr>
        <w:t>07</w:t>
      </w:r>
      <w:r>
        <w:rPr>
          <w:rFonts w:ascii="宋体" w:hAnsi="宋体" w:eastAsia="宋体" w:cs="Times New Roman"/>
          <w:sz w:val="24"/>
          <w:szCs w:val="24"/>
          <w:highlight w:val="none"/>
        </w:rPr>
        <w:t>月</w:t>
      </w:r>
      <w:r>
        <w:rPr>
          <w:rFonts w:hint="eastAsia" w:ascii="宋体" w:hAnsi="宋体" w:eastAsia="宋体" w:cs="Times New Roman"/>
          <w:sz w:val="24"/>
          <w:szCs w:val="24"/>
          <w:highlight w:val="none"/>
          <w:lang w:val="en-US" w:eastAsia="zh-CN"/>
        </w:rPr>
        <w:t>28</w:t>
      </w:r>
      <w:r>
        <w:rPr>
          <w:rFonts w:ascii="宋体" w:hAnsi="宋体" w:eastAsia="宋体" w:cs="Times New Roman"/>
          <w:sz w:val="24"/>
          <w:szCs w:val="24"/>
          <w:highlight w:val="none"/>
        </w:rPr>
        <w:t>日</w:t>
      </w:r>
      <w:r>
        <w:rPr>
          <w:rFonts w:hint="eastAsia" w:ascii="宋体" w:hAnsi="宋体" w:eastAsia="宋体" w:cs="Times New Roman"/>
          <w:sz w:val="24"/>
          <w:szCs w:val="24"/>
          <w:highlight w:val="none"/>
          <w:lang w:val="en-US" w:eastAsia="zh-CN"/>
        </w:rPr>
        <w:t>8</w:t>
      </w:r>
      <w:r>
        <w:rPr>
          <w:rFonts w:hint="eastAsia" w:ascii="宋体" w:hAnsi="宋体" w:eastAsia="宋体" w:cs="Times New Roman"/>
          <w:sz w:val="24"/>
          <w:szCs w:val="24"/>
          <w:highlight w:val="none"/>
        </w:rPr>
        <w:t>时</w:t>
      </w:r>
      <w:r>
        <w:rPr>
          <w:rFonts w:hint="eastAsia" w:ascii="宋体" w:hAnsi="宋体" w:eastAsia="宋体" w:cs="Times New Roman"/>
          <w:sz w:val="24"/>
          <w:szCs w:val="24"/>
          <w:highlight w:val="none"/>
          <w:lang w:val="en-US" w:eastAsia="zh-CN"/>
        </w:rPr>
        <w:t>3</w:t>
      </w:r>
      <w:r>
        <w:rPr>
          <w:rFonts w:hint="eastAsia" w:ascii="宋体" w:hAnsi="宋体" w:eastAsia="宋体" w:cs="Times New Roman"/>
          <w:sz w:val="24"/>
          <w:szCs w:val="24"/>
          <w:highlight w:val="none"/>
        </w:rPr>
        <w:t>0分</w:t>
      </w:r>
      <w:r>
        <w:rPr>
          <w:rFonts w:ascii="宋体" w:hAnsi="宋体" w:eastAsia="宋体" w:cs="Times New Roman"/>
          <w:sz w:val="24"/>
          <w:szCs w:val="24"/>
          <w:highlight w:val="none"/>
        </w:rPr>
        <w:t>（北京时间）</w:t>
      </w:r>
    </w:p>
    <w:p w14:paraId="1DBAA64A">
      <w:pPr>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cs="Times New Roman"/>
          <w:sz w:val="24"/>
          <w:szCs w:val="24"/>
        </w:rPr>
        <w:t>地点：</w:t>
      </w:r>
      <w:r>
        <w:rPr>
          <w:rFonts w:hint="eastAsia" w:ascii="宋体" w:hAnsi="宋体" w:eastAsia="宋体" w:cs="Times New Roman"/>
          <w:sz w:val="24"/>
          <w:szCs w:val="24"/>
        </w:rPr>
        <w:t>三门峡市陕州区公共资源交易中心开标区</w:t>
      </w:r>
    </w:p>
    <w:p w14:paraId="5BE8F408">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六、发布公告的媒介</w:t>
      </w:r>
      <w:r>
        <w:rPr>
          <w:rFonts w:hint="eastAsia" w:ascii="宋体" w:hAnsi="宋体" w:eastAsia="宋体" w:cs="Times New Roman"/>
          <w:sz w:val="24"/>
          <w:szCs w:val="24"/>
        </w:rPr>
        <w:t>及</w:t>
      </w:r>
      <w:r>
        <w:rPr>
          <w:rFonts w:ascii="宋体" w:hAnsi="宋体" w:eastAsia="宋体" w:cs="Times New Roman"/>
          <w:sz w:val="24"/>
          <w:szCs w:val="24"/>
        </w:rPr>
        <w:t>公告期限</w:t>
      </w:r>
    </w:p>
    <w:p w14:paraId="30E17B14">
      <w:pPr>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本次公告在《河南省政府采购网》、《中国采购与招标网》、《三门峡市公共资源交易中心网》上发布。</w:t>
      </w:r>
    </w:p>
    <w:p w14:paraId="3B0F025B">
      <w:pPr>
        <w:spacing w:line="360" w:lineRule="auto"/>
        <w:ind w:firstLine="484" w:firstLineChars="202"/>
        <w:rPr>
          <w:rFonts w:ascii="宋体" w:hAnsi="宋体" w:eastAsia="宋体" w:cs="Times New Roman"/>
          <w:sz w:val="24"/>
          <w:szCs w:val="24"/>
        </w:rPr>
      </w:pPr>
      <w:r>
        <w:rPr>
          <w:rFonts w:ascii="宋体" w:hAnsi="宋体" w:eastAsia="宋体" w:cs="Times New Roman"/>
          <w:sz w:val="24"/>
          <w:szCs w:val="24"/>
        </w:rPr>
        <w:t>七、其他补充事宜</w:t>
      </w:r>
    </w:p>
    <w:p w14:paraId="7514EEB4">
      <w:pPr>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本项目实行资格后审，根据优化营商环境的要求，评标时审查内容以投标文件为准：</w:t>
      </w:r>
    </w:p>
    <w:p w14:paraId="3F018D63">
      <w:pPr>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1、资格评（预）审部分：资格评（预）审以投标文件为准，其上传资料真实性由投标人自行承担。</w:t>
      </w:r>
    </w:p>
    <w:p w14:paraId="726BB987">
      <w:pPr>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2、评标打分部分：评标打分部分仍按照100分制原则进行，涉及到资格审查、企业荣誉、人员业绩、企业业绩等计分部分时，以投标单位自行上传到投标文件中的相应内容为准。</w:t>
      </w:r>
    </w:p>
    <w:p w14:paraId="1F8A71E8">
      <w:pPr>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3、投标文件编制部分：在招标文件中要求投标人按照投标文件格式进行投标文件编制，在投标文件编制时，应明确将投标单位企业基本情况、资质情况、人员情况、财务情况、业绩情况编入投标文件，便于进行资格审查及评标打分。</w:t>
      </w:r>
    </w:p>
    <w:p w14:paraId="67DEBF41">
      <w:pPr>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4、我单位（采购人）严格按三财购【2021】9号文要求的时限发布中标结果公告，发出中标通知书，签订采购合同，上传采购合同。</w:t>
      </w:r>
    </w:p>
    <w:p w14:paraId="1B6F0F69">
      <w:pPr>
        <w:spacing w:line="360" w:lineRule="auto"/>
        <w:ind w:firstLine="484" w:firstLineChars="202"/>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5、监督单位：三门峡市陕州区财政局政府采购监督管理科</w:t>
      </w:r>
    </w:p>
    <w:p w14:paraId="0F665D13">
      <w:pPr>
        <w:spacing w:line="360" w:lineRule="auto"/>
        <w:ind w:firstLine="484" w:firstLineChars="202"/>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联系电话：0398-3839210</w:t>
      </w:r>
    </w:p>
    <w:p w14:paraId="212E4007">
      <w:pPr>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八、凡对本次招标提出询问，请按照以下方式联系</w:t>
      </w:r>
    </w:p>
    <w:p w14:paraId="09545B8F">
      <w:pPr>
        <w:spacing w:line="360" w:lineRule="auto"/>
        <w:ind w:firstLine="566" w:firstLineChars="236"/>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w:t>
      </w:r>
      <w:r>
        <w:rPr>
          <w:rFonts w:hint="eastAsia" w:ascii="宋体" w:hAnsi="宋体" w:eastAsia="宋体" w:cs="Times New Roman"/>
          <w:sz w:val="24"/>
          <w:szCs w:val="24"/>
        </w:rPr>
        <w:t>.采购人</w:t>
      </w:r>
      <w:r>
        <w:rPr>
          <w:rFonts w:hint="eastAsia" w:ascii="宋体" w:hAnsi="宋体" w:eastAsia="宋体" w:cs="Times New Roman"/>
          <w:sz w:val="24"/>
          <w:szCs w:val="24"/>
          <w:lang w:val="en-US" w:eastAsia="zh-CN"/>
        </w:rPr>
        <w:t>信息</w:t>
      </w:r>
    </w:p>
    <w:p w14:paraId="42DD6565">
      <w:pPr>
        <w:spacing w:line="360" w:lineRule="auto"/>
        <w:ind w:firstLine="566" w:firstLineChars="236"/>
        <w:jc w:val="left"/>
        <w:rPr>
          <w:rFonts w:ascii="宋体" w:hAnsi="宋体" w:eastAsia="宋体" w:cs="Times New Roman"/>
          <w:sz w:val="24"/>
          <w:szCs w:val="24"/>
        </w:rPr>
      </w:pPr>
      <w:r>
        <w:rPr>
          <w:rFonts w:hint="eastAsia" w:ascii="宋体" w:hAnsi="宋体" w:eastAsia="宋体" w:cs="Times New Roman"/>
          <w:sz w:val="24"/>
          <w:szCs w:val="24"/>
          <w:lang w:val="en-US" w:eastAsia="zh-CN"/>
        </w:rPr>
        <w:t>名称</w:t>
      </w:r>
      <w:r>
        <w:rPr>
          <w:rFonts w:hint="eastAsia" w:ascii="宋体" w:hAnsi="宋体" w:eastAsia="宋体" w:cs="Times New Roman"/>
          <w:sz w:val="24"/>
          <w:szCs w:val="24"/>
        </w:rPr>
        <w:t>：三门峡市陕州区城市管理局</w:t>
      </w:r>
    </w:p>
    <w:p w14:paraId="5C5D5ECC">
      <w:pPr>
        <w:spacing w:line="360" w:lineRule="auto"/>
        <w:ind w:firstLine="566" w:firstLineChars="236"/>
        <w:jc w:val="left"/>
        <w:rPr>
          <w:rFonts w:hint="default" w:ascii="宋体" w:hAnsi="宋体" w:eastAsia="宋体" w:cs="Times New Roman"/>
          <w:sz w:val="24"/>
          <w:szCs w:val="24"/>
          <w:lang w:val="en-US" w:eastAsia="zh-CN"/>
        </w:rPr>
      </w:pPr>
      <w:r>
        <w:rPr>
          <w:rFonts w:hint="eastAsia" w:ascii="宋体" w:hAnsi="宋体" w:eastAsia="宋体" w:cs="Times New Roman"/>
          <w:sz w:val="24"/>
          <w:szCs w:val="24"/>
        </w:rPr>
        <w:t>地址：三门峡市陕州区</w:t>
      </w:r>
      <w:r>
        <w:rPr>
          <w:rFonts w:hint="eastAsia" w:ascii="宋体" w:hAnsi="宋体" w:eastAsia="宋体" w:cs="Times New Roman"/>
          <w:sz w:val="24"/>
          <w:szCs w:val="24"/>
          <w:lang w:val="en-US" w:eastAsia="zh-CN"/>
        </w:rPr>
        <w:t>陕州大道中段</w:t>
      </w:r>
    </w:p>
    <w:p w14:paraId="5CE9691F">
      <w:pPr>
        <w:spacing w:line="360" w:lineRule="auto"/>
        <w:ind w:firstLine="566" w:firstLineChars="236"/>
        <w:jc w:val="left"/>
        <w:rPr>
          <w:rFonts w:hint="default" w:ascii="宋体" w:hAnsi="宋体" w:eastAsia="宋体" w:cs="Times New Roman"/>
          <w:sz w:val="24"/>
          <w:szCs w:val="24"/>
          <w:lang w:val="en-US" w:eastAsia="zh-CN"/>
        </w:rPr>
      </w:pPr>
      <w:r>
        <w:rPr>
          <w:rFonts w:hint="eastAsia" w:ascii="宋体" w:hAnsi="宋体" w:eastAsia="宋体" w:cs="Times New Roman"/>
          <w:sz w:val="24"/>
          <w:szCs w:val="24"/>
        </w:rPr>
        <w:t>联系人</w:t>
      </w:r>
      <w:r>
        <w:rPr>
          <w:rFonts w:ascii="宋体" w:hAnsi="宋体" w:eastAsia="宋体" w:cs="Times New Roman"/>
          <w:sz w:val="24"/>
          <w:szCs w:val="24"/>
        </w:rPr>
        <w:t>：</w:t>
      </w:r>
      <w:r>
        <w:rPr>
          <w:rFonts w:hint="eastAsia" w:ascii="宋体" w:hAnsi="宋体" w:eastAsia="宋体" w:cs="宋体"/>
          <w:bCs/>
          <w:kern w:val="0"/>
          <w:sz w:val="24"/>
          <w:lang w:val="en-US" w:eastAsia="zh-CN"/>
        </w:rPr>
        <w:t>王女士</w:t>
      </w:r>
    </w:p>
    <w:p w14:paraId="1C1C223C">
      <w:pPr>
        <w:spacing w:line="360" w:lineRule="auto"/>
        <w:ind w:firstLine="566" w:firstLineChars="236"/>
        <w:jc w:val="left"/>
        <w:rPr>
          <w:rFonts w:ascii="宋体" w:hAnsi="宋体" w:eastAsia="宋体" w:cs="Times New Roman"/>
          <w:sz w:val="24"/>
          <w:szCs w:val="24"/>
        </w:rPr>
      </w:pPr>
      <w:r>
        <w:rPr>
          <w:rFonts w:hint="eastAsia" w:ascii="宋体" w:hAnsi="宋体" w:eastAsia="宋体" w:cs="Times New Roman"/>
          <w:sz w:val="24"/>
          <w:szCs w:val="24"/>
        </w:rPr>
        <w:t>联系方式</w:t>
      </w:r>
      <w:r>
        <w:rPr>
          <w:rFonts w:ascii="宋体" w:hAnsi="宋体" w:eastAsia="宋体" w:cs="Times New Roman"/>
          <w:sz w:val="24"/>
          <w:szCs w:val="24"/>
        </w:rPr>
        <w:t>：</w:t>
      </w:r>
      <w:r>
        <w:rPr>
          <w:rFonts w:hint="eastAsia" w:ascii="宋体" w:hAnsi="宋体" w:eastAsia="宋体" w:cs="Times New Roman"/>
          <w:kern w:val="0"/>
          <w:sz w:val="24"/>
          <w:shd w:val="clear" w:color="auto" w:fill="FFFFFF"/>
          <w:lang w:val="en-US" w:eastAsia="zh-CN"/>
        </w:rPr>
        <w:t>13525220069</w:t>
      </w:r>
    </w:p>
    <w:p w14:paraId="260F8CAC">
      <w:pPr>
        <w:spacing w:line="360" w:lineRule="auto"/>
        <w:ind w:firstLine="566" w:firstLineChars="236"/>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w:t>
      </w:r>
      <w:r>
        <w:rPr>
          <w:rFonts w:hint="eastAsia" w:ascii="宋体" w:hAnsi="宋体" w:eastAsia="宋体" w:cs="Times New Roman"/>
          <w:sz w:val="24"/>
          <w:szCs w:val="24"/>
        </w:rPr>
        <w:t>.采购</w:t>
      </w:r>
      <w:r>
        <w:rPr>
          <w:rFonts w:ascii="宋体" w:hAnsi="宋体" w:eastAsia="宋体" w:cs="Times New Roman"/>
          <w:sz w:val="24"/>
          <w:szCs w:val="24"/>
        </w:rPr>
        <w:t>代理机构</w:t>
      </w:r>
      <w:r>
        <w:rPr>
          <w:rFonts w:hint="eastAsia" w:ascii="宋体" w:hAnsi="宋体" w:eastAsia="宋体" w:cs="Times New Roman"/>
          <w:sz w:val="24"/>
          <w:szCs w:val="24"/>
          <w:lang w:val="en-US" w:eastAsia="zh-CN"/>
        </w:rPr>
        <w:t>信息</w:t>
      </w:r>
    </w:p>
    <w:p w14:paraId="60DAD2E2">
      <w:pPr>
        <w:spacing w:line="360" w:lineRule="auto"/>
        <w:ind w:firstLine="566" w:firstLineChars="236"/>
        <w:jc w:val="left"/>
        <w:rPr>
          <w:rFonts w:hint="eastAsia" w:ascii="宋体" w:hAnsi="宋体" w:eastAsia="宋体" w:cs="Times New Roman"/>
          <w:sz w:val="24"/>
          <w:szCs w:val="24"/>
          <w:lang w:eastAsia="zh-CN"/>
        </w:rPr>
      </w:pPr>
      <w:r>
        <w:rPr>
          <w:rFonts w:hint="eastAsia" w:ascii="宋体" w:hAnsi="宋体" w:eastAsia="宋体" w:cs="Times New Roman"/>
          <w:sz w:val="24"/>
          <w:szCs w:val="24"/>
          <w:lang w:val="en-US" w:eastAsia="zh-CN"/>
        </w:rPr>
        <w:t>名称</w:t>
      </w:r>
      <w:r>
        <w:rPr>
          <w:rFonts w:ascii="宋体" w:hAnsi="宋体" w:eastAsia="宋体" w:cs="Times New Roman"/>
          <w:sz w:val="24"/>
          <w:szCs w:val="24"/>
        </w:rPr>
        <w:t>：</w:t>
      </w:r>
      <w:r>
        <w:rPr>
          <w:rFonts w:hint="eastAsia" w:ascii="宋体" w:hAnsi="宋体" w:eastAsia="宋体" w:cs="Times New Roman"/>
          <w:sz w:val="24"/>
          <w:szCs w:val="24"/>
          <w:lang w:eastAsia="zh-CN"/>
        </w:rPr>
        <w:t>正为技术有限公司</w:t>
      </w:r>
    </w:p>
    <w:p w14:paraId="3EFAB40C">
      <w:pPr>
        <w:spacing w:line="360" w:lineRule="auto"/>
        <w:ind w:firstLine="566" w:firstLineChars="236"/>
        <w:jc w:val="left"/>
        <w:rPr>
          <w:rFonts w:hint="default" w:ascii="宋体" w:hAnsi="宋体" w:eastAsia="宋体" w:cs="Times New Roman"/>
          <w:sz w:val="24"/>
          <w:szCs w:val="24"/>
          <w:lang w:val="en-US" w:eastAsia="zh-CN"/>
        </w:rPr>
      </w:pPr>
      <w:r>
        <w:rPr>
          <w:rFonts w:hint="eastAsia" w:ascii="宋体" w:hAnsi="宋体" w:eastAsia="宋体" w:cs="Times New Roman"/>
          <w:sz w:val="24"/>
          <w:szCs w:val="24"/>
        </w:rPr>
        <w:t>地址</w:t>
      </w:r>
      <w:r>
        <w:rPr>
          <w:rFonts w:ascii="宋体" w:hAnsi="宋体" w:eastAsia="宋体" w:cs="Times New Roman"/>
          <w:sz w:val="24"/>
          <w:szCs w:val="24"/>
        </w:rPr>
        <w:t>：</w:t>
      </w:r>
      <w:r>
        <w:rPr>
          <w:rFonts w:hint="eastAsia" w:ascii="宋体" w:hAnsi="宋体" w:eastAsia="宋体" w:cs="Times New Roman"/>
          <w:sz w:val="24"/>
          <w:szCs w:val="24"/>
          <w:lang w:val="en-US" w:eastAsia="zh-CN"/>
        </w:rPr>
        <w:t>河南省郑州市金水区索凌路庙李商务大厦3单元10层1001室</w:t>
      </w:r>
    </w:p>
    <w:p w14:paraId="7949F97D">
      <w:pPr>
        <w:spacing w:line="360" w:lineRule="auto"/>
        <w:ind w:firstLine="566" w:firstLineChars="236"/>
        <w:jc w:val="left"/>
        <w:rPr>
          <w:rFonts w:hint="default" w:ascii="宋体" w:hAnsi="宋体" w:eastAsia="宋体" w:cs="Times New Roman"/>
          <w:sz w:val="24"/>
          <w:szCs w:val="24"/>
          <w:lang w:val="en-US"/>
        </w:rPr>
      </w:pPr>
      <w:r>
        <w:rPr>
          <w:rFonts w:hint="eastAsia" w:ascii="宋体" w:hAnsi="宋体" w:eastAsia="宋体" w:cs="Times New Roman"/>
          <w:sz w:val="24"/>
          <w:szCs w:val="24"/>
        </w:rPr>
        <w:t>联系人</w:t>
      </w:r>
      <w:r>
        <w:rPr>
          <w:rFonts w:ascii="宋体" w:hAnsi="宋体" w:eastAsia="宋体" w:cs="Times New Roman"/>
          <w:sz w:val="24"/>
          <w:szCs w:val="24"/>
        </w:rPr>
        <w:t>：</w:t>
      </w:r>
      <w:r>
        <w:rPr>
          <w:rFonts w:hint="eastAsia" w:ascii="宋体" w:hAnsi="宋体" w:eastAsia="宋体" w:cs="Times New Roman"/>
          <w:sz w:val="24"/>
          <w:szCs w:val="24"/>
          <w:lang w:val="en-US" w:eastAsia="zh-CN"/>
        </w:rPr>
        <w:t>莫先生</w:t>
      </w:r>
    </w:p>
    <w:p w14:paraId="64171AC5">
      <w:pPr>
        <w:spacing w:line="360" w:lineRule="auto"/>
        <w:ind w:firstLine="566" w:firstLineChars="236"/>
        <w:jc w:val="left"/>
        <w:rPr>
          <w:rFonts w:ascii="宋体" w:hAnsi="宋体" w:eastAsia="宋体" w:cs="Times New Roman"/>
          <w:sz w:val="24"/>
          <w:szCs w:val="24"/>
        </w:rPr>
      </w:pPr>
      <w:r>
        <w:rPr>
          <w:rFonts w:hint="eastAsia" w:ascii="宋体" w:hAnsi="宋体" w:eastAsia="宋体" w:cs="Times New Roman"/>
          <w:sz w:val="24"/>
          <w:szCs w:val="24"/>
        </w:rPr>
        <w:t>联系方式</w:t>
      </w:r>
      <w:r>
        <w:rPr>
          <w:rFonts w:ascii="宋体" w:hAnsi="宋体" w:eastAsia="宋体" w:cs="Times New Roman"/>
          <w:sz w:val="24"/>
          <w:szCs w:val="24"/>
        </w:rPr>
        <w:t>：</w:t>
      </w:r>
      <w:r>
        <w:rPr>
          <w:rFonts w:hint="eastAsia" w:ascii="宋体" w:hAnsi="宋体" w:cs="宋体"/>
          <w:bCs/>
          <w:kern w:val="0"/>
          <w:sz w:val="24"/>
        </w:rPr>
        <w:t>1</w:t>
      </w:r>
      <w:r>
        <w:rPr>
          <w:rFonts w:hint="eastAsia" w:ascii="宋体" w:hAnsi="宋体" w:cs="宋体"/>
          <w:bCs/>
          <w:kern w:val="0"/>
          <w:sz w:val="24"/>
          <w:lang w:val="en-US" w:eastAsia="zh-CN"/>
        </w:rPr>
        <w:t>8838113119</w:t>
      </w:r>
    </w:p>
    <w:p w14:paraId="1BF11DC4">
      <w:pPr>
        <w:spacing w:line="360" w:lineRule="auto"/>
        <w:ind w:firstLine="540" w:firstLineChars="225"/>
        <w:rPr>
          <w:rFonts w:ascii="宋体" w:hAnsi="宋体" w:eastAsia="宋体" w:cs="Times New Roman"/>
          <w:sz w:val="24"/>
          <w:szCs w:val="24"/>
        </w:rPr>
      </w:pPr>
      <w:r>
        <w:rPr>
          <w:rFonts w:hint="eastAsia" w:ascii="宋体" w:hAnsi="宋体" w:eastAsia="宋体" w:cs="Times New Roman"/>
          <w:sz w:val="24"/>
          <w:szCs w:val="24"/>
          <w:lang w:val="en-US" w:eastAsia="zh-CN"/>
        </w:rPr>
        <w:t>3</w:t>
      </w:r>
      <w:r>
        <w:rPr>
          <w:rFonts w:hint="eastAsia" w:ascii="宋体" w:hAnsi="宋体" w:eastAsia="宋体" w:cs="Times New Roman"/>
          <w:sz w:val="24"/>
          <w:szCs w:val="24"/>
        </w:rPr>
        <w:t>.项目联系方式</w:t>
      </w:r>
    </w:p>
    <w:p w14:paraId="167007CA">
      <w:pPr>
        <w:spacing w:line="360" w:lineRule="auto"/>
        <w:ind w:firstLine="566" w:firstLineChars="236"/>
        <w:jc w:val="left"/>
        <w:rPr>
          <w:rFonts w:ascii="宋体" w:hAnsi="宋体" w:eastAsia="宋体" w:cs="Times New Roman"/>
          <w:sz w:val="24"/>
          <w:szCs w:val="24"/>
        </w:rPr>
      </w:pPr>
      <w:r>
        <w:rPr>
          <w:rFonts w:hint="eastAsia" w:ascii="宋体" w:hAnsi="宋体" w:eastAsia="宋体" w:cs="Times New Roman"/>
          <w:sz w:val="24"/>
          <w:szCs w:val="24"/>
        </w:rPr>
        <w:t>联系人</w:t>
      </w:r>
      <w:r>
        <w:rPr>
          <w:rFonts w:ascii="宋体" w:hAnsi="宋体" w:eastAsia="宋体" w:cs="Times New Roman"/>
          <w:sz w:val="24"/>
          <w:szCs w:val="24"/>
        </w:rPr>
        <w:t>：</w:t>
      </w:r>
      <w:r>
        <w:rPr>
          <w:rFonts w:hint="eastAsia" w:ascii="宋体" w:hAnsi="宋体" w:eastAsia="宋体" w:cs="宋体"/>
          <w:bCs/>
          <w:kern w:val="0"/>
          <w:sz w:val="24"/>
          <w:lang w:val="en-US" w:eastAsia="zh-CN"/>
        </w:rPr>
        <w:t>王女士</w:t>
      </w:r>
    </w:p>
    <w:p w14:paraId="3B4722F7">
      <w:pPr>
        <w:spacing w:line="360" w:lineRule="auto"/>
        <w:ind w:firstLine="600" w:firstLineChars="250"/>
        <w:rPr>
          <w:rFonts w:ascii="宋体" w:hAnsi="宋体" w:eastAsia="宋体" w:cs="Times New Roman"/>
          <w:b/>
          <w:bCs/>
          <w:kern w:val="0"/>
          <w:sz w:val="32"/>
          <w:szCs w:val="32"/>
          <w:shd w:val="clear" w:color="auto" w:fill="FFFFFF"/>
        </w:rPr>
      </w:pPr>
      <w:r>
        <w:rPr>
          <w:rFonts w:hint="eastAsia" w:ascii="宋体" w:hAnsi="宋体" w:eastAsia="宋体" w:cs="Times New Roman"/>
          <w:sz w:val="24"/>
          <w:szCs w:val="24"/>
        </w:rPr>
        <w:t>联系方式</w:t>
      </w:r>
      <w:r>
        <w:rPr>
          <w:rFonts w:ascii="宋体" w:hAnsi="宋体" w:eastAsia="宋体" w:cs="Times New Roman"/>
          <w:sz w:val="24"/>
          <w:szCs w:val="24"/>
        </w:rPr>
        <w:t>：</w:t>
      </w:r>
      <w:r>
        <w:rPr>
          <w:rFonts w:hint="eastAsia" w:ascii="宋体" w:hAnsi="宋体" w:eastAsia="宋体" w:cs="Times New Roman"/>
          <w:kern w:val="0"/>
          <w:sz w:val="24"/>
          <w:shd w:val="clear" w:color="auto" w:fill="FFFFFF"/>
          <w:lang w:val="en-US" w:eastAsia="zh-CN"/>
        </w:rPr>
        <w:t>13525220069</w:t>
      </w:r>
    </w:p>
    <w:p w14:paraId="7C365A3D">
      <w:pPr>
        <w:autoSpaceDE w:val="0"/>
        <w:autoSpaceDN w:val="0"/>
        <w:adjustRightInd w:val="0"/>
        <w:spacing w:line="360" w:lineRule="auto"/>
        <w:ind w:firstLine="643" w:firstLineChars="200"/>
        <w:jc w:val="center"/>
        <w:rPr>
          <w:rFonts w:ascii="宋体" w:hAnsi="宋体" w:eastAsia="宋体" w:cs="Times New Roman"/>
          <w:b/>
          <w:bCs/>
          <w:kern w:val="0"/>
          <w:sz w:val="32"/>
          <w:szCs w:val="32"/>
          <w:shd w:val="clear" w:color="auto" w:fill="FFFFFF"/>
        </w:rPr>
      </w:pPr>
      <w:r>
        <w:rPr>
          <w:rFonts w:ascii="宋体" w:hAnsi="宋体" w:eastAsia="宋体" w:cs="Times New Roman"/>
          <w:b/>
          <w:bCs/>
          <w:kern w:val="0"/>
          <w:sz w:val="32"/>
          <w:szCs w:val="32"/>
          <w:shd w:val="clear" w:color="auto" w:fill="FFFFFF"/>
        </w:rPr>
        <w:br w:type="page"/>
      </w:r>
      <w:r>
        <w:rPr>
          <w:rFonts w:hint="eastAsia" w:ascii="宋体" w:hAnsi="宋体" w:eastAsia="宋体" w:cs="Times New Roman"/>
          <w:b/>
          <w:bCs/>
          <w:kern w:val="0"/>
          <w:sz w:val="32"/>
          <w:szCs w:val="32"/>
          <w:shd w:val="clear" w:color="auto" w:fill="FFFFFF"/>
        </w:rPr>
        <w:t>第二章 磋商响应供应商须知及前附表</w:t>
      </w:r>
    </w:p>
    <w:p w14:paraId="586F747D">
      <w:pPr>
        <w:autoSpaceDE w:val="0"/>
        <w:autoSpaceDN w:val="0"/>
        <w:adjustRightInd w:val="0"/>
        <w:spacing w:line="360" w:lineRule="auto"/>
        <w:jc w:val="center"/>
        <w:rPr>
          <w:rFonts w:ascii="宋体" w:hAnsi="宋体" w:eastAsia="宋体" w:cs="Times New Roman"/>
          <w:szCs w:val="21"/>
        </w:rPr>
      </w:pPr>
      <w:r>
        <w:rPr>
          <w:rFonts w:hint="eastAsia" w:ascii="宋体" w:hAnsi="宋体" w:eastAsia="宋体" w:cs="Times New Roman"/>
          <w:b/>
          <w:bCs/>
          <w:kern w:val="0"/>
          <w:sz w:val="24"/>
          <w:szCs w:val="24"/>
        </w:rPr>
        <w:t>磋商响应供应商须知前附表</w:t>
      </w:r>
    </w:p>
    <w:tbl>
      <w:tblPr>
        <w:tblStyle w:val="21"/>
        <w:tblW w:w="9584" w:type="dxa"/>
        <w:jc w:val="center"/>
        <w:tblLayout w:type="fixed"/>
        <w:tblCellMar>
          <w:top w:w="0" w:type="dxa"/>
          <w:left w:w="108" w:type="dxa"/>
          <w:bottom w:w="0" w:type="dxa"/>
          <w:right w:w="108" w:type="dxa"/>
        </w:tblCellMar>
      </w:tblPr>
      <w:tblGrid>
        <w:gridCol w:w="1101"/>
        <w:gridCol w:w="1701"/>
        <w:gridCol w:w="6782"/>
      </w:tblGrid>
      <w:tr w14:paraId="5A964FB9">
        <w:tblPrEx>
          <w:tblCellMar>
            <w:top w:w="0" w:type="dxa"/>
            <w:left w:w="108" w:type="dxa"/>
            <w:bottom w:w="0" w:type="dxa"/>
            <w:right w:w="108" w:type="dxa"/>
          </w:tblCellMar>
        </w:tblPrEx>
        <w:trPr>
          <w:trHeight w:val="462"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294AB376">
            <w:pPr>
              <w:spacing w:line="460" w:lineRule="exact"/>
              <w:jc w:val="center"/>
              <w:rPr>
                <w:rFonts w:ascii="宋体" w:hAnsi="宋体" w:eastAsia="宋体" w:cs="Times New Roman"/>
                <w:b/>
                <w:bCs/>
                <w:sz w:val="24"/>
                <w:szCs w:val="24"/>
              </w:rPr>
            </w:pPr>
            <w:r>
              <w:rPr>
                <w:rFonts w:hint="eastAsia" w:ascii="宋体" w:hAnsi="宋体" w:eastAsia="宋体" w:cs="Times New Roman"/>
                <w:b/>
                <w:bCs/>
                <w:sz w:val="24"/>
                <w:szCs w:val="24"/>
              </w:rPr>
              <w:t>条款号</w:t>
            </w:r>
          </w:p>
        </w:tc>
        <w:tc>
          <w:tcPr>
            <w:tcW w:w="1701" w:type="dxa"/>
            <w:tcBorders>
              <w:top w:val="single" w:color="auto" w:sz="4" w:space="0"/>
              <w:left w:val="nil"/>
              <w:bottom w:val="single" w:color="auto" w:sz="4" w:space="0"/>
              <w:right w:val="single" w:color="auto" w:sz="4" w:space="0"/>
            </w:tcBorders>
            <w:noWrap/>
            <w:vAlign w:val="center"/>
          </w:tcPr>
          <w:p w14:paraId="526F7349">
            <w:pPr>
              <w:spacing w:line="460" w:lineRule="exact"/>
              <w:jc w:val="center"/>
              <w:rPr>
                <w:rFonts w:ascii="宋体" w:hAnsi="宋体" w:eastAsia="宋体" w:cs="Times New Roman"/>
                <w:b/>
                <w:bCs/>
                <w:sz w:val="24"/>
                <w:szCs w:val="24"/>
              </w:rPr>
            </w:pPr>
            <w:r>
              <w:rPr>
                <w:rFonts w:hint="eastAsia" w:ascii="宋体" w:hAnsi="宋体" w:eastAsia="宋体" w:cs="Times New Roman"/>
                <w:b/>
                <w:bCs/>
                <w:sz w:val="24"/>
                <w:szCs w:val="24"/>
              </w:rPr>
              <w:t>条款名称</w:t>
            </w:r>
          </w:p>
        </w:tc>
        <w:tc>
          <w:tcPr>
            <w:tcW w:w="6782" w:type="dxa"/>
            <w:tcBorders>
              <w:top w:val="single" w:color="auto" w:sz="4" w:space="0"/>
              <w:left w:val="nil"/>
              <w:bottom w:val="single" w:color="auto" w:sz="4" w:space="0"/>
              <w:right w:val="single" w:color="auto" w:sz="4" w:space="0"/>
            </w:tcBorders>
            <w:noWrap/>
            <w:vAlign w:val="center"/>
          </w:tcPr>
          <w:p w14:paraId="5BD97ECE">
            <w:pPr>
              <w:spacing w:line="460" w:lineRule="exact"/>
              <w:jc w:val="center"/>
              <w:rPr>
                <w:rFonts w:ascii="宋体" w:hAnsi="宋体" w:eastAsia="宋体" w:cs="Times New Roman"/>
                <w:b/>
                <w:bCs/>
                <w:sz w:val="24"/>
                <w:szCs w:val="24"/>
              </w:rPr>
            </w:pPr>
            <w:r>
              <w:rPr>
                <w:rFonts w:hint="eastAsia" w:ascii="宋体" w:hAnsi="宋体" w:eastAsia="宋体" w:cs="Times New Roman"/>
                <w:b/>
                <w:bCs/>
                <w:sz w:val="24"/>
                <w:szCs w:val="24"/>
              </w:rPr>
              <w:t>编列内容</w:t>
            </w:r>
          </w:p>
        </w:tc>
      </w:tr>
      <w:tr w14:paraId="23E5E201">
        <w:tblPrEx>
          <w:tblCellMar>
            <w:top w:w="0" w:type="dxa"/>
            <w:left w:w="108" w:type="dxa"/>
            <w:bottom w:w="0" w:type="dxa"/>
            <w:right w:w="108" w:type="dxa"/>
          </w:tblCellMar>
        </w:tblPrEx>
        <w:trPr>
          <w:trHeight w:val="546" w:hRule="atLeast"/>
          <w:jc w:val="center"/>
        </w:trPr>
        <w:tc>
          <w:tcPr>
            <w:tcW w:w="1101" w:type="dxa"/>
            <w:vMerge w:val="restart"/>
            <w:tcBorders>
              <w:top w:val="nil"/>
              <w:left w:val="single" w:color="auto" w:sz="4" w:space="0"/>
              <w:bottom w:val="single" w:color="auto" w:sz="4" w:space="0"/>
              <w:right w:val="single" w:color="auto" w:sz="4" w:space="0"/>
            </w:tcBorders>
            <w:noWrap/>
            <w:vAlign w:val="center"/>
          </w:tcPr>
          <w:p w14:paraId="0952BA5A">
            <w:pPr>
              <w:spacing w:line="460" w:lineRule="exact"/>
              <w:jc w:val="center"/>
              <w:rPr>
                <w:rFonts w:ascii="宋体" w:hAnsi="宋体" w:eastAsia="宋体" w:cs="Times New Roman"/>
                <w:sz w:val="24"/>
                <w:szCs w:val="24"/>
              </w:rPr>
            </w:pPr>
            <w:r>
              <w:rPr>
                <w:rFonts w:ascii="宋体" w:hAnsi="宋体" w:eastAsia="宋体" w:cs="Times New Roman"/>
                <w:sz w:val="24"/>
                <w:szCs w:val="24"/>
              </w:rPr>
              <w:t>1.1</w:t>
            </w:r>
          </w:p>
        </w:tc>
        <w:tc>
          <w:tcPr>
            <w:tcW w:w="1701" w:type="dxa"/>
            <w:vMerge w:val="restart"/>
            <w:tcBorders>
              <w:top w:val="nil"/>
              <w:left w:val="nil"/>
              <w:bottom w:val="single" w:color="auto" w:sz="4" w:space="0"/>
              <w:right w:val="single" w:color="auto" w:sz="4" w:space="0"/>
            </w:tcBorders>
            <w:noWrap/>
            <w:vAlign w:val="center"/>
          </w:tcPr>
          <w:p w14:paraId="1FF52900">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采购人</w:t>
            </w:r>
          </w:p>
        </w:tc>
        <w:tc>
          <w:tcPr>
            <w:tcW w:w="6782" w:type="dxa"/>
            <w:tcBorders>
              <w:top w:val="single" w:color="auto" w:sz="4" w:space="0"/>
              <w:left w:val="nil"/>
              <w:bottom w:val="single" w:color="auto" w:sz="4" w:space="0"/>
              <w:right w:val="single" w:color="auto" w:sz="4" w:space="0"/>
            </w:tcBorders>
            <w:noWrap/>
            <w:vAlign w:val="center"/>
          </w:tcPr>
          <w:p w14:paraId="234D1BA0">
            <w:pPr>
              <w:spacing w:line="460" w:lineRule="exact"/>
              <w:rPr>
                <w:rFonts w:ascii="宋体" w:hAnsi="宋体" w:eastAsia="宋体" w:cs="宋体"/>
                <w:kern w:val="0"/>
                <w:sz w:val="24"/>
                <w:szCs w:val="24"/>
              </w:rPr>
            </w:pPr>
            <w:r>
              <w:rPr>
                <w:rFonts w:hint="eastAsia" w:ascii="宋体" w:hAnsi="宋体" w:eastAsia="宋体" w:cs="宋体"/>
                <w:kern w:val="0"/>
                <w:sz w:val="24"/>
                <w:szCs w:val="24"/>
              </w:rPr>
              <w:t>名称：</w:t>
            </w:r>
            <w:r>
              <w:rPr>
                <w:rFonts w:hint="eastAsia" w:ascii="宋体" w:hAnsi="宋体" w:eastAsia="宋体" w:cs="Times New Roman"/>
                <w:sz w:val="24"/>
                <w:szCs w:val="24"/>
              </w:rPr>
              <w:t>三门峡市陕州区城市管理局</w:t>
            </w:r>
          </w:p>
        </w:tc>
      </w:tr>
      <w:tr w14:paraId="1A068465">
        <w:tblPrEx>
          <w:tblCellMar>
            <w:top w:w="0" w:type="dxa"/>
            <w:left w:w="108" w:type="dxa"/>
            <w:bottom w:w="0" w:type="dxa"/>
            <w:right w:w="108" w:type="dxa"/>
          </w:tblCellMar>
        </w:tblPrEx>
        <w:trPr>
          <w:trHeight w:val="456" w:hRule="atLeast"/>
          <w:jc w:val="center"/>
        </w:trPr>
        <w:tc>
          <w:tcPr>
            <w:tcW w:w="1101" w:type="dxa"/>
            <w:vMerge w:val="continue"/>
            <w:tcBorders>
              <w:left w:val="single" w:color="auto" w:sz="4" w:space="0"/>
              <w:right w:val="single" w:color="auto" w:sz="4" w:space="0"/>
            </w:tcBorders>
            <w:noWrap/>
            <w:vAlign w:val="center"/>
          </w:tcPr>
          <w:p w14:paraId="4F4FE8D4">
            <w:pPr>
              <w:spacing w:line="460" w:lineRule="exact"/>
              <w:jc w:val="center"/>
              <w:rPr>
                <w:rFonts w:ascii="宋体" w:hAnsi="宋体" w:eastAsia="宋体" w:cs="Times New Roman"/>
                <w:sz w:val="24"/>
                <w:szCs w:val="24"/>
              </w:rPr>
            </w:pPr>
          </w:p>
        </w:tc>
        <w:tc>
          <w:tcPr>
            <w:tcW w:w="1701" w:type="dxa"/>
            <w:vMerge w:val="continue"/>
            <w:tcBorders>
              <w:left w:val="nil"/>
              <w:right w:val="single" w:color="auto" w:sz="4" w:space="0"/>
            </w:tcBorders>
            <w:noWrap/>
            <w:vAlign w:val="center"/>
          </w:tcPr>
          <w:p w14:paraId="551D5BAF">
            <w:pPr>
              <w:spacing w:line="460" w:lineRule="exact"/>
              <w:jc w:val="center"/>
              <w:rPr>
                <w:rFonts w:ascii="宋体" w:hAnsi="宋体" w:eastAsia="宋体" w:cs="Times New Roman"/>
                <w:sz w:val="24"/>
                <w:szCs w:val="24"/>
              </w:rPr>
            </w:pPr>
          </w:p>
        </w:tc>
        <w:tc>
          <w:tcPr>
            <w:tcW w:w="6782" w:type="dxa"/>
            <w:tcBorders>
              <w:top w:val="single" w:color="auto" w:sz="4" w:space="0"/>
              <w:left w:val="nil"/>
              <w:bottom w:val="single" w:color="auto" w:sz="4" w:space="0"/>
              <w:right w:val="single" w:color="auto" w:sz="4" w:space="0"/>
            </w:tcBorders>
            <w:noWrap/>
            <w:vAlign w:val="center"/>
          </w:tcPr>
          <w:p w14:paraId="489EE54C">
            <w:pPr>
              <w:spacing w:line="460" w:lineRule="exact"/>
              <w:rPr>
                <w:rFonts w:ascii="宋体" w:hAnsi="宋体" w:eastAsia="宋体" w:cs="宋体"/>
                <w:kern w:val="0"/>
                <w:sz w:val="24"/>
                <w:szCs w:val="24"/>
              </w:rPr>
            </w:pPr>
            <w:r>
              <w:rPr>
                <w:rFonts w:hint="eastAsia" w:ascii="宋体" w:hAnsi="宋体" w:eastAsia="宋体" w:cs="宋体"/>
                <w:kern w:val="0"/>
                <w:sz w:val="24"/>
                <w:szCs w:val="24"/>
              </w:rPr>
              <w:t>地址：</w:t>
            </w:r>
            <w:r>
              <w:rPr>
                <w:rFonts w:hint="eastAsia" w:ascii="宋体" w:hAnsi="宋体" w:eastAsia="宋体" w:cs="Times New Roman"/>
                <w:sz w:val="24"/>
                <w:szCs w:val="24"/>
              </w:rPr>
              <w:t>三门峡市陕州区</w:t>
            </w:r>
            <w:r>
              <w:rPr>
                <w:rFonts w:hint="eastAsia" w:ascii="宋体" w:hAnsi="宋体" w:eastAsia="宋体" w:cs="Times New Roman"/>
                <w:sz w:val="24"/>
                <w:szCs w:val="24"/>
                <w:lang w:val="en-US" w:eastAsia="zh-CN"/>
              </w:rPr>
              <w:t>陕州大道中段</w:t>
            </w:r>
          </w:p>
        </w:tc>
      </w:tr>
      <w:tr w14:paraId="076AD86C">
        <w:tblPrEx>
          <w:tblCellMar>
            <w:top w:w="0" w:type="dxa"/>
            <w:left w:w="108" w:type="dxa"/>
            <w:bottom w:w="0" w:type="dxa"/>
            <w:right w:w="108" w:type="dxa"/>
          </w:tblCellMar>
        </w:tblPrEx>
        <w:trPr>
          <w:trHeight w:val="520" w:hRule="atLeast"/>
          <w:jc w:val="center"/>
        </w:trPr>
        <w:tc>
          <w:tcPr>
            <w:tcW w:w="1101" w:type="dxa"/>
            <w:vMerge w:val="continue"/>
            <w:tcBorders>
              <w:top w:val="nil"/>
              <w:left w:val="single" w:color="auto" w:sz="4" w:space="0"/>
              <w:bottom w:val="single" w:color="auto" w:sz="4" w:space="0"/>
              <w:right w:val="single" w:color="auto" w:sz="4" w:space="0"/>
            </w:tcBorders>
            <w:noWrap/>
            <w:vAlign w:val="center"/>
          </w:tcPr>
          <w:p w14:paraId="5E80885A">
            <w:pPr>
              <w:widowControl/>
              <w:spacing w:line="460" w:lineRule="exact"/>
              <w:jc w:val="left"/>
              <w:rPr>
                <w:rFonts w:ascii="宋体" w:hAnsi="宋体" w:eastAsia="宋体" w:cs="Times New Roman"/>
                <w:sz w:val="24"/>
                <w:szCs w:val="24"/>
              </w:rPr>
            </w:pPr>
            <w:r>
              <w:rPr>
                <w:rFonts w:hint="eastAsia" w:ascii="宋体" w:hAnsi="宋体" w:eastAsia="宋体" w:cs="Times New Roman"/>
                <w:sz w:val="24"/>
                <w:szCs w:val="24"/>
              </w:rPr>
              <w:t>\</w:t>
            </w:r>
          </w:p>
          <w:p w14:paraId="4356A5C2">
            <w:pPr>
              <w:widowControl/>
              <w:spacing w:line="460" w:lineRule="exact"/>
              <w:jc w:val="left"/>
              <w:rPr>
                <w:rFonts w:ascii="宋体" w:hAnsi="宋体" w:eastAsia="宋体" w:cs="Times New Roman"/>
                <w:sz w:val="24"/>
                <w:szCs w:val="24"/>
              </w:rPr>
            </w:pPr>
            <w:r>
              <w:rPr>
                <w:rFonts w:hint="eastAsia" w:ascii="宋体" w:hAnsi="宋体" w:eastAsia="宋体" w:cs="Times New Roman"/>
                <w:sz w:val="24"/>
                <w:szCs w:val="24"/>
              </w:rPr>
              <w:t>\</w:t>
            </w:r>
          </w:p>
        </w:tc>
        <w:tc>
          <w:tcPr>
            <w:tcW w:w="1701" w:type="dxa"/>
            <w:vMerge w:val="continue"/>
            <w:tcBorders>
              <w:top w:val="nil"/>
              <w:left w:val="nil"/>
              <w:bottom w:val="single" w:color="auto" w:sz="4" w:space="0"/>
              <w:right w:val="single" w:color="auto" w:sz="4" w:space="0"/>
            </w:tcBorders>
            <w:noWrap/>
            <w:vAlign w:val="center"/>
          </w:tcPr>
          <w:p w14:paraId="0FE4C3F3">
            <w:pPr>
              <w:widowControl/>
              <w:spacing w:line="460" w:lineRule="exact"/>
              <w:jc w:val="left"/>
              <w:rPr>
                <w:rFonts w:ascii="宋体" w:hAnsi="宋体" w:eastAsia="宋体" w:cs="Times New Roman"/>
                <w:sz w:val="24"/>
                <w:szCs w:val="24"/>
              </w:rPr>
            </w:pPr>
          </w:p>
        </w:tc>
        <w:tc>
          <w:tcPr>
            <w:tcW w:w="6782" w:type="dxa"/>
            <w:tcBorders>
              <w:top w:val="single" w:color="auto" w:sz="4" w:space="0"/>
              <w:left w:val="nil"/>
              <w:bottom w:val="single" w:color="auto" w:sz="4" w:space="0"/>
              <w:right w:val="single" w:color="auto" w:sz="4" w:space="0"/>
            </w:tcBorders>
            <w:noWrap/>
            <w:vAlign w:val="center"/>
          </w:tcPr>
          <w:p w14:paraId="7FA53A88">
            <w:pPr>
              <w:spacing w:line="460" w:lineRule="exact"/>
              <w:rPr>
                <w:rFonts w:ascii="宋体" w:hAnsi="宋体" w:eastAsia="宋体" w:cs="宋体"/>
                <w:sz w:val="24"/>
                <w:szCs w:val="24"/>
              </w:rPr>
            </w:pPr>
            <w:r>
              <w:rPr>
                <w:rFonts w:hint="eastAsia" w:ascii="宋体" w:hAnsi="宋体" w:eastAsia="宋体" w:cs="Times New Roman"/>
                <w:sz w:val="24"/>
                <w:szCs w:val="24"/>
              </w:rPr>
              <w:t>联系人（电话）：</w:t>
            </w:r>
            <w:r>
              <w:rPr>
                <w:rFonts w:ascii="宋体" w:hAnsi="宋体" w:eastAsia="宋体" w:cs="宋体"/>
                <w:sz w:val="24"/>
                <w:szCs w:val="24"/>
              </w:rPr>
              <w:t xml:space="preserve"> </w:t>
            </w:r>
            <w:r>
              <w:rPr>
                <w:rFonts w:hint="eastAsia" w:ascii="宋体" w:hAnsi="宋体" w:eastAsia="宋体" w:cs="宋体"/>
                <w:bCs/>
                <w:kern w:val="0"/>
                <w:sz w:val="24"/>
                <w:lang w:val="en-US" w:eastAsia="zh-CN"/>
              </w:rPr>
              <w:t>王女士</w:t>
            </w:r>
            <w:r>
              <w:rPr>
                <w:rFonts w:hint="eastAsia" w:ascii="宋体" w:hAnsi="宋体" w:eastAsia="宋体" w:cs="宋体"/>
                <w:sz w:val="24"/>
                <w:szCs w:val="24"/>
              </w:rPr>
              <w:t>（</w:t>
            </w:r>
            <w:r>
              <w:rPr>
                <w:rFonts w:hint="eastAsia" w:ascii="宋体" w:hAnsi="宋体" w:eastAsia="宋体" w:cs="Times New Roman"/>
                <w:kern w:val="0"/>
                <w:sz w:val="24"/>
                <w:shd w:val="clear" w:color="auto" w:fill="FFFFFF"/>
                <w:lang w:val="en-US" w:eastAsia="zh-CN"/>
              </w:rPr>
              <w:t>13525220069</w:t>
            </w:r>
            <w:r>
              <w:rPr>
                <w:rFonts w:hint="eastAsia" w:ascii="宋体" w:hAnsi="宋体" w:eastAsia="宋体" w:cs="宋体"/>
                <w:sz w:val="24"/>
                <w:szCs w:val="24"/>
              </w:rPr>
              <w:t>）</w:t>
            </w:r>
          </w:p>
        </w:tc>
      </w:tr>
      <w:tr w14:paraId="06B8FC9A">
        <w:tblPrEx>
          <w:tblCellMar>
            <w:top w:w="0" w:type="dxa"/>
            <w:left w:w="108" w:type="dxa"/>
            <w:bottom w:w="0" w:type="dxa"/>
            <w:right w:w="108" w:type="dxa"/>
          </w:tblCellMar>
        </w:tblPrEx>
        <w:trPr>
          <w:trHeight w:val="579" w:hRule="atLeast"/>
          <w:jc w:val="center"/>
        </w:trPr>
        <w:tc>
          <w:tcPr>
            <w:tcW w:w="1101" w:type="dxa"/>
            <w:vMerge w:val="restart"/>
            <w:tcBorders>
              <w:top w:val="nil"/>
              <w:left w:val="single" w:color="auto" w:sz="4" w:space="0"/>
              <w:bottom w:val="single" w:color="auto" w:sz="4" w:space="0"/>
              <w:right w:val="single" w:color="auto" w:sz="4" w:space="0"/>
            </w:tcBorders>
            <w:noWrap/>
            <w:vAlign w:val="center"/>
          </w:tcPr>
          <w:p w14:paraId="67A28F6D">
            <w:pPr>
              <w:spacing w:line="460" w:lineRule="exact"/>
              <w:jc w:val="center"/>
              <w:rPr>
                <w:rFonts w:ascii="宋体" w:hAnsi="宋体" w:eastAsia="宋体" w:cs="Times New Roman"/>
                <w:sz w:val="24"/>
                <w:szCs w:val="24"/>
              </w:rPr>
            </w:pPr>
            <w:r>
              <w:rPr>
                <w:rFonts w:ascii="宋体" w:hAnsi="宋体" w:eastAsia="宋体" w:cs="Times New Roman"/>
                <w:sz w:val="24"/>
                <w:szCs w:val="24"/>
              </w:rPr>
              <w:t>1.2</w:t>
            </w:r>
          </w:p>
        </w:tc>
        <w:tc>
          <w:tcPr>
            <w:tcW w:w="1701" w:type="dxa"/>
            <w:vMerge w:val="restart"/>
            <w:tcBorders>
              <w:top w:val="nil"/>
              <w:left w:val="nil"/>
              <w:bottom w:val="single" w:color="auto" w:sz="4" w:space="0"/>
              <w:right w:val="single" w:color="auto" w:sz="4" w:space="0"/>
            </w:tcBorders>
            <w:noWrap/>
            <w:vAlign w:val="center"/>
          </w:tcPr>
          <w:p w14:paraId="401A7BC5">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采购代理机构</w:t>
            </w:r>
          </w:p>
        </w:tc>
        <w:tc>
          <w:tcPr>
            <w:tcW w:w="6782" w:type="dxa"/>
            <w:tcBorders>
              <w:top w:val="single" w:color="auto" w:sz="4" w:space="0"/>
              <w:left w:val="nil"/>
              <w:bottom w:val="single" w:color="auto" w:sz="4" w:space="0"/>
              <w:right w:val="single" w:color="auto" w:sz="4" w:space="0"/>
            </w:tcBorders>
            <w:noWrap/>
            <w:vAlign w:val="center"/>
          </w:tcPr>
          <w:p w14:paraId="60CF611C">
            <w:pPr>
              <w:spacing w:line="460" w:lineRule="exact"/>
              <w:rPr>
                <w:rFonts w:hint="eastAsia" w:ascii="宋体" w:hAnsi="宋体" w:eastAsia="宋体" w:cs="Times New Roman"/>
                <w:sz w:val="24"/>
                <w:szCs w:val="24"/>
                <w:lang w:eastAsia="zh-CN"/>
              </w:rPr>
            </w:pPr>
            <w:r>
              <w:rPr>
                <w:rFonts w:hint="eastAsia" w:ascii="宋体" w:hAnsi="宋体" w:eastAsia="宋体" w:cs="Times New Roman"/>
                <w:sz w:val="24"/>
                <w:szCs w:val="24"/>
              </w:rPr>
              <w:t>名称：</w:t>
            </w:r>
            <w:r>
              <w:rPr>
                <w:rFonts w:hint="eastAsia" w:ascii="宋体" w:hAnsi="宋体" w:eastAsia="宋体" w:cs="Times New Roman"/>
                <w:sz w:val="24"/>
                <w:szCs w:val="24"/>
                <w:lang w:eastAsia="zh-CN"/>
              </w:rPr>
              <w:t>正为技术有限公司</w:t>
            </w:r>
          </w:p>
        </w:tc>
      </w:tr>
      <w:tr w14:paraId="372B9C92">
        <w:tblPrEx>
          <w:tblCellMar>
            <w:top w:w="0" w:type="dxa"/>
            <w:left w:w="108" w:type="dxa"/>
            <w:bottom w:w="0" w:type="dxa"/>
            <w:right w:w="108" w:type="dxa"/>
          </w:tblCellMar>
        </w:tblPrEx>
        <w:trPr>
          <w:trHeight w:val="559" w:hRule="atLeast"/>
          <w:jc w:val="center"/>
        </w:trPr>
        <w:tc>
          <w:tcPr>
            <w:tcW w:w="1101" w:type="dxa"/>
            <w:vMerge w:val="continue"/>
            <w:tcBorders>
              <w:top w:val="nil"/>
              <w:left w:val="single" w:color="auto" w:sz="4" w:space="0"/>
              <w:bottom w:val="single" w:color="auto" w:sz="4" w:space="0"/>
              <w:right w:val="single" w:color="auto" w:sz="4" w:space="0"/>
            </w:tcBorders>
            <w:noWrap/>
            <w:vAlign w:val="center"/>
          </w:tcPr>
          <w:p w14:paraId="0A4A14F7">
            <w:pPr>
              <w:widowControl/>
              <w:spacing w:line="460" w:lineRule="exact"/>
              <w:jc w:val="left"/>
              <w:rPr>
                <w:rFonts w:ascii="宋体" w:hAnsi="宋体" w:eastAsia="宋体" w:cs="Times New Roman"/>
                <w:sz w:val="24"/>
                <w:szCs w:val="24"/>
              </w:rPr>
            </w:pPr>
          </w:p>
        </w:tc>
        <w:tc>
          <w:tcPr>
            <w:tcW w:w="1701" w:type="dxa"/>
            <w:vMerge w:val="continue"/>
            <w:tcBorders>
              <w:top w:val="nil"/>
              <w:left w:val="nil"/>
              <w:bottom w:val="single" w:color="auto" w:sz="4" w:space="0"/>
              <w:right w:val="single" w:color="auto" w:sz="4" w:space="0"/>
            </w:tcBorders>
            <w:noWrap/>
            <w:vAlign w:val="center"/>
          </w:tcPr>
          <w:p w14:paraId="3C63BD51">
            <w:pPr>
              <w:widowControl/>
              <w:spacing w:line="460" w:lineRule="exact"/>
              <w:jc w:val="left"/>
              <w:rPr>
                <w:rFonts w:ascii="宋体" w:hAnsi="宋体" w:eastAsia="宋体" w:cs="Times New Roman"/>
                <w:sz w:val="24"/>
                <w:szCs w:val="24"/>
              </w:rPr>
            </w:pPr>
          </w:p>
        </w:tc>
        <w:tc>
          <w:tcPr>
            <w:tcW w:w="6782" w:type="dxa"/>
            <w:tcBorders>
              <w:top w:val="single" w:color="auto" w:sz="4" w:space="0"/>
              <w:left w:val="nil"/>
              <w:bottom w:val="single" w:color="auto" w:sz="4" w:space="0"/>
              <w:right w:val="single" w:color="auto" w:sz="4" w:space="0"/>
            </w:tcBorders>
            <w:noWrap/>
            <w:vAlign w:val="center"/>
          </w:tcPr>
          <w:p w14:paraId="66F112AD">
            <w:pPr>
              <w:spacing w:line="460" w:lineRule="exact"/>
              <w:rPr>
                <w:rFonts w:ascii="宋体" w:hAnsi="宋体" w:eastAsia="宋体" w:cs="Times New Roman"/>
                <w:sz w:val="24"/>
                <w:szCs w:val="24"/>
              </w:rPr>
            </w:pPr>
            <w:r>
              <w:rPr>
                <w:rFonts w:hint="eastAsia" w:ascii="宋体" w:hAnsi="宋体" w:eastAsia="宋体" w:cs="Times New Roman"/>
                <w:sz w:val="24"/>
                <w:szCs w:val="24"/>
              </w:rPr>
              <w:t>地址：</w:t>
            </w:r>
            <w:r>
              <w:rPr>
                <w:rFonts w:hint="eastAsia" w:ascii="宋体" w:hAnsi="宋体" w:eastAsia="宋体" w:cs="Times New Roman"/>
                <w:sz w:val="24"/>
                <w:szCs w:val="24"/>
                <w:lang w:val="en-US" w:eastAsia="zh-CN"/>
              </w:rPr>
              <w:t>河南省郑州市金水区索凌路庙李商务大厦3单元10层1001室</w:t>
            </w:r>
          </w:p>
        </w:tc>
      </w:tr>
      <w:tr w14:paraId="1B22F978">
        <w:tblPrEx>
          <w:tblCellMar>
            <w:top w:w="0" w:type="dxa"/>
            <w:left w:w="108" w:type="dxa"/>
            <w:bottom w:w="0" w:type="dxa"/>
            <w:right w:w="108" w:type="dxa"/>
          </w:tblCellMar>
        </w:tblPrEx>
        <w:trPr>
          <w:trHeight w:val="553" w:hRule="atLeast"/>
          <w:jc w:val="center"/>
        </w:trPr>
        <w:tc>
          <w:tcPr>
            <w:tcW w:w="1101" w:type="dxa"/>
            <w:vMerge w:val="continue"/>
            <w:tcBorders>
              <w:top w:val="nil"/>
              <w:left w:val="single" w:color="auto" w:sz="4" w:space="0"/>
              <w:bottom w:val="single" w:color="auto" w:sz="4" w:space="0"/>
              <w:right w:val="single" w:color="auto" w:sz="4" w:space="0"/>
            </w:tcBorders>
            <w:noWrap/>
            <w:vAlign w:val="center"/>
          </w:tcPr>
          <w:p w14:paraId="12F594C1">
            <w:pPr>
              <w:widowControl/>
              <w:spacing w:line="460" w:lineRule="exact"/>
              <w:jc w:val="left"/>
              <w:rPr>
                <w:rFonts w:ascii="宋体" w:hAnsi="宋体" w:eastAsia="宋体" w:cs="Times New Roman"/>
                <w:sz w:val="24"/>
                <w:szCs w:val="24"/>
              </w:rPr>
            </w:pPr>
          </w:p>
        </w:tc>
        <w:tc>
          <w:tcPr>
            <w:tcW w:w="1701" w:type="dxa"/>
            <w:vMerge w:val="continue"/>
            <w:tcBorders>
              <w:top w:val="nil"/>
              <w:left w:val="nil"/>
              <w:bottom w:val="single" w:color="auto" w:sz="4" w:space="0"/>
              <w:right w:val="single" w:color="auto" w:sz="4" w:space="0"/>
            </w:tcBorders>
            <w:noWrap/>
            <w:vAlign w:val="center"/>
          </w:tcPr>
          <w:p w14:paraId="59D8841B">
            <w:pPr>
              <w:widowControl/>
              <w:spacing w:line="460" w:lineRule="exact"/>
              <w:jc w:val="left"/>
              <w:rPr>
                <w:rFonts w:ascii="宋体" w:hAnsi="宋体" w:eastAsia="宋体" w:cs="Times New Roman"/>
                <w:sz w:val="24"/>
                <w:szCs w:val="24"/>
              </w:rPr>
            </w:pPr>
          </w:p>
        </w:tc>
        <w:tc>
          <w:tcPr>
            <w:tcW w:w="6782" w:type="dxa"/>
            <w:tcBorders>
              <w:top w:val="single" w:color="auto" w:sz="4" w:space="0"/>
              <w:left w:val="nil"/>
              <w:bottom w:val="single" w:color="auto" w:sz="4" w:space="0"/>
              <w:right w:val="single" w:color="auto" w:sz="4" w:space="0"/>
            </w:tcBorders>
            <w:noWrap/>
            <w:vAlign w:val="center"/>
          </w:tcPr>
          <w:p w14:paraId="52F29E6B">
            <w:pPr>
              <w:spacing w:line="460" w:lineRule="exact"/>
              <w:rPr>
                <w:rFonts w:ascii="宋体" w:hAnsi="宋体" w:eastAsia="宋体" w:cs="Times New Roman"/>
                <w:sz w:val="24"/>
                <w:szCs w:val="24"/>
              </w:rPr>
            </w:pPr>
            <w:r>
              <w:rPr>
                <w:rFonts w:hint="eastAsia" w:ascii="宋体" w:hAnsi="宋体" w:eastAsia="宋体" w:cs="Times New Roman"/>
                <w:sz w:val="24"/>
                <w:szCs w:val="24"/>
              </w:rPr>
              <w:t>联系人（电话）：</w:t>
            </w:r>
            <w:r>
              <w:rPr>
                <w:rFonts w:hint="eastAsia" w:ascii="宋体" w:hAnsi="宋体" w:eastAsia="宋体" w:cs="Times New Roman"/>
                <w:sz w:val="24"/>
                <w:szCs w:val="24"/>
                <w:lang w:val="en-US" w:eastAsia="zh-CN"/>
              </w:rPr>
              <w:t>莫先生</w:t>
            </w:r>
            <w:r>
              <w:rPr>
                <w:rFonts w:hint="eastAsia" w:ascii="宋体" w:hAnsi="宋体" w:eastAsia="宋体" w:cs="宋体"/>
                <w:sz w:val="24"/>
                <w:szCs w:val="24"/>
              </w:rPr>
              <w:t>（</w:t>
            </w:r>
            <w:r>
              <w:rPr>
                <w:rFonts w:hint="eastAsia" w:ascii="宋体" w:hAnsi="宋体" w:cs="宋体"/>
                <w:bCs/>
                <w:kern w:val="0"/>
                <w:sz w:val="24"/>
              </w:rPr>
              <w:t>1</w:t>
            </w:r>
            <w:r>
              <w:rPr>
                <w:rFonts w:hint="eastAsia" w:ascii="宋体" w:hAnsi="宋体" w:cs="宋体"/>
                <w:bCs/>
                <w:kern w:val="0"/>
                <w:sz w:val="24"/>
                <w:lang w:val="en-US" w:eastAsia="zh-CN"/>
              </w:rPr>
              <w:t>8838113119</w:t>
            </w:r>
            <w:r>
              <w:rPr>
                <w:rFonts w:hint="eastAsia" w:ascii="宋体" w:hAnsi="宋体" w:eastAsia="宋体" w:cs="宋体"/>
                <w:sz w:val="24"/>
                <w:szCs w:val="24"/>
              </w:rPr>
              <w:t>）</w:t>
            </w:r>
          </w:p>
        </w:tc>
      </w:tr>
      <w:tr w14:paraId="234D3575">
        <w:tblPrEx>
          <w:tblCellMar>
            <w:top w:w="0" w:type="dxa"/>
            <w:left w:w="108" w:type="dxa"/>
            <w:bottom w:w="0" w:type="dxa"/>
            <w:right w:w="108" w:type="dxa"/>
          </w:tblCellMar>
        </w:tblPrEx>
        <w:trPr>
          <w:trHeight w:val="493" w:hRule="atLeast"/>
          <w:jc w:val="center"/>
        </w:trPr>
        <w:tc>
          <w:tcPr>
            <w:tcW w:w="1101" w:type="dxa"/>
            <w:tcBorders>
              <w:top w:val="nil"/>
              <w:left w:val="single" w:color="auto" w:sz="4" w:space="0"/>
              <w:bottom w:val="single" w:color="auto" w:sz="4" w:space="0"/>
              <w:right w:val="single" w:color="auto" w:sz="4" w:space="0"/>
            </w:tcBorders>
            <w:noWrap/>
            <w:vAlign w:val="center"/>
          </w:tcPr>
          <w:p w14:paraId="55CF3183">
            <w:pPr>
              <w:widowControl/>
              <w:spacing w:line="460" w:lineRule="exact"/>
              <w:jc w:val="center"/>
              <w:rPr>
                <w:rFonts w:ascii="宋体" w:hAnsi="宋体" w:eastAsia="宋体" w:cs="Times New Roman"/>
                <w:sz w:val="24"/>
                <w:szCs w:val="24"/>
              </w:rPr>
            </w:pPr>
            <w:r>
              <w:rPr>
                <w:rFonts w:hint="eastAsia" w:ascii="宋体" w:hAnsi="宋体" w:eastAsia="宋体" w:cs="Times New Roman"/>
                <w:sz w:val="24"/>
                <w:szCs w:val="24"/>
              </w:rPr>
              <w:t>1.3</w:t>
            </w:r>
          </w:p>
        </w:tc>
        <w:tc>
          <w:tcPr>
            <w:tcW w:w="1701" w:type="dxa"/>
            <w:tcBorders>
              <w:top w:val="nil"/>
              <w:left w:val="nil"/>
              <w:bottom w:val="single" w:color="auto" w:sz="4" w:space="0"/>
              <w:right w:val="single" w:color="auto" w:sz="4" w:space="0"/>
            </w:tcBorders>
            <w:noWrap/>
            <w:vAlign w:val="center"/>
          </w:tcPr>
          <w:p w14:paraId="771F9B08">
            <w:pPr>
              <w:widowControl/>
              <w:spacing w:line="460" w:lineRule="exact"/>
              <w:jc w:val="center"/>
              <w:rPr>
                <w:rFonts w:ascii="宋体" w:hAnsi="宋体" w:eastAsia="宋体" w:cs="Times New Roman"/>
                <w:sz w:val="24"/>
                <w:szCs w:val="24"/>
              </w:rPr>
            </w:pPr>
            <w:r>
              <w:rPr>
                <w:rFonts w:hint="eastAsia" w:ascii="宋体" w:hAnsi="宋体" w:eastAsia="宋体" w:cs="Times New Roman"/>
                <w:sz w:val="24"/>
                <w:szCs w:val="24"/>
              </w:rPr>
              <w:t>预算</w:t>
            </w:r>
            <w:r>
              <w:rPr>
                <w:rFonts w:ascii="宋体" w:hAnsi="宋体" w:eastAsia="宋体" w:cs="Times New Roman"/>
                <w:sz w:val="24"/>
                <w:szCs w:val="24"/>
              </w:rPr>
              <w:t>金额</w:t>
            </w:r>
          </w:p>
        </w:tc>
        <w:tc>
          <w:tcPr>
            <w:tcW w:w="6782" w:type="dxa"/>
            <w:tcBorders>
              <w:top w:val="single" w:color="auto" w:sz="4" w:space="0"/>
              <w:left w:val="nil"/>
              <w:bottom w:val="single" w:color="auto" w:sz="4" w:space="0"/>
              <w:right w:val="single" w:color="auto" w:sz="4" w:space="0"/>
            </w:tcBorders>
            <w:noWrap/>
            <w:vAlign w:val="center"/>
          </w:tcPr>
          <w:p w14:paraId="4E984CBC">
            <w:pPr>
              <w:spacing w:line="460" w:lineRule="exact"/>
              <w:rPr>
                <w:rFonts w:ascii="宋体" w:hAnsi="宋体" w:eastAsia="宋体" w:cs="Times New Roman"/>
                <w:sz w:val="24"/>
                <w:szCs w:val="24"/>
              </w:rPr>
            </w:pPr>
            <w:r>
              <w:rPr>
                <w:rFonts w:hint="eastAsia" w:ascii="宋体" w:hAnsi="宋体" w:eastAsia="宋体" w:cs="Times New Roman"/>
                <w:sz w:val="24"/>
                <w:szCs w:val="24"/>
                <w:lang w:val="en-US" w:eastAsia="zh-CN"/>
              </w:rPr>
              <w:t>1890000</w:t>
            </w:r>
            <w:r>
              <w:rPr>
                <w:rFonts w:hint="eastAsia" w:ascii="宋体" w:hAnsi="宋体" w:eastAsia="宋体" w:cs="Times New Roman"/>
                <w:sz w:val="24"/>
                <w:szCs w:val="24"/>
              </w:rPr>
              <w:t>元</w:t>
            </w:r>
          </w:p>
        </w:tc>
      </w:tr>
      <w:tr w14:paraId="4C86E7D8">
        <w:tblPrEx>
          <w:tblCellMar>
            <w:top w:w="0" w:type="dxa"/>
            <w:left w:w="108" w:type="dxa"/>
            <w:bottom w:w="0" w:type="dxa"/>
            <w:right w:w="108" w:type="dxa"/>
          </w:tblCellMar>
        </w:tblPrEx>
        <w:trPr>
          <w:trHeight w:val="663"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7667505B">
            <w:pPr>
              <w:spacing w:line="460" w:lineRule="exact"/>
              <w:jc w:val="center"/>
              <w:rPr>
                <w:rFonts w:ascii="宋体" w:hAnsi="宋体" w:eastAsia="宋体" w:cs="Times New Roman"/>
                <w:sz w:val="24"/>
                <w:szCs w:val="24"/>
              </w:rPr>
            </w:pPr>
            <w:r>
              <w:rPr>
                <w:rFonts w:ascii="宋体" w:hAnsi="宋体" w:eastAsia="宋体" w:cs="Times New Roman"/>
                <w:sz w:val="24"/>
                <w:szCs w:val="24"/>
              </w:rPr>
              <w:t>1.4</w:t>
            </w:r>
          </w:p>
        </w:tc>
        <w:tc>
          <w:tcPr>
            <w:tcW w:w="1701" w:type="dxa"/>
            <w:tcBorders>
              <w:top w:val="single" w:color="auto" w:sz="4" w:space="0"/>
              <w:left w:val="nil"/>
              <w:bottom w:val="single" w:color="auto" w:sz="4" w:space="0"/>
              <w:right w:val="single" w:color="auto" w:sz="4" w:space="0"/>
            </w:tcBorders>
            <w:noWrap/>
            <w:vAlign w:val="center"/>
          </w:tcPr>
          <w:p w14:paraId="1C2AD388">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项目名称</w:t>
            </w:r>
          </w:p>
        </w:tc>
        <w:tc>
          <w:tcPr>
            <w:tcW w:w="6782" w:type="dxa"/>
            <w:tcBorders>
              <w:top w:val="single" w:color="auto" w:sz="4" w:space="0"/>
              <w:left w:val="nil"/>
              <w:bottom w:val="single" w:color="auto" w:sz="4" w:space="0"/>
              <w:right w:val="single" w:color="auto" w:sz="4" w:space="0"/>
            </w:tcBorders>
            <w:noWrap/>
            <w:vAlign w:val="center"/>
          </w:tcPr>
          <w:p w14:paraId="4B3A3D18">
            <w:pPr>
              <w:spacing w:line="460" w:lineRule="exact"/>
              <w:rPr>
                <w:rFonts w:ascii="宋体" w:hAnsi="宋体" w:eastAsia="宋体" w:cs="宋体"/>
                <w:sz w:val="24"/>
                <w:szCs w:val="24"/>
              </w:rPr>
            </w:pPr>
            <w:r>
              <w:rPr>
                <w:rFonts w:hint="eastAsia" w:ascii="宋体" w:hAnsi="宋体" w:eastAsia="宋体" w:cs="Times New Roman"/>
                <w:kern w:val="0"/>
                <w:sz w:val="24"/>
                <w:shd w:val="clear" w:color="auto" w:fill="FFFFFF"/>
                <w:lang w:val="en-US" w:eastAsia="zh-CN"/>
              </w:rPr>
              <w:t>三门峡市陕州区城市管理局垃圾一体化综合处理项目渗滤液收集车、压缩式垃圾车、皮卡型工具车采购项目</w:t>
            </w:r>
          </w:p>
        </w:tc>
      </w:tr>
      <w:tr w14:paraId="035371E4">
        <w:tblPrEx>
          <w:tblCellMar>
            <w:top w:w="0" w:type="dxa"/>
            <w:left w:w="108" w:type="dxa"/>
            <w:bottom w:w="0" w:type="dxa"/>
            <w:right w:w="108" w:type="dxa"/>
          </w:tblCellMar>
        </w:tblPrEx>
        <w:trPr>
          <w:trHeight w:val="663"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73F1A6DA">
            <w:pPr>
              <w:spacing w:line="460" w:lineRule="exact"/>
              <w:jc w:val="center"/>
              <w:rPr>
                <w:rFonts w:ascii="宋体" w:hAnsi="宋体" w:eastAsia="宋体" w:cs="Times New Roman"/>
                <w:sz w:val="24"/>
                <w:szCs w:val="24"/>
              </w:rPr>
            </w:pPr>
            <w:r>
              <w:rPr>
                <w:rFonts w:ascii="宋体" w:hAnsi="宋体" w:eastAsia="宋体" w:cs="Times New Roman"/>
                <w:sz w:val="24"/>
                <w:szCs w:val="24"/>
              </w:rPr>
              <w:t>1.5</w:t>
            </w:r>
          </w:p>
        </w:tc>
        <w:tc>
          <w:tcPr>
            <w:tcW w:w="1701" w:type="dxa"/>
            <w:tcBorders>
              <w:top w:val="single" w:color="auto" w:sz="4" w:space="0"/>
              <w:left w:val="nil"/>
              <w:bottom w:val="single" w:color="auto" w:sz="4" w:space="0"/>
              <w:right w:val="single" w:color="auto" w:sz="4" w:space="0"/>
            </w:tcBorders>
            <w:noWrap/>
            <w:vAlign w:val="center"/>
          </w:tcPr>
          <w:p w14:paraId="080997E3">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资金来源及</w:t>
            </w:r>
            <w:r>
              <w:rPr>
                <w:rFonts w:ascii="宋体" w:hAnsi="宋体" w:eastAsia="宋体" w:cs="Times New Roman"/>
                <w:sz w:val="24"/>
                <w:szCs w:val="24"/>
              </w:rPr>
              <w:t>落实情况</w:t>
            </w:r>
          </w:p>
        </w:tc>
        <w:tc>
          <w:tcPr>
            <w:tcW w:w="6782" w:type="dxa"/>
            <w:tcBorders>
              <w:top w:val="single" w:color="auto" w:sz="4" w:space="0"/>
              <w:left w:val="nil"/>
              <w:bottom w:val="single" w:color="auto" w:sz="4" w:space="0"/>
              <w:right w:val="single" w:color="auto" w:sz="4" w:space="0"/>
            </w:tcBorders>
            <w:noWrap/>
            <w:vAlign w:val="center"/>
          </w:tcPr>
          <w:p w14:paraId="260573D4">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财政资金，已落实。</w:t>
            </w:r>
          </w:p>
        </w:tc>
      </w:tr>
      <w:tr w14:paraId="2113FC2A">
        <w:tblPrEx>
          <w:tblCellMar>
            <w:top w:w="0" w:type="dxa"/>
            <w:left w:w="108" w:type="dxa"/>
            <w:bottom w:w="0" w:type="dxa"/>
            <w:right w:w="108" w:type="dxa"/>
          </w:tblCellMar>
        </w:tblPrEx>
        <w:trPr>
          <w:trHeight w:val="548"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23BF3A1C">
            <w:pPr>
              <w:spacing w:line="460" w:lineRule="exact"/>
              <w:jc w:val="center"/>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6</w:t>
            </w:r>
          </w:p>
        </w:tc>
        <w:tc>
          <w:tcPr>
            <w:tcW w:w="1701" w:type="dxa"/>
            <w:tcBorders>
              <w:top w:val="single" w:color="auto" w:sz="4" w:space="0"/>
              <w:left w:val="nil"/>
              <w:bottom w:val="single" w:color="auto" w:sz="4" w:space="0"/>
              <w:right w:val="single" w:color="auto" w:sz="4" w:space="0"/>
            </w:tcBorders>
            <w:noWrap/>
            <w:vAlign w:val="center"/>
          </w:tcPr>
          <w:p w14:paraId="5541EE6D">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交货地点</w:t>
            </w:r>
          </w:p>
        </w:tc>
        <w:tc>
          <w:tcPr>
            <w:tcW w:w="6782" w:type="dxa"/>
            <w:tcBorders>
              <w:top w:val="single" w:color="auto" w:sz="4" w:space="0"/>
              <w:left w:val="nil"/>
              <w:bottom w:val="single" w:color="auto" w:sz="4" w:space="0"/>
              <w:right w:val="single" w:color="auto" w:sz="4" w:space="0"/>
            </w:tcBorders>
            <w:noWrap/>
            <w:vAlign w:val="center"/>
          </w:tcPr>
          <w:p w14:paraId="4860245F">
            <w:pPr>
              <w:spacing w:line="460" w:lineRule="exact"/>
              <w:rPr>
                <w:rFonts w:ascii="宋体" w:hAnsi="宋体" w:eastAsia="宋体" w:cs="Times New Roman"/>
                <w:sz w:val="24"/>
                <w:szCs w:val="24"/>
              </w:rPr>
            </w:pPr>
            <w:r>
              <w:rPr>
                <w:rFonts w:hint="eastAsia" w:ascii="宋体" w:hAnsi="宋体" w:eastAsia="宋体" w:cs="Times New Roman"/>
                <w:sz w:val="24"/>
                <w:szCs w:val="24"/>
              </w:rPr>
              <w:t>采购人指定地点。</w:t>
            </w:r>
          </w:p>
        </w:tc>
      </w:tr>
      <w:tr w14:paraId="4E09E833">
        <w:tblPrEx>
          <w:tblCellMar>
            <w:top w:w="0" w:type="dxa"/>
            <w:left w:w="108" w:type="dxa"/>
            <w:bottom w:w="0" w:type="dxa"/>
            <w:right w:w="108" w:type="dxa"/>
          </w:tblCellMar>
        </w:tblPrEx>
        <w:trPr>
          <w:trHeight w:val="1299" w:hRule="atLeast"/>
          <w:jc w:val="center"/>
        </w:trPr>
        <w:tc>
          <w:tcPr>
            <w:tcW w:w="1101" w:type="dxa"/>
            <w:tcBorders>
              <w:top w:val="nil"/>
              <w:left w:val="single" w:color="auto" w:sz="4" w:space="0"/>
              <w:bottom w:val="single" w:color="auto" w:sz="4" w:space="0"/>
              <w:right w:val="single" w:color="auto" w:sz="4" w:space="0"/>
            </w:tcBorders>
            <w:noWrap/>
            <w:vAlign w:val="center"/>
          </w:tcPr>
          <w:p w14:paraId="6306844F">
            <w:pPr>
              <w:spacing w:line="460" w:lineRule="exact"/>
              <w:jc w:val="center"/>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7</w:t>
            </w:r>
          </w:p>
        </w:tc>
        <w:tc>
          <w:tcPr>
            <w:tcW w:w="1701" w:type="dxa"/>
            <w:tcBorders>
              <w:top w:val="nil"/>
              <w:left w:val="nil"/>
              <w:bottom w:val="single" w:color="auto" w:sz="4" w:space="0"/>
              <w:right w:val="single" w:color="auto" w:sz="4" w:space="0"/>
            </w:tcBorders>
            <w:noWrap/>
            <w:vAlign w:val="center"/>
          </w:tcPr>
          <w:p w14:paraId="3AE1474B">
            <w:pPr>
              <w:keepLines/>
              <w:spacing w:line="4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采购范围</w:t>
            </w:r>
          </w:p>
        </w:tc>
        <w:tc>
          <w:tcPr>
            <w:tcW w:w="6782" w:type="dxa"/>
            <w:tcBorders>
              <w:top w:val="nil"/>
              <w:left w:val="nil"/>
              <w:bottom w:val="single" w:color="auto" w:sz="4" w:space="0"/>
              <w:right w:val="single" w:color="auto" w:sz="4" w:space="0"/>
            </w:tcBorders>
            <w:noWrap/>
            <w:vAlign w:val="center"/>
          </w:tcPr>
          <w:p w14:paraId="187C2D4A">
            <w:pPr>
              <w:spacing w:line="360" w:lineRule="auto"/>
              <w:rPr>
                <w:rFonts w:ascii="宋体" w:hAnsi="宋体" w:eastAsia="宋体" w:cs="Times New Roman"/>
                <w:sz w:val="24"/>
                <w:szCs w:val="21"/>
              </w:rPr>
            </w:pPr>
            <w:r>
              <w:rPr>
                <w:rFonts w:hint="eastAsia" w:ascii="宋体" w:hAnsi="宋体" w:eastAsia="宋体" w:cs="宋体"/>
                <w:sz w:val="24"/>
                <w:szCs w:val="21"/>
                <w:lang w:eastAsia="zh-CN"/>
              </w:rPr>
              <w:t>本项目为三门峡市陕州区城市管理局垃圾一体化综合处理项目渗滤液收集车、压缩式垃圾车、皮卡型工具车采购项目，主要内容是渗滤液收集车、压缩式垃圾车、皮卡型工具车采购及培训、验收、质保期服务、与货物有关的运输和保险及其他伴随服务</w:t>
            </w:r>
            <w:r>
              <w:rPr>
                <w:rFonts w:hint="eastAsia" w:ascii="宋体" w:hAnsi="宋体" w:eastAsia="宋体" w:cs="宋体"/>
                <w:sz w:val="24"/>
                <w:szCs w:val="21"/>
              </w:rPr>
              <w:t>，具体参数</w:t>
            </w:r>
            <w:r>
              <w:rPr>
                <w:rFonts w:hint="eastAsia" w:ascii="宋体" w:hAnsi="宋体" w:eastAsia="宋体" w:cs="Times New Roman"/>
                <w:sz w:val="24"/>
                <w:szCs w:val="21"/>
              </w:rPr>
              <w:t>详见竞争性磋商文件第三章。</w:t>
            </w:r>
          </w:p>
        </w:tc>
      </w:tr>
      <w:tr w14:paraId="062FA184">
        <w:tblPrEx>
          <w:tblCellMar>
            <w:top w:w="0" w:type="dxa"/>
            <w:left w:w="108" w:type="dxa"/>
            <w:bottom w:w="0" w:type="dxa"/>
            <w:right w:w="108" w:type="dxa"/>
          </w:tblCellMar>
        </w:tblPrEx>
        <w:trPr>
          <w:trHeight w:val="526"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1AC59247">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1.8</w:t>
            </w:r>
          </w:p>
        </w:tc>
        <w:tc>
          <w:tcPr>
            <w:tcW w:w="1701" w:type="dxa"/>
            <w:tcBorders>
              <w:top w:val="single" w:color="auto" w:sz="4" w:space="0"/>
              <w:left w:val="nil"/>
              <w:bottom w:val="single" w:color="auto" w:sz="4" w:space="0"/>
              <w:right w:val="single" w:color="auto" w:sz="4" w:space="0"/>
            </w:tcBorders>
            <w:noWrap/>
            <w:vAlign w:val="center"/>
          </w:tcPr>
          <w:p w14:paraId="147F9C62">
            <w:pPr>
              <w:keepLines/>
              <w:spacing w:line="4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交货期</w:t>
            </w:r>
          </w:p>
        </w:tc>
        <w:tc>
          <w:tcPr>
            <w:tcW w:w="6782" w:type="dxa"/>
            <w:tcBorders>
              <w:top w:val="single" w:color="auto" w:sz="4" w:space="0"/>
              <w:left w:val="nil"/>
              <w:bottom w:val="single" w:color="auto" w:sz="4" w:space="0"/>
              <w:right w:val="single" w:color="auto" w:sz="4" w:space="0"/>
            </w:tcBorders>
            <w:noWrap/>
            <w:vAlign w:val="center"/>
          </w:tcPr>
          <w:p w14:paraId="1222138D">
            <w:pPr>
              <w:spacing w:line="460" w:lineRule="exact"/>
              <w:rPr>
                <w:rFonts w:ascii="宋体" w:hAnsi="宋体" w:eastAsia="宋体" w:cs="Times New Roman"/>
                <w:sz w:val="24"/>
                <w:szCs w:val="24"/>
              </w:rPr>
            </w:pPr>
            <w:r>
              <w:rPr>
                <w:rFonts w:hint="eastAsia" w:ascii="宋体" w:hAnsi="宋体" w:eastAsia="宋体" w:cs="Times New Roman"/>
                <w:sz w:val="24"/>
                <w:szCs w:val="28"/>
                <w:lang w:eastAsia="zh-CN"/>
              </w:rPr>
              <w:t>签订合同后30日历天内</w:t>
            </w:r>
            <w:r>
              <w:rPr>
                <w:rFonts w:hint="eastAsia" w:ascii="宋体" w:hAnsi="宋体" w:eastAsia="宋体" w:cs="Times New Roman"/>
                <w:kern w:val="0"/>
                <w:sz w:val="24"/>
                <w:szCs w:val="24"/>
              </w:rPr>
              <w:t>。</w:t>
            </w:r>
          </w:p>
        </w:tc>
      </w:tr>
      <w:tr w14:paraId="67304E38">
        <w:tblPrEx>
          <w:tblCellMar>
            <w:top w:w="0" w:type="dxa"/>
            <w:left w:w="108" w:type="dxa"/>
            <w:bottom w:w="0" w:type="dxa"/>
            <w:right w:w="108" w:type="dxa"/>
          </w:tblCellMar>
        </w:tblPrEx>
        <w:trPr>
          <w:trHeight w:val="435"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21E00036">
            <w:pPr>
              <w:spacing w:line="460" w:lineRule="exact"/>
              <w:jc w:val="center"/>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9</w:t>
            </w:r>
          </w:p>
        </w:tc>
        <w:tc>
          <w:tcPr>
            <w:tcW w:w="1701" w:type="dxa"/>
            <w:tcBorders>
              <w:top w:val="single" w:color="auto" w:sz="4" w:space="0"/>
              <w:left w:val="nil"/>
              <w:bottom w:val="single" w:color="auto" w:sz="4" w:space="0"/>
              <w:right w:val="single" w:color="auto" w:sz="4" w:space="0"/>
            </w:tcBorders>
            <w:noWrap/>
            <w:vAlign w:val="center"/>
          </w:tcPr>
          <w:p w14:paraId="6EEA71AF">
            <w:pPr>
              <w:keepLines/>
              <w:spacing w:line="460" w:lineRule="exact"/>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质保期</w:t>
            </w:r>
          </w:p>
        </w:tc>
        <w:tc>
          <w:tcPr>
            <w:tcW w:w="6782" w:type="dxa"/>
            <w:tcBorders>
              <w:top w:val="single" w:color="auto" w:sz="4" w:space="0"/>
              <w:left w:val="nil"/>
              <w:bottom w:val="single" w:color="auto" w:sz="4" w:space="0"/>
              <w:right w:val="single" w:color="auto" w:sz="4" w:space="0"/>
            </w:tcBorders>
            <w:noWrap/>
            <w:vAlign w:val="center"/>
          </w:tcPr>
          <w:p w14:paraId="466ACEF9">
            <w:pPr>
              <w:spacing w:after="120" w:line="460" w:lineRule="exact"/>
              <w:rPr>
                <w:rFonts w:ascii="宋体" w:hAnsi="宋体" w:eastAsia="宋体" w:cs="Arial Unicode MS"/>
                <w:color w:val="auto"/>
                <w:sz w:val="28"/>
                <w:szCs w:val="28"/>
              </w:rPr>
            </w:pPr>
            <w:r>
              <w:rPr>
                <w:rFonts w:hint="eastAsia" w:ascii="宋体" w:hAnsi="宋体" w:eastAsia="宋体" w:cs="Times New Roman"/>
                <w:color w:val="auto"/>
                <w:sz w:val="24"/>
                <w:szCs w:val="28"/>
                <w:lang w:val="en-US" w:eastAsia="zh-CN"/>
              </w:rPr>
              <w:t>三电（电机、电控、电池）质保期为8年，除三电以外质保期为1年</w:t>
            </w:r>
            <w:r>
              <w:rPr>
                <w:rFonts w:hint="eastAsia" w:ascii="宋体" w:hAnsi="宋体" w:eastAsia="宋体" w:cs="Times New Roman"/>
                <w:color w:val="auto"/>
                <w:kern w:val="0"/>
                <w:sz w:val="24"/>
                <w:szCs w:val="24"/>
              </w:rPr>
              <w:t>。</w:t>
            </w:r>
          </w:p>
        </w:tc>
      </w:tr>
      <w:tr w14:paraId="53F01479">
        <w:tblPrEx>
          <w:tblCellMar>
            <w:top w:w="0" w:type="dxa"/>
            <w:left w:w="108" w:type="dxa"/>
            <w:bottom w:w="0" w:type="dxa"/>
            <w:right w:w="108" w:type="dxa"/>
          </w:tblCellMar>
        </w:tblPrEx>
        <w:trPr>
          <w:trHeight w:val="570"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27422F1D">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2.0</w:t>
            </w:r>
          </w:p>
        </w:tc>
        <w:tc>
          <w:tcPr>
            <w:tcW w:w="1701" w:type="dxa"/>
            <w:tcBorders>
              <w:top w:val="single" w:color="auto" w:sz="4" w:space="0"/>
              <w:left w:val="nil"/>
              <w:bottom w:val="single" w:color="auto" w:sz="4" w:space="0"/>
              <w:right w:val="single" w:color="auto" w:sz="4" w:space="0"/>
            </w:tcBorders>
            <w:noWrap/>
            <w:vAlign w:val="center"/>
          </w:tcPr>
          <w:p w14:paraId="149583B3">
            <w:pPr>
              <w:keepLines/>
              <w:spacing w:line="460" w:lineRule="exact"/>
              <w:jc w:val="center"/>
              <w:rPr>
                <w:rFonts w:ascii="宋体" w:hAnsi="宋体" w:eastAsia="宋体" w:cs="Times New Roman"/>
                <w:sz w:val="24"/>
                <w:szCs w:val="21"/>
              </w:rPr>
            </w:pPr>
            <w:r>
              <w:rPr>
                <w:rFonts w:hint="eastAsia" w:ascii="宋体" w:hAnsi="宋体" w:eastAsia="宋体" w:cs="Times New Roman"/>
                <w:sz w:val="24"/>
                <w:szCs w:val="21"/>
              </w:rPr>
              <w:t>质量要求</w:t>
            </w:r>
          </w:p>
        </w:tc>
        <w:tc>
          <w:tcPr>
            <w:tcW w:w="6782" w:type="dxa"/>
            <w:tcBorders>
              <w:top w:val="single" w:color="auto" w:sz="4" w:space="0"/>
              <w:left w:val="nil"/>
              <w:bottom w:val="single" w:color="auto" w:sz="4" w:space="0"/>
              <w:right w:val="single" w:color="auto" w:sz="4" w:space="0"/>
            </w:tcBorders>
            <w:noWrap/>
            <w:vAlign w:val="center"/>
          </w:tcPr>
          <w:p w14:paraId="607C12A6">
            <w:pPr>
              <w:keepLines/>
              <w:spacing w:line="460" w:lineRule="exact"/>
              <w:jc w:val="left"/>
              <w:rPr>
                <w:rFonts w:ascii="宋体" w:hAnsi="宋体" w:eastAsia="宋体" w:cs="Times New Roman"/>
                <w:sz w:val="24"/>
                <w:szCs w:val="21"/>
              </w:rPr>
            </w:pPr>
            <w:r>
              <w:rPr>
                <w:rFonts w:hint="eastAsia" w:ascii="宋体" w:hAnsi="宋体" w:eastAsia="宋体" w:cs="Times New Roman"/>
                <w:sz w:val="24"/>
                <w:szCs w:val="24"/>
              </w:rPr>
              <w:t>符合国家及行业相关规范和标准</w:t>
            </w:r>
            <w:r>
              <w:rPr>
                <w:rFonts w:hint="eastAsia" w:ascii="宋体" w:hAnsi="宋体" w:eastAsia="宋体" w:cs="宋体"/>
                <w:sz w:val="24"/>
                <w:szCs w:val="21"/>
                <w:shd w:val="clear" w:color="auto" w:fill="FFFFFF"/>
              </w:rPr>
              <w:t>。</w:t>
            </w:r>
          </w:p>
        </w:tc>
      </w:tr>
      <w:tr w14:paraId="075B336C">
        <w:tblPrEx>
          <w:tblCellMar>
            <w:top w:w="0" w:type="dxa"/>
            <w:left w:w="108" w:type="dxa"/>
            <w:bottom w:w="0" w:type="dxa"/>
            <w:right w:w="108" w:type="dxa"/>
          </w:tblCellMar>
        </w:tblPrEx>
        <w:trPr>
          <w:trHeight w:val="90"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057A3C4B">
            <w:pPr>
              <w:spacing w:line="460" w:lineRule="exact"/>
              <w:rPr>
                <w:rFonts w:ascii="宋体" w:hAnsi="宋体" w:eastAsia="宋体" w:cs="Times New Roman"/>
                <w:sz w:val="24"/>
                <w:szCs w:val="24"/>
              </w:rPr>
            </w:pPr>
            <w:r>
              <w:rPr>
                <w:rFonts w:ascii="宋体" w:hAnsi="宋体" w:eastAsia="宋体" w:cs="Times New Roman"/>
                <w:sz w:val="24"/>
                <w:szCs w:val="24"/>
              </w:rPr>
              <w:t xml:space="preserve">  2.</w:t>
            </w:r>
            <w:r>
              <w:rPr>
                <w:rFonts w:hint="eastAsia" w:ascii="宋体" w:hAnsi="宋体" w:eastAsia="宋体" w:cs="Times New Roman"/>
                <w:sz w:val="24"/>
                <w:szCs w:val="24"/>
              </w:rPr>
              <w:t>1</w:t>
            </w:r>
          </w:p>
        </w:tc>
        <w:tc>
          <w:tcPr>
            <w:tcW w:w="1701" w:type="dxa"/>
            <w:tcBorders>
              <w:top w:val="single" w:color="auto" w:sz="4" w:space="0"/>
              <w:left w:val="nil"/>
              <w:bottom w:val="single" w:color="auto" w:sz="4" w:space="0"/>
              <w:right w:val="single" w:color="auto" w:sz="4" w:space="0"/>
            </w:tcBorders>
            <w:noWrap/>
            <w:vAlign w:val="center"/>
          </w:tcPr>
          <w:p w14:paraId="6901C6A0">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磋商响应供应商资格要求</w:t>
            </w:r>
          </w:p>
        </w:tc>
        <w:tc>
          <w:tcPr>
            <w:tcW w:w="6782" w:type="dxa"/>
            <w:tcBorders>
              <w:top w:val="single" w:color="auto" w:sz="4" w:space="0"/>
              <w:left w:val="nil"/>
              <w:bottom w:val="single" w:color="auto" w:sz="4" w:space="0"/>
              <w:right w:val="single" w:color="auto" w:sz="4" w:space="0"/>
            </w:tcBorders>
            <w:noWrap/>
            <w:vAlign w:val="center"/>
          </w:tcPr>
          <w:p w14:paraId="502419FB">
            <w:pPr>
              <w:spacing w:line="360" w:lineRule="auto"/>
              <w:rPr>
                <w:rFonts w:hint="default" w:ascii="宋体" w:hAnsi="宋体" w:eastAsia="宋体" w:cs="宋体"/>
                <w:sz w:val="24"/>
                <w:szCs w:val="21"/>
                <w:lang w:val="en-US" w:eastAsia="zh-CN"/>
              </w:rPr>
            </w:pPr>
            <w:r>
              <w:rPr>
                <w:rFonts w:hint="default" w:ascii="宋体" w:hAnsi="宋体" w:eastAsia="宋体" w:cs="宋体"/>
                <w:sz w:val="24"/>
                <w:szCs w:val="21"/>
                <w:lang w:val="en-US" w:eastAsia="zh-CN"/>
              </w:rPr>
              <w:t>1</w:t>
            </w:r>
            <w:r>
              <w:rPr>
                <w:rFonts w:hint="eastAsia" w:ascii="宋体" w:hAnsi="宋体" w:eastAsia="宋体" w:cs="宋体"/>
                <w:sz w:val="24"/>
                <w:szCs w:val="21"/>
                <w:lang w:val="en-US" w:eastAsia="zh-CN"/>
              </w:rPr>
              <w:t>.</w:t>
            </w:r>
            <w:r>
              <w:rPr>
                <w:rFonts w:hint="default" w:ascii="宋体" w:hAnsi="宋体" w:eastAsia="宋体" w:cs="宋体"/>
                <w:sz w:val="24"/>
                <w:szCs w:val="21"/>
                <w:lang w:val="en-US" w:eastAsia="zh-CN"/>
              </w:rPr>
              <w:t>满足《中华人民共和国政府采购法》第二十二条规定；</w:t>
            </w:r>
          </w:p>
          <w:p w14:paraId="13EAD86F">
            <w:pPr>
              <w:spacing w:line="360" w:lineRule="auto"/>
              <w:rPr>
                <w:rFonts w:hint="default" w:ascii="宋体" w:hAnsi="宋体" w:eastAsia="宋体" w:cs="宋体"/>
                <w:sz w:val="24"/>
                <w:szCs w:val="21"/>
                <w:lang w:val="en-US" w:eastAsia="zh-CN"/>
              </w:rPr>
            </w:pPr>
            <w:r>
              <w:rPr>
                <w:rFonts w:hint="default" w:ascii="宋体" w:hAnsi="宋体" w:eastAsia="宋体" w:cs="宋体"/>
                <w:sz w:val="24"/>
                <w:szCs w:val="21"/>
                <w:lang w:val="en-US" w:eastAsia="zh-CN"/>
              </w:rPr>
              <w:t>2</w:t>
            </w:r>
            <w:r>
              <w:rPr>
                <w:rFonts w:hint="eastAsia" w:ascii="宋体" w:hAnsi="宋体" w:eastAsia="宋体" w:cs="宋体"/>
                <w:sz w:val="24"/>
                <w:szCs w:val="21"/>
                <w:lang w:val="en-US" w:eastAsia="zh-CN"/>
              </w:rPr>
              <w:t>.</w:t>
            </w:r>
            <w:r>
              <w:rPr>
                <w:rFonts w:hint="default" w:ascii="宋体" w:hAnsi="宋体" w:eastAsia="宋体" w:cs="宋体"/>
                <w:sz w:val="24"/>
                <w:szCs w:val="21"/>
                <w:lang w:val="en-US" w:eastAsia="zh-CN"/>
              </w:rPr>
              <w:t>落实政府采购政策满足的资格要求：</w:t>
            </w:r>
            <w:r>
              <w:rPr>
                <w:rFonts w:hint="eastAsia" w:ascii="宋体" w:hAnsi="宋体" w:eastAsia="宋体" w:cs="宋体"/>
                <w:sz w:val="24"/>
                <w:szCs w:val="21"/>
                <w:lang w:val="en-US" w:eastAsia="zh-CN"/>
              </w:rPr>
              <w:t>本项目非专门面向中小微企业采购项目,执行促进中小企业（监狱企业、残疾人福利性企业）发展等政府采购政策。</w:t>
            </w:r>
          </w:p>
          <w:p w14:paraId="608FB7F1">
            <w:pPr>
              <w:spacing w:line="360" w:lineRule="auto"/>
              <w:rPr>
                <w:rFonts w:hint="default" w:ascii="宋体" w:hAnsi="宋体" w:eastAsia="宋体" w:cs="宋体"/>
                <w:sz w:val="24"/>
                <w:szCs w:val="21"/>
                <w:lang w:val="en-US" w:eastAsia="zh-CN"/>
              </w:rPr>
            </w:pPr>
            <w:r>
              <w:rPr>
                <w:rFonts w:hint="default" w:ascii="宋体" w:hAnsi="宋体" w:eastAsia="宋体" w:cs="宋体"/>
                <w:sz w:val="24"/>
                <w:szCs w:val="21"/>
                <w:lang w:val="en-US" w:eastAsia="zh-CN"/>
              </w:rPr>
              <w:t>3</w:t>
            </w:r>
            <w:r>
              <w:rPr>
                <w:rFonts w:hint="eastAsia" w:ascii="宋体" w:hAnsi="宋体" w:eastAsia="宋体" w:cs="宋体"/>
                <w:sz w:val="24"/>
                <w:szCs w:val="21"/>
                <w:lang w:val="en-US" w:eastAsia="zh-CN"/>
              </w:rPr>
              <w:t>.</w:t>
            </w:r>
            <w:r>
              <w:rPr>
                <w:rFonts w:hint="default" w:ascii="宋体" w:hAnsi="宋体" w:eastAsia="宋体" w:cs="宋体"/>
                <w:sz w:val="24"/>
                <w:szCs w:val="21"/>
                <w:lang w:val="en-US" w:eastAsia="zh-CN"/>
              </w:rPr>
              <w:t>本项目的特定资格要求</w:t>
            </w:r>
          </w:p>
          <w:p w14:paraId="76FB55F3">
            <w:pPr>
              <w:spacing w:line="360" w:lineRule="auto"/>
              <w:rPr>
                <w:rFonts w:hint="default" w:ascii="宋体" w:hAnsi="宋体" w:eastAsia="宋体" w:cs="宋体"/>
                <w:sz w:val="24"/>
                <w:szCs w:val="21"/>
                <w:lang w:val="en-US" w:eastAsia="zh-CN"/>
              </w:rPr>
            </w:pPr>
            <w:r>
              <w:rPr>
                <w:rFonts w:hint="default" w:ascii="宋体" w:hAnsi="宋体" w:eastAsia="宋体" w:cs="宋体"/>
                <w:sz w:val="24"/>
                <w:szCs w:val="21"/>
                <w:lang w:val="en-US" w:eastAsia="zh-CN"/>
              </w:rPr>
              <w:t>3.1</w:t>
            </w:r>
            <w:r>
              <w:rPr>
                <w:rFonts w:hint="eastAsia" w:ascii="宋体" w:hAnsi="宋体" w:eastAsia="宋体" w:cs="宋体"/>
                <w:sz w:val="24"/>
                <w:szCs w:val="21"/>
                <w:lang w:val="en-US" w:eastAsia="zh-CN"/>
              </w:rPr>
              <w:t>供应商具有合格有效的营业执照；提供具有履行合同所必需的设备和专业技术能力（自行作出承诺，格式自拟）；</w:t>
            </w:r>
          </w:p>
          <w:p w14:paraId="7399CB83">
            <w:pPr>
              <w:spacing w:line="360" w:lineRule="auto"/>
              <w:rPr>
                <w:rFonts w:hint="default" w:ascii="宋体" w:hAnsi="宋体" w:eastAsia="宋体" w:cs="宋体"/>
                <w:sz w:val="24"/>
                <w:szCs w:val="21"/>
                <w:lang w:val="en-US" w:eastAsia="zh-CN"/>
              </w:rPr>
            </w:pPr>
            <w:r>
              <w:rPr>
                <w:rFonts w:hint="default" w:ascii="宋体" w:hAnsi="宋体" w:eastAsia="宋体" w:cs="宋体"/>
                <w:sz w:val="24"/>
                <w:szCs w:val="21"/>
                <w:lang w:val="en-US" w:eastAsia="zh-CN"/>
              </w:rPr>
              <w:t>3.</w:t>
            </w:r>
            <w:r>
              <w:rPr>
                <w:rFonts w:hint="eastAsia" w:ascii="宋体" w:hAnsi="宋体" w:eastAsia="宋体" w:cs="宋体"/>
                <w:sz w:val="24"/>
                <w:szCs w:val="21"/>
                <w:lang w:val="en-US" w:eastAsia="zh-CN"/>
              </w:rPr>
              <w:t>2供应商出具无行贿记录在中国裁判文书网自行查询或自行承诺（查询对象：企业、法定代表人）及企业自行承诺无商业贿赂和不正当竞争行为；</w:t>
            </w:r>
          </w:p>
          <w:p w14:paraId="79EED9A1">
            <w:pPr>
              <w:spacing w:line="360" w:lineRule="auto"/>
              <w:rPr>
                <w:rFonts w:hint="default" w:ascii="宋体" w:hAnsi="宋体" w:eastAsia="宋体" w:cs="宋体"/>
                <w:sz w:val="24"/>
                <w:szCs w:val="21"/>
                <w:lang w:val="en-US" w:eastAsia="zh-CN"/>
              </w:rPr>
            </w:pPr>
            <w:r>
              <w:rPr>
                <w:rFonts w:hint="default" w:ascii="宋体" w:hAnsi="宋体" w:eastAsia="宋体" w:cs="宋体"/>
                <w:sz w:val="24"/>
                <w:szCs w:val="21"/>
                <w:lang w:val="en-US" w:eastAsia="zh-CN"/>
              </w:rPr>
              <w:t>3.3</w:t>
            </w:r>
            <w:r>
              <w:rPr>
                <w:rFonts w:hint="eastAsia" w:ascii="宋体" w:hAnsi="宋体" w:eastAsia="宋体" w:cs="宋体"/>
                <w:sz w:val="24"/>
                <w:szCs w:val="21"/>
                <w:lang w:val="en-US" w:eastAsia="zh-CN"/>
              </w:rPr>
              <w:t>根据《关于在政府采购活动中查询及使用信用记录有关问题的通知》(财库[2016]125号)和豫财购【2016】15号的规定，企业没有被列入“信用中国”网站的“失信被执行人”、“重大税收违法失信主体”及“中国政府采购网站”的“政府采购严重违法失信行为记录名单”的供应商。【查询渠道：“信用中国”网站（www.creditchina.gov.cn）、中国政府采购网（www.ccgp.gov.cn）】（提供“信用中国”和“中国政府采购网”网站的查询信息截图，查询时间自公告发布之日起)；</w:t>
            </w:r>
          </w:p>
          <w:p w14:paraId="5BB88CD5">
            <w:pPr>
              <w:spacing w:line="360" w:lineRule="auto"/>
              <w:rPr>
                <w:rFonts w:hint="default" w:ascii="宋体" w:hAnsi="宋体" w:eastAsia="宋体" w:cs="宋体"/>
                <w:sz w:val="24"/>
                <w:szCs w:val="21"/>
                <w:lang w:val="en-US" w:eastAsia="zh-CN"/>
              </w:rPr>
            </w:pPr>
            <w:r>
              <w:rPr>
                <w:rFonts w:hint="eastAsia" w:ascii="宋体" w:hAnsi="宋体" w:eastAsia="宋体" w:cs="宋体"/>
                <w:sz w:val="24"/>
                <w:szCs w:val="21"/>
                <w:lang w:val="en-US" w:eastAsia="zh-CN"/>
              </w:rPr>
              <w:t>3.4本项目不接受联合体投标；</w:t>
            </w:r>
          </w:p>
          <w:p w14:paraId="6B9C084E">
            <w:pPr>
              <w:spacing w:line="360" w:lineRule="auto"/>
              <w:rPr>
                <w:rFonts w:hint="default" w:ascii="宋体" w:hAnsi="宋体" w:eastAsia="宋体" w:cs="宋体"/>
                <w:sz w:val="24"/>
                <w:szCs w:val="21"/>
                <w:lang w:val="en-US" w:eastAsia="zh-CN"/>
              </w:rPr>
            </w:pPr>
            <w:r>
              <w:rPr>
                <w:rFonts w:hint="eastAsia" w:ascii="宋体" w:hAnsi="宋体" w:eastAsia="宋体" w:cs="宋体"/>
                <w:sz w:val="24"/>
                <w:szCs w:val="21"/>
                <w:lang w:val="en-US" w:eastAsia="zh-CN"/>
              </w:rPr>
              <w:t>3.5本次磋商实行资格后审；</w:t>
            </w:r>
          </w:p>
        </w:tc>
      </w:tr>
      <w:tr w14:paraId="63845D97">
        <w:tblPrEx>
          <w:tblCellMar>
            <w:top w:w="0" w:type="dxa"/>
            <w:left w:w="108" w:type="dxa"/>
            <w:bottom w:w="0" w:type="dxa"/>
            <w:right w:w="108" w:type="dxa"/>
          </w:tblCellMar>
        </w:tblPrEx>
        <w:trPr>
          <w:trHeight w:val="90"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4F7D6E4E">
            <w:pPr>
              <w:spacing w:line="460" w:lineRule="exact"/>
              <w:jc w:val="center"/>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2.2</w:t>
            </w:r>
          </w:p>
        </w:tc>
        <w:tc>
          <w:tcPr>
            <w:tcW w:w="1701" w:type="dxa"/>
            <w:tcBorders>
              <w:top w:val="single" w:color="auto" w:sz="4" w:space="0"/>
              <w:left w:val="nil"/>
              <w:bottom w:val="single" w:color="auto" w:sz="4" w:space="0"/>
              <w:right w:val="single" w:color="auto" w:sz="4" w:space="0"/>
            </w:tcBorders>
            <w:noWrap/>
            <w:vAlign w:val="center"/>
          </w:tcPr>
          <w:p w14:paraId="18E1164C">
            <w:pPr>
              <w:spacing w:line="460" w:lineRule="exact"/>
              <w:jc w:val="center"/>
              <w:rPr>
                <w:rFonts w:hint="eastAsia" w:ascii="宋体" w:hAnsi="宋体" w:eastAsia="宋体" w:cs="Times New Roman"/>
                <w:sz w:val="24"/>
                <w:szCs w:val="24"/>
              </w:rPr>
            </w:pPr>
            <w:r>
              <w:rPr>
                <w:rFonts w:hint="eastAsia" w:ascii="宋体" w:hAnsi="宋体" w:eastAsia="宋体" w:cs="Times New Roman"/>
                <w:sz w:val="24"/>
                <w:szCs w:val="24"/>
              </w:rPr>
              <w:t>实质性要求和条件</w:t>
            </w:r>
          </w:p>
        </w:tc>
        <w:tc>
          <w:tcPr>
            <w:tcW w:w="6782" w:type="dxa"/>
            <w:tcBorders>
              <w:top w:val="single" w:color="auto" w:sz="4" w:space="0"/>
              <w:left w:val="nil"/>
              <w:bottom w:val="single" w:color="auto" w:sz="4" w:space="0"/>
              <w:right w:val="single" w:color="auto" w:sz="4" w:space="0"/>
            </w:tcBorders>
            <w:noWrap/>
            <w:vAlign w:val="center"/>
          </w:tcPr>
          <w:p w14:paraId="139CBF75">
            <w:pPr>
              <w:spacing w:line="360" w:lineRule="auto"/>
              <w:rPr>
                <w:rFonts w:hint="eastAsia" w:ascii="宋体" w:hAnsi="宋体" w:eastAsia="宋体" w:cs="宋体"/>
                <w:sz w:val="24"/>
                <w:szCs w:val="21"/>
                <w:lang w:val="en-US" w:eastAsia="zh-CN"/>
              </w:rPr>
            </w:pPr>
            <w:r>
              <w:rPr>
                <w:rFonts w:hint="eastAsia" w:ascii="宋体" w:hAnsi="宋体" w:eastAsia="宋体" w:cs="宋体"/>
                <w:sz w:val="24"/>
                <w:szCs w:val="21"/>
                <w:lang w:val="en-US" w:eastAsia="zh-CN"/>
              </w:rPr>
              <w:t>交货期及地点；</w:t>
            </w:r>
          </w:p>
          <w:p w14:paraId="55D46C08">
            <w:pPr>
              <w:spacing w:line="360" w:lineRule="auto"/>
              <w:rPr>
                <w:rFonts w:hint="eastAsia" w:ascii="宋体" w:hAnsi="宋体" w:eastAsia="宋体" w:cs="宋体"/>
                <w:sz w:val="24"/>
                <w:szCs w:val="21"/>
                <w:lang w:val="en-US" w:eastAsia="zh-CN"/>
              </w:rPr>
            </w:pPr>
            <w:r>
              <w:rPr>
                <w:rFonts w:hint="eastAsia" w:ascii="宋体" w:hAnsi="宋体" w:eastAsia="宋体" w:cs="宋体"/>
                <w:sz w:val="24"/>
                <w:szCs w:val="21"/>
                <w:lang w:val="en-US" w:eastAsia="zh-CN"/>
              </w:rPr>
              <w:t>质保期；</w:t>
            </w:r>
          </w:p>
          <w:p w14:paraId="1C46F1AA">
            <w:pPr>
              <w:spacing w:line="360" w:lineRule="auto"/>
              <w:rPr>
                <w:rFonts w:hint="eastAsia" w:ascii="宋体" w:hAnsi="宋体" w:eastAsia="宋体" w:cs="宋体"/>
                <w:sz w:val="24"/>
                <w:szCs w:val="21"/>
                <w:lang w:val="en-US" w:eastAsia="zh-CN"/>
              </w:rPr>
            </w:pPr>
            <w:r>
              <w:rPr>
                <w:rFonts w:hint="eastAsia" w:ascii="宋体" w:hAnsi="宋体" w:eastAsia="宋体" w:cs="宋体"/>
                <w:sz w:val="24"/>
                <w:szCs w:val="21"/>
                <w:lang w:val="en-US" w:eastAsia="zh-CN"/>
              </w:rPr>
              <w:t>质量要求；</w:t>
            </w:r>
          </w:p>
          <w:p w14:paraId="5BFBDC5D">
            <w:pPr>
              <w:spacing w:line="360" w:lineRule="auto"/>
              <w:rPr>
                <w:rFonts w:hint="default" w:ascii="宋体" w:hAnsi="宋体" w:eastAsia="宋体" w:cs="宋体"/>
                <w:sz w:val="24"/>
                <w:szCs w:val="21"/>
                <w:lang w:val="en-US" w:eastAsia="zh-CN"/>
              </w:rPr>
            </w:pPr>
            <w:r>
              <w:rPr>
                <w:rFonts w:hint="default" w:ascii="宋体" w:hAnsi="宋体" w:eastAsia="宋体" w:cs="宋体"/>
                <w:sz w:val="24"/>
                <w:szCs w:val="21"/>
                <w:lang w:val="en-US" w:eastAsia="zh-CN"/>
              </w:rPr>
              <w:t>磋商有效期</w:t>
            </w:r>
            <w:r>
              <w:rPr>
                <w:rFonts w:hint="eastAsia" w:ascii="宋体" w:hAnsi="宋体" w:eastAsia="宋体" w:cs="宋体"/>
                <w:sz w:val="24"/>
                <w:szCs w:val="21"/>
                <w:lang w:val="en-US" w:eastAsia="zh-CN"/>
              </w:rPr>
              <w:t>；</w:t>
            </w:r>
          </w:p>
        </w:tc>
      </w:tr>
      <w:tr w14:paraId="1C43650C">
        <w:tblPrEx>
          <w:tblCellMar>
            <w:top w:w="0" w:type="dxa"/>
            <w:left w:w="108" w:type="dxa"/>
            <w:bottom w:w="0" w:type="dxa"/>
            <w:right w:w="108" w:type="dxa"/>
          </w:tblCellMar>
        </w:tblPrEx>
        <w:trPr>
          <w:trHeight w:val="1121"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7166E38E">
            <w:pPr>
              <w:spacing w:line="460" w:lineRule="exact"/>
              <w:jc w:val="center"/>
              <w:rPr>
                <w:rFonts w:hint="eastAsia" w:ascii="宋体" w:hAnsi="宋体" w:eastAsia="宋体" w:cs="Times New Roman"/>
                <w:sz w:val="24"/>
                <w:szCs w:val="24"/>
                <w:lang w:eastAsia="zh-CN"/>
              </w:rPr>
            </w:pPr>
            <w:r>
              <w:rPr>
                <w:rFonts w:ascii="宋体" w:hAnsi="宋体" w:eastAsia="宋体" w:cs="Times New Roman"/>
                <w:sz w:val="24"/>
                <w:szCs w:val="24"/>
              </w:rPr>
              <w:t>2.</w:t>
            </w:r>
            <w:r>
              <w:rPr>
                <w:rFonts w:hint="eastAsia" w:ascii="宋体" w:hAnsi="宋体" w:eastAsia="宋体" w:cs="Times New Roman"/>
                <w:sz w:val="24"/>
                <w:szCs w:val="24"/>
                <w:lang w:val="en-US" w:eastAsia="zh-CN"/>
              </w:rPr>
              <w:t>3</w:t>
            </w:r>
          </w:p>
        </w:tc>
        <w:tc>
          <w:tcPr>
            <w:tcW w:w="1701" w:type="dxa"/>
            <w:tcBorders>
              <w:top w:val="single" w:color="auto" w:sz="4" w:space="0"/>
              <w:left w:val="nil"/>
              <w:bottom w:val="single" w:color="auto" w:sz="4" w:space="0"/>
              <w:right w:val="single" w:color="auto" w:sz="4" w:space="0"/>
            </w:tcBorders>
            <w:noWrap/>
            <w:vAlign w:val="center"/>
          </w:tcPr>
          <w:p w14:paraId="0709262D">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磋商响应供应商提出问题的截止时间</w:t>
            </w:r>
          </w:p>
        </w:tc>
        <w:tc>
          <w:tcPr>
            <w:tcW w:w="6782" w:type="dxa"/>
            <w:tcBorders>
              <w:top w:val="single" w:color="auto" w:sz="4" w:space="0"/>
              <w:left w:val="nil"/>
              <w:bottom w:val="single" w:color="auto" w:sz="4" w:space="0"/>
              <w:right w:val="single" w:color="auto" w:sz="4" w:space="0"/>
            </w:tcBorders>
            <w:noWrap/>
            <w:vAlign w:val="center"/>
          </w:tcPr>
          <w:p w14:paraId="2BD8CE00">
            <w:pPr>
              <w:spacing w:line="460" w:lineRule="exact"/>
              <w:rPr>
                <w:rFonts w:ascii="宋体" w:hAnsi="宋体" w:eastAsia="宋体" w:cs="Times New Roman"/>
                <w:sz w:val="24"/>
                <w:szCs w:val="24"/>
              </w:rPr>
            </w:pPr>
            <w:r>
              <w:rPr>
                <w:rFonts w:hint="eastAsia" w:ascii="宋体" w:hAnsi="宋体" w:eastAsia="宋体" w:cs="Times New Roman"/>
                <w:sz w:val="24"/>
                <w:szCs w:val="24"/>
              </w:rPr>
              <w:t>递交磋商响应文件截止之日</w:t>
            </w:r>
            <w:r>
              <w:rPr>
                <w:rFonts w:ascii="宋体" w:hAnsi="宋体" w:eastAsia="宋体" w:cs="Times New Roman"/>
                <w:sz w:val="24"/>
                <w:szCs w:val="24"/>
              </w:rPr>
              <w:t>5</w:t>
            </w:r>
            <w:r>
              <w:rPr>
                <w:rFonts w:hint="eastAsia" w:ascii="宋体" w:hAnsi="宋体" w:eastAsia="宋体" w:cs="Times New Roman"/>
                <w:sz w:val="24"/>
                <w:szCs w:val="24"/>
              </w:rPr>
              <w:t>日前</w:t>
            </w:r>
          </w:p>
        </w:tc>
      </w:tr>
      <w:tr w14:paraId="3EE62F57">
        <w:tblPrEx>
          <w:tblCellMar>
            <w:top w:w="0" w:type="dxa"/>
            <w:left w:w="108" w:type="dxa"/>
            <w:bottom w:w="0" w:type="dxa"/>
            <w:right w:w="108" w:type="dxa"/>
          </w:tblCellMar>
        </w:tblPrEx>
        <w:trPr>
          <w:trHeight w:val="90" w:hRule="atLeast"/>
          <w:jc w:val="center"/>
        </w:trPr>
        <w:tc>
          <w:tcPr>
            <w:tcW w:w="1101" w:type="dxa"/>
            <w:tcBorders>
              <w:top w:val="nil"/>
              <w:left w:val="single" w:color="auto" w:sz="4" w:space="0"/>
              <w:bottom w:val="single" w:color="auto" w:sz="4" w:space="0"/>
              <w:right w:val="single" w:color="auto" w:sz="4" w:space="0"/>
            </w:tcBorders>
            <w:noWrap/>
            <w:vAlign w:val="center"/>
          </w:tcPr>
          <w:p w14:paraId="5E590423">
            <w:pPr>
              <w:spacing w:line="460" w:lineRule="exact"/>
              <w:jc w:val="center"/>
              <w:rPr>
                <w:rFonts w:hint="eastAsia" w:ascii="宋体" w:hAnsi="宋体" w:eastAsia="宋体" w:cs="Times New Roman"/>
                <w:sz w:val="24"/>
                <w:szCs w:val="24"/>
                <w:lang w:eastAsia="zh-CN"/>
              </w:rPr>
            </w:pPr>
            <w:r>
              <w:rPr>
                <w:rFonts w:ascii="宋体" w:hAnsi="宋体" w:eastAsia="宋体" w:cs="Times New Roman"/>
                <w:sz w:val="24"/>
                <w:szCs w:val="24"/>
              </w:rPr>
              <w:t>2.</w:t>
            </w:r>
            <w:r>
              <w:rPr>
                <w:rFonts w:hint="eastAsia" w:ascii="宋体" w:hAnsi="宋体" w:eastAsia="宋体" w:cs="Times New Roman"/>
                <w:sz w:val="24"/>
                <w:szCs w:val="24"/>
                <w:lang w:val="en-US" w:eastAsia="zh-CN"/>
              </w:rPr>
              <w:t>4</w:t>
            </w:r>
          </w:p>
        </w:tc>
        <w:tc>
          <w:tcPr>
            <w:tcW w:w="1701" w:type="dxa"/>
            <w:tcBorders>
              <w:top w:val="nil"/>
              <w:left w:val="nil"/>
              <w:bottom w:val="single" w:color="auto" w:sz="4" w:space="0"/>
              <w:right w:val="single" w:color="auto" w:sz="4" w:space="0"/>
            </w:tcBorders>
            <w:noWrap/>
            <w:vAlign w:val="center"/>
          </w:tcPr>
          <w:p w14:paraId="35C0A7BA">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采购人书面</w:t>
            </w:r>
          </w:p>
          <w:p w14:paraId="569269D9">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澄清的时间</w:t>
            </w:r>
          </w:p>
        </w:tc>
        <w:tc>
          <w:tcPr>
            <w:tcW w:w="6782" w:type="dxa"/>
            <w:tcBorders>
              <w:top w:val="nil"/>
              <w:left w:val="nil"/>
              <w:bottom w:val="single" w:color="auto" w:sz="4" w:space="0"/>
              <w:right w:val="single" w:color="auto" w:sz="4" w:space="0"/>
            </w:tcBorders>
            <w:noWrap/>
            <w:vAlign w:val="center"/>
          </w:tcPr>
          <w:p w14:paraId="2F482CCA">
            <w:pPr>
              <w:spacing w:line="460" w:lineRule="exact"/>
              <w:rPr>
                <w:rFonts w:ascii="宋体" w:hAnsi="宋体" w:eastAsia="宋体" w:cs="Times New Roman"/>
                <w:sz w:val="24"/>
                <w:szCs w:val="24"/>
              </w:rPr>
            </w:pPr>
            <w:r>
              <w:rPr>
                <w:rFonts w:hint="eastAsia" w:ascii="宋体" w:hAnsi="宋体" w:eastAsia="宋体" w:cs="Times New Roman"/>
                <w:sz w:val="24"/>
                <w:szCs w:val="24"/>
              </w:rPr>
              <w:t>递交磋商响应文件截止之日</w:t>
            </w:r>
            <w:r>
              <w:rPr>
                <w:rFonts w:ascii="宋体" w:hAnsi="宋体" w:eastAsia="宋体" w:cs="Times New Roman"/>
                <w:sz w:val="24"/>
                <w:szCs w:val="24"/>
              </w:rPr>
              <w:t>5</w:t>
            </w:r>
            <w:r>
              <w:rPr>
                <w:rFonts w:hint="eastAsia" w:ascii="宋体" w:hAnsi="宋体" w:eastAsia="宋体" w:cs="Times New Roman"/>
                <w:sz w:val="24"/>
                <w:szCs w:val="24"/>
              </w:rPr>
              <w:t>日前</w:t>
            </w:r>
          </w:p>
        </w:tc>
      </w:tr>
      <w:tr w14:paraId="571FBB00">
        <w:tblPrEx>
          <w:tblCellMar>
            <w:top w:w="0" w:type="dxa"/>
            <w:left w:w="108" w:type="dxa"/>
            <w:bottom w:w="0" w:type="dxa"/>
            <w:right w:w="108" w:type="dxa"/>
          </w:tblCellMar>
        </w:tblPrEx>
        <w:trPr>
          <w:trHeight w:val="476"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62246CEE">
            <w:pPr>
              <w:spacing w:line="460" w:lineRule="exact"/>
              <w:jc w:val="center"/>
              <w:rPr>
                <w:rFonts w:hint="eastAsia" w:ascii="宋体" w:hAnsi="宋体" w:eastAsia="宋体" w:cs="Times New Roman"/>
                <w:sz w:val="24"/>
                <w:szCs w:val="24"/>
                <w:lang w:eastAsia="zh-CN"/>
              </w:rPr>
            </w:pPr>
            <w:r>
              <w:rPr>
                <w:rFonts w:ascii="宋体" w:hAnsi="宋体" w:eastAsia="宋体" w:cs="Times New Roman"/>
                <w:sz w:val="24"/>
                <w:szCs w:val="24"/>
              </w:rPr>
              <w:t>2.</w:t>
            </w:r>
            <w:r>
              <w:rPr>
                <w:rFonts w:hint="eastAsia" w:ascii="宋体" w:hAnsi="宋体" w:eastAsia="宋体" w:cs="Times New Roman"/>
                <w:sz w:val="24"/>
                <w:szCs w:val="24"/>
                <w:lang w:val="en-US" w:eastAsia="zh-CN"/>
              </w:rPr>
              <w:t>5</w:t>
            </w:r>
          </w:p>
        </w:tc>
        <w:tc>
          <w:tcPr>
            <w:tcW w:w="1701" w:type="dxa"/>
            <w:tcBorders>
              <w:top w:val="single" w:color="auto" w:sz="4" w:space="0"/>
              <w:left w:val="nil"/>
              <w:bottom w:val="single" w:color="auto" w:sz="4" w:space="0"/>
              <w:right w:val="single" w:color="auto" w:sz="4" w:space="0"/>
            </w:tcBorders>
            <w:noWrap/>
            <w:vAlign w:val="center"/>
          </w:tcPr>
          <w:p w14:paraId="12812A0F">
            <w:pPr>
              <w:spacing w:line="460" w:lineRule="exact"/>
              <w:jc w:val="center"/>
              <w:rPr>
                <w:rFonts w:ascii="宋体" w:hAnsi="宋体" w:eastAsia="宋体" w:cs="Times New Roman"/>
                <w:sz w:val="24"/>
                <w:szCs w:val="24"/>
                <w:highlight w:val="none"/>
              </w:rPr>
            </w:pPr>
            <w:r>
              <w:rPr>
                <w:rFonts w:hint="eastAsia" w:ascii="宋体" w:hAnsi="宋体" w:eastAsia="宋体" w:cs="Times New Roman"/>
                <w:sz w:val="24"/>
                <w:szCs w:val="24"/>
                <w:highlight w:val="none"/>
              </w:rPr>
              <w:t>磋商截止时间</w:t>
            </w:r>
          </w:p>
        </w:tc>
        <w:tc>
          <w:tcPr>
            <w:tcW w:w="6782" w:type="dxa"/>
            <w:tcBorders>
              <w:top w:val="single" w:color="auto" w:sz="4" w:space="0"/>
              <w:left w:val="nil"/>
              <w:bottom w:val="single" w:color="auto" w:sz="4" w:space="0"/>
              <w:right w:val="single" w:color="auto" w:sz="4" w:space="0"/>
            </w:tcBorders>
            <w:noWrap/>
            <w:vAlign w:val="center"/>
          </w:tcPr>
          <w:p w14:paraId="4B68357C">
            <w:pPr>
              <w:spacing w:line="460" w:lineRule="exact"/>
              <w:rPr>
                <w:rFonts w:ascii="宋体" w:hAnsi="宋体" w:eastAsia="宋体" w:cs="Times New Roman"/>
                <w:sz w:val="24"/>
                <w:szCs w:val="24"/>
                <w:highlight w:val="none"/>
              </w:rPr>
            </w:pPr>
            <w:r>
              <w:rPr>
                <w:rFonts w:ascii="宋体" w:hAnsi="宋体" w:eastAsia="宋体" w:cs="Times New Roman"/>
                <w:sz w:val="24"/>
                <w:szCs w:val="24"/>
                <w:highlight w:val="none"/>
              </w:rPr>
              <w:t>202</w:t>
            </w:r>
            <w:r>
              <w:rPr>
                <w:rFonts w:hint="eastAsia" w:ascii="宋体" w:hAnsi="宋体" w:eastAsia="宋体" w:cs="Times New Roman"/>
                <w:sz w:val="24"/>
                <w:szCs w:val="24"/>
                <w:highlight w:val="none"/>
                <w:lang w:val="en-US" w:eastAsia="zh-CN"/>
              </w:rPr>
              <w:t>5</w:t>
            </w:r>
            <w:r>
              <w:rPr>
                <w:rFonts w:ascii="宋体" w:hAnsi="宋体" w:eastAsia="宋体" w:cs="Times New Roman"/>
                <w:sz w:val="24"/>
                <w:szCs w:val="24"/>
                <w:highlight w:val="none"/>
              </w:rPr>
              <w:t>年</w:t>
            </w:r>
            <w:r>
              <w:rPr>
                <w:rFonts w:hint="eastAsia" w:ascii="宋体" w:hAnsi="宋体" w:eastAsia="宋体" w:cs="Times New Roman"/>
                <w:sz w:val="24"/>
                <w:szCs w:val="24"/>
                <w:highlight w:val="none"/>
                <w:lang w:val="en-US" w:eastAsia="zh-CN"/>
              </w:rPr>
              <w:t>07</w:t>
            </w:r>
            <w:r>
              <w:rPr>
                <w:rFonts w:ascii="宋体" w:hAnsi="宋体" w:eastAsia="宋体" w:cs="Times New Roman"/>
                <w:sz w:val="24"/>
                <w:szCs w:val="24"/>
                <w:highlight w:val="none"/>
              </w:rPr>
              <w:t>月</w:t>
            </w:r>
            <w:r>
              <w:rPr>
                <w:rFonts w:hint="eastAsia" w:ascii="宋体" w:hAnsi="宋体" w:eastAsia="宋体" w:cs="Times New Roman"/>
                <w:sz w:val="24"/>
                <w:szCs w:val="24"/>
                <w:highlight w:val="none"/>
                <w:lang w:val="en-US" w:eastAsia="zh-CN"/>
              </w:rPr>
              <w:t>28</w:t>
            </w:r>
            <w:r>
              <w:rPr>
                <w:rFonts w:ascii="宋体" w:hAnsi="宋体" w:eastAsia="宋体" w:cs="Times New Roman"/>
                <w:sz w:val="24"/>
                <w:szCs w:val="24"/>
                <w:highlight w:val="none"/>
              </w:rPr>
              <w:t>日</w:t>
            </w:r>
            <w:r>
              <w:rPr>
                <w:rFonts w:hint="eastAsia" w:ascii="宋体" w:hAnsi="宋体" w:eastAsia="宋体" w:cs="Times New Roman"/>
                <w:sz w:val="24"/>
                <w:szCs w:val="24"/>
                <w:highlight w:val="none"/>
                <w:lang w:val="en-US" w:eastAsia="zh-CN"/>
              </w:rPr>
              <w:t>8</w:t>
            </w:r>
            <w:r>
              <w:rPr>
                <w:rFonts w:hint="eastAsia" w:ascii="宋体" w:hAnsi="宋体" w:eastAsia="宋体" w:cs="Times New Roman"/>
                <w:sz w:val="24"/>
                <w:szCs w:val="24"/>
                <w:highlight w:val="none"/>
              </w:rPr>
              <w:t>时</w:t>
            </w:r>
            <w:r>
              <w:rPr>
                <w:rFonts w:hint="eastAsia" w:ascii="宋体" w:hAnsi="宋体" w:eastAsia="宋体" w:cs="Times New Roman"/>
                <w:sz w:val="24"/>
                <w:szCs w:val="24"/>
                <w:highlight w:val="none"/>
                <w:lang w:val="en-US" w:eastAsia="zh-CN"/>
              </w:rPr>
              <w:t>3</w:t>
            </w:r>
            <w:r>
              <w:rPr>
                <w:rFonts w:hint="eastAsia" w:ascii="宋体" w:hAnsi="宋体" w:eastAsia="宋体" w:cs="Times New Roman"/>
                <w:sz w:val="24"/>
                <w:szCs w:val="24"/>
                <w:highlight w:val="none"/>
              </w:rPr>
              <w:t>0分</w:t>
            </w:r>
          </w:p>
        </w:tc>
      </w:tr>
      <w:tr w14:paraId="3A27A1C5">
        <w:tblPrEx>
          <w:tblCellMar>
            <w:top w:w="0" w:type="dxa"/>
            <w:left w:w="108" w:type="dxa"/>
            <w:bottom w:w="0" w:type="dxa"/>
            <w:right w:w="108" w:type="dxa"/>
          </w:tblCellMar>
        </w:tblPrEx>
        <w:trPr>
          <w:trHeight w:val="456"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2A9A2CDD">
            <w:pPr>
              <w:spacing w:line="460" w:lineRule="exact"/>
              <w:jc w:val="center"/>
              <w:rPr>
                <w:rFonts w:hint="eastAsia" w:ascii="宋体" w:hAnsi="宋体" w:eastAsia="宋体" w:cs="Times New Roman"/>
                <w:sz w:val="24"/>
                <w:szCs w:val="24"/>
                <w:lang w:eastAsia="zh-CN"/>
              </w:rPr>
            </w:pPr>
            <w:r>
              <w:rPr>
                <w:rFonts w:ascii="宋体" w:hAnsi="宋体" w:eastAsia="宋体" w:cs="Times New Roman"/>
                <w:sz w:val="24"/>
                <w:szCs w:val="24"/>
              </w:rPr>
              <w:t>2.</w:t>
            </w:r>
            <w:r>
              <w:rPr>
                <w:rFonts w:hint="eastAsia" w:ascii="宋体" w:hAnsi="宋体" w:eastAsia="宋体" w:cs="Times New Roman"/>
                <w:sz w:val="24"/>
                <w:szCs w:val="24"/>
                <w:lang w:val="en-US" w:eastAsia="zh-CN"/>
              </w:rPr>
              <w:t>6</w:t>
            </w:r>
          </w:p>
        </w:tc>
        <w:tc>
          <w:tcPr>
            <w:tcW w:w="1701" w:type="dxa"/>
            <w:tcBorders>
              <w:top w:val="single" w:color="auto" w:sz="4" w:space="0"/>
              <w:left w:val="nil"/>
              <w:bottom w:val="single" w:color="auto" w:sz="4" w:space="0"/>
              <w:right w:val="single" w:color="auto" w:sz="4" w:space="0"/>
            </w:tcBorders>
            <w:noWrap/>
            <w:vAlign w:val="center"/>
          </w:tcPr>
          <w:p w14:paraId="5DB89849">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磋商有效期</w:t>
            </w:r>
          </w:p>
        </w:tc>
        <w:tc>
          <w:tcPr>
            <w:tcW w:w="6782" w:type="dxa"/>
            <w:tcBorders>
              <w:top w:val="single" w:color="auto" w:sz="4" w:space="0"/>
              <w:left w:val="nil"/>
              <w:bottom w:val="single" w:color="auto" w:sz="4" w:space="0"/>
              <w:right w:val="single" w:color="auto" w:sz="4" w:space="0"/>
            </w:tcBorders>
            <w:noWrap/>
            <w:vAlign w:val="center"/>
          </w:tcPr>
          <w:p w14:paraId="0E7EAA3B">
            <w:pPr>
              <w:spacing w:line="460" w:lineRule="exact"/>
              <w:rPr>
                <w:rFonts w:ascii="宋体" w:hAnsi="宋体" w:eastAsia="宋体" w:cs="Times New Roman"/>
                <w:sz w:val="24"/>
                <w:szCs w:val="24"/>
              </w:rPr>
            </w:pPr>
            <w:r>
              <w:rPr>
                <w:rFonts w:hint="eastAsia" w:ascii="宋体" w:hAnsi="宋体" w:eastAsia="宋体" w:cs="宋体"/>
                <w:kern w:val="0"/>
                <w:sz w:val="24"/>
                <w:szCs w:val="24"/>
              </w:rPr>
              <w:t>响应文件递交截止之日起60天</w:t>
            </w:r>
          </w:p>
        </w:tc>
      </w:tr>
      <w:tr w14:paraId="2CFFF3D8">
        <w:tblPrEx>
          <w:tblCellMar>
            <w:top w:w="0" w:type="dxa"/>
            <w:left w:w="108" w:type="dxa"/>
            <w:bottom w:w="0" w:type="dxa"/>
            <w:right w:w="108" w:type="dxa"/>
          </w:tblCellMar>
        </w:tblPrEx>
        <w:trPr>
          <w:trHeight w:val="556"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3889B3EB">
            <w:pPr>
              <w:spacing w:line="460" w:lineRule="exact"/>
              <w:jc w:val="center"/>
              <w:rPr>
                <w:rFonts w:hint="eastAsia" w:ascii="宋体" w:hAnsi="宋体" w:eastAsia="宋体" w:cs="Times New Roman"/>
                <w:sz w:val="24"/>
                <w:szCs w:val="24"/>
                <w:lang w:eastAsia="zh-CN"/>
              </w:rPr>
            </w:pPr>
            <w:r>
              <w:rPr>
                <w:rFonts w:hint="eastAsia" w:ascii="宋体" w:hAnsi="宋体" w:eastAsia="宋体" w:cs="Times New Roman"/>
                <w:sz w:val="24"/>
                <w:szCs w:val="24"/>
              </w:rPr>
              <w:t>2.</w:t>
            </w:r>
            <w:r>
              <w:rPr>
                <w:rFonts w:hint="eastAsia" w:ascii="宋体" w:hAnsi="宋体" w:eastAsia="宋体" w:cs="Times New Roman"/>
                <w:sz w:val="24"/>
                <w:szCs w:val="24"/>
                <w:lang w:val="en-US" w:eastAsia="zh-CN"/>
              </w:rPr>
              <w:t>7</w:t>
            </w:r>
          </w:p>
        </w:tc>
        <w:tc>
          <w:tcPr>
            <w:tcW w:w="1701" w:type="dxa"/>
            <w:tcBorders>
              <w:top w:val="single" w:color="auto" w:sz="4" w:space="0"/>
              <w:left w:val="nil"/>
              <w:bottom w:val="single" w:color="auto" w:sz="4" w:space="0"/>
              <w:right w:val="single" w:color="auto" w:sz="4" w:space="0"/>
            </w:tcBorders>
            <w:noWrap/>
            <w:vAlign w:val="center"/>
          </w:tcPr>
          <w:p w14:paraId="10D2CDEB">
            <w:pPr>
              <w:widowControl/>
              <w:spacing w:line="460" w:lineRule="exact"/>
              <w:jc w:val="center"/>
              <w:rPr>
                <w:rFonts w:ascii="宋体" w:hAnsi="宋体" w:eastAsia="宋体" w:cs="宋体"/>
                <w:kern w:val="0"/>
                <w:sz w:val="24"/>
                <w:szCs w:val="24"/>
              </w:rPr>
            </w:pPr>
            <w:r>
              <w:rPr>
                <w:rFonts w:hint="eastAsia" w:ascii="宋体" w:hAnsi="宋体" w:eastAsia="宋体" w:cs="宋体"/>
                <w:kern w:val="44"/>
                <w:sz w:val="24"/>
                <w:szCs w:val="24"/>
              </w:rPr>
              <w:t>磋商保证金</w:t>
            </w:r>
          </w:p>
        </w:tc>
        <w:tc>
          <w:tcPr>
            <w:tcW w:w="6782" w:type="dxa"/>
            <w:tcBorders>
              <w:top w:val="single" w:color="auto" w:sz="4" w:space="0"/>
              <w:left w:val="nil"/>
              <w:bottom w:val="single" w:color="auto" w:sz="4" w:space="0"/>
              <w:right w:val="single" w:color="auto" w:sz="4" w:space="0"/>
            </w:tcBorders>
            <w:noWrap/>
            <w:vAlign w:val="center"/>
          </w:tcPr>
          <w:p w14:paraId="4E511B49">
            <w:pPr>
              <w:widowControl/>
              <w:spacing w:line="460" w:lineRule="exact"/>
              <w:jc w:val="left"/>
              <w:rPr>
                <w:rFonts w:ascii="宋体" w:hAnsi="宋体" w:eastAsia="宋体" w:cs="宋体"/>
                <w:kern w:val="0"/>
                <w:sz w:val="24"/>
                <w:szCs w:val="24"/>
              </w:rPr>
            </w:pPr>
            <w:r>
              <w:rPr>
                <w:rFonts w:hint="eastAsia" w:ascii="宋体" w:hAnsi="宋体" w:eastAsia="宋体" w:cs="宋体"/>
                <w:kern w:val="0"/>
                <w:sz w:val="24"/>
                <w:szCs w:val="24"/>
              </w:rPr>
              <w:t>按照《河南省财政厅关于优化政府采购营商环境有关问题的通知》（豫财购[2020]4号文）的要求本项目不再收取保证金。</w:t>
            </w:r>
          </w:p>
        </w:tc>
      </w:tr>
      <w:tr w14:paraId="587F3E9A">
        <w:tblPrEx>
          <w:tblCellMar>
            <w:top w:w="0" w:type="dxa"/>
            <w:left w:w="108" w:type="dxa"/>
            <w:bottom w:w="0" w:type="dxa"/>
            <w:right w:w="108" w:type="dxa"/>
          </w:tblCellMar>
        </w:tblPrEx>
        <w:trPr>
          <w:trHeight w:val="1434"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46C39697">
            <w:pPr>
              <w:spacing w:line="460" w:lineRule="exact"/>
              <w:jc w:val="center"/>
              <w:rPr>
                <w:rFonts w:hint="eastAsia" w:ascii="宋体" w:hAnsi="宋体" w:eastAsia="宋体" w:cs="Times New Roman"/>
                <w:sz w:val="24"/>
                <w:szCs w:val="24"/>
                <w:lang w:eastAsia="zh-CN"/>
              </w:rPr>
            </w:pPr>
            <w:r>
              <w:rPr>
                <w:rFonts w:ascii="宋体" w:hAnsi="宋体" w:eastAsia="宋体" w:cs="Times New Roman"/>
                <w:sz w:val="24"/>
                <w:szCs w:val="24"/>
              </w:rPr>
              <w:t>2.</w:t>
            </w:r>
            <w:r>
              <w:rPr>
                <w:rFonts w:hint="eastAsia" w:ascii="宋体" w:hAnsi="宋体" w:eastAsia="宋体" w:cs="Times New Roman"/>
                <w:sz w:val="24"/>
                <w:szCs w:val="24"/>
                <w:lang w:val="en-US" w:eastAsia="zh-CN"/>
              </w:rPr>
              <w:t>8</w:t>
            </w:r>
          </w:p>
        </w:tc>
        <w:tc>
          <w:tcPr>
            <w:tcW w:w="1701" w:type="dxa"/>
            <w:tcBorders>
              <w:top w:val="single" w:color="auto" w:sz="4" w:space="0"/>
              <w:left w:val="nil"/>
              <w:bottom w:val="single" w:color="auto" w:sz="4" w:space="0"/>
              <w:right w:val="single" w:color="auto" w:sz="4" w:space="0"/>
            </w:tcBorders>
            <w:noWrap/>
            <w:vAlign w:val="center"/>
          </w:tcPr>
          <w:p w14:paraId="36272370">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签字或盖章</w:t>
            </w:r>
          </w:p>
          <w:p w14:paraId="7E2A5F11">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要求</w:t>
            </w:r>
          </w:p>
        </w:tc>
        <w:tc>
          <w:tcPr>
            <w:tcW w:w="6782" w:type="dxa"/>
            <w:tcBorders>
              <w:top w:val="single" w:color="auto" w:sz="4" w:space="0"/>
              <w:left w:val="nil"/>
              <w:bottom w:val="single" w:color="auto" w:sz="4" w:space="0"/>
              <w:right w:val="single" w:color="auto" w:sz="4" w:space="0"/>
            </w:tcBorders>
            <w:noWrap/>
            <w:vAlign w:val="center"/>
          </w:tcPr>
          <w:p w14:paraId="5FE30440">
            <w:pPr>
              <w:spacing w:line="460" w:lineRule="exact"/>
              <w:rPr>
                <w:rFonts w:ascii="宋体" w:hAnsi="宋体" w:eastAsia="宋体" w:cs="Times New Roman"/>
                <w:sz w:val="24"/>
                <w:szCs w:val="24"/>
              </w:rPr>
            </w:pPr>
            <w:r>
              <w:rPr>
                <w:rFonts w:hint="eastAsia" w:ascii="宋体" w:hAnsi="宋体" w:eastAsia="宋体" w:cs="Times New Roman"/>
                <w:sz w:val="24"/>
                <w:szCs w:val="24"/>
              </w:rPr>
              <w:t>磋商响应供应商在进行电子化磋商响应文件签章时，竞争性磋商文件中要求磋商响应供应商盖章的，以签盖单位章为准；要求法定代表人签章的，以签盖法定代表人签章为准。</w:t>
            </w:r>
          </w:p>
        </w:tc>
      </w:tr>
      <w:tr w14:paraId="4B123DBB">
        <w:tblPrEx>
          <w:tblCellMar>
            <w:top w:w="0" w:type="dxa"/>
            <w:left w:w="108" w:type="dxa"/>
            <w:bottom w:w="0" w:type="dxa"/>
            <w:right w:w="108" w:type="dxa"/>
          </w:tblCellMar>
        </w:tblPrEx>
        <w:trPr>
          <w:trHeight w:val="523"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28B53539">
            <w:pPr>
              <w:spacing w:line="460" w:lineRule="exact"/>
              <w:jc w:val="center"/>
              <w:rPr>
                <w:rFonts w:hint="eastAsia" w:ascii="宋体" w:hAnsi="宋体" w:eastAsia="宋体" w:cs="Times New Roman"/>
                <w:sz w:val="24"/>
                <w:szCs w:val="24"/>
                <w:lang w:eastAsia="zh-CN"/>
              </w:rPr>
            </w:pPr>
            <w:r>
              <w:rPr>
                <w:rFonts w:ascii="宋体" w:hAnsi="宋体" w:eastAsia="宋体" w:cs="Times New Roman"/>
                <w:sz w:val="24"/>
                <w:szCs w:val="24"/>
              </w:rPr>
              <w:t>2.</w:t>
            </w:r>
            <w:r>
              <w:rPr>
                <w:rFonts w:hint="eastAsia" w:ascii="宋体" w:hAnsi="宋体" w:eastAsia="宋体" w:cs="Times New Roman"/>
                <w:sz w:val="24"/>
                <w:szCs w:val="24"/>
                <w:lang w:val="en-US" w:eastAsia="zh-CN"/>
              </w:rPr>
              <w:t>9</w:t>
            </w:r>
          </w:p>
        </w:tc>
        <w:tc>
          <w:tcPr>
            <w:tcW w:w="1701" w:type="dxa"/>
            <w:tcBorders>
              <w:top w:val="single" w:color="auto" w:sz="4" w:space="0"/>
              <w:left w:val="nil"/>
              <w:bottom w:val="single" w:color="auto" w:sz="4" w:space="0"/>
              <w:right w:val="single" w:color="auto" w:sz="4" w:space="0"/>
            </w:tcBorders>
            <w:noWrap/>
            <w:vAlign w:val="center"/>
          </w:tcPr>
          <w:p w14:paraId="38264A92">
            <w:pPr>
              <w:widowControl/>
              <w:spacing w:line="4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电子化</w:t>
            </w:r>
            <w:r>
              <w:rPr>
                <w:rFonts w:hint="eastAsia" w:ascii="宋体" w:hAnsi="宋体" w:eastAsia="宋体" w:cs="Times New Roman"/>
                <w:sz w:val="24"/>
                <w:szCs w:val="24"/>
              </w:rPr>
              <w:t>磋商</w:t>
            </w:r>
            <w:r>
              <w:rPr>
                <w:rFonts w:hint="eastAsia" w:ascii="宋体" w:hAnsi="宋体" w:eastAsia="宋体" w:cs="Times New Roman"/>
                <w:kern w:val="0"/>
                <w:sz w:val="24"/>
                <w:szCs w:val="24"/>
              </w:rPr>
              <w:t>响应文件的格式及上传</w:t>
            </w:r>
          </w:p>
        </w:tc>
        <w:tc>
          <w:tcPr>
            <w:tcW w:w="6782" w:type="dxa"/>
            <w:tcBorders>
              <w:top w:val="single" w:color="auto" w:sz="4" w:space="0"/>
              <w:left w:val="nil"/>
              <w:bottom w:val="single" w:color="auto" w:sz="4" w:space="0"/>
              <w:right w:val="single" w:color="auto" w:sz="4" w:space="0"/>
            </w:tcBorders>
            <w:noWrap/>
            <w:vAlign w:val="center"/>
          </w:tcPr>
          <w:p w14:paraId="7903E36B">
            <w:pPr>
              <w:widowControl/>
              <w:spacing w:line="46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1、供应商所上传的电子化磋商响应文件，应是通过中心磋商响应文件制作系统制作的（磋商响应文件制作工具下载地址：https://download.bqpoint.com/download/downloaddetail.html?SourceFrom=Ztb&amp;ZtbSoftXiaQuCode=1506&amp;ZtbSoftType=tballinclusive），经过签章和加密后生成的电子版磋商响应文件。其中包含用于磋商响应文件上传的主文件（后缀为.smxtf）和用于应急补救的磋商响应文件备份文件（后缀为.nsmxtf）。</w:t>
            </w:r>
          </w:p>
          <w:p w14:paraId="63C7A318">
            <w:pPr>
              <w:widowControl/>
              <w:spacing w:line="46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2、电子化磋商响应文件应在投标截止时间前成功上传至三门峡市公共资源电子化交易系统。至投标截止时间止，仍未上传成功的电子化磋商响应文件将不予接收。</w:t>
            </w:r>
          </w:p>
          <w:p w14:paraId="0FD71B4C">
            <w:pPr>
              <w:spacing w:line="460" w:lineRule="exact"/>
              <w:rPr>
                <w:rFonts w:ascii="宋体" w:hAnsi="宋体" w:eastAsia="宋体" w:cs="Times New Roman"/>
                <w:kern w:val="0"/>
                <w:sz w:val="24"/>
                <w:szCs w:val="24"/>
              </w:rPr>
            </w:pPr>
            <w:r>
              <w:rPr>
                <w:rFonts w:hint="eastAsia" w:ascii="宋体" w:hAnsi="宋体" w:eastAsia="宋体" w:cs="Times New Roman"/>
                <w:kern w:val="0"/>
                <w:sz w:val="24"/>
                <w:szCs w:val="24"/>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w:t>
            </w:r>
          </w:p>
        </w:tc>
      </w:tr>
      <w:tr w14:paraId="451A15BE">
        <w:tblPrEx>
          <w:tblCellMar>
            <w:top w:w="0" w:type="dxa"/>
            <w:left w:w="108" w:type="dxa"/>
            <w:bottom w:w="0" w:type="dxa"/>
            <w:right w:w="108" w:type="dxa"/>
          </w:tblCellMar>
        </w:tblPrEx>
        <w:trPr>
          <w:trHeight w:val="416"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3811B796">
            <w:pPr>
              <w:spacing w:line="460" w:lineRule="exact"/>
              <w:ind w:firstLine="240" w:firstLineChars="100"/>
              <w:rPr>
                <w:rFonts w:hint="default" w:ascii="宋体" w:hAnsi="宋体" w:eastAsia="宋体" w:cs="Times New Roman"/>
                <w:sz w:val="24"/>
                <w:szCs w:val="24"/>
                <w:lang w:val="en-US" w:eastAsia="zh-CN"/>
              </w:rPr>
            </w:pPr>
            <w:r>
              <w:rPr>
                <w:rFonts w:hint="eastAsia" w:ascii="宋体" w:hAnsi="宋体" w:eastAsia="宋体" w:cs="Times New Roman"/>
                <w:sz w:val="24"/>
                <w:szCs w:val="24"/>
              </w:rPr>
              <w:t>2.</w:t>
            </w:r>
            <w:r>
              <w:rPr>
                <w:rFonts w:hint="eastAsia" w:ascii="宋体" w:hAnsi="宋体" w:eastAsia="宋体" w:cs="Times New Roman"/>
                <w:sz w:val="24"/>
                <w:szCs w:val="24"/>
                <w:lang w:val="en-US" w:eastAsia="zh-CN"/>
              </w:rPr>
              <w:t>10</w:t>
            </w:r>
          </w:p>
        </w:tc>
        <w:tc>
          <w:tcPr>
            <w:tcW w:w="1701" w:type="dxa"/>
            <w:tcBorders>
              <w:top w:val="single" w:color="auto" w:sz="4" w:space="0"/>
              <w:left w:val="nil"/>
              <w:bottom w:val="single" w:color="auto" w:sz="4" w:space="0"/>
              <w:right w:val="single" w:color="auto" w:sz="4" w:space="0"/>
            </w:tcBorders>
            <w:noWrap/>
            <w:vAlign w:val="center"/>
          </w:tcPr>
          <w:p w14:paraId="1A434992">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磋商时间</w:t>
            </w:r>
          </w:p>
          <w:p w14:paraId="07436081">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和地点</w:t>
            </w:r>
          </w:p>
        </w:tc>
        <w:tc>
          <w:tcPr>
            <w:tcW w:w="6782" w:type="dxa"/>
            <w:tcBorders>
              <w:top w:val="single" w:color="auto" w:sz="4" w:space="0"/>
              <w:left w:val="nil"/>
              <w:bottom w:val="single" w:color="auto" w:sz="4" w:space="0"/>
              <w:right w:val="single" w:color="auto" w:sz="4" w:space="0"/>
            </w:tcBorders>
            <w:noWrap/>
            <w:vAlign w:val="center"/>
          </w:tcPr>
          <w:p w14:paraId="4ED765EE">
            <w:pPr>
              <w:spacing w:line="460" w:lineRule="exact"/>
              <w:rPr>
                <w:rFonts w:ascii="宋体" w:hAnsi="宋体" w:eastAsia="宋体" w:cs="Times New Roman"/>
                <w:sz w:val="24"/>
                <w:szCs w:val="24"/>
                <w:highlight w:val="none"/>
              </w:rPr>
            </w:pPr>
            <w:r>
              <w:rPr>
                <w:rFonts w:hint="eastAsia" w:ascii="宋体" w:hAnsi="宋体" w:eastAsia="宋体" w:cs="Times New Roman"/>
                <w:sz w:val="24"/>
                <w:szCs w:val="24"/>
                <w:highlight w:val="none"/>
              </w:rPr>
              <w:t>时间：</w:t>
            </w:r>
            <w:r>
              <w:rPr>
                <w:rFonts w:ascii="宋体" w:hAnsi="宋体" w:eastAsia="宋体" w:cs="Times New Roman"/>
                <w:sz w:val="24"/>
                <w:szCs w:val="24"/>
                <w:highlight w:val="none"/>
              </w:rPr>
              <w:t>202</w:t>
            </w:r>
            <w:r>
              <w:rPr>
                <w:rFonts w:hint="eastAsia" w:ascii="宋体" w:hAnsi="宋体" w:eastAsia="宋体" w:cs="Times New Roman"/>
                <w:sz w:val="24"/>
                <w:szCs w:val="24"/>
                <w:highlight w:val="none"/>
                <w:lang w:val="en-US" w:eastAsia="zh-CN"/>
              </w:rPr>
              <w:t>5</w:t>
            </w:r>
            <w:r>
              <w:rPr>
                <w:rFonts w:ascii="宋体" w:hAnsi="宋体" w:eastAsia="宋体" w:cs="Times New Roman"/>
                <w:sz w:val="24"/>
                <w:szCs w:val="24"/>
                <w:highlight w:val="none"/>
              </w:rPr>
              <w:t>年</w:t>
            </w:r>
            <w:r>
              <w:rPr>
                <w:rFonts w:hint="eastAsia" w:ascii="宋体" w:hAnsi="宋体" w:eastAsia="宋体" w:cs="Times New Roman"/>
                <w:sz w:val="24"/>
                <w:szCs w:val="24"/>
                <w:highlight w:val="none"/>
                <w:lang w:val="en-US" w:eastAsia="zh-CN"/>
              </w:rPr>
              <w:t>07</w:t>
            </w:r>
            <w:r>
              <w:rPr>
                <w:rFonts w:ascii="宋体" w:hAnsi="宋体" w:eastAsia="宋体" w:cs="Times New Roman"/>
                <w:sz w:val="24"/>
                <w:szCs w:val="24"/>
                <w:highlight w:val="none"/>
              </w:rPr>
              <w:t>月</w:t>
            </w:r>
            <w:r>
              <w:rPr>
                <w:rFonts w:hint="eastAsia" w:ascii="宋体" w:hAnsi="宋体" w:eastAsia="宋体" w:cs="Times New Roman"/>
                <w:sz w:val="24"/>
                <w:szCs w:val="24"/>
                <w:highlight w:val="none"/>
                <w:lang w:val="en-US" w:eastAsia="zh-CN"/>
              </w:rPr>
              <w:t>28</w:t>
            </w:r>
            <w:r>
              <w:rPr>
                <w:rFonts w:ascii="宋体" w:hAnsi="宋体" w:eastAsia="宋体" w:cs="Times New Roman"/>
                <w:sz w:val="24"/>
                <w:szCs w:val="24"/>
                <w:highlight w:val="none"/>
              </w:rPr>
              <w:t>日</w:t>
            </w:r>
            <w:r>
              <w:rPr>
                <w:rFonts w:hint="eastAsia" w:ascii="宋体" w:hAnsi="宋体" w:eastAsia="宋体" w:cs="Times New Roman"/>
                <w:sz w:val="24"/>
                <w:szCs w:val="24"/>
                <w:highlight w:val="none"/>
                <w:lang w:val="en-US" w:eastAsia="zh-CN"/>
              </w:rPr>
              <w:t>8</w:t>
            </w:r>
            <w:r>
              <w:rPr>
                <w:rFonts w:hint="eastAsia" w:ascii="宋体" w:hAnsi="宋体" w:eastAsia="宋体" w:cs="Times New Roman"/>
                <w:sz w:val="24"/>
                <w:szCs w:val="24"/>
                <w:highlight w:val="none"/>
              </w:rPr>
              <w:t>时</w:t>
            </w:r>
            <w:r>
              <w:rPr>
                <w:rFonts w:hint="eastAsia" w:ascii="宋体" w:hAnsi="宋体" w:eastAsia="宋体" w:cs="Times New Roman"/>
                <w:sz w:val="24"/>
                <w:szCs w:val="24"/>
                <w:highlight w:val="none"/>
                <w:lang w:val="en-US" w:eastAsia="zh-CN"/>
              </w:rPr>
              <w:t>3</w:t>
            </w:r>
            <w:r>
              <w:rPr>
                <w:rFonts w:hint="eastAsia" w:ascii="宋体" w:hAnsi="宋体" w:eastAsia="宋体" w:cs="Times New Roman"/>
                <w:sz w:val="24"/>
                <w:szCs w:val="24"/>
                <w:highlight w:val="none"/>
              </w:rPr>
              <w:t>0分。</w:t>
            </w:r>
          </w:p>
          <w:p w14:paraId="7DE33249">
            <w:pPr>
              <w:spacing w:line="460" w:lineRule="exact"/>
              <w:rPr>
                <w:rFonts w:ascii="宋体" w:hAnsi="宋体" w:eastAsia="宋体" w:cs="Times New Roman"/>
                <w:sz w:val="24"/>
                <w:szCs w:val="24"/>
              </w:rPr>
            </w:pPr>
            <w:r>
              <w:rPr>
                <w:rFonts w:hint="eastAsia" w:ascii="宋体" w:hAnsi="宋体" w:eastAsia="宋体" w:cs="Times New Roman"/>
                <w:sz w:val="24"/>
                <w:szCs w:val="24"/>
                <w:highlight w:val="none"/>
              </w:rPr>
              <w:t>地点：三门峡市陕州区公共资源交易中心</w:t>
            </w:r>
            <w:r>
              <w:rPr>
                <w:rFonts w:hint="eastAsia" w:ascii="宋体" w:hAnsi="宋体" w:eastAsia="宋体" w:cs="Times New Roman"/>
                <w:sz w:val="24"/>
                <w:szCs w:val="24"/>
                <w:highlight w:val="none"/>
                <w:lang w:val="en-US" w:eastAsia="zh-CN"/>
              </w:rPr>
              <w:t>开标二室</w:t>
            </w:r>
            <w:r>
              <w:rPr>
                <w:rFonts w:hint="eastAsia" w:ascii="宋体" w:hAnsi="宋体" w:eastAsia="宋体" w:cs="Times New Roman"/>
                <w:sz w:val="24"/>
                <w:szCs w:val="24"/>
                <w:highlight w:val="none"/>
              </w:rPr>
              <w:t>（三门峡市陕州区新闻广播电视台四楼）。</w:t>
            </w:r>
          </w:p>
        </w:tc>
      </w:tr>
      <w:tr w14:paraId="4BC6F263">
        <w:tblPrEx>
          <w:tblCellMar>
            <w:top w:w="0" w:type="dxa"/>
            <w:left w:w="108" w:type="dxa"/>
            <w:bottom w:w="0" w:type="dxa"/>
            <w:right w:w="108" w:type="dxa"/>
          </w:tblCellMar>
        </w:tblPrEx>
        <w:trPr>
          <w:trHeight w:val="416"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759EF739">
            <w:pPr>
              <w:spacing w:line="460" w:lineRule="exact"/>
              <w:rPr>
                <w:rFonts w:ascii="宋体" w:hAnsi="宋体" w:eastAsia="宋体" w:cs="Times New Roman"/>
                <w:sz w:val="24"/>
                <w:szCs w:val="24"/>
              </w:rPr>
            </w:pPr>
            <w:r>
              <w:rPr>
                <w:rFonts w:ascii="宋体" w:hAnsi="宋体" w:eastAsia="宋体" w:cs="Times New Roman"/>
                <w:sz w:val="24"/>
                <w:szCs w:val="24"/>
              </w:rPr>
              <w:t xml:space="preserve">  3.</w:t>
            </w:r>
            <w:r>
              <w:rPr>
                <w:rFonts w:hint="eastAsia" w:ascii="宋体" w:hAnsi="宋体" w:eastAsia="宋体" w:cs="Times New Roman"/>
                <w:sz w:val="24"/>
                <w:szCs w:val="24"/>
              </w:rPr>
              <w:t>0</w:t>
            </w:r>
          </w:p>
        </w:tc>
        <w:tc>
          <w:tcPr>
            <w:tcW w:w="1701" w:type="dxa"/>
            <w:tcBorders>
              <w:top w:val="single" w:color="auto" w:sz="4" w:space="0"/>
              <w:left w:val="nil"/>
              <w:bottom w:val="single" w:color="auto" w:sz="4" w:space="0"/>
              <w:right w:val="single" w:color="auto" w:sz="4" w:space="0"/>
            </w:tcBorders>
            <w:noWrap/>
            <w:vAlign w:val="center"/>
          </w:tcPr>
          <w:p w14:paraId="3B2413F8">
            <w:pPr>
              <w:widowControl/>
              <w:spacing w:line="4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磋商顺序</w:t>
            </w:r>
          </w:p>
        </w:tc>
        <w:tc>
          <w:tcPr>
            <w:tcW w:w="6782" w:type="dxa"/>
            <w:tcBorders>
              <w:top w:val="single" w:color="auto" w:sz="4" w:space="0"/>
              <w:left w:val="nil"/>
              <w:bottom w:val="single" w:color="auto" w:sz="4" w:space="0"/>
              <w:right w:val="single" w:color="auto" w:sz="4" w:space="0"/>
            </w:tcBorders>
            <w:noWrap/>
            <w:vAlign w:val="center"/>
          </w:tcPr>
          <w:p w14:paraId="035361A6">
            <w:pPr>
              <w:widowControl/>
              <w:spacing w:line="46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按</w:t>
            </w:r>
            <w:r>
              <w:rPr>
                <w:rFonts w:hint="eastAsia" w:ascii="宋体" w:hAnsi="宋体" w:eastAsia="宋体" w:cs="Times New Roman"/>
                <w:sz w:val="24"/>
                <w:szCs w:val="24"/>
              </w:rPr>
              <w:t>电子化磋商</w:t>
            </w:r>
            <w:r>
              <w:rPr>
                <w:rFonts w:hint="eastAsia" w:ascii="宋体" w:hAnsi="宋体" w:eastAsia="宋体" w:cs="Times New Roman"/>
                <w:kern w:val="0"/>
                <w:sz w:val="24"/>
                <w:szCs w:val="24"/>
              </w:rPr>
              <w:t>响应文件上传的时间顺序磋商。</w:t>
            </w:r>
          </w:p>
        </w:tc>
      </w:tr>
      <w:tr w14:paraId="66D6D9AB">
        <w:tblPrEx>
          <w:tblCellMar>
            <w:top w:w="0" w:type="dxa"/>
            <w:left w:w="108" w:type="dxa"/>
            <w:bottom w:w="0" w:type="dxa"/>
            <w:right w:w="108" w:type="dxa"/>
          </w:tblCellMar>
        </w:tblPrEx>
        <w:trPr>
          <w:trHeight w:val="995"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0458ECF8">
            <w:pPr>
              <w:spacing w:line="460" w:lineRule="exact"/>
              <w:jc w:val="center"/>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1</w:t>
            </w:r>
          </w:p>
        </w:tc>
        <w:tc>
          <w:tcPr>
            <w:tcW w:w="1701" w:type="dxa"/>
            <w:tcBorders>
              <w:top w:val="single" w:color="auto" w:sz="4" w:space="0"/>
              <w:left w:val="nil"/>
              <w:bottom w:val="single" w:color="auto" w:sz="4" w:space="0"/>
              <w:right w:val="single" w:color="auto" w:sz="4" w:space="0"/>
            </w:tcBorders>
            <w:noWrap/>
            <w:vAlign w:val="center"/>
          </w:tcPr>
          <w:p w14:paraId="113C4BB3">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磋商小组</w:t>
            </w:r>
          </w:p>
          <w:p w14:paraId="75234494">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的组建</w:t>
            </w:r>
          </w:p>
        </w:tc>
        <w:tc>
          <w:tcPr>
            <w:tcW w:w="6782" w:type="dxa"/>
            <w:tcBorders>
              <w:top w:val="single" w:color="auto" w:sz="4" w:space="0"/>
              <w:left w:val="nil"/>
              <w:bottom w:val="single" w:color="auto" w:sz="4" w:space="0"/>
              <w:right w:val="single" w:color="auto" w:sz="4" w:space="0"/>
            </w:tcBorders>
            <w:noWrap/>
            <w:vAlign w:val="center"/>
          </w:tcPr>
          <w:p w14:paraId="1607CE6D">
            <w:pPr>
              <w:spacing w:line="460" w:lineRule="exact"/>
              <w:rPr>
                <w:rFonts w:ascii="宋体" w:hAnsi="宋体" w:eastAsia="宋体" w:cs="Times New Roman"/>
                <w:sz w:val="24"/>
                <w:szCs w:val="24"/>
              </w:rPr>
            </w:pPr>
            <w:r>
              <w:rPr>
                <w:rFonts w:hint="eastAsia" w:ascii="宋体" w:hAnsi="宋体" w:eastAsia="宋体" w:cs="宋体"/>
                <w:sz w:val="24"/>
                <w:szCs w:val="24"/>
              </w:rPr>
              <w:t>磋商小组由</w:t>
            </w:r>
            <w:r>
              <w:rPr>
                <w:rFonts w:hint="eastAsia" w:ascii="宋体" w:hAnsi="宋体" w:eastAsia="宋体" w:cs="Times New Roman"/>
                <w:sz w:val="24"/>
                <w:szCs w:val="24"/>
              </w:rPr>
              <w:t>采购</w:t>
            </w:r>
            <w:r>
              <w:rPr>
                <w:rFonts w:hint="eastAsia" w:ascii="宋体" w:hAnsi="宋体" w:eastAsia="宋体" w:cs="宋体"/>
                <w:sz w:val="24"/>
                <w:szCs w:val="24"/>
              </w:rPr>
              <w:t>人代表和评审专家共3人以上单数组成，</w:t>
            </w:r>
            <w:r>
              <w:rPr>
                <w:rFonts w:hint="eastAsia" w:ascii="宋体" w:hAnsi="宋体" w:eastAsia="宋体" w:cs="宋体"/>
                <w:kern w:val="44"/>
                <w:sz w:val="24"/>
                <w:szCs w:val="24"/>
              </w:rPr>
              <w:t>其中</w:t>
            </w:r>
            <w:r>
              <w:rPr>
                <w:rFonts w:hint="eastAsia" w:ascii="宋体" w:hAnsi="宋体" w:eastAsia="宋体" w:cs="Times New Roman"/>
                <w:sz w:val="24"/>
                <w:szCs w:val="24"/>
              </w:rPr>
              <w:t>采购</w:t>
            </w:r>
            <w:r>
              <w:rPr>
                <w:rFonts w:hint="eastAsia" w:ascii="宋体" w:hAnsi="宋体" w:eastAsia="宋体" w:cs="宋体"/>
                <w:kern w:val="44"/>
                <w:sz w:val="24"/>
                <w:szCs w:val="24"/>
              </w:rPr>
              <w:t>人代表1人，其余评审专家2人从三门峡市公共资源交易</w:t>
            </w:r>
            <w:r>
              <w:rPr>
                <w:rFonts w:hint="eastAsia" w:ascii="宋体" w:hAnsi="宋体" w:eastAsia="宋体" w:cs="宋体"/>
                <w:kern w:val="44"/>
                <w:sz w:val="24"/>
                <w:szCs w:val="24"/>
                <w:lang w:val="en-US" w:eastAsia="zh-CN"/>
              </w:rPr>
              <w:t>相关</w:t>
            </w:r>
            <w:r>
              <w:rPr>
                <w:rFonts w:hint="eastAsia" w:ascii="宋体" w:hAnsi="宋体" w:eastAsia="宋体" w:cs="宋体"/>
                <w:kern w:val="44"/>
                <w:sz w:val="24"/>
                <w:szCs w:val="24"/>
              </w:rPr>
              <w:t>评标专家库陕州区终端中随机抽取。</w:t>
            </w:r>
          </w:p>
        </w:tc>
      </w:tr>
      <w:tr w14:paraId="7F6DB147">
        <w:tblPrEx>
          <w:tblCellMar>
            <w:top w:w="0" w:type="dxa"/>
            <w:left w:w="108" w:type="dxa"/>
            <w:bottom w:w="0" w:type="dxa"/>
            <w:right w:w="108" w:type="dxa"/>
          </w:tblCellMar>
        </w:tblPrEx>
        <w:trPr>
          <w:trHeight w:val="717"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7744BBF9">
            <w:pPr>
              <w:spacing w:line="460" w:lineRule="exact"/>
              <w:jc w:val="center"/>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2</w:t>
            </w:r>
          </w:p>
        </w:tc>
        <w:tc>
          <w:tcPr>
            <w:tcW w:w="1701" w:type="dxa"/>
            <w:tcBorders>
              <w:top w:val="single" w:color="auto" w:sz="4" w:space="0"/>
              <w:left w:val="nil"/>
              <w:bottom w:val="single" w:color="auto" w:sz="4" w:space="0"/>
              <w:right w:val="single" w:color="auto" w:sz="4" w:space="0"/>
            </w:tcBorders>
            <w:noWrap/>
            <w:vAlign w:val="center"/>
          </w:tcPr>
          <w:p w14:paraId="64ADB29D">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是否授权磋商专家确定成交供应商</w:t>
            </w:r>
          </w:p>
        </w:tc>
        <w:tc>
          <w:tcPr>
            <w:tcW w:w="6782" w:type="dxa"/>
            <w:tcBorders>
              <w:top w:val="single" w:color="auto" w:sz="4" w:space="0"/>
              <w:left w:val="nil"/>
              <w:bottom w:val="single" w:color="auto" w:sz="4" w:space="0"/>
              <w:right w:val="single" w:color="auto" w:sz="4" w:space="0"/>
            </w:tcBorders>
            <w:noWrap/>
            <w:vAlign w:val="center"/>
          </w:tcPr>
          <w:p w14:paraId="257F0D88">
            <w:pPr>
              <w:spacing w:line="460" w:lineRule="exact"/>
              <w:rPr>
                <w:rFonts w:ascii="宋体" w:hAnsi="宋体" w:eastAsia="宋体" w:cs="Times New Roman"/>
                <w:sz w:val="24"/>
                <w:szCs w:val="24"/>
              </w:rPr>
            </w:pPr>
            <w:r>
              <w:rPr>
                <w:rFonts w:hint="eastAsia" w:ascii="宋体" w:hAnsi="宋体" w:eastAsia="宋体" w:cs="Times New Roman"/>
                <w:sz w:val="24"/>
                <w:szCs w:val="24"/>
              </w:rPr>
              <w:t>否，按顺序推荐的成交候选供应商：</w:t>
            </w:r>
            <w:r>
              <w:rPr>
                <w:rFonts w:ascii="宋体" w:hAnsi="宋体" w:eastAsia="宋体" w:cs="Times New Roman"/>
                <w:sz w:val="24"/>
                <w:szCs w:val="24"/>
                <w:u w:val="single"/>
              </w:rPr>
              <w:t>3</w:t>
            </w:r>
            <w:r>
              <w:rPr>
                <w:rFonts w:hint="eastAsia" w:ascii="宋体" w:hAnsi="宋体" w:eastAsia="宋体" w:cs="Times New Roman"/>
                <w:sz w:val="24"/>
                <w:szCs w:val="24"/>
                <w:u w:val="single"/>
              </w:rPr>
              <w:t>名。</w:t>
            </w:r>
          </w:p>
        </w:tc>
      </w:tr>
      <w:tr w14:paraId="1C722FA9">
        <w:tblPrEx>
          <w:tblCellMar>
            <w:top w:w="0" w:type="dxa"/>
            <w:left w:w="108" w:type="dxa"/>
            <w:bottom w:w="0" w:type="dxa"/>
            <w:right w:w="108" w:type="dxa"/>
          </w:tblCellMar>
        </w:tblPrEx>
        <w:trPr>
          <w:trHeight w:val="497"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7527F808">
            <w:pPr>
              <w:spacing w:line="460" w:lineRule="exact"/>
              <w:jc w:val="center"/>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3</w:t>
            </w:r>
          </w:p>
        </w:tc>
        <w:tc>
          <w:tcPr>
            <w:tcW w:w="1701" w:type="dxa"/>
            <w:tcBorders>
              <w:top w:val="single" w:color="auto" w:sz="4" w:space="0"/>
              <w:left w:val="nil"/>
              <w:bottom w:val="single" w:color="auto" w:sz="4" w:space="0"/>
              <w:right w:val="single" w:color="auto" w:sz="4" w:space="0"/>
            </w:tcBorders>
            <w:noWrap/>
            <w:vAlign w:val="center"/>
          </w:tcPr>
          <w:p w14:paraId="66654FE7">
            <w:pPr>
              <w:keepLines/>
              <w:spacing w:line="460" w:lineRule="exact"/>
              <w:jc w:val="center"/>
              <w:rPr>
                <w:rFonts w:ascii="宋体" w:hAnsi="宋体" w:eastAsia="宋体" w:cs="Times New Roman"/>
                <w:sz w:val="24"/>
                <w:szCs w:val="24"/>
              </w:rPr>
            </w:pPr>
            <w:r>
              <w:rPr>
                <w:rFonts w:hint="eastAsia" w:ascii="宋体" w:hAnsi="宋体" w:eastAsia="宋体" w:cs="Times New Roman"/>
                <w:sz w:val="24"/>
                <w:szCs w:val="24"/>
              </w:rPr>
              <w:t>付款方式</w:t>
            </w:r>
          </w:p>
        </w:tc>
        <w:tc>
          <w:tcPr>
            <w:tcW w:w="6782" w:type="dxa"/>
            <w:tcBorders>
              <w:top w:val="single" w:color="auto" w:sz="4" w:space="0"/>
              <w:left w:val="nil"/>
              <w:bottom w:val="single" w:color="auto" w:sz="4" w:space="0"/>
              <w:right w:val="single" w:color="auto" w:sz="4" w:space="0"/>
            </w:tcBorders>
            <w:noWrap/>
            <w:vAlign w:val="center"/>
          </w:tcPr>
          <w:p w14:paraId="707764C4">
            <w:pPr>
              <w:keepLines/>
              <w:spacing w:line="460" w:lineRule="exact"/>
              <w:jc w:val="left"/>
              <w:rPr>
                <w:rFonts w:ascii="宋体" w:hAnsi="宋体" w:eastAsia="宋体" w:cs="Times New Roman"/>
                <w:sz w:val="24"/>
                <w:szCs w:val="24"/>
              </w:rPr>
            </w:pPr>
            <w:r>
              <w:rPr>
                <w:rFonts w:hint="eastAsia" w:ascii="宋体" w:hAnsi="宋体" w:eastAsia="宋体" w:cs="Times New Roman"/>
                <w:kern w:val="0"/>
                <w:sz w:val="24"/>
                <w:szCs w:val="24"/>
              </w:rPr>
              <w:t>按合同执行。</w:t>
            </w:r>
          </w:p>
        </w:tc>
      </w:tr>
      <w:tr w14:paraId="31138C96">
        <w:tblPrEx>
          <w:tblCellMar>
            <w:top w:w="0" w:type="dxa"/>
            <w:left w:w="108" w:type="dxa"/>
            <w:bottom w:w="0" w:type="dxa"/>
            <w:right w:w="108" w:type="dxa"/>
          </w:tblCellMar>
        </w:tblPrEx>
        <w:trPr>
          <w:trHeight w:val="497"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4502877D">
            <w:pPr>
              <w:spacing w:line="460" w:lineRule="exact"/>
              <w:jc w:val="center"/>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3.4</w:t>
            </w:r>
          </w:p>
        </w:tc>
        <w:tc>
          <w:tcPr>
            <w:tcW w:w="1701" w:type="dxa"/>
            <w:tcBorders>
              <w:top w:val="single" w:color="auto" w:sz="4" w:space="0"/>
              <w:left w:val="nil"/>
              <w:bottom w:val="single" w:color="auto" w:sz="4" w:space="0"/>
              <w:right w:val="single" w:color="auto" w:sz="4" w:space="0"/>
            </w:tcBorders>
            <w:noWrap/>
            <w:vAlign w:val="center"/>
          </w:tcPr>
          <w:p w14:paraId="54B16FC6">
            <w:pPr>
              <w:keepLines/>
              <w:spacing w:line="460" w:lineRule="exact"/>
              <w:jc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核心产品</w:t>
            </w:r>
          </w:p>
        </w:tc>
        <w:tc>
          <w:tcPr>
            <w:tcW w:w="6782" w:type="dxa"/>
            <w:tcBorders>
              <w:top w:val="single" w:color="auto" w:sz="4" w:space="0"/>
              <w:left w:val="nil"/>
              <w:bottom w:val="single" w:color="auto" w:sz="4" w:space="0"/>
              <w:right w:val="single" w:color="auto" w:sz="4" w:space="0"/>
            </w:tcBorders>
            <w:noWrap/>
            <w:vAlign w:val="center"/>
          </w:tcPr>
          <w:p w14:paraId="1591BF8D">
            <w:pPr>
              <w:keepLines/>
              <w:spacing w:line="460" w:lineRule="exact"/>
              <w:jc w:val="left"/>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渗滤液收集车</w:t>
            </w:r>
            <w:r>
              <w:rPr>
                <w:rFonts w:hint="eastAsia" w:ascii="宋体" w:hAnsi="宋体" w:eastAsia="宋体" w:cs="Times New Roman"/>
                <w:kern w:val="0"/>
                <w:sz w:val="24"/>
                <w:szCs w:val="24"/>
                <w:lang w:eastAsia="zh-CN"/>
              </w:rPr>
              <w:t>、纯电动压缩式垃圾车、皮卡型工具车</w:t>
            </w:r>
          </w:p>
        </w:tc>
      </w:tr>
      <w:tr w14:paraId="039F1DEE">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68DA706D">
            <w:pPr>
              <w:spacing w:line="460" w:lineRule="exact"/>
              <w:jc w:val="center"/>
              <w:rPr>
                <w:rFonts w:hint="eastAsia" w:ascii="宋体" w:hAnsi="宋体" w:eastAsia="宋体" w:cs="Times New Roman"/>
                <w:sz w:val="24"/>
                <w:szCs w:val="24"/>
                <w:lang w:eastAsia="zh-CN"/>
              </w:rPr>
            </w:pPr>
            <w:r>
              <w:rPr>
                <w:rFonts w:ascii="宋体" w:hAnsi="宋体" w:eastAsia="宋体" w:cs="Times New Roman"/>
                <w:sz w:val="24"/>
                <w:szCs w:val="24"/>
              </w:rPr>
              <w:t>3.</w:t>
            </w:r>
            <w:r>
              <w:rPr>
                <w:rFonts w:hint="eastAsia" w:ascii="宋体" w:hAnsi="宋体" w:eastAsia="宋体" w:cs="Times New Roman"/>
                <w:sz w:val="24"/>
                <w:szCs w:val="24"/>
                <w:lang w:val="en-US" w:eastAsia="zh-CN"/>
              </w:rPr>
              <w:t>5</w:t>
            </w:r>
          </w:p>
        </w:tc>
        <w:tc>
          <w:tcPr>
            <w:tcW w:w="1701" w:type="dxa"/>
            <w:tcBorders>
              <w:top w:val="single" w:color="auto" w:sz="4" w:space="0"/>
              <w:left w:val="nil"/>
              <w:bottom w:val="single" w:color="auto" w:sz="4" w:space="0"/>
              <w:right w:val="single" w:color="auto" w:sz="4" w:space="0"/>
            </w:tcBorders>
            <w:noWrap/>
            <w:vAlign w:val="center"/>
          </w:tcPr>
          <w:p w14:paraId="68789C61">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招标控制价</w:t>
            </w:r>
          </w:p>
        </w:tc>
        <w:tc>
          <w:tcPr>
            <w:tcW w:w="6782" w:type="dxa"/>
            <w:tcBorders>
              <w:top w:val="single" w:color="auto" w:sz="4" w:space="0"/>
              <w:left w:val="nil"/>
              <w:bottom w:val="single" w:color="auto" w:sz="4" w:space="0"/>
              <w:right w:val="single" w:color="auto" w:sz="4" w:space="0"/>
            </w:tcBorders>
            <w:noWrap/>
            <w:vAlign w:val="center"/>
          </w:tcPr>
          <w:p w14:paraId="15FACC15">
            <w:pPr>
              <w:widowControl/>
              <w:spacing w:line="460" w:lineRule="exact"/>
              <w:jc w:val="left"/>
              <w:rPr>
                <w:rFonts w:ascii="宋体" w:hAnsi="宋体" w:eastAsia="宋体" w:cs="Times New Roman"/>
                <w:sz w:val="24"/>
                <w:szCs w:val="24"/>
              </w:rPr>
            </w:pPr>
            <w:r>
              <w:rPr>
                <w:rFonts w:hint="eastAsia" w:ascii="宋体" w:hAnsi="宋体" w:eastAsia="宋体" w:cs="Times New Roman"/>
                <w:sz w:val="24"/>
                <w:szCs w:val="24"/>
              </w:rPr>
              <w:t>人民币</w:t>
            </w:r>
            <w:r>
              <w:rPr>
                <w:rFonts w:hint="eastAsia" w:ascii="宋体" w:hAnsi="宋体" w:eastAsia="宋体" w:cs="Times New Roman"/>
                <w:sz w:val="24"/>
                <w:szCs w:val="24"/>
                <w:lang w:val="en-US" w:eastAsia="zh-CN"/>
              </w:rPr>
              <w:t>壹佰捌拾玖万</w:t>
            </w:r>
            <w:r>
              <w:rPr>
                <w:rFonts w:hint="eastAsia" w:ascii="宋体" w:hAnsi="宋体" w:eastAsia="宋体" w:cs="Times New Roman"/>
                <w:sz w:val="24"/>
                <w:szCs w:val="24"/>
              </w:rPr>
              <w:t>元整（¥</w:t>
            </w:r>
            <w:r>
              <w:rPr>
                <w:rFonts w:hint="eastAsia" w:ascii="宋体" w:hAnsi="宋体" w:eastAsia="宋体" w:cs="Times New Roman"/>
                <w:sz w:val="24"/>
                <w:szCs w:val="24"/>
                <w:lang w:val="en-US" w:eastAsia="zh-CN"/>
              </w:rPr>
              <w:t>1890000</w:t>
            </w:r>
            <w:r>
              <w:rPr>
                <w:rFonts w:hint="eastAsia" w:ascii="宋体" w:hAnsi="宋体" w:eastAsia="宋体" w:cs="Times New Roman"/>
                <w:sz w:val="24"/>
                <w:szCs w:val="24"/>
              </w:rPr>
              <w:t>元），凡磋商响应供应商的磋商报价超出“招标控制价”的，该磋商响应供应商的磋商响应文件应作无效标处理。</w:t>
            </w:r>
          </w:p>
        </w:tc>
      </w:tr>
      <w:tr w14:paraId="4BDE641F">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6BD144CA">
            <w:pPr>
              <w:spacing w:line="460" w:lineRule="exact"/>
              <w:jc w:val="center"/>
              <w:rPr>
                <w:rFonts w:hint="eastAsia" w:ascii="宋体" w:hAnsi="宋体" w:eastAsia="宋体" w:cs="Times New Roman"/>
                <w:sz w:val="24"/>
                <w:szCs w:val="24"/>
                <w:lang w:eastAsia="zh-CN"/>
              </w:rPr>
            </w:pPr>
            <w:r>
              <w:rPr>
                <w:rFonts w:hint="eastAsia" w:ascii="宋体" w:hAnsi="宋体" w:eastAsia="宋体" w:cs="Times New Roman"/>
                <w:sz w:val="24"/>
                <w:szCs w:val="24"/>
              </w:rPr>
              <w:t>3.</w:t>
            </w:r>
            <w:r>
              <w:rPr>
                <w:rFonts w:hint="eastAsia" w:ascii="宋体" w:hAnsi="宋体" w:eastAsia="宋体" w:cs="Times New Roman"/>
                <w:sz w:val="24"/>
                <w:szCs w:val="24"/>
                <w:lang w:val="en-US" w:eastAsia="zh-CN"/>
              </w:rPr>
              <w:t>6</w:t>
            </w:r>
          </w:p>
        </w:tc>
        <w:tc>
          <w:tcPr>
            <w:tcW w:w="1701" w:type="dxa"/>
            <w:tcBorders>
              <w:top w:val="single" w:color="auto" w:sz="4" w:space="0"/>
              <w:left w:val="nil"/>
              <w:bottom w:val="single" w:color="auto" w:sz="4" w:space="0"/>
              <w:right w:val="single" w:color="auto" w:sz="4" w:space="0"/>
            </w:tcBorders>
            <w:noWrap/>
            <w:vAlign w:val="center"/>
          </w:tcPr>
          <w:p w14:paraId="3686BD93">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其他</w:t>
            </w:r>
          </w:p>
        </w:tc>
        <w:tc>
          <w:tcPr>
            <w:tcW w:w="6782" w:type="dxa"/>
            <w:tcBorders>
              <w:top w:val="single" w:color="auto" w:sz="4" w:space="0"/>
              <w:left w:val="nil"/>
              <w:bottom w:val="single" w:color="auto" w:sz="4" w:space="0"/>
              <w:right w:val="single" w:color="auto" w:sz="4" w:space="0"/>
            </w:tcBorders>
            <w:noWrap/>
            <w:vAlign w:val="center"/>
          </w:tcPr>
          <w:p w14:paraId="5BE67927">
            <w:pPr>
              <w:widowControl/>
              <w:spacing w:line="460" w:lineRule="exact"/>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1.我单位（采购人）严格按三财购【2021】9号文要求的时限发布中标结果公告，发出中标通知书，签订采购合同，上传采购合同。</w:t>
            </w:r>
          </w:p>
          <w:p w14:paraId="6CCBC4E7">
            <w:pPr>
              <w:widowControl/>
              <w:spacing w:line="460" w:lineRule="exact"/>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2.本项目不收取履约保证金。</w:t>
            </w:r>
          </w:p>
          <w:p w14:paraId="64EB8A4C">
            <w:pPr>
              <w:widowControl/>
              <w:spacing w:line="460" w:lineRule="exact"/>
              <w:jc w:val="left"/>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3.代理服务费的收取：执行河南省招标投标协会关于印发《河南省招标代理服务收费指导意见》的通知(豫招协[2023]002号)收费标准，招标代理服务费由成交人在领取成交通知书前以银行电汇方式一次性支付给招标代理机构。</w:t>
            </w:r>
          </w:p>
        </w:tc>
      </w:tr>
      <w:tr w14:paraId="7446B3D9">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3F8EE67C">
            <w:pPr>
              <w:spacing w:line="460" w:lineRule="exact"/>
              <w:jc w:val="center"/>
              <w:rPr>
                <w:rFonts w:hint="eastAsia" w:ascii="宋体" w:hAnsi="宋体" w:eastAsia="宋体" w:cs="Times New Roman"/>
                <w:sz w:val="24"/>
                <w:szCs w:val="24"/>
                <w:lang w:eastAsia="zh-CN"/>
              </w:rPr>
            </w:pPr>
            <w:r>
              <w:rPr>
                <w:rFonts w:hint="eastAsia" w:ascii="宋体" w:hAnsi="宋体" w:eastAsia="宋体" w:cs="Times New Roman"/>
                <w:sz w:val="24"/>
                <w:szCs w:val="24"/>
              </w:rPr>
              <w:t>3.</w:t>
            </w:r>
            <w:r>
              <w:rPr>
                <w:rFonts w:hint="eastAsia" w:ascii="宋体" w:hAnsi="宋体" w:eastAsia="宋体" w:cs="Times New Roman"/>
                <w:sz w:val="24"/>
                <w:szCs w:val="24"/>
                <w:lang w:val="en-US" w:eastAsia="zh-CN"/>
              </w:rPr>
              <w:t>7</w:t>
            </w:r>
          </w:p>
        </w:tc>
        <w:tc>
          <w:tcPr>
            <w:tcW w:w="1701" w:type="dxa"/>
            <w:tcBorders>
              <w:top w:val="single" w:color="auto" w:sz="4" w:space="0"/>
              <w:left w:val="nil"/>
              <w:bottom w:val="single" w:color="auto" w:sz="4" w:space="0"/>
              <w:right w:val="single" w:color="auto" w:sz="4" w:space="0"/>
            </w:tcBorders>
            <w:noWrap/>
            <w:vAlign w:val="center"/>
          </w:tcPr>
          <w:p w14:paraId="5D694D78">
            <w:pPr>
              <w:widowControl/>
              <w:spacing w:line="4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电子化交易</w:t>
            </w:r>
          </w:p>
          <w:p w14:paraId="062E9DBB">
            <w:pPr>
              <w:spacing w:line="460" w:lineRule="exact"/>
              <w:jc w:val="center"/>
              <w:rPr>
                <w:rFonts w:ascii="宋体" w:hAnsi="宋体" w:eastAsia="宋体" w:cs="Times New Roman"/>
                <w:sz w:val="24"/>
                <w:szCs w:val="24"/>
              </w:rPr>
            </w:pPr>
            <w:r>
              <w:rPr>
                <w:rFonts w:hint="eastAsia" w:ascii="宋体" w:hAnsi="宋体" w:eastAsia="宋体" w:cs="Times New Roman"/>
                <w:kern w:val="0"/>
                <w:sz w:val="24"/>
                <w:szCs w:val="24"/>
              </w:rPr>
              <w:t>注意事项</w:t>
            </w:r>
          </w:p>
        </w:tc>
        <w:tc>
          <w:tcPr>
            <w:tcW w:w="6782" w:type="dxa"/>
            <w:tcBorders>
              <w:top w:val="single" w:color="auto" w:sz="4" w:space="0"/>
              <w:left w:val="nil"/>
              <w:bottom w:val="single" w:color="auto" w:sz="4" w:space="0"/>
              <w:right w:val="single" w:color="auto" w:sz="4" w:space="0"/>
            </w:tcBorders>
            <w:noWrap/>
            <w:vAlign w:val="center"/>
          </w:tcPr>
          <w:p w14:paraId="6CA31AA7">
            <w:pPr>
              <w:spacing w:line="360" w:lineRule="auto"/>
              <w:rPr>
                <w:rFonts w:ascii="宋体" w:hAnsi="宋体" w:eastAsia="宋体" w:cs="宋体"/>
                <w:sz w:val="24"/>
                <w:szCs w:val="21"/>
              </w:rPr>
            </w:pPr>
            <w:r>
              <w:rPr>
                <w:rFonts w:hint="eastAsia" w:ascii="宋体" w:hAnsi="宋体" w:eastAsia="宋体" w:cs="宋体"/>
                <w:sz w:val="24"/>
                <w:szCs w:val="21"/>
              </w:rPr>
              <w:t>具体要求：本项目为电子化、无纸化交易项目，磋商响应文件是供应商通过中心磋商响应文件制作系统制作，并经过签章和加密后生成的电子版磋商响应文件。</w:t>
            </w:r>
          </w:p>
          <w:p w14:paraId="34ABE962">
            <w:pPr>
              <w:spacing w:line="360" w:lineRule="auto"/>
              <w:rPr>
                <w:rFonts w:ascii="宋体" w:hAnsi="宋体" w:eastAsia="宋体" w:cs="宋体"/>
                <w:sz w:val="24"/>
                <w:szCs w:val="21"/>
              </w:rPr>
            </w:pPr>
            <w:r>
              <w:rPr>
                <w:rFonts w:hint="eastAsia" w:ascii="宋体" w:hAnsi="宋体" w:eastAsia="宋体" w:cs="宋体"/>
                <w:sz w:val="24"/>
                <w:szCs w:val="21"/>
              </w:rPr>
              <w:t>电子化磋商响应文件具体制作文件请点击</w:t>
            </w:r>
            <w:r>
              <w:rPr>
                <w:rFonts w:ascii="宋体" w:hAnsi="宋体" w:eastAsia="宋体" w:cs="宋体"/>
                <w:color w:val="auto"/>
                <w:sz w:val="24"/>
                <w:szCs w:val="21"/>
                <w:u w:val="none"/>
              </w:rPr>
              <w:t>https://download.bqpoint.com/download/downloaddetail.html?SourceFrom=Ztb&amp;ZtbSoftXiaQuCode=1506&amp;ZtbSoftType=tballinclusive</w:t>
            </w:r>
            <w:r>
              <w:rPr>
                <w:rFonts w:hint="eastAsia" w:ascii="宋体" w:hAnsi="宋体" w:eastAsia="宋体" w:cs="宋体"/>
                <w:sz w:val="24"/>
                <w:szCs w:val="21"/>
              </w:rPr>
              <w:t>进行下载。</w:t>
            </w:r>
          </w:p>
          <w:p w14:paraId="71AD8094">
            <w:pPr>
              <w:spacing w:line="360" w:lineRule="auto"/>
              <w:rPr>
                <w:rFonts w:ascii="宋体" w:hAnsi="宋体" w:eastAsia="宋体" w:cs="宋体"/>
                <w:sz w:val="24"/>
                <w:szCs w:val="21"/>
              </w:rPr>
            </w:pPr>
            <w:r>
              <w:rPr>
                <w:rFonts w:hint="eastAsia" w:ascii="宋体" w:hAnsi="宋体" w:eastAsia="宋体" w:cs="宋体"/>
                <w:b/>
                <w:sz w:val="24"/>
                <w:szCs w:val="21"/>
              </w:rPr>
              <w:t>温馨提示：本项目为电子化、无纸化交易项目，为保证您能投标成功，请需仔细阅读以下条款。</w:t>
            </w:r>
          </w:p>
          <w:p w14:paraId="295F65E9">
            <w:pPr>
              <w:spacing w:line="360" w:lineRule="auto"/>
              <w:rPr>
                <w:rFonts w:ascii="宋体" w:hAnsi="宋体" w:eastAsia="宋体" w:cs="宋体"/>
                <w:b/>
                <w:sz w:val="24"/>
                <w:szCs w:val="21"/>
              </w:rPr>
            </w:pPr>
            <w:r>
              <w:rPr>
                <w:rFonts w:hint="eastAsia" w:ascii="宋体" w:hAnsi="宋体" w:eastAsia="宋体" w:cs="宋体"/>
                <w:b/>
                <w:sz w:val="24"/>
                <w:szCs w:val="21"/>
              </w:rPr>
              <w:t>一、电子化投标</w:t>
            </w:r>
          </w:p>
          <w:p w14:paraId="5F0FEB2C">
            <w:pPr>
              <w:spacing w:line="360" w:lineRule="auto"/>
              <w:rPr>
                <w:rFonts w:ascii="宋体" w:hAnsi="宋体" w:eastAsia="宋体" w:cs="宋体"/>
                <w:b/>
                <w:sz w:val="24"/>
                <w:szCs w:val="21"/>
              </w:rPr>
            </w:pPr>
            <w:r>
              <w:rPr>
                <w:rFonts w:hint="eastAsia" w:ascii="宋体" w:hAnsi="宋体" w:eastAsia="宋体" w:cs="宋体"/>
                <w:sz w:val="24"/>
                <w:szCs w:val="21"/>
              </w:rPr>
              <w:t>（一）网上磋商保证金的缴纳</w:t>
            </w:r>
          </w:p>
          <w:p w14:paraId="4ED9001D">
            <w:pPr>
              <w:spacing w:line="360" w:lineRule="auto"/>
              <w:ind w:firstLine="120" w:firstLineChars="50"/>
              <w:rPr>
                <w:rFonts w:ascii="宋体" w:hAnsi="宋体" w:eastAsia="宋体" w:cs="宋体"/>
                <w:sz w:val="24"/>
                <w:szCs w:val="21"/>
              </w:rPr>
            </w:pPr>
            <w:r>
              <w:rPr>
                <w:rFonts w:hint="eastAsia" w:ascii="宋体" w:hAnsi="宋体" w:eastAsia="宋体" w:cs="Times New Roman"/>
                <w:sz w:val="24"/>
                <w:szCs w:val="24"/>
              </w:rPr>
              <w:t>根据《河南省财政厅关于优化政府采购营商环境有关问题的通知》（豫财购【2019】4号）第6条的规定，磋商保证金不再收取</w:t>
            </w:r>
            <w:r>
              <w:rPr>
                <w:rFonts w:hint="eastAsia" w:ascii="宋体" w:hAnsi="宋体" w:eastAsia="宋体" w:cs="宋体"/>
                <w:sz w:val="24"/>
                <w:szCs w:val="21"/>
              </w:rPr>
              <w:t>。</w:t>
            </w:r>
          </w:p>
          <w:p w14:paraId="31D01E3B">
            <w:pPr>
              <w:spacing w:line="360" w:lineRule="auto"/>
              <w:rPr>
                <w:rFonts w:ascii="宋体" w:hAnsi="宋体" w:eastAsia="宋体" w:cs="宋体"/>
                <w:sz w:val="24"/>
                <w:szCs w:val="21"/>
              </w:rPr>
            </w:pPr>
            <w:r>
              <w:rPr>
                <w:rFonts w:hint="eastAsia" w:ascii="宋体" w:hAnsi="宋体" w:eastAsia="宋体" w:cs="宋体"/>
                <w:sz w:val="24"/>
                <w:szCs w:val="21"/>
              </w:rPr>
              <w:t>（二）电子化磋商响应文件的签章</w:t>
            </w:r>
          </w:p>
          <w:p w14:paraId="1A4E20DD">
            <w:pPr>
              <w:spacing w:line="360" w:lineRule="auto"/>
              <w:ind w:firstLine="120" w:firstLineChars="50"/>
              <w:rPr>
                <w:rFonts w:ascii="宋体" w:hAnsi="宋体" w:eastAsia="宋体" w:cs="宋体"/>
                <w:sz w:val="24"/>
                <w:szCs w:val="21"/>
              </w:rPr>
            </w:pPr>
            <w:r>
              <w:rPr>
                <w:rFonts w:hint="eastAsia" w:ascii="宋体" w:hAnsi="宋体" w:eastAsia="宋体" w:cs="宋体"/>
                <w:sz w:val="24"/>
                <w:szCs w:val="21"/>
              </w:rPr>
              <w:t>1、供应商在生成电子化磋商响应文件后，应对电子化磋商响应文件进行签章，未进行签章的视为无效投标。</w:t>
            </w:r>
          </w:p>
          <w:p w14:paraId="087DDA2A">
            <w:pPr>
              <w:spacing w:line="360" w:lineRule="auto"/>
              <w:ind w:firstLine="120" w:firstLineChars="50"/>
              <w:rPr>
                <w:rFonts w:ascii="宋体" w:hAnsi="宋体" w:eastAsia="宋体" w:cs="宋体"/>
                <w:sz w:val="24"/>
                <w:szCs w:val="21"/>
              </w:rPr>
            </w:pPr>
            <w:r>
              <w:rPr>
                <w:rFonts w:hint="eastAsia" w:ascii="宋体" w:hAnsi="宋体" w:eastAsia="宋体" w:cs="宋体"/>
                <w:sz w:val="24"/>
                <w:szCs w:val="21"/>
              </w:rPr>
              <w:t>2、</w:t>
            </w:r>
            <w:r>
              <w:rPr>
                <w:rFonts w:hint="eastAsia" w:ascii="宋体" w:hAnsi="宋体" w:eastAsia="宋体" w:cs="宋体"/>
                <w:b/>
                <w:sz w:val="24"/>
                <w:szCs w:val="21"/>
              </w:rPr>
              <w:t>竞争性磋商文件中要求磋商响应供应商盖章的，以签盖单位章为准；要求法定代表人或授权代理人签章的，以签盖法定代表人签章为准</w:t>
            </w:r>
            <w:r>
              <w:rPr>
                <w:rFonts w:hint="eastAsia" w:ascii="宋体" w:hAnsi="宋体" w:eastAsia="宋体" w:cs="宋体"/>
                <w:sz w:val="24"/>
                <w:szCs w:val="21"/>
              </w:rPr>
              <w:t>。</w:t>
            </w:r>
          </w:p>
          <w:p w14:paraId="79180682">
            <w:pPr>
              <w:spacing w:line="360" w:lineRule="auto"/>
              <w:rPr>
                <w:rFonts w:ascii="宋体" w:hAnsi="宋体" w:eastAsia="宋体" w:cs="宋体"/>
                <w:b/>
                <w:sz w:val="24"/>
                <w:szCs w:val="21"/>
              </w:rPr>
            </w:pPr>
            <w:r>
              <w:rPr>
                <w:rFonts w:hint="eastAsia" w:ascii="宋体" w:hAnsi="宋体" w:eastAsia="宋体" w:cs="宋体"/>
                <w:sz w:val="24"/>
                <w:szCs w:val="21"/>
              </w:rPr>
              <w:t>（三）电子化磋商响应文件的格式及上传投标</w:t>
            </w:r>
          </w:p>
          <w:p w14:paraId="178F6977">
            <w:pPr>
              <w:spacing w:line="360" w:lineRule="auto"/>
              <w:ind w:firstLine="120" w:firstLineChars="50"/>
              <w:rPr>
                <w:rFonts w:ascii="宋体" w:hAnsi="宋体" w:eastAsia="宋体" w:cs="宋体"/>
                <w:sz w:val="24"/>
                <w:szCs w:val="21"/>
              </w:rPr>
            </w:pPr>
            <w:r>
              <w:rPr>
                <w:rFonts w:hint="eastAsia" w:ascii="宋体" w:hAnsi="宋体" w:eastAsia="宋体" w:cs="宋体"/>
                <w:sz w:val="24"/>
                <w:szCs w:val="21"/>
              </w:rPr>
              <w:t>1、供应商所上传的电子化磋商响应文件，应是通过中心磋商响应文件制作系统制作的（磋商响应文件制作工具下载地址：https://download.bqpoint.com/download/downloaddetail.html?SourceFrom=Ztb&amp;ZtbSoftXiaQuCode=1506&amp;ZtbSoftType=tballinclusive），经过签章和加密后生成的电子版磋商响应文件。其中包含用于磋商响应文件上传的主文件（后缀为.smxtf）和用于应急补救的磋商响应文件备份文件（后缀为.nsmxtf）。</w:t>
            </w:r>
          </w:p>
          <w:p w14:paraId="2A2CDFAB">
            <w:pPr>
              <w:spacing w:line="360" w:lineRule="auto"/>
              <w:ind w:firstLine="240" w:firstLineChars="100"/>
              <w:rPr>
                <w:rFonts w:ascii="宋体" w:hAnsi="宋体" w:eastAsia="宋体" w:cs="宋体"/>
                <w:sz w:val="24"/>
                <w:szCs w:val="21"/>
              </w:rPr>
            </w:pPr>
            <w:r>
              <w:rPr>
                <w:rFonts w:hint="eastAsia" w:ascii="宋体" w:hAnsi="宋体" w:eastAsia="宋体" w:cs="宋体"/>
                <w:sz w:val="24"/>
                <w:szCs w:val="21"/>
              </w:rPr>
              <w:t>2、电子化磋商响应文件应在投标截止时间前成功上传至三门峡市公共资源电子化交易系统。至投标截止时间止，仍未上传成功的电子化磋商响应文件将不予接收。</w:t>
            </w:r>
          </w:p>
          <w:p w14:paraId="59889D47">
            <w:pPr>
              <w:spacing w:line="360" w:lineRule="auto"/>
              <w:ind w:firstLine="241" w:firstLineChars="100"/>
              <w:rPr>
                <w:rFonts w:ascii="宋体" w:hAnsi="宋体" w:eastAsia="宋体" w:cs="宋体"/>
                <w:sz w:val="24"/>
                <w:szCs w:val="21"/>
              </w:rPr>
            </w:pPr>
            <w:r>
              <w:rPr>
                <w:rFonts w:hint="eastAsia" w:ascii="宋体" w:hAnsi="宋体" w:eastAsia="宋体" w:cs="宋体"/>
                <w:b/>
                <w:sz w:val="24"/>
                <w:szCs w:val="21"/>
              </w:rPr>
              <w:t>注：</w:t>
            </w:r>
            <w:r>
              <w:rPr>
                <w:rFonts w:hint="eastAsia" w:ascii="宋体" w:hAnsi="宋体" w:eastAsia="宋体" w:cs="宋体"/>
                <w:sz w:val="24"/>
                <w:szCs w:val="21"/>
              </w:rPr>
              <w:t>如按照电子化投标操作教材制作完成的电子化磋商响应文件无法上传的，供应商应在</w:t>
            </w:r>
            <w:r>
              <w:rPr>
                <w:rFonts w:hint="eastAsia" w:ascii="宋体" w:hAnsi="宋体" w:eastAsia="宋体" w:cs="宋体"/>
                <w:b/>
                <w:sz w:val="24"/>
                <w:szCs w:val="21"/>
              </w:rPr>
              <w:t>投标截止时间前尽早的</w:t>
            </w:r>
            <w:r>
              <w:rPr>
                <w:rFonts w:hint="eastAsia" w:ascii="宋体" w:hAnsi="宋体" w:eastAsia="宋体" w:cs="宋体"/>
                <w:sz w:val="24"/>
                <w:szCs w:val="21"/>
              </w:rPr>
              <w:t>联系中心技术人员，以便有充分的时间进行处理。</w:t>
            </w:r>
            <w:r>
              <w:rPr>
                <w:rFonts w:hint="eastAsia" w:ascii="宋体" w:hAnsi="宋体" w:eastAsia="宋体" w:cs="宋体"/>
                <w:b/>
                <w:sz w:val="24"/>
                <w:szCs w:val="21"/>
              </w:rPr>
              <w:t>供应商应充分考虑到处理技术问题和上传数据等工作所需的时间问题，磋商响应文件未在投标截止时间前成功上传的，其磋商响应文件不予接收。</w:t>
            </w:r>
          </w:p>
          <w:p w14:paraId="0F1C6128">
            <w:pPr>
              <w:spacing w:line="360" w:lineRule="auto"/>
              <w:rPr>
                <w:rFonts w:ascii="宋体" w:hAnsi="宋体" w:eastAsia="宋体" w:cs="宋体"/>
                <w:sz w:val="24"/>
                <w:szCs w:val="21"/>
              </w:rPr>
            </w:pPr>
            <w:r>
              <w:rPr>
                <w:rFonts w:hint="eastAsia" w:ascii="宋体" w:hAnsi="宋体" w:eastAsia="宋体" w:cs="宋体"/>
                <w:sz w:val="24"/>
                <w:szCs w:val="21"/>
              </w:rPr>
              <w:t>（四）电子化项目开标、解密、唱标、评标</w:t>
            </w:r>
          </w:p>
          <w:p w14:paraId="1517888F">
            <w:pPr>
              <w:spacing w:line="360" w:lineRule="auto"/>
              <w:ind w:firstLine="120" w:firstLineChars="50"/>
              <w:rPr>
                <w:rFonts w:ascii="宋体" w:hAnsi="宋体" w:eastAsia="宋体" w:cs="宋体"/>
                <w:sz w:val="24"/>
                <w:szCs w:val="21"/>
              </w:rPr>
            </w:pPr>
            <w:r>
              <w:rPr>
                <w:rFonts w:hint="eastAsia" w:ascii="宋体" w:hAnsi="宋体" w:eastAsia="宋体" w:cs="宋体"/>
                <w:sz w:val="24"/>
                <w:szCs w:val="21"/>
              </w:rPr>
              <w:t>1、本项目采用</w:t>
            </w:r>
            <w:r>
              <w:rPr>
                <w:rFonts w:hint="eastAsia" w:ascii="宋体" w:hAnsi="宋体" w:eastAsia="宋体" w:cs="宋体"/>
                <w:b/>
                <w:sz w:val="24"/>
                <w:szCs w:val="21"/>
              </w:rPr>
              <w:t>电子化、无纸化</w:t>
            </w:r>
            <w:r>
              <w:rPr>
                <w:rFonts w:hint="eastAsia" w:ascii="宋体" w:hAnsi="宋体" w:eastAsia="宋体" w:cs="宋体"/>
                <w:sz w:val="24"/>
                <w:szCs w:val="21"/>
              </w:rPr>
              <w:t>进行招标，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磋商响应文件解密等</w:t>
            </w:r>
          </w:p>
          <w:p w14:paraId="4F1832B2">
            <w:pPr>
              <w:spacing w:line="360" w:lineRule="auto"/>
              <w:ind w:firstLine="120" w:firstLineChars="50"/>
              <w:rPr>
                <w:rFonts w:ascii="宋体" w:hAnsi="宋体" w:eastAsia="宋体" w:cs="宋体"/>
                <w:sz w:val="24"/>
                <w:szCs w:val="21"/>
              </w:rPr>
            </w:pPr>
            <w:r>
              <w:rPr>
                <w:rFonts w:hint="eastAsia" w:ascii="宋体" w:hAnsi="宋体" w:eastAsia="宋体" w:cs="宋体"/>
                <w:sz w:val="24"/>
                <w:szCs w:val="21"/>
              </w:rPr>
              <w:t>2、电子化磋商响应文件采用一次加密方式。开标时，由供应商使用CA 证书，在规定时间内对其电子化磋商响应文件进行解密。每位供应商的解密时间为开标时间起30 分钟内，如在规定时间内未完成解密的，其磋商响应文件不予开标、唱标。</w:t>
            </w:r>
          </w:p>
          <w:p w14:paraId="18D48FFE">
            <w:pPr>
              <w:spacing w:line="360" w:lineRule="auto"/>
              <w:ind w:firstLine="120" w:firstLineChars="50"/>
              <w:rPr>
                <w:rFonts w:ascii="宋体" w:hAnsi="宋体" w:eastAsia="宋体" w:cs="宋体"/>
                <w:b/>
                <w:sz w:val="24"/>
                <w:szCs w:val="21"/>
              </w:rPr>
            </w:pPr>
            <w:r>
              <w:rPr>
                <w:rFonts w:hint="eastAsia" w:ascii="宋体" w:hAnsi="宋体" w:eastAsia="宋体" w:cs="宋体"/>
                <w:sz w:val="24"/>
                <w:szCs w:val="21"/>
              </w:rPr>
              <w:t>3、电子化磋商响应文件解密异常的处理</w:t>
            </w:r>
          </w:p>
          <w:p w14:paraId="3FF2841E">
            <w:pPr>
              <w:spacing w:line="360" w:lineRule="auto"/>
              <w:ind w:firstLine="120" w:firstLineChars="50"/>
              <w:rPr>
                <w:rFonts w:ascii="宋体" w:hAnsi="宋体" w:eastAsia="宋体" w:cs="宋体"/>
                <w:sz w:val="24"/>
                <w:szCs w:val="21"/>
              </w:rPr>
            </w:pPr>
            <w:r>
              <w:rPr>
                <w:rFonts w:hint="eastAsia" w:ascii="宋体" w:hAnsi="宋体" w:eastAsia="宋体" w:cs="宋体"/>
                <w:sz w:val="24"/>
                <w:szCs w:val="21"/>
              </w:rPr>
              <w:t>如出现供应商的电子磋商响应文件无法解密等异常情况，供应商应及时致电中介服务机构说明。磋商响应文件异常，按以下步骤进行处理：</w:t>
            </w:r>
          </w:p>
          <w:p w14:paraId="57B9BBB6">
            <w:pPr>
              <w:spacing w:line="360" w:lineRule="auto"/>
              <w:rPr>
                <w:rFonts w:ascii="宋体" w:hAnsi="宋体" w:eastAsia="宋体" w:cs="宋体"/>
                <w:sz w:val="24"/>
                <w:szCs w:val="21"/>
              </w:rPr>
            </w:pPr>
            <w:r>
              <w:rPr>
                <w:rFonts w:hint="eastAsia" w:ascii="宋体" w:hAnsi="宋体" w:eastAsia="宋体" w:cs="宋体"/>
                <w:sz w:val="24"/>
                <w:szCs w:val="21"/>
              </w:rPr>
              <w:t>（1）首先由技术人员进行问题排查。</w:t>
            </w:r>
          </w:p>
          <w:p w14:paraId="2B5447D9">
            <w:pPr>
              <w:spacing w:line="360" w:lineRule="auto"/>
              <w:rPr>
                <w:rFonts w:ascii="宋体" w:hAnsi="宋体" w:eastAsia="宋体" w:cs="宋体"/>
                <w:sz w:val="24"/>
                <w:szCs w:val="21"/>
              </w:rPr>
            </w:pPr>
            <w:r>
              <w:rPr>
                <w:rFonts w:hint="eastAsia" w:ascii="宋体" w:hAnsi="宋体" w:eastAsia="宋体" w:cs="宋体"/>
                <w:sz w:val="24"/>
                <w:szCs w:val="21"/>
              </w:rPr>
              <w:t>（2）经技术人员排查后，是供应商文件自身问题导致磋商响应文件无法解密的，该磋商响应文件将不予接收、解密和唱标。开标会议继续进行。</w:t>
            </w:r>
          </w:p>
          <w:p w14:paraId="2A303C8D">
            <w:pPr>
              <w:spacing w:line="360" w:lineRule="auto"/>
              <w:rPr>
                <w:rFonts w:ascii="宋体" w:hAnsi="宋体" w:eastAsia="宋体" w:cs="宋体"/>
                <w:sz w:val="24"/>
                <w:szCs w:val="21"/>
              </w:rPr>
            </w:pPr>
            <w:r>
              <w:rPr>
                <w:rFonts w:hint="eastAsia" w:ascii="宋体" w:hAnsi="宋体" w:eastAsia="宋体" w:cs="宋体"/>
                <w:sz w:val="24"/>
                <w:szCs w:val="21"/>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6D5A460B">
            <w:pPr>
              <w:spacing w:line="360" w:lineRule="auto"/>
              <w:rPr>
                <w:rFonts w:ascii="宋体" w:hAnsi="宋体" w:eastAsia="宋体" w:cs="宋体"/>
                <w:sz w:val="24"/>
                <w:szCs w:val="21"/>
              </w:rPr>
            </w:pPr>
            <w:r>
              <w:rPr>
                <w:rFonts w:hint="eastAsia" w:ascii="宋体" w:hAnsi="宋体" w:eastAsia="宋体" w:cs="宋体"/>
                <w:sz w:val="24"/>
                <w:szCs w:val="21"/>
              </w:rPr>
              <w:t>4、待所有供应商磋商响应文件解密完成后，由中介服务机构操作，对所有已解密磋商响应文件进行唱标。</w:t>
            </w:r>
          </w:p>
          <w:p w14:paraId="4E74A651">
            <w:pPr>
              <w:spacing w:line="360" w:lineRule="auto"/>
              <w:rPr>
                <w:rFonts w:ascii="宋体" w:hAnsi="宋体" w:eastAsia="宋体" w:cs="宋体"/>
                <w:sz w:val="24"/>
                <w:szCs w:val="21"/>
              </w:rPr>
            </w:pPr>
            <w:r>
              <w:rPr>
                <w:rFonts w:hint="eastAsia" w:ascii="宋体" w:hAnsi="宋体" w:eastAsia="宋体" w:cs="宋体"/>
                <w:b/>
                <w:sz w:val="24"/>
                <w:szCs w:val="21"/>
              </w:rPr>
              <w:t>供应商应保证在开标期间电话、电脑、网络能够正常工作，供应商因停电、电脑病毒、网络堵塞等原因，未在规定的解密时间内对磋商响应文件进行解密的，其磋商响应文件不予接收、唱标。</w:t>
            </w:r>
          </w:p>
          <w:p w14:paraId="30507E10">
            <w:pPr>
              <w:spacing w:line="360" w:lineRule="auto"/>
              <w:rPr>
                <w:rFonts w:ascii="宋体" w:hAnsi="宋体" w:eastAsia="宋体" w:cs="宋体"/>
                <w:sz w:val="24"/>
                <w:szCs w:val="21"/>
              </w:rPr>
            </w:pPr>
            <w:r>
              <w:rPr>
                <w:rFonts w:ascii="宋体" w:hAnsi="宋体" w:eastAsia="宋体" w:cs="宋体"/>
                <w:sz w:val="24"/>
                <w:szCs w:val="21"/>
              </w:rPr>
              <w:t>5</w:t>
            </w:r>
            <w:r>
              <w:rPr>
                <w:rFonts w:hint="eastAsia" w:ascii="宋体" w:hAnsi="宋体" w:eastAsia="宋体" w:cs="宋体"/>
                <w:sz w:val="24"/>
                <w:szCs w:val="21"/>
              </w:rPr>
              <w:t>、评标时，评标委员会对电子化磋商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评标委员会。</w:t>
            </w:r>
          </w:p>
          <w:p w14:paraId="5D145B3A">
            <w:pPr>
              <w:spacing w:line="360" w:lineRule="auto"/>
              <w:rPr>
                <w:rFonts w:ascii="宋体" w:hAnsi="宋体" w:eastAsia="宋体" w:cs="宋体"/>
                <w:sz w:val="24"/>
                <w:szCs w:val="21"/>
              </w:rPr>
            </w:pPr>
            <w:r>
              <w:rPr>
                <w:rFonts w:ascii="宋体" w:hAnsi="宋体" w:eastAsia="宋体" w:cs="宋体"/>
                <w:sz w:val="24"/>
                <w:szCs w:val="21"/>
              </w:rPr>
              <w:t>6</w:t>
            </w:r>
            <w:r>
              <w:rPr>
                <w:rFonts w:hint="eastAsia" w:ascii="宋体" w:hAnsi="宋体" w:eastAsia="宋体" w:cs="宋体"/>
                <w:sz w:val="24"/>
                <w:szCs w:val="21"/>
              </w:rPr>
              <w:t>、如评标委员会对需要回复的供应商连续三次致电未接通的，视为供应商放弃回复，评标委员会将自行对需要回复的内容进行认定。</w:t>
            </w:r>
          </w:p>
          <w:p w14:paraId="69B6AB39">
            <w:pPr>
              <w:spacing w:line="360" w:lineRule="auto"/>
              <w:rPr>
                <w:rFonts w:ascii="宋体" w:hAnsi="宋体" w:eastAsia="宋体" w:cs="宋体"/>
                <w:b/>
                <w:bCs/>
                <w:sz w:val="24"/>
                <w:szCs w:val="21"/>
              </w:rPr>
            </w:pPr>
            <w:r>
              <w:rPr>
                <w:rFonts w:hint="eastAsia" w:ascii="宋体" w:hAnsi="宋体" w:eastAsia="宋体" w:cs="宋体"/>
                <w:b/>
                <w:bCs/>
                <w:sz w:val="24"/>
                <w:szCs w:val="21"/>
              </w:rPr>
              <w:t>二、相关证书原件的提交</w:t>
            </w:r>
          </w:p>
          <w:p w14:paraId="1A96A88E">
            <w:pPr>
              <w:spacing w:line="360" w:lineRule="auto"/>
              <w:ind w:firstLine="120" w:firstLineChars="50"/>
              <w:rPr>
                <w:rFonts w:ascii="宋体" w:hAnsi="宋体" w:eastAsia="宋体" w:cs="宋体"/>
                <w:b/>
                <w:sz w:val="24"/>
                <w:szCs w:val="21"/>
              </w:rPr>
            </w:pPr>
            <w:r>
              <w:rPr>
                <w:rFonts w:hint="eastAsia" w:ascii="宋体" w:hAnsi="宋体" w:eastAsia="宋体" w:cs="宋体"/>
                <w:sz w:val="24"/>
                <w:szCs w:val="21"/>
              </w:rPr>
              <w:t>本项目实行资格后审，</w:t>
            </w:r>
            <w:r>
              <w:rPr>
                <w:rFonts w:hint="eastAsia" w:ascii="宋体" w:hAnsi="宋体" w:eastAsia="宋体" w:cs="宋体"/>
                <w:b/>
                <w:sz w:val="24"/>
                <w:szCs w:val="21"/>
              </w:rPr>
              <w:t>竞争性磋商文件中要求供应商提交相关资料原件的，供应商需将原件扫描件制作到电子磋商响应文件中，涉及到资格审查、企业荣誉、人员业绩、企业业绩等计分部分时，以投标单位自行上传到响应文件中的相应内容为准。</w:t>
            </w:r>
          </w:p>
          <w:p w14:paraId="3DB6E472">
            <w:pPr>
              <w:autoSpaceDE w:val="0"/>
              <w:autoSpaceDN w:val="0"/>
              <w:adjustRightInd w:val="0"/>
              <w:spacing w:line="420" w:lineRule="exact"/>
              <w:ind w:right="6"/>
              <w:rPr>
                <w:rFonts w:ascii="宋体" w:hAnsi="宋体" w:eastAsia="宋体" w:cs="宋体"/>
                <w:sz w:val="24"/>
                <w:szCs w:val="21"/>
              </w:rPr>
            </w:pPr>
            <w:r>
              <w:rPr>
                <w:rFonts w:hint="eastAsia" w:ascii="宋体" w:hAnsi="宋体" w:eastAsia="宋体" w:cs="宋体"/>
                <w:sz w:val="24"/>
                <w:szCs w:val="21"/>
              </w:rPr>
              <w:t>1、资格评（预）审部分：资格评（预）审以响应文件为准，其上传资料真实性由供应商自行承担。</w:t>
            </w:r>
          </w:p>
          <w:p w14:paraId="257CF326">
            <w:pPr>
              <w:autoSpaceDE w:val="0"/>
              <w:autoSpaceDN w:val="0"/>
              <w:adjustRightInd w:val="0"/>
              <w:spacing w:line="420" w:lineRule="exact"/>
              <w:ind w:right="6"/>
              <w:rPr>
                <w:rFonts w:ascii="宋体" w:hAnsi="宋体" w:eastAsia="宋体" w:cs="宋体"/>
                <w:sz w:val="24"/>
                <w:szCs w:val="21"/>
              </w:rPr>
            </w:pPr>
            <w:r>
              <w:rPr>
                <w:rFonts w:hint="eastAsia" w:ascii="宋体" w:hAnsi="宋体" w:eastAsia="宋体" w:cs="宋体"/>
                <w:sz w:val="24"/>
                <w:szCs w:val="21"/>
              </w:rPr>
              <w:t>2、评标打分部分：评标打分部分仍按照100分制原则进行，涉及到资格审查、企业荣誉、人员业绩、企业业绩等计分部分时，以投标单位自行上传到响应文件中的相应内容为准。</w:t>
            </w:r>
          </w:p>
          <w:p w14:paraId="26121CC0">
            <w:pPr>
              <w:spacing w:line="360" w:lineRule="auto"/>
              <w:rPr>
                <w:rFonts w:ascii="宋体" w:hAnsi="宋体" w:eastAsia="宋体" w:cs="宋体"/>
                <w:kern w:val="1"/>
                <w:sz w:val="24"/>
                <w:szCs w:val="21"/>
              </w:rPr>
            </w:pPr>
            <w:r>
              <w:rPr>
                <w:rFonts w:hint="eastAsia" w:ascii="宋体" w:hAnsi="宋体" w:eastAsia="宋体" w:cs="宋体"/>
                <w:sz w:val="24"/>
                <w:szCs w:val="21"/>
              </w:rPr>
              <w:t>3、响应文件编制部分：在竞争性磋商文件中要求供应商按照响应文件格式进行响应文件编制，在响应文件编制时，应明确将投标单位企业基本情况、资质情况、人员情况、财务情况、业绩情况编入响应文件，便于进行资格审查及评标打分。</w:t>
            </w:r>
          </w:p>
          <w:p w14:paraId="039AE5E1">
            <w:pPr>
              <w:widowControl/>
              <w:spacing w:line="460" w:lineRule="exact"/>
              <w:ind w:firstLine="241" w:firstLineChars="100"/>
              <w:rPr>
                <w:rFonts w:ascii="宋体" w:hAnsi="宋体" w:eastAsia="宋体" w:cs="Times New Roman"/>
                <w:kern w:val="0"/>
                <w:sz w:val="24"/>
                <w:szCs w:val="24"/>
                <w:shd w:val="clear" w:color="auto" w:fill="FFFFFF"/>
              </w:rPr>
            </w:pPr>
            <w:r>
              <w:rPr>
                <w:rFonts w:hint="eastAsia" w:ascii="宋体" w:hAnsi="宋体" w:eastAsia="宋体" w:cs="宋体"/>
                <w:b/>
                <w:sz w:val="24"/>
                <w:szCs w:val="21"/>
              </w:rPr>
              <w:t>提示：本项目为电子化、无纸化交易项目，为保证您能投标成功，请需仔细阅读以上条款。</w:t>
            </w:r>
          </w:p>
        </w:tc>
      </w:tr>
      <w:tr w14:paraId="59B10A8A">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38954033">
            <w:pPr>
              <w:spacing w:line="460" w:lineRule="exact"/>
              <w:jc w:val="center"/>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3.8</w:t>
            </w:r>
          </w:p>
        </w:tc>
        <w:tc>
          <w:tcPr>
            <w:tcW w:w="1701" w:type="dxa"/>
            <w:tcBorders>
              <w:top w:val="single" w:color="auto" w:sz="4" w:space="0"/>
              <w:left w:val="nil"/>
              <w:bottom w:val="single" w:color="auto" w:sz="4" w:space="0"/>
              <w:right w:val="single" w:color="auto" w:sz="4" w:space="0"/>
            </w:tcBorders>
            <w:noWrap/>
            <w:vAlign w:val="center"/>
          </w:tcPr>
          <w:p w14:paraId="4430F3D4">
            <w:pPr>
              <w:spacing w:line="460" w:lineRule="exact"/>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政府采购合同融资政策</w:t>
            </w:r>
          </w:p>
        </w:tc>
        <w:tc>
          <w:tcPr>
            <w:tcW w:w="6782" w:type="dxa"/>
            <w:tcBorders>
              <w:top w:val="single" w:color="auto" w:sz="4" w:space="0"/>
              <w:left w:val="nil"/>
              <w:bottom w:val="single" w:color="auto" w:sz="4" w:space="0"/>
              <w:right w:val="single" w:color="auto" w:sz="4" w:space="0"/>
            </w:tcBorders>
            <w:noWrap/>
            <w:vAlign w:val="center"/>
          </w:tcPr>
          <w:p w14:paraId="1DCD1493">
            <w:pPr>
              <w:widowControl/>
              <w:spacing w:line="460" w:lineRule="exact"/>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中标投标人中标后，如需融资，参照《河南省政府采购合同融资工作实施方案》（豫财购〔2017〕10 号）执行。</w:t>
            </w:r>
          </w:p>
        </w:tc>
      </w:tr>
      <w:tr w14:paraId="2EB5A3F9">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ign w:val="center"/>
          </w:tcPr>
          <w:p w14:paraId="2CDC439D">
            <w:pPr>
              <w:spacing w:line="460" w:lineRule="exact"/>
              <w:jc w:val="center"/>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3.9</w:t>
            </w:r>
          </w:p>
        </w:tc>
        <w:tc>
          <w:tcPr>
            <w:tcW w:w="1701" w:type="dxa"/>
            <w:tcBorders>
              <w:top w:val="single" w:color="auto" w:sz="4" w:space="0"/>
              <w:left w:val="nil"/>
              <w:bottom w:val="single" w:color="auto" w:sz="4" w:space="0"/>
              <w:right w:val="single" w:color="auto" w:sz="4" w:space="0"/>
            </w:tcBorders>
            <w:noWrap/>
            <w:vAlign w:val="center"/>
          </w:tcPr>
          <w:p w14:paraId="6C70DF03">
            <w:pPr>
              <w:widowControl/>
              <w:spacing w:line="460" w:lineRule="exact"/>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政府采购政策</w:t>
            </w:r>
          </w:p>
        </w:tc>
        <w:tc>
          <w:tcPr>
            <w:tcW w:w="6782" w:type="dxa"/>
            <w:tcBorders>
              <w:top w:val="single" w:color="auto" w:sz="4" w:space="0"/>
              <w:left w:val="nil"/>
              <w:bottom w:val="single" w:color="auto" w:sz="4" w:space="0"/>
              <w:right w:val="single" w:color="auto" w:sz="4" w:space="0"/>
            </w:tcBorders>
            <w:noWrap/>
            <w:vAlign w:val="center"/>
          </w:tcPr>
          <w:p w14:paraId="43EB411B">
            <w:pPr>
              <w:widowControl/>
              <w:spacing w:line="460" w:lineRule="exact"/>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投标人应优先采购“节能产品政府采购清单”中的产品，投标人应当列明本项目中所投的“节能产品清单”并提供相关有效证明材料,否则不予认可。评标时涉及节能产品的将按《节能产品政府采购实施意见》(财库【2004】185号)的规定执行。“节能产品政府采购清单”在中国政府采购网、中国环境资源信息网、中国节能节水认证网发布，属于清单内的产品，投标人优先采用该产品。</w:t>
            </w:r>
          </w:p>
          <w:p w14:paraId="03C99D2A">
            <w:pPr>
              <w:widowControl/>
              <w:spacing w:line="460" w:lineRule="exact"/>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2、关于计算机办公设备，必须执行国家版权局、信息产业部、财政部等部门规定，投标人所投货物必须是国家信息部、版权局、商务部等部门认可的预装正版操作系统软件的计算机产品。</w:t>
            </w:r>
          </w:p>
          <w:p w14:paraId="694A2FA2">
            <w:pPr>
              <w:widowControl/>
              <w:spacing w:line="460" w:lineRule="exact"/>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3、优先采购本国产品。采购进口产品应符合《中华人民共和国政府采购法》并依法办理论证、公示、审批手续。</w:t>
            </w:r>
          </w:p>
          <w:p w14:paraId="3706CED1">
            <w:pPr>
              <w:widowControl/>
              <w:spacing w:line="460" w:lineRule="exact"/>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4、投标人应优先采购“环境标志产品政府采购清单”中的产品时，投标人应当列明本项目中所投的“环境标志产品清单”并提供相关有效证明材料，否则不予认可。评标时涉及环境标志产品的将按《环境标志产品政府采购实施意见》(财库【2006】90号）的规定执行。“环境标志产品政府采购清单”在中国政府采购网、中国绿色采购网、国家环境保护总局网发布，属于清单内的产品，投标人优先采用该产品。</w:t>
            </w:r>
          </w:p>
          <w:p w14:paraId="0B1599BF">
            <w:pPr>
              <w:widowControl/>
              <w:spacing w:line="460" w:lineRule="exact"/>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5、落实政府采购政策，对小型、微型企业、监狱企业及残疾人福利性单位产品价格给予20%的扣除（同一投标人，中小微企业产品和监狱企业产品价格扣除优惠只享受一次，不得重复享受），用扣除后的价格参与评审，参加政府采购活动的中小企业应当提供《中小企业声明函》并提供证明材料，未填写中小企业声明函的在评标过程中不予认可；参加政府采购活动的残疾人福利性企业应当提供《残疾人福利性单位声明函》并提供证明材料，未填写残疾人福利性单位声明函的在评标过程中不予认可。中标人如为小型和微型企业的，并在投标时填写了中小企业声明函，若不能提供或提供的材料与投标时做出的声明不符，招标人有权取消该中标人的中标资格，并对因其造成的损失进行追责。</w:t>
            </w:r>
          </w:p>
          <w:p w14:paraId="1C991996">
            <w:pPr>
              <w:widowControl/>
              <w:spacing w:line="460" w:lineRule="exact"/>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本项目采购标：属于</w:t>
            </w:r>
            <w:r>
              <w:rPr>
                <w:rFonts w:hint="eastAsia" w:ascii="宋体" w:hAnsi="宋体" w:eastAsia="宋体" w:cs="Times New Roman"/>
                <w:b/>
                <w:bCs/>
                <w:sz w:val="24"/>
                <w:szCs w:val="24"/>
                <w:lang w:val="en-US" w:eastAsia="zh-CN"/>
              </w:rPr>
              <w:t>工业</w:t>
            </w:r>
            <w:r>
              <w:rPr>
                <w:rFonts w:hint="eastAsia" w:ascii="宋体" w:hAnsi="宋体" w:eastAsia="宋体" w:cs="Times New Roman"/>
                <w:sz w:val="24"/>
                <w:szCs w:val="24"/>
                <w:lang w:val="en-US" w:eastAsia="zh-CN"/>
              </w:rPr>
              <w:t>。</w:t>
            </w:r>
          </w:p>
        </w:tc>
      </w:tr>
    </w:tbl>
    <w:p w14:paraId="365ABF7C">
      <w:pPr>
        <w:rPr>
          <w:rFonts w:ascii="宋体" w:hAnsi="宋体" w:eastAsia="宋体" w:cs="Times New Roman"/>
          <w:b/>
          <w:bCs/>
          <w:kern w:val="0"/>
          <w:sz w:val="32"/>
          <w:szCs w:val="32"/>
          <w:shd w:val="clear" w:color="auto" w:fill="FFFFFF"/>
        </w:rPr>
      </w:pPr>
      <w:r>
        <w:rPr>
          <w:rFonts w:hint="eastAsia" w:ascii="宋体" w:hAnsi="宋体" w:eastAsia="宋体" w:cs="Times New Roman"/>
          <w:b/>
          <w:bCs/>
          <w:kern w:val="0"/>
          <w:sz w:val="32"/>
          <w:szCs w:val="32"/>
          <w:shd w:val="clear" w:color="auto" w:fill="FFFFFF"/>
        </w:rPr>
        <w:br w:type="page"/>
      </w:r>
    </w:p>
    <w:p w14:paraId="58DC4761">
      <w:pPr>
        <w:widowControl/>
        <w:spacing w:line="360" w:lineRule="auto"/>
        <w:jc w:val="center"/>
        <w:rPr>
          <w:rFonts w:ascii="宋体" w:hAnsi="宋体" w:eastAsia="宋体" w:cs="Times New Roman"/>
          <w:b/>
          <w:bCs/>
          <w:kern w:val="0"/>
          <w:sz w:val="32"/>
          <w:szCs w:val="32"/>
          <w:shd w:val="clear" w:color="auto" w:fill="FFFFFF"/>
        </w:rPr>
      </w:pPr>
      <w:r>
        <w:rPr>
          <w:rFonts w:hint="eastAsia" w:ascii="宋体" w:hAnsi="宋体" w:eastAsia="宋体" w:cs="Times New Roman"/>
          <w:b/>
          <w:bCs/>
          <w:kern w:val="0"/>
          <w:sz w:val="32"/>
          <w:szCs w:val="32"/>
          <w:shd w:val="clear" w:color="auto" w:fill="FFFFFF"/>
        </w:rPr>
        <w:t>磋商响应供应商须知</w:t>
      </w:r>
    </w:p>
    <w:p w14:paraId="199C7EC8">
      <w:pPr>
        <w:spacing w:line="360" w:lineRule="auto"/>
        <w:ind w:firstLine="318" w:firstLineChars="132"/>
        <w:rPr>
          <w:rFonts w:ascii="宋体" w:hAnsi="宋体" w:eastAsia="宋体" w:cs="Times New Roman"/>
          <w:b/>
          <w:bCs/>
          <w:sz w:val="24"/>
          <w:szCs w:val="24"/>
        </w:rPr>
      </w:pPr>
      <w:r>
        <w:rPr>
          <w:rFonts w:ascii="宋体" w:hAnsi="宋体" w:eastAsia="宋体" w:cs="Times New Roman"/>
          <w:b/>
          <w:bCs/>
          <w:sz w:val="24"/>
          <w:szCs w:val="24"/>
        </w:rPr>
        <w:t>1</w:t>
      </w:r>
      <w:r>
        <w:rPr>
          <w:rFonts w:hint="eastAsia" w:ascii="宋体" w:hAnsi="宋体" w:eastAsia="宋体" w:cs="Times New Roman"/>
          <w:b/>
          <w:bCs/>
          <w:sz w:val="24"/>
          <w:szCs w:val="24"/>
        </w:rPr>
        <w:t>、项目概况</w:t>
      </w:r>
    </w:p>
    <w:p w14:paraId="055D0801">
      <w:pPr>
        <w:spacing w:line="360" w:lineRule="auto"/>
        <w:ind w:firstLine="484" w:firstLineChars="202"/>
        <w:rPr>
          <w:rFonts w:hint="eastAsia" w:ascii="宋体" w:hAnsi="宋体" w:eastAsia="宋体" w:cs="Times New Roman"/>
          <w:sz w:val="24"/>
          <w:szCs w:val="24"/>
        </w:rPr>
      </w:pPr>
      <w:r>
        <w:rPr>
          <w:rFonts w:hint="eastAsia" w:ascii="宋体" w:hAnsi="宋体" w:eastAsia="宋体" w:cs="Times New Roman"/>
          <w:sz w:val="24"/>
          <w:szCs w:val="24"/>
        </w:rPr>
        <w:t>1.1采购范围：</w:t>
      </w:r>
      <w:r>
        <w:rPr>
          <w:rFonts w:hint="eastAsia" w:ascii="宋体" w:hAnsi="宋体" w:eastAsia="宋体" w:cs="Times New Roman"/>
          <w:sz w:val="24"/>
          <w:szCs w:val="24"/>
          <w:lang w:eastAsia="zh-CN"/>
        </w:rPr>
        <w:t>本项目为三门峡市陕州区城市管理局垃圾一体化综合处理项目渗滤液收集车、压缩式垃圾车、皮卡型工具车采购项目，主要内容是渗滤液收集车、压缩式垃圾车、皮卡型工具车采购及培训、验收、质保期服务、与货物有关的运输和保险及其他伴随服务</w:t>
      </w:r>
      <w:r>
        <w:rPr>
          <w:rFonts w:hint="eastAsia" w:ascii="宋体" w:hAnsi="宋体" w:eastAsia="宋体" w:cs="Times New Roman"/>
          <w:sz w:val="24"/>
          <w:szCs w:val="24"/>
        </w:rPr>
        <w:t>，具体采购内容及参数要求详见竞争性磋商文件。</w:t>
      </w:r>
    </w:p>
    <w:p w14:paraId="5D029BF1">
      <w:pPr>
        <w:spacing w:line="360" w:lineRule="auto"/>
        <w:ind w:firstLine="484" w:firstLineChars="202"/>
        <w:rPr>
          <w:rFonts w:hint="eastAsia" w:ascii="宋体" w:hAnsi="宋体" w:eastAsia="宋体" w:cs="Times New Roman"/>
          <w:sz w:val="24"/>
          <w:szCs w:val="24"/>
        </w:rPr>
      </w:pPr>
      <w:r>
        <w:rPr>
          <w:rFonts w:hint="eastAsia" w:ascii="宋体" w:hAnsi="宋体" w:eastAsia="宋体" w:cs="Times New Roman"/>
          <w:sz w:val="24"/>
          <w:szCs w:val="24"/>
        </w:rPr>
        <w:t>1.2资金来源：财政资金，已落实。</w:t>
      </w:r>
    </w:p>
    <w:p w14:paraId="3C2FE6D2">
      <w:pPr>
        <w:spacing w:line="360" w:lineRule="auto"/>
        <w:ind w:firstLine="484" w:firstLineChars="202"/>
        <w:rPr>
          <w:rFonts w:hint="eastAsia" w:ascii="宋体" w:hAnsi="宋体" w:eastAsia="宋体" w:cs="Times New Roman"/>
          <w:sz w:val="24"/>
          <w:szCs w:val="24"/>
        </w:rPr>
      </w:pPr>
      <w:r>
        <w:rPr>
          <w:rFonts w:hint="eastAsia" w:ascii="宋体" w:hAnsi="宋体" w:eastAsia="宋体" w:cs="Times New Roman"/>
          <w:sz w:val="24"/>
          <w:szCs w:val="24"/>
        </w:rPr>
        <w:t>1.3质 保 期：</w:t>
      </w:r>
      <w:r>
        <w:rPr>
          <w:rFonts w:hint="eastAsia" w:ascii="宋体" w:hAnsi="宋体" w:eastAsia="宋体" w:cs="Times New Roman"/>
          <w:sz w:val="24"/>
          <w:szCs w:val="24"/>
          <w:lang w:val="en-US" w:eastAsia="zh-CN"/>
        </w:rPr>
        <w:t>三电（电机、电控、电池）质保期为8年，除三电以外质保期为1年</w:t>
      </w:r>
      <w:r>
        <w:rPr>
          <w:rFonts w:hint="eastAsia" w:ascii="宋体" w:hAnsi="宋体" w:eastAsia="宋体" w:cs="Times New Roman"/>
          <w:sz w:val="24"/>
          <w:szCs w:val="24"/>
        </w:rPr>
        <w:t>。</w:t>
      </w:r>
    </w:p>
    <w:p w14:paraId="09C0A807">
      <w:pPr>
        <w:spacing w:line="360" w:lineRule="auto"/>
        <w:ind w:firstLine="484" w:firstLineChars="202"/>
        <w:rPr>
          <w:rFonts w:hint="eastAsia" w:ascii="宋体" w:hAnsi="宋体" w:eastAsia="宋体" w:cs="Times New Roman"/>
          <w:sz w:val="24"/>
          <w:szCs w:val="24"/>
        </w:rPr>
      </w:pPr>
      <w:r>
        <w:rPr>
          <w:rFonts w:hint="eastAsia" w:ascii="宋体" w:hAnsi="宋体" w:eastAsia="宋体" w:cs="Times New Roman"/>
          <w:sz w:val="24"/>
          <w:szCs w:val="24"/>
        </w:rPr>
        <w:t>1.4质量要求：符合国家及行业相关规范和标准。</w:t>
      </w:r>
    </w:p>
    <w:p w14:paraId="51F9AB1E">
      <w:pPr>
        <w:spacing w:line="360" w:lineRule="auto"/>
        <w:ind w:firstLine="484" w:firstLineChars="202"/>
        <w:rPr>
          <w:rFonts w:hint="eastAsia" w:ascii="宋体" w:hAnsi="宋体" w:eastAsia="宋体" w:cs="Times New Roman"/>
          <w:sz w:val="24"/>
          <w:szCs w:val="24"/>
        </w:rPr>
      </w:pPr>
      <w:r>
        <w:rPr>
          <w:rFonts w:hint="eastAsia" w:ascii="宋体" w:hAnsi="宋体" w:eastAsia="宋体" w:cs="Times New Roman"/>
          <w:sz w:val="24"/>
          <w:szCs w:val="24"/>
        </w:rPr>
        <w:t>1.5交 货 期：</w:t>
      </w:r>
      <w:r>
        <w:rPr>
          <w:rFonts w:hint="eastAsia" w:ascii="宋体" w:hAnsi="宋体" w:eastAsia="宋体" w:cs="Times New Roman"/>
          <w:sz w:val="24"/>
          <w:szCs w:val="24"/>
          <w:lang w:eastAsia="zh-CN"/>
        </w:rPr>
        <w:t>签订合同后30日历天内</w:t>
      </w:r>
      <w:r>
        <w:rPr>
          <w:rFonts w:hint="eastAsia" w:ascii="宋体" w:hAnsi="宋体" w:eastAsia="宋体" w:cs="Times New Roman"/>
          <w:sz w:val="24"/>
          <w:szCs w:val="24"/>
        </w:rPr>
        <w:t>。</w:t>
      </w:r>
    </w:p>
    <w:p w14:paraId="791DB5B6">
      <w:pPr>
        <w:spacing w:line="360" w:lineRule="auto"/>
        <w:ind w:firstLine="484" w:firstLineChars="202"/>
        <w:rPr>
          <w:rFonts w:hint="eastAsia" w:ascii="宋体" w:hAnsi="宋体" w:eastAsia="宋体" w:cs="Times New Roman"/>
          <w:sz w:val="24"/>
          <w:szCs w:val="24"/>
        </w:rPr>
      </w:pPr>
      <w:r>
        <w:rPr>
          <w:rFonts w:hint="eastAsia" w:ascii="宋体" w:hAnsi="宋体" w:eastAsia="宋体" w:cs="Times New Roman"/>
          <w:sz w:val="24"/>
          <w:szCs w:val="24"/>
        </w:rPr>
        <w:t>1.6交货地点：采购人指定地点。</w:t>
      </w:r>
    </w:p>
    <w:p w14:paraId="7FAD317F">
      <w:pPr>
        <w:spacing w:line="360" w:lineRule="auto"/>
        <w:ind w:firstLine="424" w:firstLineChars="176"/>
        <w:rPr>
          <w:rFonts w:ascii="宋体" w:hAnsi="宋体" w:eastAsia="宋体" w:cs="Times New Roman"/>
          <w:b/>
          <w:bCs/>
          <w:sz w:val="24"/>
          <w:szCs w:val="24"/>
        </w:rPr>
      </w:pPr>
      <w:r>
        <w:rPr>
          <w:rFonts w:ascii="宋体" w:hAnsi="宋体" w:eastAsia="宋体" w:cs="Times New Roman"/>
          <w:b/>
          <w:bCs/>
          <w:sz w:val="24"/>
          <w:szCs w:val="24"/>
        </w:rPr>
        <w:t>2</w:t>
      </w:r>
      <w:r>
        <w:rPr>
          <w:rFonts w:hint="eastAsia" w:ascii="宋体" w:hAnsi="宋体" w:eastAsia="宋体" w:cs="Times New Roman"/>
          <w:b/>
          <w:bCs/>
          <w:sz w:val="24"/>
          <w:szCs w:val="24"/>
        </w:rPr>
        <w:t>、合格的磋商响应供应商</w:t>
      </w:r>
    </w:p>
    <w:p w14:paraId="0C586685">
      <w:pPr>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cs="Times New Roman"/>
          <w:sz w:val="24"/>
          <w:szCs w:val="24"/>
        </w:rPr>
        <w:t>1</w:t>
      </w:r>
      <w:r>
        <w:rPr>
          <w:rFonts w:hint="eastAsia" w:ascii="宋体" w:hAnsi="宋体" w:eastAsia="宋体" w:cs="Times New Roman"/>
          <w:sz w:val="24"/>
          <w:szCs w:val="24"/>
        </w:rPr>
        <w:t>.</w:t>
      </w:r>
      <w:r>
        <w:rPr>
          <w:rFonts w:ascii="宋体" w:hAnsi="宋体" w:eastAsia="宋体" w:cs="Times New Roman"/>
          <w:sz w:val="24"/>
          <w:szCs w:val="24"/>
        </w:rPr>
        <w:t>满足《中华人民共和国政府采购法》第二十二条规定；</w:t>
      </w:r>
    </w:p>
    <w:p w14:paraId="265306EF">
      <w:pPr>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cs="Times New Roman"/>
          <w:sz w:val="24"/>
          <w:szCs w:val="24"/>
        </w:rPr>
        <w:t>2</w:t>
      </w:r>
      <w:r>
        <w:rPr>
          <w:rFonts w:hint="eastAsia" w:ascii="宋体" w:hAnsi="宋体" w:eastAsia="宋体" w:cs="Times New Roman"/>
          <w:sz w:val="24"/>
          <w:szCs w:val="24"/>
        </w:rPr>
        <w:t>.</w:t>
      </w:r>
      <w:r>
        <w:rPr>
          <w:rFonts w:ascii="宋体" w:hAnsi="宋体" w:eastAsia="宋体" w:cs="Times New Roman"/>
          <w:sz w:val="24"/>
          <w:szCs w:val="24"/>
        </w:rPr>
        <w:t>落实政府采购政策满足的资格要求：</w:t>
      </w:r>
      <w:r>
        <w:rPr>
          <w:rFonts w:hint="eastAsia" w:ascii="宋体" w:hAnsi="宋体" w:eastAsia="宋体" w:cs="Times New Roman"/>
          <w:sz w:val="24"/>
          <w:szCs w:val="24"/>
        </w:rPr>
        <w:t>本项目</w:t>
      </w:r>
      <w:r>
        <w:rPr>
          <w:rFonts w:hint="eastAsia" w:ascii="宋体" w:hAnsi="宋体" w:eastAsia="宋体" w:cs="Times New Roman"/>
          <w:sz w:val="24"/>
          <w:szCs w:val="24"/>
          <w:lang w:val="en-US" w:eastAsia="zh-CN"/>
        </w:rPr>
        <w:t>非</w:t>
      </w:r>
      <w:r>
        <w:rPr>
          <w:rFonts w:hint="eastAsia" w:ascii="宋体" w:hAnsi="宋体" w:eastAsia="宋体" w:cs="Times New Roman"/>
          <w:sz w:val="24"/>
          <w:szCs w:val="24"/>
        </w:rPr>
        <w:t>专门面向中小微企业采购项目,执行促进中小企业（监狱企业、残疾人福利性企业）发展等政府采购政策</w:t>
      </w:r>
      <w:r>
        <w:rPr>
          <w:rFonts w:hint="eastAsia" w:ascii="宋体" w:hAnsi="宋体" w:eastAsia="宋体" w:cs="Times New Roman"/>
          <w:color w:val="000000"/>
          <w:sz w:val="24"/>
          <w:szCs w:val="24"/>
        </w:rPr>
        <w:t>。</w:t>
      </w:r>
    </w:p>
    <w:p w14:paraId="7AAB67BD">
      <w:pPr>
        <w:spacing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cs="Times New Roman"/>
          <w:sz w:val="24"/>
          <w:szCs w:val="24"/>
        </w:rPr>
        <w:t>3</w:t>
      </w:r>
      <w:r>
        <w:rPr>
          <w:rFonts w:hint="eastAsia" w:ascii="宋体" w:hAnsi="宋体" w:eastAsia="宋体" w:cs="Times New Roman"/>
          <w:sz w:val="24"/>
          <w:szCs w:val="24"/>
        </w:rPr>
        <w:t>.</w:t>
      </w:r>
      <w:r>
        <w:rPr>
          <w:rFonts w:ascii="宋体" w:hAnsi="宋体" w:eastAsia="宋体" w:cs="Times New Roman"/>
          <w:sz w:val="24"/>
          <w:szCs w:val="24"/>
        </w:rPr>
        <w:t>本项目的特定资格要求</w:t>
      </w:r>
    </w:p>
    <w:p w14:paraId="2EE8F1C1">
      <w:pPr>
        <w:spacing w:line="360" w:lineRule="auto"/>
        <w:ind w:firstLine="566" w:firstLineChars="236"/>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cs="Times New Roman"/>
          <w:sz w:val="24"/>
          <w:szCs w:val="24"/>
        </w:rPr>
        <w:t>3.1</w:t>
      </w:r>
      <w:r>
        <w:rPr>
          <w:rFonts w:hint="eastAsia" w:ascii="宋体" w:hAnsi="宋体" w:eastAsia="宋体" w:cs="Times New Roman"/>
          <w:sz w:val="24"/>
          <w:szCs w:val="24"/>
        </w:rPr>
        <w:t>供应商具有合格有效的</w:t>
      </w:r>
      <w:r>
        <w:rPr>
          <w:rFonts w:hint="eastAsia" w:ascii="宋体" w:hAnsi="宋体" w:eastAsia="宋体" w:cs="Times New Roman"/>
          <w:sz w:val="24"/>
          <w:szCs w:val="24"/>
          <w:lang w:eastAsia="zh-CN"/>
        </w:rPr>
        <w:t>营业执照；提供具有履行合同所必需的设备和专业技术能力（自行作出承诺，格式自拟）</w:t>
      </w:r>
      <w:r>
        <w:rPr>
          <w:rFonts w:hint="eastAsia" w:ascii="宋体" w:hAnsi="宋体" w:eastAsia="宋体" w:cs="Times New Roman"/>
          <w:sz w:val="24"/>
          <w:szCs w:val="24"/>
        </w:rPr>
        <w:t>；</w:t>
      </w:r>
    </w:p>
    <w:p w14:paraId="2AED08F7">
      <w:pPr>
        <w:spacing w:line="360" w:lineRule="auto"/>
        <w:ind w:firstLine="566" w:firstLineChars="236"/>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cs="Times New Roman"/>
          <w:sz w:val="24"/>
          <w:szCs w:val="24"/>
        </w:rPr>
        <w:t>3.2</w:t>
      </w:r>
      <w:r>
        <w:rPr>
          <w:rFonts w:hint="eastAsia" w:ascii="宋体" w:hAnsi="宋体" w:eastAsia="宋体" w:cs="Times New Roman"/>
          <w:sz w:val="24"/>
          <w:szCs w:val="24"/>
          <w:lang w:eastAsia="zh-CN"/>
        </w:rPr>
        <w:t>供应商</w:t>
      </w:r>
      <w:r>
        <w:rPr>
          <w:rFonts w:hint="eastAsia" w:ascii="宋体" w:hAnsi="宋体" w:eastAsia="宋体" w:cs="Times New Roman"/>
          <w:sz w:val="24"/>
          <w:szCs w:val="24"/>
          <w:lang w:val="en-US" w:eastAsia="zh-CN"/>
        </w:rPr>
        <w:t>出具无行贿记录在中国裁判文书网自行查询或自行承诺（查询对象：企业、法定代表人）及企业自行承诺无商业贿赂和不正当竞争行为</w:t>
      </w:r>
      <w:r>
        <w:rPr>
          <w:rFonts w:hint="eastAsia" w:ascii="宋体" w:hAnsi="宋体" w:eastAsia="宋体" w:cs="Times New Roman"/>
          <w:sz w:val="24"/>
          <w:szCs w:val="24"/>
        </w:rPr>
        <w:t>；</w:t>
      </w:r>
    </w:p>
    <w:p w14:paraId="38B97A2D">
      <w:pPr>
        <w:spacing w:line="360" w:lineRule="auto"/>
        <w:ind w:firstLine="566" w:firstLineChars="236"/>
        <w:rPr>
          <w:rFonts w:hint="eastAsia" w:ascii="宋体" w:hAnsi="宋体" w:eastAsia="宋体" w:cs="Times New Roman"/>
          <w:sz w:val="24"/>
          <w:szCs w:val="24"/>
          <w:lang w:val="en-US" w:eastAsia="zh-CN"/>
        </w:rPr>
      </w:pPr>
      <w:r>
        <w:rPr>
          <w:rFonts w:hint="eastAsia" w:ascii="宋体" w:hAnsi="宋体" w:eastAsia="宋体" w:cs="Times New Roman"/>
          <w:sz w:val="24"/>
          <w:szCs w:val="24"/>
        </w:rPr>
        <w:t>2.</w:t>
      </w:r>
      <w:r>
        <w:rPr>
          <w:rFonts w:ascii="宋体" w:hAnsi="宋体" w:eastAsia="宋体" w:cs="Times New Roman"/>
          <w:sz w:val="24"/>
          <w:szCs w:val="24"/>
        </w:rPr>
        <w:t>3.3</w:t>
      </w:r>
      <w:r>
        <w:rPr>
          <w:rFonts w:hint="eastAsia" w:ascii="宋体" w:hAnsi="宋体" w:eastAsia="宋体" w:cs="Times New Roman"/>
          <w:sz w:val="24"/>
          <w:szCs w:val="24"/>
          <w:lang w:val="en-US" w:eastAsia="zh-CN"/>
        </w:rPr>
        <w:t>根据《关于在政府采购活动中查询及使用信用记录有关问题的通知》(财库[2016]125号)和豫财购【2016】15号的规定，企业没有被列入“信用中国”网站的“失信被执行人”、“重大税收违法失信主体”及“中国政府采购网站”的“政府采购严重违法失信行为记录名单”的供应商。【查询渠道：“信用中国”网站（www.creditchina.gov.cn）、中国政府采购网（www.ccgp.gov.cn）】（提供“信用中国”和“中国政府采购网”网站的查询信息截图，查询时间自公告发布之日起)；</w:t>
      </w:r>
    </w:p>
    <w:p w14:paraId="636C290D">
      <w:pPr>
        <w:spacing w:line="360" w:lineRule="auto"/>
        <w:ind w:firstLine="566" w:firstLineChars="236"/>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2.3.4本项目不接受联合体投标；</w:t>
      </w:r>
    </w:p>
    <w:p w14:paraId="7E9BD823">
      <w:pPr>
        <w:spacing w:line="360" w:lineRule="auto"/>
        <w:ind w:firstLine="566" w:firstLineChars="236"/>
        <w:rPr>
          <w:rFonts w:ascii="宋体" w:hAnsi="宋体" w:eastAsia="宋体" w:cs="Times New Roman"/>
          <w:sz w:val="24"/>
          <w:szCs w:val="24"/>
        </w:rPr>
      </w:pPr>
      <w:r>
        <w:rPr>
          <w:rFonts w:hint="eastAsia" w:ascii="宋体" w:hAnsi="宋体" w:eastAsia="宋体" w:cs="Times New Roman"/>
          <w:sz w:val="24"/>
          <w:szCs w:val="24"/>
          <w:lang w:val="en-US" w:eastAsia="zh-CN"/>
        </w:rPr>
        <w:t>2.3.5本次磋商实行资格后审</w:t>
      </w:r>
      <w:r>
        <w:rPr>
          <w:rFonts w:hint="eastAsia" w:ascii="宋体" w:hAnsi="宋体" w:eastAsia="宋体" w:cs="Times New Roman"/>
          <w:sz w:val="24"/>
          <w:szCs w:val="24"/>
        </w:rPr>
        <w:t>；</w:t>
      </w:r>
    </w:p>
    <w:p w14:paraId="503C9E3A">
      <w:pPr>
        <w:spacing w:line="360" w:lineRule="auto"/>
        <w:ind w:firstLine="424" w:firstLineChars="176"/>
        <w:rPr>
          <w:rFonts w:ascii="宋体" w:hAnsi="宋体" w:eastAsia="宋体" w:cs="Times New Roman"/>
          <w:b/>
          <w:bCs/>
          <w:sz w:val="24"/>
          <w:szCs w:val="24"/>
        </w:rPr>
      </w:pPr>
      <w:r>
        <w:rPr>
          <w:rFonts w:ascii="宋体" w:hAnsi="宋体" w:eastAsia="宋体" w:cs="Times New Roman"/>
          <w:b/>
          <w:bCs/>
          <w:sz w:val="24"/>
          <w:szCs w:val="24"/>
        </w:rPr>
        <w:t>3</w:t>
      </w:r>
      <w:r>
        <w:rPr>
          <w:rFonts w:hint="eastAsia" w:ascii="宋体" w:hAnsi="宋体" w:eastAsia="宋体" w:cs="Times New Roman"/>
          <w:b/>
          <w:bCs/>
          <w:sz w:val="24"/>
          <w:szCs w:val="24"/>
        </w:rPr>
        <w:t>、费用</w:t>
      </w:r>
    </w:p>
    <w:p w14:paraId="1587D03E">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3.1</w:t>
      </w:r>
      <w:r>
        <w:rPr>
          <w:rFonts w:hint="eastAsia" w:ascii="宋体" w:hAnsi="宋体" w:eastAsia="宋体" w:cs="Times New Roman"/>
          <w:sz w:val="24"/>
          <w:szCs w:val="24"/>
        </w:rPr>
        <w:t>磋商响应供应商应自行承担参加磋商活动有关的全部费用，采购人在任何情况下均无义务和责任承担上述费用。</w:t>
      </w:r>
    </w:p>
    <w:p w14:paraId="102518A9">
      <w:pPr>
        <w:spacing w:line="360" w:lineRule="auto"/>
        <w:ind w:firstLine="424" w:firstLineChars="176"/>
        <w:rPr>
          <w:rFonts w:ascii="宋体" w:hAnsi="宋体" w:eastAsia="宋体" w:cs="Times New Roman"/>
          <w:b/>
          <w:bCs/>
          <w:sz w:val="24"/>
          <w:szCs w:val="24"/>
        </w:rPr>
      </w:pPr>
      <w:r>
        <w:rPr>
          <w:rFonts w:ascii="宋体" w:hAnsi="宋体" w:eastAsia="宋体" w:cs="Times New Roman"/>
          <w:b/>
          <w:bCs/>
          <w:sz w:val="24"/>
          <w:szCs w:val="24"/>
        </w:rPr>
        <w:t>4</w:t>
      </w:r>
      <w:r>
        <w:rPr>
          <w:rFonts w:hint="eastAsia" w:ascii="宋体" w:hAnsi="宋体" w:eastAsia="宋体" w:cs="Times New Roman"/>
          <w:b/>
          <w:bCs/>
          <w:sz w:val="24"/>
          <w:szCs w:val="24"/>
        </w:rPr>
        <w:t>、竞争性磋商文件的构成</w:t>
      </w:r>
    </w:p>
    <w:p w14:paraId="007A6BFE">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第一章  竞争性磋商公告</w:t>
      </w:r>
    </w:p>
    <w:p w14:paraId="61FEEEA0">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第二章  磋商响应供应商须知及前附表</w:t>
      </w:r>
    </w:p>
    <w:p w14:paraId="032A748A">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第三章  采购内容及要求</w:t>
      </w:r>
    </w:p>
    <w:p w14:paraId="1B41F3E8">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第四章  评审办法</w:t>
      </w:r>
    </w:p>
    <w:p w14:paraId="5FE195B3">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第五章  合同主要条款及格式</w:t>
      </w:r>
    </w:p>
    <w:p w14:paraId="1534DBE0">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第六章  电子化响应文件内容及格式</w:t>
      </w:r>
    </w:p>
    <w:p w14:paraId="0FAAE2FA">
      <w:pPr>
        <w:spacing w:line="360" w:lineRule="auto"/>
        <w:ind w:firstLine="424" w:firstLineChars="176"/>
        <w:rPr>
          <w:rFonts w:ascii="宋体" w:hAnsi="宋体" w:eastAsia="宋体" w:cs="Times New Roman"/>
          <w:b/>
          <w:bCs/>
          <w:sz w:val="24"/>
          <w:szCs w:val="24"/>
        </w:rPr>
      </w:pPr>
      <w:r>
        <w:rPr>
          <w:rFonts w:ascii="宋体" w:hAnsi="宋体" w:eastAsia="宋体" w:cs="Times New Roman"/>
          <w:b/>
          <w:bCs/>
          <w:sz w:val="24"/>
          <w:szCs w:val="24"/>
        </w:rPr>
        <w:t>5</w:t>
      </w:r>
      <w:r>
        <w:rPr>
          <w:rFonts w:hint="eastAsia" w:ascii="宋体" w:hAnsi="宋体" w:eastAsia="宋体" w:cs="Times New Roman"/>
          <w:b/>
          <w:bCs/>
          <w:sz w:val="24"/>
          <w:szCs w:val="24"/>
        </w:rPr>
        <w:t>、竞争性磋商文件的澄清</w:t>
      </w:r>
    </w:p>
    <w:p w14:paraId="0759C36E">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5.1</w:t>
      </w:r>
      <w:r>
        <w:rPr>
          <w:rFonts w:hint="eastAsia" w:ascii="宋体" w:hAnsi="宋体" w:eastAsia="宋体" w:cs="Times New Roman"/>
          <w:sz w:val="24"/>
          <w:szCs w:val="24"/>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14:paraId="3A175E30">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5.2</w:t>
      </w:r>
      <w:r>
        <w:rPr>
          <w:rFonts w:hint="eastAsia" w:ascii="宋体" w:hAnsi="宋体" w:eastAsia="宋体" w:cs="Times New Roman"/>
          <w:sz w:val="24"/>
          <w:szCs w:val="24"/>
        </w:rPr>
        <w:t>采购人将视情况在认为必要时于采购截止时间前答疑。</w:t>
      </w:r>
    </w:p>
    <w:p w14:paraId="798902D6">
      <w:pPr>
        <w:spacing w:line="360" w:lineRule="auto"/>
        <w:ind w:firstLine="424" w:firstLineChars="176"/>
        <w:rPr>
          <w:rFonts w:ascii="宋体" w:hAnsi="宋体" w:eastAsia="宋体" w:cs="Times New Roman"/>
          <w:b/>
          <w:bCs/>
          <w:sz w:val="24"/>
          <w:szCs w:val="24"/>
        </w:rPr>
      </w:pPr>
      <w:r>
        <w:rPr>
          <w:rFonts w:ascii="宋体" w:hAnsi="宋体" w:eastAsia="宋体" w:cs="Times New Roman"/>
          <w:b/>
          <w:bCs/>
          <w:sz w:val="24"/>
          <w:szCs w:val="24"/>
        </w:rPr>
        <w:t>6</w:t>
      </w:r>
      <w:r>
        <w:rPr>
          <w:rFonts w:hint="eastAsia" w:ascii="宋体" w:hAnsi="宋体" w:eastAsia="宋体" w:cs="Times New Roman"/>
          <w:b/>
          <w:bCs/>
          <w:sz w:val="24"/>
          <w:szCs w:val="24"/>
        </w:rPr>
        <w:t>、竞争性磋商文件的修改</w:t>
      </w:r>
    </w:p>
    <w:p w14:paraId="41A6E182">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6.1</w:t>
      </w:r>
      <w:r>
        <w:rPr>
          <w:rFonts w:hint="eastAsia" w:ascii="宋体" w:hAnsi="宋体" w:eastAsia="宋体" w:cs="Times New Roman"/>
          <w:sz w:val="24"/>
          <w:szCs w:val="24"/>
        </w:rPr>
        <w:t>竞争性磋商文件的修改书将构成磋商响应文件的一部分，对所有磋商响应供应商均有约束力。</w:t>
      </w:r>
    </w:p>
    <w:p w14:paraId="0B3A1E4D">
      <w:pPr>
        <w:spacing w:line="360" w:lineRule="auto"/>
        <w:ind w:firstLine="424" w:firstLineChars="176"/>
        <w:rPr>
          <w:rFonts w:ascii="宋体" w:hAnsi="宋体" w:eastAsia="宋体" w:cs="Times New Roman"/>
          <w:b/>
          <w:bCs/>
          <w:sz w:val="24"/>
          <w:szCs w:val="24"/>
        </w:rPr>
      </w:pPr>
      <w:r>
        <w:rPr>
          <w:rFonts w:ascii="宋体" w:hAnsi="宋体" w:eastAsia="宋体" w:cs="Times New Roman"/>
          <w:b/>
          <w:bCs/>
          <w:sz w:val="24"/>
          <w:szCs w:val="24"/>
        </w:rPr>
        <w:t>7</w:t>
      </w:r>
      <w:r>
        <w:rPr>
          <w:rFonts w:hint="eastAsia" w:ascii="宋体" w:hAnsi="宋体" w:eastAsia="宋体" w:cs="Times New Roman"/>
          <w:b/>
          <w:bCs/>
          <w:sz w:val="24"/>
          <w:szCs w:val="24"/>
        </w:rPr>
        <w:t>、要求</w:t>
      </w:r>
    </w:p>
    <w:p w14:paraId="2CF5937D">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7.1</w:t>
      </w:r>
      <w:r>
        <w:rPr>
          <w:rFonts w:hint="eastAsia" w:ascii="宋体" w:hAnsi="宋体" w:eastAsia="宋体" w:cs="Times New Roman"/>
          <w:sz w:val="24"/>
          <w:szCs w:val="24"/>
        </w:rPr>
        <w:t>磋商响应供应商应仔细阅读竞争性磋商文件的所有内容，按竞争性磋商文件的要求提供磋商响应文件，并保证所提供资料的真实性，以使其磋商响应文件对竞争性磋商文件作出实质性响应，否则，其磋商响应文件不予接受。</w:t>
      </w:r>
    </w:p>
    <w:p w14:paraId="40AABBF0">
      <w:pPr>
        <w:spacing w:line="360" w:lineRule="auto"/>
        <w:ind w:firstLine="424" w:firstLineChars="176"/>
        <w:rPr>
          <w:rFonts w:ascii="宋体" w:hAnsi="宋体" w:eastAsia="宋体" w:cs="Times New Roman"/>
          <w:b/>
          <w:bCs/>
          <w:sz w:val="24"/>
          <w:szCs w:val="24"/>
        </w:rPr>
      </w:pPr>
      <w:r>
        <w:rPr>
          <w:rFonts w:ascii="宋体" w:hAnsi="宋体" w:eastAsia="宋体" w:cs="Times New Roman"/>
          <w:b/>
          <w:bCs/>
          <w:sz w:val="24"/>
          <w:szCs w:val="24"/>
        </w:rPr>
        <w:t>8</w:t>
      </w:r>
      <w:r>
        <w:rPr>
          <w:rFonts w:hint="eastAsia" w:ascii="宋体" w:hAnsi="宋体" w:eastAsia="宋体" w:cs="Times New Roman"/>
          <w:b/>
          <w:bCs/>
          <w:sz w:val="24"/>
          <w:szCs w:val="24"/>
        </w:rPr>
        <w:t>、电子化磋商响应文件的组成</w:t>
      </w:r>
    </w:p>
    <w:p w14:paraId="68538D75">
      <w:pPr>
        <w:spacing w:line="460" w:lineRule="exact"/>
        <w:ind w:firstLine="424" w:firstLineChars="176"/>
        <w:rPr>
          <w:rFonts w:ascii="宋体" w:hAnsi="宋体" w:eastAsia="宋体" w:cs="Times New Roman"/>
          <w:sz w:val="24"/>
          <w:szCs w:val="24"/>
        </w:rPr>
      </w:pPr>
      <w:r>
        <w:rPr>
          <w:rFonts w:hint="eastAsia" w:ascii="宋体" w:hAnsi="宋体" w:eastAsia="宋体" w:cs="Times New Roman"/>
          <w:b/>
          <w:bCs/>
          <w:sz w:val="24"/>
          <w:szCs w:val="24"/>
        </w:rPr>
        <w:t>8.1</w:t>
      </w:r>
      <w:r>
        <w:rPr>
          <w:rFonts w:hint="eastAsia" w:ascii="宋体" w:hAnsi="宋体" w:eastAsia="宋体" w:cs="Times New Roman"/>
          <w:sz w:val="24"/>
          <w:szCs w:val="24"/>
        </w:rPr>
        <w:t>综合标</w:t>
      </w:r>
    </w:p>
    <w:p w14:paraId="4DED254C">
      <w:pPr>
        <w:spacing w:line="460" w:lineRule="exact"/>
        <w:ind w:firstLine="424" w:firstLineChars="176"/>
        <w:rPr>
          <w:rFonts w:ascii="宋体" w:hAnsi="宋体" w:eastAsia="宋体" w:cs="Times New Roman"/>
          <w:sz w:val="24"/>
          <w:szCs w:val="24"/>
        </w:rPr>
      </w:pPr>
      <w:r>
        <w:rPr>
          <w:rFonts w:hint="eastAsia" w:ascii="宋体" w:hAnsi="宋体" w:eastAsia="宋体" w:cs="Times New Roman"/>
          <w:b/>
          <w:bCs/>
          <w:sz w:val="24"/>
          <w:szCs w:val="24"/>
        </w:rPr>
        <w:t>8.1.1</w:t>
      </w:r>
      <w:r>
        <w:rPr>
          <w:rFonts w:hint="eastAsia" w:ascii="宋体" w:hAnsi="宋体" w:eastAsia="宋体" w:cs="Times New Roman"/>
          <w:sz w:val="24"/>
          <w:szCs w:val="24"/>
        </w:rPr>
        <w:t>法定代表人身份证明书</w:t>
      </w:r>
    </w:p>
    <w:p w14:paraId="44619562">
      <w:pPr>
        <w:spacing w:line="460" w:lineRule="exact"/>
        <w:ind w:firstLine="424" w:firstLineChars="176"/>
        <w:rPr>
          <w:rFonts w:ascii="宋体" w:hAnsi="宋体" w:eastAsia="宋体" w:cs="Times New Roman"/>
          <w:sz w:val="24"/>
          <w:szCs w:val="24"/>
        </w:rPr>
      </w:pPr>
      <w:r>
        <w:rPr>
          <w:rFonts w:hint="eastAsia" w:ascii="宋体" w:hAnsi="宋体" w:eastAsia="宋体" w:cs="Times New Roman"/>
          <w:b/>
          <w:bCs/>
          <w:sz w:val="24"/>
          <w:szCs w:val="24"/>
        </w:rPr>
        <w:t>8.1.2</w:t>
      </w:r>
      <w:r>
        <w:rPr>
          <w:rFonts w:hint="eastAsia" w:ascii="宋体" w:hAnsi="宋体" w:eastAsia="宋体" w:cs="Times New Roman"/>
          <w:sz w:val="24"/>
          <w:szCs w:val="24"/>
        </w:rPr>
        <w:t>磋商响应函</w:t>
      </w:r>
    </w:p>
    <w:p w14:paraId="71B14E02">
      <w:pPr>
        <w:spacing w:line="460" w:lineRule="exact"/>
        <w:ind w:firstLine="424" w:firstLineChars="176"/>
        <w:rPr>
          <w:rFonts w:ascii="宋体" w:hAnsi="宋体" w:eastAsia="宋体" w:cs="Times New Roman"/>
          <w:sz w:val="24"/>
          <w:szCs w:val="24"/>
        </w:rPr>
      </w:pPr>
      <w:r>
        <w:rPr>
          <w:rFonts w:hint="eastAsia" w:ascii="宋体" w:hAnsi="宋体" w:eastAsia="宋体" w:cs="Times New Roman"/>
          <w:b/>
          <w:bCs/>
          <w:sz w:val="24"/>
          <w:szCs w:val="24"/>
        </w:rPr>
        <w:t>8.1.3</w:t>
      </w:r>
      <w:r>
        <w:rPr>
          <w:rFonts w:hint="eastAsia" w:ascii="宋体" w:hAnsi="宋体" w:eastAsia="宋体" w:cs="Times New Roman"/>
          <w:sz w:val="24"/>
          <w:szCs w:val="24"/>
        </w:rPr>
        <w:t>首次报价一览表</w:t>
      </w:r>
    </w:p>
    <w:p w14:paraId="4E8AF9CC">
      <w:pPr>
        <w:spacing w:line="460" w:lineRule="exact"/>
        <w:ind w:firstLine="424" w:firstLineChars="176"/>
        <w:rPr>
          <w:rFonts w:ascii="宋体" w:hAnsi="宋体" w:eastAsia="宋体" w:cs="Times New Roman"/>
          <w:sz w:val="24"/>
          <w:szCs w:val="24"/>
        </w:rPr>
      </w:pPr>
      <w:r>
        <w:rPr>
          <w:rFonts w:hint="eastAsia" w:ascii="宋体" w:hAnsi="宋体" w:eastAsia="宋体" w:cs="Times New Roman"/>
          <w:b/>
          <w:bCs/>
          <w:sz w:val="24"/>
          <w:szCs w:val="24"/>
        </w:rPr>
        <w:t>8.1.4</w:t>
      </w:r>
      <w:r>
        <w:rPr>
          <w:rFonts w:hint="eastAsia" w:ascii="宋体" w:hAnsi="宋体" w:eastAsia="宋体" w:cs="Times New Roman"/>
          <w:sz w:val="24"/>
          <w:szCs w:val="24"/>
        </w:rPr>
        <w:t>资格审查资料</w:t>
      </w:r>
    </w:p>
    <w:p w14:paraId="6DA928C2">
      <w:pPr>
        <w:spacing w:line="460" w:lineRule="exact"/>
        <w:ind w:firstLine="424" w:firstLineChars="176"/>
        <w:rPr>
          <w:rFonts w:ascii="宋体" w:hAnsi="宋体" w:eastAsia="宋体" w:cs="Times New Roman"/>
          <w:sz w:val="24"/>
          <w:szCs w:val="24"/>
        </w:rPr>
      </w:pPr>
      <w:r>
        <w:rPr>
          <w:rFonts w:hint="eastAsia" w:ascii="宋体" w:hAnsi="宋体" w:eastAsia="宋体" w:cs="Times New Roman"/>
          <w:b/>
          <w:bCs/>
          <w:sz w:val="24"/>
          <w:szCs w:val="24"/>
        </w:rPr>
        <w:t>8.1.5</w:t>
      </w:r>
      <w:r>
        <w:rPr>
          <w:rFonts w:hint="eastAsia" w:ascii="宋体" w:hAnsi="宋体" w:eastAsia="宋体" w:cs="Times New Roman"/>
          <w:sz w:val="24"/>
          <w:szCs w:val="24"/>
        </w:rPr>
        <w:t>中小微企业声明函</w:t>
      </w:r>
    </w:p>
    <w:p w14:paraId="2A54954F">
      <w:pPr>
        <w:spacing w:after="120" w:line="360" w:lineRule="auto"/>
        <w:ind w:firstLine="424" w:firstLineChars="176"/>
        <w:rPr>
          <w:rFonts w:ascii="宋体" w:hAnsi="宋体" w:eastAsia="宋体" w:cs="Times New Roman"/>
          <w:bCs/>
          <w:kern w:val="0"/>
          <w:sz w:val="24"/>
          <w:szCs w:val="24"/>
        </w:rPr>
      </w:pPr>
      <w:r>
        <w:rPr>
          <w:rFonts w:hint="eastAsia" w:ascii="宋体" w:hAnsi="宋体" w:eastAsia="宋体" w:cs="Times New Roman"/>
          <w:b/>
          <w:bCs/>
          <w:kern w:val="0"/>
          <w:sz w:val="24"/>
          <w:szCs w:val="24"/>
        </w:rPr>
        <w:t>8.1.6</w:t>
      </w:r>
      <w:r>
        <w:rPr>
          <w:rFonts w:hint="eastAsia" w:ascii="宋体" w:hAnsi="宋体" w:eastAsia="宋体" w:cs="Times New Roman"/>
          <w:bCs/>
          <w:kern w:val="0"/>
          <w:sz w:val="24"/>
          <w:szCs w:val="24"/>
        </w:rPr>
        <w:t>残疾人福利性单位声明函</w:t>
      </w:r>
    </w:p>
    <w:p w14:paraId="0A86EAA5">
      <w:pPr>
        <w:spacing w:after="120" w:line="360" w:lineRule="auto"/>
        <w:ind w:firstLine="424" w:firstLineChars="176"/>
        <w:rPr>
          <w:rFonts w:ascii="宋体" w:hAnsi="宋体" w:eastAsia="宋体" w:cs="Times New Roman"/>
          <w:bCs/>
          <w:kern w:val="0"/>
          <w:sz w:val="24"/>
          <w:szCs w:val="24"/>
        </w:rPr>
      </w:pPr>
      <w:r>
        <w:rPr>
          <w:rFonts w:hint="eastAsia" w:ascii="宋体" w:hAnsi="宋体" w:eastAsia="宋体" w:cs="Times New Roman"/>
          <w:b/>
          <w:bCs/>
          <w:kern w:val="0"/>
          <w:sz w:val="24"/>
          <w:szCs w:val="24"/>
        </w:rPr>
        <w:t>8</w:t>
      </w:r>
      <w:r>
        <w:rPr>
          <w:rFonts w:ascii="宋体" w:hAnsi="宋体" w:eastAsia="宋体" w:cs="Times New Roman"/>
          <w:b/>
          <w:bCs/>
          <w:kern w:val="0"/>
          <w:sz w:val="24"/>
          <w:szCs w:val="24"/>
        </w:rPr>
        <w:t>.1.7</w:t>
      </w:r>
      <w:r>
        <w:rPr>
          <w:rFonts w:hint="eastAsia" w:ascii="宋体" w:hAnsi="宋体" w:eastAsia="宋体" w:cs="Times New Roman"/>
          <w:bCs/>
          <w:kern w:val="0"/>
          <w:sz w:val="24"/>
          <w:szCs w:val="24"/>
        </w:rPr>
        <w:t>监狱企业证明文件</w:t>
      </w:r>
    </w:p>
    <w:p w14:paraId="5CD2EB24">
      <w:pPr>
        <w:spacing w:after="120" w:line="360" w:lineRule="auto"/>
        <w:ind w:firstLine="424" w:firstLineChars="176"/>
        <w:rPr>
          <w:rFonts w:ascii="宋体" w:hAnsi="宋体" w:eastAsia="宋体" w:cs="Times New Roman"/>
          <w:kern w:val="0"/>
          <w:sz w:val="24"/>
          <w:szCs w:val="24"/>
        </w:rPr>
      </w:pPr>
      <w:r>
        <w:rPr>
          <w:rFonts w:hint="eastAsia" w:ascii="宋体" w:hAnsi="宋体" w:eastAsia="宋体" w:cs="Times New Roman"/>
          <w:b/>
          <w:kern w:val="0"/>
          <w:sz w:val="24"/>
          <w:szCs w:val="24"/>
        </w:rPr>
        <w:t>8.1.8</w:t>
      </w:r>
      <w:r>
        <w:rPr>
          <w:rFonts w:hint="eastAsia" w:ascii="宋体" w:hAnsi="宋体" w:eastAsia="宋体" w:cs="Times New Roman"/>
          <w:kern w:val="0"/>
          <w:sz w:val="24"/>
          <w:szCs w:val="24"/>
        </w:rPr>
        <w:t>人员培训及售后服务承诺</w:t>
      </w:r>
    </w:p>
    <w:p w14:paraId="7D69CB05">
      <w:pPr>
        <w:spacing w:after="120" w:line="360" w:lineRule="auto"/>
        <w:ind w:firstLine="424" w:firstLineChars="176"/>
        <w:rPr>
          <w:rFonts w:ascii="宋体" w:hAnsi="宋体" w:eastAsia="宋体" w:cs="Times New Roman"/>
          <w:kern w:val="0"/>
          <w:sz w:val="24"/>
          <w:szCs w:val="24"/>
        </w:rPr>
      </w:pPr>
      <w:r>
        <w:rPr>
          <w:rFonts w:hint="eastAsia" w:ascii="宋体" w:hAnsi="宋体" w:eastAsia="宋体" w:cs="Times New Roman"/>
          <w:b/>
          <w:bCs/>
          <w:kern w:val="0"/>
          <w:sz w:val="24"/>
          <w:szCs w:val="24"/>
        </w:rPr>
        <w:t>8.2</w:t>
      </w:r>
      <w:r>
        <w:rPr>
          <w:rFonts w:hint="eastAsia" w:ascii="宋体" w:hAnsi="宋体" w:eastAsia="宋体" w:cs="Times New Roman"/>
          <w:kern w:val="0"/>
          <w:sz w:val="24"/>
          <w:szCs w:val="24"/>
        </w:rPr>
        <w:t>技术标</w:t>
      </w:r>
    </w:p>
    <w:p w14:paraId="7A42AC8C">
      <w:pPr>
        <w:spacing w:line="460" w:lineRule="exact"/>
        <w:ind w:firstLine="424" w:firstLineChars="176"/>
        <w:rPr>
          <w:rFonts w:ascii="宋体" w:hAnsi="宋体" w:eastAsia="宋体" w:cs="Times New Roman"/>
          <w:sz w:val="24"/>
          <w:szCs w:val="24"/>
        </w:rPr>
      </w:pPr>
      <w:r>
        <w:rPr>
          <w:rFonts w:hint="eastAsia" w:ascii="宋体" w:hAnsi="宋体" w:eastAsia="宋体" w:cs="Times New Roman"/>
          <w:b/>
          <w:bCs/>
          <w:sz w:val="24"/>
          <w:szCs w:val="24"/>
        </w:rPr>
        <w:t>8.2.1</w:t>
      </w:r>
      <w:r>
        <w:rPr>
          <w:rFonts w:hint="eastAsia" w:ascii="宋体" w:hAnsi="宋体" w:eastAsia="宋体" w:cs="Times New Roman"/>
          <w:sz w:val="24"/>
          <w:szCs w:val="24"/>
        </w:rPr>
        <w:t>磋商设备合格文件</w:t>
      </w:r>
    </w:p>
    <w:p w14:paraId="21ED6702">
      <w:pPr>
        <w:spacing w:line="460" w:lineRule="exact"/>
        <w:ind w:firstLine="424" w:firstLineChars="176"/>
        <w:rPr>
          <w:rFonts w:ascii="宋体" w:hAnsi="宋体" w:eastAsia="宋体" w:cs="Times New Roman"/>
          <w:sz w:val="24"/>
          <w:szCs w:val="24"/>
        </w:rPr>
      </w:pPr>
      <w:r>
        <w:rPr>
          <w:rFonts w:hint="eastAsia" w:ascii="宋体" w:hAnsi="宋体" w:eastAsia="宋体" w:cs="Times New Roman"/>
          <w:b/>
          <w:bCs/>
          <w:sz w:val="24"/>
          <w:szCs w:val="24"/>
        </w:rPr>
        <w:t>8.2.2</w:t>
      </w:r>
      <w:r>
        <w:rPr>
          <w:rFonts w:hint="eastAsia" w:ascii="宋体" w:hAnsi="宋体" w:eastAsia="宋体" w:cs="Times New Roman"/>
          <w:sz w:val="24"/>
          <w:szCs w:val="24"/>
        </w:rPr>
        <w:t>磋商报价表：</w:t>
      </w:r>
    </w:p>
    <w:p w14:paraId="2C0305A2">
      <w:pPr>
        <w:spacing w:line="46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 xml:space="preserve">   1）磋商报价明细表；</w:t>
      </w:r>
    </w:p>
    <w:p w14:paraId="655B33DA">
      <w:pPr>
        <w:spacing w:line="46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 xml:space="preserve">   2）技术参数偏离表；</w:t>
      </w:r>
    </w:p>
    <w:p w14:paraId="31FBB9B6">
      <w:pPr>
        <w:spacing w:line="46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 xml:space="preserve">   3）商务响应表；</w:t>
      </w:r>
    </w:p>
    <w:p w14:paraId="302BDD6A">
      <w:pPr>
        <w:spacing w:line="460" w:lineRule="exact"/>
        <w:ind w:firstLine="424" w:firstLineChars="176"/>
        <w:rPr>
          <w:rFonts w:ascii="宋体" w:hAnsi="宋体" w:eastAsia="宋体" w:cs="Times New Roman"/>
          <w:sz w:val="24"/>
          <w:szCs w:val="24"/>
        </w:rPr>
      </w:pPr>
      <w:r>
        <w:rPr>
          <w:rFonts w:hint="eastAsia" w:ascii="宋体" w:hAnsi="宋体" w:eastAsia="宋体" w:cs="Times New Roman"/>
          <w:b/>
          <w:bCs/>
          <w:sz w:val="24"/>
          <w:szCs w:val="24"/>
        </w:rPr>
        <w:t>8.2.3</w:t>
      </w:r>
      <w:r>
        <w:rPr>
          <w:rFonts w:hint="eastAsia" w:ascii="宋体" w:hAnsi="宋体" w:eastAsia="宋体" w:cs="Times New Roman"/>
          <w:sz w:val="24"/>
          <w:szCs w:val="24"/>
        </w:rPr>
        <w:t>磋商响应供应商可提交的其他磋商资料</w:t>
      </w:r>
    </w:p>
    <w:p w14:paraId="408C9019">
      <w:pPr>
        <w:spacing w:line="360" w:lineRule="auto"/>
        <w:ind w:firstLine="424" w:firstLineChars="176"/>
        <w:rPr>
          <w:rFonts w:ascii="宋体" w:hAnsi="宋体" w:eastAsia="宋体" w:cs="Times New Roman"/>
          <w:b/>
          <w:bCs/>
          <w:sz w:val="24"/>
          <w:szCs w:val="24"/>
        </w:rPr>
      </w:pPr>
      <w:r>
        <w:rPr>
          <w:rFonts w:ascii="宋体" w:hAnsi="宋体" w:eastAsia="宋体" w:cs="Times New Roman"/>
          <w:b/>
          <w:bCs/>
          <w:sz w:val="24"/>
          <w:szCs w:val="24"/>
        </w:rPr>
        <w:t>9</w:t>
      </w:r>
      <w:r>
        <w:rPr>
          <w:rFonts w:hint="eastAsia" w:ascii="宋体" w:hAnsi="宋体" w:eastAsia="宋体" w:cs="Times New Roman"/>
          <w:b/>
          <w:bCs/>
          <w:sz w:val="24"/>
          <w:szCs w:val="24"/>
        </w:rPr>
        <w:t>、电子化磋商响应文件的格式</w:t>
      </w:r>
    </w:p>
    <w:p w14:paraId="5DB0A2F7">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9.1</w:t>
      </w:r>
      <w:r>
        <w:rPr>
          <w:rFonts w:hint="eastAsia" w:ascii="宋体" w:hAnsi="宋体" w:eastAsia="宋体" w:cs="Times New Roman"/>
          <w:sz w:val="24"/>
          <w:szCs w:val="24"/>
        </w:rPr>
        <w:t>供应商所上传的电子化磋商响应文件，应是通过中心磋商响应文件制作系统制作的（磋商响应文件制作工具下载地址：https://download.bqpoint.com/download/downloaddetail.html?SourceFrom=Ztb&amp;ZtbSoftXiaQuCode=1506&amp;ZtbSoftType=tballinclusive），经过签章和加密后生成的电子版磋商响应文件。其中包含用于磋商响应文件上传的主文件（后缀为.smxtf）和用于应急补救的磋商响应文件备份文件（后缀为.nsmxtf）。</w:t>
      </w:r>
    </w:p>
    <w:p w14:paraId="7C343B39">
      <w:pPr>
        <w:spacing w:line="360" w:lineRule="auto"/>
        <w:ind w:firstLine="424" w:firstLineChars="176"/>
        <w:rPr>
          <w:rFonts w:ascii="宋体" w:hAnsi="宋体" w:eastAsia="宋体" w:cs="Times New Roman"/>
          <w:sz w:val="24"/>
          <w:szCs w:val="24"/>
        </w:rPr>
      </w:pPr>
      <w:r>
        <w:rPr>
          <w:rFonts w:ascii="宋体" w:hAnsi="宋体" w:eastAsia="宋体" w:cs="Times New Roman"/>
          <w:b/>
          <w:bCs/>
          <w:sz w:val="24"/>
          <w:szCs w:val="24"/>
        </w:rPr>
        <w:t>10</w:t>
      </w:r>
      <w:r>
        <w:rPr>
          <w:rFonts w:hint="eastAsia" w:ascii="宋体" w:hAnsi="宋体" w:eastAsia="宋体" w:cs="Times New Roman"/>
          <w:b/>
          <w:bCs/>
          <w:sz w:val="24"/>
          <w:szCs w:val="24"/>
        </w:rPr>
        <w:t>、电子化磋商响应文件的签署</w:t>
      </w:r>
    </w:p>
    <w:p w14:paraId="444B70AF">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10.1</w:t>
      </w:r>
      <w:r>
        <w:rPr>
          <w:rFonts w:hint="eastAsia" w:ascii="宋体" w:hAnsi="宋体" w:eastAsia="宋体" w:cs="Times New Roman"/>
          <w:sz w:val="24"/>
          <w:szCs w:val="24"/>
        </w:rPr>
        <w:t>磋商响应供应商在进行电子化磋商响应文件签章时，竞争性磋商文件中要求磋商响应供应商盖章的，以签盖单位章为准；要求法定代表人或授权代理人签章的，以签盖法定代表人签章为准。</w:t>
      </w:r>
    </w:p>
    <w:p w14:paraId="09FBD967">
      <w:pPr>
        <w:spacing w:line="360" w:lineRule="auto"/>
        <w:ind w:firstLine="424" w:firstLineChars="176"/>
        <w:rPr>
          <w:rFonts w:ascii="宋体" w:hAnsi="宋体" w:eastAsia="宋体" w:cs="Times New Roman"/>
          <w:b/>
          <w:bCs/>
          <w:sz w:val="24"/>
          <w:szCs w:val="24"/>
        </w:rPr>
      </w:pPr>
      <w:r>
        <w:rPr>
          <w:rFonts w:ascii="宋体" w:hAnsi="宋体" w:eastAsia="宋体" w:cs="Times New Roman"/>
          <w:b/>
          <w:bCs/>
          <w:sz w:val="24"/>
          <w:szCs w:val="24"/>
        </w:rPr>
        <w:t>11</w:t>
      </w:r>
      <w:r>
        <w:rPr>
          <w:rFonts w:hint="eastAsia" w:ascii="宋体" w:hAnsi="宋体" w:eastAsia="宋体" w:cs="Times New Roman"/>
          <w:b/>
          <w:bCs/>
          <w:sz w:val="24"/>
          <w:szCs w:val="24"/>
        </w:rPr>
        <w:t>、电子化磋商响应文件的上传</w:t>
      </w:r>
    </w:p>
    <w:p w14:paraId="08EED2F0">
      <w:pPr>
        <w:spacing w:line="360" w:lineRule="auto"/>
        <w:ind w:firstLine="422" w:firstLineChars="176"/>
        <w:jc w:val="left"/>
        <w:rPr>
          <w:rFonts w:ascii="宋体" w:hAnsi="宋体" w:eastAsia="宋体" w:cs="Times New Roman"/>
          <w:kern w:val="0"/>
          <w:sz w:val="24"/>
          <w:szCs w:val="24"/>
        </w:rPr>
      </w:pPr>
      <w:r>
        <w:rPr>
          <w:rFonts w:ascii="宋体" w:hAnsi="宋体" w:eastAsia="宋体" w:cs="Times New Roman"/>
          <w:sz w:val="24"/>
          <w:szCs w:val="24"/>
        </w:rPr>
        <w:t>11.1</w:t>
      </w:r>
      <w:r>
        <w:rPr>
          <w:rFonts w:hint="eastAsia" w:ascii="宋体" w:hAnsi="宋体" w:eastAsia="宋体" w:cs="Times New Roman"/>
          <w:kern w:val="0"/>
          <w:sz w:val="24"/>
          <w:szCs w:val="24"/>
        </w:rPr>
        <w:t>电子化磋商响应文件应在投标截止时间前成功上传至三门峡市公共资源电子化交易系统。至投标截止时间止，仍未上传成功的电子化磋商响应文件将不予接收。</w:t>
      </w:r>
    </w:p>
    <w:p w14:paraId="0E0F815A">
      <w:pPr>
        <w:spacing w:line="360" w:lineRule="auto"/>
        <w:ind w:firstLine="422" w:firstLineChars="176"/>
        <w:jc w:val="left"/>
        <w:rPr>
          <w:rFonts w:ascii="宋体" w:hAnsi="宋体" w:eastAsia="宋体" w:cs="Times New Roman"/>
          <w:kern w:val="0"/>
          <w:sz w:val="24"/>
          <w:szCs w:val="24"/>
        </w:rPr>
      </w:pPr>
      <w:r>
        <w:rPr>
          <w:rFonts w:hint="eastAsia" w:ascii="宋体" w:hAnsi="宋体" w:eastAsia="宋体" w:cs="Times New Roman"/>
          <w:kern w:val="0"/>
          <w:sz w:val="24"/>
          <w:szCs w:val="24"/>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w:t>
      </w:r>
    </w:p>
    <w:p w14:paraId="14C51531">
      <w:pPr>
        <w:spacing w:line="360" w:lineRule="auto"/>
        <w:ind w:firstLine="424" w:firstLineChars="176"/>
        <w:rPr>
          <w:rFonts w:ascii="宋体" w:hAnsi="宋体" w:eastAsia="宋体" w:cs="Times New Roman"/>
          <w:b/>
          <w:bCs/>
          <w:sz w:val="24"/>
          <w:szCs w:val="24"/>
        </w:rPr>
      </w:pPr>
      <w:r>
        <w:rPr>
          <w:rFonts w:ascii="宋体" w:hAnsi="宋体" w:eastAsia="宋体" w:cs="Times New Roman"/>
          <w:b/>
          <w:bCs/>
          <w:sz w:val="24"/>
          <w:szCs w:val="24"/>
        </w:rPr>
        <w:t>12</w:t>
      </w:r>
      <w:r>
        <w:rPr>
          <w:rFonts w:hint="eastAsia" w:ascii="宋体" w:hAnsi="宋体" w:eastAsia="宋体" w:cs="Times New Roman"/>
          <w:b/>
          <w:bCs/>
          <w:sz w:val="24"/>
          <w:szCs w:val="24"/>
        </w:rPr>
        <w:t>、磋商截止时间</w:t>
      </w:r>
    </w:p>
    <w:p w14:paraId="40FBE4AC">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12.1</w:t>
      </w:r>
      <w:r>
        <w:rPr>
          <w:rFonts w:hint="eastAsia" w:ascii="宋体" w:hAnsi="宋体" w:eastAsia="宋体" w:cs="Times New Roman"/>
          <w:sz w:val="24"/>
          <w:szCs w:val="24"/>
        </w:rPr>
        <w:t>电子化磋商响应文件的截止时间见本须知前附表规定。</w:t>
      </w:r>
    </w:p>
    <w:p w14:paraId="695210E4">
      <w:pPr>
        <w:spacing w:line="360" w:lineRule="auto"/>
        <w:ind w:firstLine="424" w:firstLineChars="176"/>
        <w:rPr>
          <w:rFonts w:ascii="宋体" w:hAnsi="宋体" w:eastAsia="宋体" w:cs="Times New Roman"/>
          <w:sz w:val="24"/>
          <w:szCs w:val="24"/>
        </w:rPr>
      </w:pPr>
      <w:r>
        <w:rPr>
          <w:rFonts w:ascii="宋体" w:hAnsi="宋体" w:eastAsia="宋体" w:cs="Times New Roman"/>
          <w:b/>
          <w:bCs/>
          <w:sz w:val="24"/>
          <w:szCs w:val="24"/>
        </w:rPr>
        <w:t>13</w:t>
      </w:r>
      <w:r>
        <w:rPr>
          <w:rFonts w:hint="eastAsia" w:ascii="宋体" w:hAnsi="宋体" w:eastAsia="宋体" w:cs="Times New Roman"/>
          <w:b/>
          <w:bCs/>
          <w:sz w:val="24"/>
          <w:szCs w:val="24"/>
        </w:rPr>
        <w:t>、电子化磋商响应文件的补充、修改与撤回</w:t>
      </w:r>
    </w:p>
    <w:p w14:paraId="43BEFF13">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13.1</w:t>
      </w:r>
      <w:r>
        <w:rPr>
          <w:rFonts w:hint="eastAsia" w:ascii="宋体" w:hAnsi="宋体" w:eastAsia="宋体" w:cs="Times New Roman"/>
          <w:sz w:val="24"/>
          <w:szCs w:val="24"/>
        </w:rPr>
        <w:t>在磋商截止时间之后，磋商响应供应商不得补充、修改电子化磋商响应文件。</w:t>
      </w:r>
    </w:p>
    <w:p w14:paraId="6F23A4D8">
      <w:pPr>
        <w:spacing w:line="360" w:lineRule="auto"/>
        <w:ind w:firstLine="424" w:firstLineChars="176"/>
        <w:rPr>
          <w:rFonts w:ascii="宋体" w:hAnsi="宋体" w:eastAsia="宋体" w:cs="Times New Roman"/>
          <w:szCs w:val="21"/>
        </w:rPr>
      </w:pPr>
      <w:r>
        <w:rPr>
          <w:rFonts w:hint="eastAsia" w:ascii="宋体" w:hAnsi="宋体" w:eastAsia="宋体" w:cs="Times New Roman"/>
          <w:b/>
          <w:bCs/>
          <w:sz w:val="24"/>
          <w:szCs w:val="24"/>
        </w:rPr>
        <w:t>14、磋商报价</w:t>
      </w:r>
      <w:r>
        <w:rPr>
          <w:rFonts w:ascii="宋体" w:hAnsi="宋体" w:eastAsia="宋体" w:cs="Times New Roman"/>
          <w:b/>
          <w:bCs/>
          <w:sz w:val="24"/>
          <w:szCs w:val="24"/>
        </w:rPr>
        <w:tab/>
      </w:r>
    </w:p>
    <w:p w14:paraId="2BD7E984">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14.1</w:t>
      </w:r>
      <w:r>
        <w:rPr>
          <w:rFonts w:hint="eastAsia" w:ascii="宋体" w:hAnsi="宋体" w:eastAsia="宋体" w:cs="Times New Roman"/>
          <w:sz w:val="24"/>
          <w:szCs w:val="24"/>
        </w:rPr>
        <w:t>本次磋商采购的均须以人民币为计算单位。</w:t>
      </w:r>
    </w:p>
    <w:p w14:paraId="1D673450">
      <w:pPr>
        <w:spacing w:line="460" w:lineRule="exact"/>
        <w:ind w:firstLine="422" w:firstLineChars="176"/>
        <w:rPr>
          <w:rFonts w:ascii="宋体" w:hAnsi="宋体" w:eastAsia="宋体" w:cs="Times New Roman"/>
          <w:sz w:val="24"/>
          <w:szCs w:val="24"/>
        </w:rPr>
      </w:pPr>
      <w:r>
        <w:rPr>
          <w:rFonts w:ascii="宋体" w:hAnsi="宋体" w:eastAsia="宋体" w:cs="Times New Roman"/>
          <w:sz w:val="24"/>
          <w:szCs w:val="24"/>
        </w:rPr>
        <w:t>14.2</w:t>
      </w:r>
      <w:r>
        <w:rPr>
          <w:rFonts w:hint="eastAsia" w:ascii="宋体" w:hAnsi="宋体" w:eastAsia="宋体" w:cs="Times New Roman"/>
          <w:sz w:val="24"/>
          <w:szCs w:val="24"/>
        </w:rPr>
        <w:t>磋商响应供应商应报出货到交货地点价。其中包括项目实施所需的人工费、服务费、运输费、安装调试费、设备价款、备品备件费、检验费、包装费、装卸费、税金（含关税、增值税）、施工费、检测验收费、培训费等各项与此项目有关的一切费用。</w:t>
      </w:r>
    </w:p>
    <w:p w14:paraId="31FE236D">
      <w:pPr>
        <w:spacing w:line="460" w:lineRule="exact"/>
        <w:ind w:firstLine="422" w:firstLineChars="176"/>
        <w:rPr>
          <w:rFonts w:ascii="宋体" w:hAnsi="宋体" w:eastAsia="宋体" w:cs="Times New Roman"/>
          <w:sz w:val="24"/>
          <w:szCs w:val="24"/>
        </w:rPr>
      </w:pPr>
      <w:r>
        <w:rPr>
          <w:rFonts w:ascii="宋体" w:hAnsi="宋体" w:eastAsia="宋体" w:cs="Times New Roman"/>
          <w:sz w:val="24"/>
          <w:szCs w:val="24"/>
        </w:rPr>
        <w:t xml:space="preserve">14.3 </w:t>
      </w:r>
      <w:r>
        <w:rPr>
          <w:rFonts w:hint="eastAsia" w:ascii="宋体" w:hAnsi="宋体" w:eastAsia="宋体" w:cs="Times New Roman"/>
          <w:sz w:val="24"/>
          <w:szCs w:val="24"/>
        </w:rPr>
        <w:t>磋商响应供应商应充分考虑市场风险和国家政策性风险系数，根据企业具体情况在合理的范围内自主报价，但不得低于企业实际成本。</w:t>
      </w:r>
    </w:p>
    <w:p w14:paraId="445F6EA6">
      <w:pPr>
        <w:spacing w:after="120" w:line="360" w:lineRule="auto"/>
        <w:ind w:firstLine="422" w:firstLineChars="176"/>
        <w:rPr>
          <w:rFonts w:ascii="宋体" w:hAnsi="宋体" w:eastAsia="宋体" w:cs="Times New Roman"/>
          <w:kern w:val="0"/>
          <w:sz w:val="24"/>
          <w:szCs w:val="24"/>
        </w:rPr>
      </w:pPr>
      <w:r>
        <w:rPr>
          <w:rFonts w:ascii="宋体" w:hAnsi="宋体" w:eastAsia="宋体" w:cs="Times New Roman"/>
          <w:kern w:val="0"/>
          <w:sz w:val="24"/>
          <w:szCs w:val="24"/>
        </w:rPr>
        <w:t>14.4</w:t>
      </w:r>
      <w:r>
        <w:rPr>
          <w:rFonts w:hint="eastAsia" w:ascii="宋体" w:hAnsi="宋体" w:eastAsia="宋体" w:cs="Times New Roman"/>
          <w:kern w:val="0"/>
          <w:sz w:val="24"/>
          <w:szCs w:val="24"/>
        </w:rPr>
        <w:t>磋商响应供应商只能提出一个报价，采购人不接受任何有选择的报价，最后报价不得超过项目招标控制价。</w:t>
      </w:r>
    </w:p>
    <w:p w14:paraId="431F85AC">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14.5</w:t>
      </w:r>
      <w:r>
        <w:rPr>
          <w:rFonts w:hint="eastAsia" w:ascii="宋体" w:hAnsi="宋体" w:eastAsia="宋体" w:cs="Times New Roman"/>
          <w:sz w:val="24"/>
          <w:szCs w:val="24"/>
        </w:rPr>
        <w:t>磋商响应供应商的报价明显低于其他报价，使得其报价可能低于其个别成本的，有可能影响商品质量和不能诚信履约的，应当要求该报价人作出书面说明并提供相关证明材料。报价人不能合理说明或者不能提供相关证明材料的，由磋商小组认定该报价人以低于成本报价，其报价应作无效报价处理。</w:t>
      </w:r>
    </w:p>
    <w:p w14:paraId="66BD24E2">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14.6</w:t>
      </w:r>
      <w:r>
        <w:rPr>
          <w:rFonts w:hint="eastAsia" w:ascii="宋体" w:hAnsi="宋体" w:eastAsia="宋体" w:cs="Times New Roman"/>
          <w:sz w:val="24"/>
          <w:szCs w:val="24"/>
        </w:rPr>
        <w:t>本次采购为竞争性磋商采购，允许二次报价。</w:t>
      </w:r>
    </w:p>
    <w:p w14:paraId="7682CDD7">
      <w:pPr>
        <w:spacing w:line="360" w:lineRule="auto"/>
        <w:ind w:firstLine="424" w:firstLineChars="176"/>
        <w:rPr>
          <w:rFonts w:ascii="宋体" w:hAnsi="宋体" w:eastAsia="宋体" w:cs="Times New Roman"/>
          <w:b/>
          <w:bCs/>
          <w:sz w:val="24"/>
          <w:szCs w:val="24"/>
        </w:rPr>
      </w:pPr>
      <w:r>
        <w:rPr>
          <w:rFonts w:ascii="宋体" w:hAnsi="宋体" w:eastAsia="宋体" w:cs="Times New Roman"/>
          <w:b/>
          <w:bCs/>
          <w:sz w:val="24"/>
          <w:szCs w:val="24"/>
        </w:rPr>
        <w:t>15</w:t>
      </w:r>
      <w:r>
        <w:rPr>
          <w:rFonts w:hint="eastAsia" w:ascii="宋体" w:hAnsi="宋体" w:eastAsia="宋体" w:cs="Times New Roman"/>
          <w:b/>
          <w:bCs/>
          <w:sz w:val="24"/>
          <w:szCs w:val="24"/>
        </w:rPr>
        <w:t>、磋商响应供应商资格的证明文件</w:t>
      </w:r>
      <w:r>
        <w:rPr>
          <w:rFonts w:ascii="宋体" w:hAnsi="宋体" w:eastAsia="宋体" w:cs="Times New Roman"/>
          <w:b/>
          <w:bCs/>
          <w:sz w:val="24"/>
          <w:szCs w:val="24"/>
        </w:rPr>
        <w:tab/>
      </w:r>
    </w:p>
    <w:p w14:paraId="6BA2B13C">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15.1</w:t>
      </w:r>
      <w:r>
        <w:rPr>
          <w:rFonts w:hint="eastAsia" w:ascii="宋体" w:hAnsi="宋体" w:eastAsia="宋体" w:cs="Times New Roman"/>
          <w:sz w:val="24"/>
          <w:szCs w:val="24"/>
        </w:rPr>
        <w:t>证明磋商响应供应商是有资格参加</w:t>
      </w:r>
      <w:r>
        <w:rPr>
          <w:rFonts w:hint="eastAsia" w:ascii="宋体" w:hAnsi="宋体" w:eastAsia="宋体" w:cs="Times New Roman"/>
          <w:kern w:val="0"/>
          <w:sz w:val="24"/>
          <w:szCs w:val="24"/>
        </w:rPr>
        <w:t>磋商</w:t>
      </w:r>
      <w:r>
        <w:rPr>
          <w:rFonts w:hint="eastAsia" w:ascii="宋体" w:hAnsi="宋体" w:eastAsia="宋体" w:cs="Times New Roman"/>
          <w:sz w:val="24"/>
          <w:szCs w:val="24"/>
        </w:rPr>
        <w:t>的。</w:t>
      </w:r>
    </w:p>
    <w:p w14:paraId="701D96B7">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15.2</w:t>
      </w:r>
      <w:r>
        <w:rPr>
          <w:rFonts w:hint="eastAsia" w:ascii="宋体" w:hAnsi="宋体" w:eastAsia="宋体" w:cs="Times New Roman"/>
          <w:sz w:val="24"/>
          <w:szCs w:val="24"/>
        </w:rPr>
        <w:t>证明磋商响应供应商有能力履行竞争性磋商文件中合同条款和技术要求规定的由磋商响应供应商提供的服务等义务。</w:t>
      </w:r>
    </w:p>
    <w:p w14:paraId="1D6D681F">
      <w:pPr>
        <w:spacing w:line="360" w:lineRule="auto"/>
        <w:ind w:firstLine="424" w:firstLineChars="176"/>
        <w:rPr>
          <w:rFonts w:ascii="宋体" w:hAnsi="宋体" w:eastAsia="宋体" w:cs="Times New Roman"/>
          <w:b/>
          <w:bCs/>
          <w:sz w:val="24"/>
          <w:szCs w:val="24"/>
        </w:rPr>
      </w:pPr>
      <w:r>
        <w:rPr>
          <w:rFonts w:hint="eastAsia" w:ascii="宋体" w:hAnsi="宋体" w:eastAsia="宋体" w:cs="Times New Roman"/>
          <w:b/>
          <w:bCs/>
          <w:sz w:val="24"/>
          <w:szCs w:val="24"/>
        </w:rPr>
        <w:t>16、磋商响应文件有效期</w:t>
      </w:r>
    </w:p>
    <w:p w14:paraId="3899AE59">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6</w:t>
      </w:r>
      <w:r>
        <w:rPr>
          <w:rFonts w:ascii="宋体" w:hAnsi="宋体" w:eastAsia="宋体" w:cs="Times New Roman"/>
          <w:sz w:val="24"/>
          <w:szCs w:val="24"/>
        </w:rPr>
        <w:t>.1</w:t>
      </w:r>
      <w:r>
        <w:rPr>
          <w:rFonts w:hint="eastAsia" w:ascii="宋体" w:hAnsi="宋体" w:eastAsia="宋体" w:cs="Times New Roman"/>
          <w:sz w:val="24"/>
          <w:szCs w:val="24"/>
        </w:rPr>
        <w:t>响应性文件从首次递交竞争性磋商响应文件截止时间之日起开始生效，磋商有效期为</w:t>
      </w:r>
      <w:r>
        <w:rPr>
          <w:rFonts w:ascii="宋体" w:hAnsi="宋体" w:eastAsia="宋体" w:cs="Times New Roman"/>
          <w:sz w:val="24"/>
          <w:szCs w:val="24"/>
        </w:rPr>
        <w:t>60</w:t>
      </w:r>
      <w:r>
        <w:rPr>
          <w:rFonts w:hint="eastAsia" w:ascii="宋体" w:hAnsi="宋体" w:eastAsia="宋体" w:cs="Times New Roman"/>
          <w:sz w:val="24"/>
          <w:szCs w:val="24"/>
        </w:rPr>
        <w:t>日历天，有效期短于此规定的响应文件将被视为无效文件。</w:t>
      </w:r>
    </w:p>
    <w:p w14:paraId="24CCAA08">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6</w:t>
      </w:r>
      <w:r>
        <w:rPr>
          <w:rFonts w:ascii="宋体" w:hAnsi="宋体" w:eastAsia="宋体" w:cs="Times New Roman"/>
          <w:sz w:val="24"/>
          <w:szCs w:val="24"/>
        </w:rPr>
        <w:t>.2</w:t>
      </w:r>
      <w:r>
        <w:rPr>
          <w:rFonts w:hint="eastAsia" w:ascii="宋体" w:hAnsi="宋体" w:eastAsia="宋体" w:cs="Times New Roman"/>
          <w:sz w:val="24"/>
          <w:szCs w:val="24"/>
        </w:rPr>
        <w:t>特殊情况下，采购人可于磋商响应文件有效期满之前要求磋商响应供应商同意延长有效期，要求与答复均为书面形式。磋商响应供应商可以拒绝上述要求，对于同意该要求的磋商响应供应商，不允许其修改磋商响应文件。</w:t>
      </w:r>
    </w:p>
    <w:p w14:paraId="0C5A0486">
      <w:pPr>
        <w:spacing w:line="360" w:lineRule="auto"/>
        <w:ind w:firstLine="424" w:firstLineChars="176"/>
        <w:rPr>
          <w:rFonts w:ascii="宋体" w:hAnsi="宋体" w:eastAsia="宋体" w:cs="Times New Roman"/>
          <w:b/>
          <w:bCs/>
          <w:sz w:val="24"/>
          <w:szCs w:val="24"/>
        </w:rPr>
      </w:pPr>
      <w:r>
        <w:rPr>
          <w:rFonts w:ascii="宋体" w:hAnsi="宋体" w:eastAsia="宋体" w:cs="Times New Roman"/>
          <w:b/>
          <w:bCs/>
          <w:sz w:val="24"/>
          <w:szCs w:val="24"/>
        </w:rPr>
        <w:t>1</w:t>
      </w:r>
      <w:r>
        <w:rPr>
          <w:rFonts w:hint="eastAsia" w:ascii="宋体" w:hAnsi="宋体" w:eastAsia="宋体" w:cs="Times New Roman"/>
          <w:b/>
          <w:bCs/>
          <w:sz w:val="24"/>
          <w:szCs w:val="24"/>
        </w:rPr>
        <w:t>7、磋商</w:t>
      </w:r>
    </w:p>
    <w:p w14:paraId="74CE3271">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17.1 本项目采用电子化、无纸化进行招标，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磋商响应文件解密等。</w:t>
      </w:r>
    </w:p>
    <w:p w14:paraId="6B74E0DE">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17.2 电子化磋商响应文件采用一次加密方式。开标时，由供应商使用CA 证书，在规定时间内对其电子化磋商响应文件进行解密。每位供应商的解密时间为开标时间起30 分钟内，如在规定时间内未完成解密的，其磋商响应文件不予开标、唱标。每位供应商的解密时间为开标时间起30分钟内完成。</w:t>
      </w:r>
    </w:p>
    <w:p w14:paraId="3BB0F673">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17.3 电子化磋商响应文件解密异常的处理</w:t>
      </w:r>
    </w:p>
    <w:p w14:paraId="52D5AD9D">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如出现供应商的电子磋商响应文件无法解密等异常情况，供应商应及时致电中介服务机构说明。磋商响应文件异常，按以下步骤进行处理：</w:t>
      </w:r>
    </w:p>
    <w:p w14:paraId="4E1EBB9B">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（1）首先由技术人员进行问题排查。</w:t>
      </w:r>
    </w:p>
    <w:p w14:paraId="1EFECC34">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（2）经技术人员排查后，是供应商文件自身问题导致磋商响应文件无法解密的，该磋商响应文件将不予接收、解密和唱标。开标会议继续进行。</w:t>
      </w:r>
    </w:p>
    <w:p w14:paraId="10BC74BE">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5EC527D0">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17.4 待所有供应商磋商响应文件解密完成后，由中介服务机构操作，对所有已解密磋商响应文件进行唱标。</w:t>
      </w:r>
    </w:p>
    <w:p w14:paraId="6EED03D9">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供应商应保证在开标期间电话、电脑、网络能够正常工作，供应商因停电、电脑病毒、网络堵塞等原因，未在规定的解密时间内对磋商响应文件进行解密的，其磋商响应文件不予接收、唱标。</w:t>
      </w:r>
    </w:p>
    <w:p w14:paraId="57F80E50">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17.5 开标时供应商可登录到交易系统中在开标大厅中点击开标一览表查看自己的投标报价。如对自己的唱标内容有异议的，应在唱标内容显示后10分钟内向中介服务机构电话质疑。中介服务机构应在监督人员的监督下进行免提通话接受供应商的质疑并做好书面记录。供应商未在规定时间内提出质疑的，视为认可唱标内容。</w:t>
      </w:r>
    </w:p>
    <w:p w14:paraId="33266778">
      <w:pPr>
        <w:spacing w:line="360" w:lineRule="auto"/>
        <w:ind w:firstLine="424" w:firstLineChars="176"/>
        <w:rPr>
          <w:rFonts w:ascii="宋体" w:hAnsi="宋体" w:eastAsia="宋体" w:cs="Times New Roman"/>
          <w:b/>
          <w:bCs/>
          <w:sz w:val="24"/>
          <w:szCs w:val="24"/>
        </w:rPr>
      </w:pPr>
      <w:r>
        <w:rPr>
          <w:rFonts w:ascii="宋体" w:hAnsi="宋体" w:eastAsia="宋体" w:cs="Times New Roman"/>
          <w:b/>
          <w:bCs/>
          <w:sz w:val="24"/>
          <w:szCs w:val="24"/>
        </w:rPr>
        <w:t>1</w:t>
      </w:r>
      <w:r>
        <w:rPr>
          <w:rFonts w:hint="eastAsia" w:ascii="宋体" w:hAnsi="宋体" w:eastAsia="宋体" w:cs="Times New Roman"/>
          <w:b/>
          <w:bCs/>
          <w:sz w:val="24"/>
          <w:szCs w:val="24"/>
        </w:rPr>
        <w:t>8、磋商小组</w:t>
      </w:r>
    </w:p>
    <w:p w14:paraId="75AE277E">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8</w:t>
      </w:r>
      <w:r>
        <w:rPr>
          <w:rFonts w:ascii="宋体" w:hAnsi="宋体" w:eastAsia="宋体" w:cs="Times New Roman"/>
          <w:sz w:val="24"/>
          <w:szCs w:val="24"/>
        </w:rPr>
        <w:t>.1</w:t>
      </w:r>
      <w:r>
        <w:rPr>
          <w:rFonts w:hint="eastAsia" w:ascii="宋体" w:hAnsi="宋体" w:eastAsia="宋体" w:cs="Times New Roman"/>
          <w:sz w:val="24"/>
          <w:szCs w:val="24"/>
        </w:rPr>
        <w:t>磋商小组由</w:t>
      </w:r>
      <w:r>
        <w:rPr>
          <w:rFonts w:ascii="宋体" w:hAnsi="宋体" w:eastAsia="宋体" w:cs="Times New Roman"/>
          <w:sz w:val="24"/>
          <w:szCs w:val="24"/>
        </w:rPr>
        <w:t>3</w:t>
      </w:r>
      <w:r>
        <w:rPr>
          <w:rFonts w:hint="eastAsia" w:ascii="宋体" w:hAnsi="宋体" w:eastAsia="宋体" w:cs="Times New Roman"/>
          <w:sz w:val="24"/>
          <w:szCs w:val="24"/>
        </w:rPr>
        <w:t>人构成：采购人代表</w:t>
      </w:r>
      <w:r>
        <w:rPr>
          <w:rFonts w:ascii="宋体" w:hAnsi="宋体" w:eastAsia="宋体" w:cs="Times New Roman"/>
          <w:sz w:val="24"/>
          <w:szCs w:val="24"/>
        </w:rPr>
        <w:t>1</w:t>
      </w:r>
      <w:r>
        <w:rPr>
          <w:rFonts w:hint="eastAsia" w:ascii="宋体" w:hAnsi="宋体" w:eastAsia="宋体" w:cs="Times New Roman"/>
          <w:sz w:val="24"/>
          <w:szCs w:val="24"/>
        </w:rPr>
        <w:t>人，其他专家</w:t>
      </w:r>
      <w:r>
        <w:rPr>
          <w:rFonts w:ascii="宋体" w:hAnsi="宋体" w:eastAsia="宋体" w:cs="Times New Roman"/>
          <w:sz w:val="24"/>
          <w:szCs w:val="24"/>
        </w:rPr>
        <w:t>2</w:t>
      </w:r>
      <w:r>
        <w:rPr>
          <w:rFonts w:hint="eastAsia" w:ascii="宋体" w:hAnsi="宋体" w:eastAsia="宋体" w:cs="Times New Roman"/>
          <w:sz w:val="24"/>
          <w:szCs w:val="24"/>
        </w:rPr>
        <w:t>人，在磋商会议开始前从三门峡市公共资源交易综合评标专家库陕州区终端中随机抽取。</w:t>
      </w:r>
    </w:p>
    <w:p w14:paraId="732EEE31">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8</w:t>
      </w:r>
      <w:r>
        <w:rPr>
          <w:rFonts w:ascii="宋体" w:hAnsi="宋体" w:eastAsia="宋体" w:cs="Times New Roman"/>
          <w:sz w:val="24"/>
          <w:szCs w:val="24"/>
        </w:rPr>
        <w:t>.2</w:t>
      </w:r>
      <w:r>
        <w:rPr>
          <w:rFonts w:hint="eastAsia" w:ascii="宋体" w:hAnsi="宋体" w:eastAsia="宋体" w:cs="Times New Roman"/>
          <w:sz w:val="24"/>
          <w:szCs w:val="24"/>
        </w:rPr>
        <w:t>磋商小组对所有磋商响应供应商的磋商响应文件进行评审，按评审后得分由高到低顺序排列，递交给采购人。</w:t>
      </w:r>
    </w:p>
    <w:p w14:paraId="5249FF9F">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8</w:t>
      </w:r>
      <w:r>
        <w:rPr>
          <w:rFonts w:ascii="宋体" w:hAnsi="宋体" w:eastAsia="宋体" w:cs="Times New Roman"/>
          <w:sz w:val="24"/>
          <w:szCs w:val="24"/>
        </w:rPr>
        <w:t>.3</w:t>
      </w:r>
      <w:r>
        <w:rPr>
          <w:rFonts w:hint="eastAsia" w:ascii="宋体" w:hAnsi="宋体" w:eastAsia="宋体" w:cs="Times New Roman"/>
          <w:sz w:val="24"/>
          <w:szCs w:val="24"/>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073AA447">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8</w:t>
      </w:r>
      <w:r>
        <w:rPr>
          <w:rFonts w:ascii="宋体" w:hAnsi="宋体" w:eastAsia="宋体" w:cs="Times New Roman"/>
          <w:sz w:val="24"/>
          <w:szCs w:val="24"/>
        </w:rPr>
        <w:t>.4</w:t>
      </w:r>
      <w:r>
        <w:rPr>
          <w:rFonts w:hint="eastAsia" w:ascii="宋体" w:hAnsi="宋体" w:eastAsia="宋体" w:cs="Times New Roman"/>
          <w:sz w:val="24"/>
          <w:szCs w:val="24"/>
        </w:rPr>
        <w:t>磋商小组成员和评审工作有关人员不得干预或者影响正常评审工作，不得明示或者暗示其倾向性、引导性意见，不得修改磋商文件确定的评审程序、评审方法，不得征询采购人代表的倾向性意见，不得记录、复制或带走任何评审资料。成交候选供应商确定后，磋商小组不得修改评审结果或者要求重新评审，但因资格性审查认定错误或价格计算错误需依法重新评审的除外。应在评审报告中明确记载。</w:t>
      </w:r>
    </w:p>
    <w:p w14:paraId="5888999E">
      <w:pPr>
        <w:spacing w:line="360" w:lineRule="auto"/>
        <w:ind w:firstLine="424" w:firstLineChars="176"/>
        <w:rPr>
          <w:rFonts w:ascii="宋体" w:hAnsi="宋体" w:eastAsia="宋体" w:cs="Times New Roman"/>
          <w:b/>
          <w:bCs/>
          <w:sz w:val="24"/>
          <w:szCs w:val="24"/>
        </w:rPr>
      </w:pPr>
      <w:r>
        <w:rPr>
          <w:rFonts w:hint="eastAsia" w:ascii="宋体" w:hAnsi="宋体" w:eastAsia="宋体" w:cs="Times New Roman"/>
          <w:b/>
          <w:bCs/>
          <w:sz w:val="24"/>
          <w:szCs w:val="24"/>
        </w:rPr>
        <w:t>19、磋商程序</w:t>
      </w:r>
    </w:p>
    <w:p w14:paraId="33757FD6">
      <w:pPr>
        <w:spacing w:line="360" w:lineRule="auto"/>
        <w:ind w:firstLine="422" w:firstLineChars="176"/>
        <w:rPr>
          <w:rFonts w:ascii="宋体" w:hAnsi="宋体" w:eastAsia="宋体" w:cs="Times New Roman"/>
          <w:b/>
          <w:bCs/>
          <w:sz w:val="24"/>
          <w:szCs w:val="24"/>
        </w:rPr>
      </w:pPr>
      <w:r>
        <w:rPr>
          <w:rFonts w:hint="eastAsia" w:ascii="宋体" w:hAnsi="宋体" w:eastAsia="宋体" w:cs="Times New Roman"/>
          <w:sz w:val="24"/>
          <w:szCs w:val="24"/>
        </w:rPr>
        <w:t>19</w:t>
      </w:r>
      <w:r>
        <w:rPr>
          <w:rFonts w:ascii="宋体" w:hAnsi="宋体" w:eastAsia="宋体" w:cs="Times New Roman"/>
          <w:sz w:val="24"/>
          <w:szCs w:val="24"/>
        </w:rPr>
        <w:t>.1</w:t>
      </w:r>
      <w:r>
        <w:rPr>
          <w:rFonts w:hint="eastAsia" w:ascii="宋体" w:hAnsi="宋体" w:eastAsia="宋体" w:cs="Times New Roman"/>
          <w:sz w:val="24"/>
          <w:szCs w:val="24"/>
        </w:rPr>
        <w:t>磋商小组所有成员集中评审磋商响应文件及集中与磋商响应供应商分别进行磋商。</w:t>
      </w:r>
    </w:p>
    <w:p w14:paraId="2C8DB10C">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19</w:t>
      </w:r>
      <w:r>
        <w:rPr>
          <w:rFonts w:ascii="宋体" w:hAnsi="宋体" w:eastAsia="宋体" w:cs="Times New Roman"/>
          <w:sz w:val="24"/>
          <w:szCs w:val="24"/>
        </w:rPr>
        <w:t>.2</w:t>
      </w:r>
      <w:r>
        <w:rPr>
          <w:rFonts w:hint="eastAsia" w:ascii="宋体" w:hAnsi="宋体" w:eastAsia="宋体" w:cs="Times New Roman"/>
          <w:sz w:val="24"/>
          <w:szCs w:val="24"/>
        </w:rPr>
        <w:t>磋商小组首先对所有磋商响应文件进行资格性和符合性审查。资格性审查是指：磋商小组按照竞争性磋商文件第二章磋商磋商响应供应商须知前附表第</w:t>
      </w:r>
      <w:r>
        <w:rPr>
          <w:rFonts w:ascii="宋体" w:hAnsi="宋体" w:eastAsia="宋体" w:cs="Times New Roman"/>
          <w:sz w:val="24"/>
          <w:szCs w:val="24"/>
        </w:rPr>
        <w:t>2.</w:t>
      </w:r>
      <w:r>
        <w:rPr>
          <w:rFonts w:hint="eastAsia" w:ascii="宋体" w:hAnsi="宋体" w:eastAsia="宋体" w:cs="Times New Roman"/>
          <w:sz w:val="24"/>
          <w:szCs w:val="24"/>
        </w:rPr>
        <w:t>1项的要求，对磋商响应供应商进行审查，有一项不符合的，视为未通过资格审查，不得进入下一评审过程。符合性审查是指：磋商小组按照竞争性磋商文件本须知19</w:t>
      </w:r>
      <w:r>
        <w:rPr>
          <w:rFonts w:ascii="宋体" w:hAnsi="宋体" w:eastAsia="宋体" w:cs="Times New Roman"/>
          <w:sz w:val="24"/>
          <w:szCs w:val="24"/>
        </w:rPr>
        <w:t>.3</w:t>
      </w:r>
      <w:r>
        <w:rPr>
          <w:rFonts w:hint="eastAsia" w:ascii="宋体" w:hAnsi="宋体" w:eastAsia="宋体" w:cs="Times New Roman"/>
          <w:sz w:val="24"/>
          <w:szCs w:val="24"/>
        </w:rPr>
        <w:t>条的要求，对磋商响应供应商进行审查，有一项不符合的，视为未通过符合性审查。未通过资格性和符合性审查的磋商响应文件按无效响应处理，磋商小组应当告知提交磋商响应文件的磋商响应供应商。</w:t>
      </w:r>
    </w:p>
    <w:p w14:paraId="2CA0CBA9">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19</w:t>
      </w:r>
      <w:r>
        <w:rPr>
          <w:rFonts w:ascii="宋体" w:hAnsi="宋体" w:eastAsia="宋体" w:cs="Times New Roman"/>
          <w:sz w:val="24"/>
          <w:szCs w:val="24"/>
        </w:rPr>
        <w:t>.2.</w:t>
      </w:r>
      <w:r>
        <w:rPr>
          <w:rFonts w:hint="eastAsia" w:ascii="宋体" w:hAnsi="宋体" w:eastAsia="宋体" w:cs="Times New Roman"/>
          <w:sz w:val="24"/>
          <w:szCs w:val="24"/>
        </w:rPr>
        <w:t>1磋商小组判断磋商响应文件的响应性仅基于磋商响应文件本身内容而不靠外部证据。</w:t>
      </w:r>
    </w:p>
    <w:p w14:paraId="5794AAAF">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19</w:t>
      </w:r>
      <w:r>
        <w:rPr>
          <w:rFonts w:ascii="宋体" w:hAnsi="宋体" w:eastAsia="宋体" w:cs="Times New Roman"/>
          <w:sz w:val="24"/>
          <w:szCs w:val="24"/>
        </w:rPr>
        <w:t>.2.</w:t>
      </w:r>
      <w:r>
        <w:rPr>
          <w:rFonts w:hint="eastAsia" w:ascii="宋体" w:hAnsi="宋体" w:eastAsia="宋体" w:cs="Times New Roman"/>
          <w:sz w:val="24"/>
          <w:szCs w:val="24"/>
        </w:rPr>
        <w:t>2实质性未响应磋商文件要求的响应将被拒绝，磋商响应供应商不得通过修正或撤消不符之处而使其响应成为实质性响应。</w:t>
      </w:r>
    </w:p>
    <w:p w14:paraId="00D69A04">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19</w:t>
      </w:r>
      <w:r>
        <w:rPr>
          <w:rFonts w:ascii="宋体" w:hAnsi="宋体" w:eastAsia="宋体" w:cs="Times New Roman"/>
          <w:sz w:val="24"/>
          <w:szCs w:val="24"/>
        </w:rPr>
        <w:t>.2.</w:t>
      </w:r>
      <w:r>
        <w:rPr>
          <w:rFonts w:hint="eastAsia" w:ascii="宋体" w:hAnsi="宋体" w:eastAsia="宋体" w:cs="Times New Roman"/>
          <w:sz w:val="24"/>
          <w:szCs w:val="24"/>
        </w:rPr>
        <w:t>3实质性未响应是指磋商响应文件中提出了超出磋商文件中采购标的、规格型号、招标控制价、采购数量、交货期、技术和服务要求等内容。</w:t>
      </w:r>
    </w:p>
    <w:p w14:paraId="2E739B02">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19.3</w:t>
      </w:r>
      <w:r>
        <w:rPr>
          <w:rFonts w:hint="eastAsia" w:ascii="宋体" w:hAnsi="宋体" w:eastAsia="宋体" w:cs="Times New Roman"/>
          <w:sz w:val="24"/>
          <w:szCs w:val="24"/>
        </w:rPr>
        <w:t>有下列情形之一的，其磋商响应文件将会被拒绝：</w:t>
      </w:r>
    </w:p>
    <w:p w14:paraId="04BF6901">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（1）磋商响应供应商名称与营业执照不一致；</w:t>
      </w:r>
    </w:p>
    <w:p w14:paraId="22222DAF">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（2）磋商报价超过竞争性磋商文件规定的招标控制价的；</w:t>
      </w:r>
    </w:p>
    <w:p w14:paraId="0F3BCDB7">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（3）以他人的名义磋商、串通磋商、以行贿手段谋取成交或者以其他弄虚作假方式磋商的；</w:t>
      </w:r>
    </w:p>
    <w:p w14:paraId="170B4BD5">
      <w:pPr>
        <w:spacing w:line="360" w:lineRule="auto"/>
        <w:ind w:firstLine="422" w:firstLineChars="176"/>
        <w:rPr>
          <w:rFonts w:ascii="宋体" w:hAnsi="宋体" w:eastAsia="宋体" w:cs="Times New Roman"/>
          <w:sz w:val="24"/>
          <w:szCs w:val="24"/>
        </w:rPr>
      </w:pPr>
      <w:r>
        <w:rPr>
          <w:rFonts w:hint="eastAsia" w:ascii="宋体" w:hAnsi="宋体" w:eastAsia="宋体" w:cs="Times New Roman"/>
          <w:sz w:val="24"/>
          <w:szCs w:val="24"/>
        </w:rPr>
        <w:t>（4）采取不正当手段谋取成交的。</w:t>
      </w:r>
    </w:p>
    <w:p w14:paraId="2F28FC60">
      <w:pPr>
        <w:spacing w:line="360" w:lineRule="auto"/>
        <w:ind w:firstLine="424" w:firstLineChars="176"/>
        <w:rPr>
          <w:rFonts w:ascii="宋体" w:hAnsi="宋体" w:eastAsia="宋体" w:cs="Times New Roman"/>
          <w:b/>
          <w:bCs/>
          <w:sz w:val="24"/>
          <w:szCs w:val="24"/>
        </w:rPr>
      </w:pPr>
      <w:r>
        <w:rPr>
          <w:rFonts w:ascii="宋体" w:hAnsi="宋体" w:eastAsia="宋体" w:cs="Times New Roman"/>
          <w:b/>
          <w:bCs/>
          <w:sz w:val="24"/>
          <w:szCs w:val="24"/>
        </w:rPr>
        <w:t>2</w:t>
      </w:r>
      <w:r>
        <w:rPr>
          <w:rFonts w:hint="eastAsia" w:ascii="宋体" w:hAnsi="宋体" w:eastAsia="宋体" w:cs="Times New Roman"/>
          <w:b/>
          <w:bCs/>
          <w:sz w:val="24"/>
          <w:szCs w:val="24"/>
        </w:rPr>
        <w:t>0、对磋商响应供应商的评价</w:t>
      </w:r>
    </w:p>
    <w:p w14:paraId="63954D1A">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0</w:t>
      </w:r>
      <w:r>
        <w:rPr>
          <w:rFonts w:ascii="宋体" w:hAnsi="宋体" w:eastAsia="宋体" w:cs="Times New Roman"/>
          <w:sz w:val="24"/>
          <w:szCs w:val="24"/>
        </w:rPr>
        <w:t>.1</w:t>
      </w:r>
      <w:r>
        <w:rPr>
          <w:rFonts w:hint="eastAsia" w:ascii="宋体" w:hAnsi="宋体" w:eastAsia="宋体" w:cs="Times New Roman"/>
          <w:sz w:val="24"/>
          <w:szCs w:val="24"/>
        </w:rPr>
        <w:t>磋商小组只对已判定为实质性响应且通过资格审查的磋商响应文件进行详细评价和比较。</w:t>
      </w:r>
    </w:p>
    <w:p w14:paraId="3AF22BE1">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0</w:t>
      </w:r>
      <w:r>
        <w:rPr>
          <w:rFonts w:ascii="宋体" w:hAnsi="宋体" w:eastAsia="宋体" w:cs="Times New Roman"/>
          <w:sz w:val="24"/>
          <w:szCs w:val="24"/>
        </w:rPr>
        <w:t>.</w:t>
      </w:r>
      <w:r>
        <w:rPr>
          <w:rFonts w:hint="eastAsia" w:ascii="宋体" w:hAnsi="宋体" w:eastAsia="宋体" w:cs="Times New Roman"/>
          <w:sz w:val="24"/>
          <w:szCs w:val="24"/>
        </w:rPr>
        <w:t>2磋商小组所有成员应当集中与单一磋商响应供应商分别进行磋商，并给予所有参加磋商的磋商响应供应商平等的磋商机会。磋商完成后，要求其在规定时间内提交最后报价，提交最后报价的供应商不少于三家。</w:t>
      </w:r>
    </w:p>
    <w:p w14:paraId="640CE2DB">
      <w:pPr>
        <w:spacing w:line="360" w:lineRule="auto"/>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0</w:t>
      </w:r>
      <w:r>
        <w:rPr>
          <w:rFonts w:ascii="宋体" w:hAnsi="宋体" w:eastAsia="宋体" w:cs="Times New Roman"/>
          <w:sz w:val="24"/>
          <w:szCs w:val="24"/>
        </w:rPr>
        <w:t>.</w:t>
      </w:r>
      <w:r>
        <w:rPr>
          <w:rFonts w:hint="eastAsia" w:ascii="宋体" w:hAnsi="宋体" w:eastAsia="宋体" w:cs="Times New Roman"/>
          <w:sz w:val="24"/>
          <w:szCs w:val="24"/>
        </w:rPr>
        <w:t>3经磋商确定最终采购需求和提交最后报价的磋商响应供应商后，磋商小组采用综合评分法对提交最后报价的磋商响应供应商的磋商响应文件和最后报价进行综合评分。</w:t>
      </w:r>
    </w:p>
    <w:p w14:paraId="6F96A427">
      <w:pPr>
        <w:spacing w:line="44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0</w:t>
      </w:r>
      <w:r>
        <w:rPr>
          <w:rFonts w:ascii="宋体" w:hAnsi="宋体" w:eastAsia="宋体" w:cs="Times New Roman"/>
          <w:sz w:val="24"/>
          <w:szCs w:val="24"/>
        </w:rPr>
        <w:t>.</w:t>
      </w:r>
      <w:r>
        <w:rPr>
          <w:rFonts w:hint="eastAsia" w:ascii="宋体" w:hAnsi="宋体" w:eastAsia="宋体" w:cs="Times New Roman"/>
          <w:sz w:val="24"/>
          <w:szCs w:val="24"/>
        </w:rPr>
        <w:t>4磋商小组根据综合评分情况，按评审得分由高到低的顺序确定三名成交候选供应商，并编写评审报告。评审得分相同的，按照最后报价由低到高的顺序确定，评审得分且最后报价相同的，按照技术指标优劣顺序确定成交候选供应商。评审报告由磋商小组全体人员签字。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1E39992">
      <w:pPr>
        <w:spacing w:line="44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0</w:t>
      </w:r>
      <w:r>
        <w:rPr>
          <w:rFonts w:ascii="宋体" w:hAnsi="宋体" w:eastAsia="宋体" w:cs="Times New Roman"/>
          <w:sz w:val="24"/>
          <w:szCs w:val="24"/>
        </w:rPr>
        <w:t>.</w:t>
      </w:r>
      <w:r>
        <w:rPr>
          <w:rFonts w:hint="eastAsia" w:ascii="宋体" w:hAnsi="宋体" w:eastAsia="宋体" w:cs="Times New Roman"/>
          <w:sz w:val="24"/>
          <w:szCs w:val="24"/>
        </w:rPr>
        <w:t>5如果第一名供应商放弃成交资格或因不可抗力提出不能履行合同、竞争性磋商文件规定应当提交履约担保而在规定的期限内未能提交的，采购人将依序确定排名第二名的成交候选供应商为成交供应商，也可以重新开展政府采购活动。</w:t>
      </w:r>
    </w:p>
    <w:p w14:paraId="5F4BBDD2">
      <w:pPr>
        <w:spacing w:line="440" w:lineRule="exact"/>
        <w:ind w:firstLine="424" w:firstLineChars="176"/>
        <w:rPr>
          <w:rFonts w:ascii="宋体" w:hAnsi="宋体" w:eastAsia="宋体" w:cs="Times New Roman"/>
          <w:b/>
          <w:bCs/>
          <w:sz w:val="24"/>
          <w:szCs w:val="24"/>
        </w:rPr>
      </w:pPr>
      <w:r>
        <w:rPr>
          <w:rFonts w:ascii="宋体" w:hAnsi="宋体" w:eastAsia="宋体" w:cs="Times New Roman"/>
          <w:b/>
          <w:bCs/>
          <w:sz w:val="24"/>
          <w:szCs w:val="24"/>
        </w:rPr>
        <w:t>2</w:t>
      </w:r>
      <w:r>
        <w:rPr>
          <w:rFonts w:hint="eastAsia" w:ascii="宋体" w:hAnsi="宋体" w:eastAsia="宋体" w:cs="Times New Roman"/>
          <w:b/>
          <w:bCs/>
          <w:sz w:val="24"/>
          <w:szCs w:val="24"/>
        </w:rPr>
        <w:t>1、磋商响应文件的澄清</w:t>
      </w:r>
    </w:p>
    <w:p w14:paraId="27562579">
      <w:pPr>
        <w:spacing w:line="44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1</w:t>
      </w:r>
      <w:r>
        <w:rPr>
          <w:rFonts w:ascii="宋体" w:hAnsi="宋体" w:eastAsia="宋体" w:cs="Times New Roman"/>
          <w:sz w:val="24"/>
          <w:szCs w:val="24"/>
        </w:rPr>
        <w:t>.1</w:t>
      </w:r>
      <w:r>
        <w:rPr>
          <w:rFonts w:hint="eastAsia" w:ascii="宋体" w:hAnsi="宋体" w:eastAsia="宋体" w:cs="Times New Roman"/>
          <w:sz w:val="24"/>
          <w:szCs w:val="24"/>
        </w:rPr>
        <w:t>为了有助于对磋商响应文件进行审查、评估和比较，磋商小组有权向磋商响应供应商质疑。请磋商响应供应商澄清其</w:t>
      </w:r>
      <w:r>
        <w:rPr>
          <w:rFonts w:hint="eastAsia" w:ascii="宋体" w:hAnsi="宋体" w:eastAsia="宋体" w:cs="Times New Roman"/>
          <w:kern w:val="0"/>
          <w:sz w:val="24"/>
          <w:szCs w:val="24"/>
        </w:rPr>
        <w:t>磋商</w:t>
      </w:r>
      <w:r>
        <w:rPr>
          <w:rFonts w:hint="eastAsia" w:ascii="宋体" w:hAnsi="宋体" w:eastAsia="宋体" w:cs="Times New Roman"/>
          <w:sz w:val="24"/>
          <w:szCs w:val="24"/>
        </w:rPr>
        <w:t>内容。磋商响应供应商有责任按照磋商小组通知的时间、地点、方式指派委托代理人进行答疑和澄清。</w:t>
      </w:r>
    </w:p>
    <w:p w14:paraId="170C8CB5">
      <w:pPr>
        <w:spacing w:line="44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1</w:t>
      </w:r>
      <w:r>
        <w:rPr>
          <w:rFonts w:ascii="宋体" w:hAnsi="宋体" w:eastAsia="宋体" w:cs="Times New Roman"/>
          <w:sz w:val="24"/>
          <w:szCs w:val="24"/>
        </w:rPr>
        <w:t>.2</w:t>
      </w:r>
      <w:r>
        <w:rPr>
          <w:rFonts w:hint="eastAsia" w:ascii="宋体" w:hAnsi="宋体" w:eastAsia="宋体" w:cs="Times New Roman"/>
          <w:sz w:val="24"/>
          <w:szCs w:val="24"/>
        </w:rPr>
        <w:t>重要澄清的答复应是书面的，并由法定代表人或其委托代理人签字。</w:t>
      </w:r>
    </w:p>
    <w:p w14:paraId="20D812CD">
      <w:pPr>
        <w:spacing w:line="44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1</w:t>
      </w:r>
      <w:r>
        <w:rPr>
          <w:rFonts w:ascii="宋体" w:hAnsi="宋体" w:eastAsia="宋体" w:cs="Times New Roman"/>
          <w:sz w:val="24"/>
          <w:szCs w:val="24"/>
        </w:rPr>
        <w:t>.3</w:t>
      </w:r>
      <w:r>
        <w:rPr>
          <w:rFonts w:hint="eastAsia" w:ascii="宋体" w:hAnsi="宋体" w:eastAsia="宋体" w:cs="Times New Roman"/>
          <w:sz w:val="24"/>
          <w:szCs w:val="24"/>
        </w:rPr>
        <w:t>磋商响应供应商的澄清文件是磋商响应文件的组成部分，并取代磋商响应文件中被澄清的部分。</w:t>
      </w:r>
    </w:p>
    <w:p w14:paraId="763C7548">
      <w:pPr>
        <w:spacing w:line="44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1</w:t>
      </w:r>
      <w:r>
        <w:rPr>
          <w:rFonts w:ascii="宋体" w:hAnsi="宋体" w:eastAsia="宋体" w:cs="Times New Roman"/>
          <w:sz w:val="24"/>
          <w:szCs w:val="24"/>
        </w:rPr>
        <w:t>.4</w:t>
      </w:r>
      <w:r>
        <w:rPr>
          <w:rFonts w:hint="eastAsia" w:ascii="宋体" w:hAnsi="宋体" w:eastAsia="宋体" w:cs="Times New Roman"/>
          <w:sz w:val="24"/>
          <w:szCs w:val="24"/>
        </w:rPr>
        <w:t>磋商响应文件澄清部分不得对磋商内容进行实质性修改。</w:t>
      </w:r>
    </w:p>
    <w:p w14:paraId="24CDD8B3">
      <w:pPr>
        <w:spacing w:line="440" w:lineRule="exact"/>
        <w:ind w:firstLine="424" w:firstLineChars="176"/>
        <w:rPr>
          <w:rFonts w:ascii="宋体" w:hAnsi="宋体" w:eastAsia="宋体" w:cs="Times New Roman"/>
          <w:b/>
          <w:bCs/>
          <w:sz w:val="24"/>
          <w:szCs w:val="24"/>
        </w:rPr>
      </w:pPr>
      <w:r>
        <w:rPr>
          <w:rFonts w:ascii="宋体" w:hAnsi="宋体" w:eastAsia="宋体" w:cs="Times New Roman"/>
          <w:b/>
          <w:bCs/>
          <w:sz w:val="24"/>
          <w:szCs w:val="24"/>
        </w:rPr>
        <w:t>2</w:t>
      </w:r>
      <w:r>
        <w:rPr>
          <w:rFonts w:hint="eastAsia" w:ascii="宋体" w:hAnsi="宋体" w:eastAsia="宋体" w:cs="Times New Roman"/>
          <w:b/>
          <w:bCs/>
          <w:sz w:val="24"/>
          <w:szCs w:val="24"/>
        </w:rPr>
        <w:t>2、磋商原则和方法</w:t>
      </w:r>
    </w:p>
    <w:p w14:paraId="2123CDD1">
      <w:pPr>
        <w:spacing w:line="44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2</w:t>
      </w:r>
      <w:r>
        <w:rPr>
          <w:rFonts w:ascii="宋体" w:hAnsi="宋体" w:eastAsia="宋体" w:cs="Times New Roman"/>
          <w:sz w:val="24"/>
          <w:szCs w:val="24"/>
        </w:rPr>
        <w:t>.1</w:t>
      </w:r>
      <w:r>
        <w:rPr>
          <w:rFonts w:hint="eastAsia" w:ascii="宋体" w:hAnsi="宋体" w:eastAsia="宋体" w:cs="Times New Roman"/>
          <w:sz w:val="24"/>
          <w:szCs w:val="24"/>
        </w:rPr>
        <w:t>坚持公开、公平、公正的原则。</w:t>
      </w:r>
    </w:p>
    <w:p w14:paraId="37581DB3">
      <w:pPr>
        <w:spacing w:line="44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2</w:t>
      </w:r>
      <w:r>
        <w:rPr>
          <w:rFonts w:ascii="宋体" w:hAnsi="宋体" w:eastAsia="宋体" w:cs="Times New Roman"/>
          <w:sz w:val="24"/>
          <w:szCs w:val="24"/>
        </w:rPr>
        <w:t>.2</w:t>
      </w:r>
      <w:r>
        <w:rPr>
          <w:rFonts w:hint="eastAsia" w:ascii="宋体" w:hAnsi="宋体" w:eastAsia="宋体" w:cs="Times New Roman"/>
          <w:sz w:val="24"/>
          <w:szCs w:val="24"/>
        </w:rPr>
        <w:t>磋商在磋商小组应当集中与单一磋商响应供应商分别进行磋商，磋商小组将遵照磋商原则，公正、平等地对待所有磋商响应供应商。</w:t>
      </w:r>
    </w:p>
    <w:p w14:paraId="68123A50">
      <w:pPr>
        <w:spacing w:line="44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2</w:t>
      </w:r>
      <w:r>
        <w:rPr>
          <w:rFonts w:ascii="宋体" w:hAnsi="宋体" w:eastAsia="宋体" w:cs="Times New Roman"/>
          <w:sz w:val="24"/>
          <w:szCs w:val="24"/>
        </w:rPr>
        <w:t>.3</w:t>
      </w:r>
      <w:r>
        <w:rPr>
          <w:rFonts w:hint="eastAsia" w:ascii="宋体" w:hAnsi="宋体" w:eastAsia="宋体" w:cs="Times New Roman"/>
          <w:sz w:val="24"/>
          <w:szCs w:val="24"/>
        </w:rPr>
        <w:t>评审方法</w:t>
      </w:r>
    </w:p>
    <w:p w14:paraId="273FC1EF">
      <w:pPr>
        <w:spacing w:line="44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2</w:t>
      </w:r>
      <w:r>
        <w:rPr>
          <w:rFonts w:ascii="宋体" w:hAnsi="宋体" w:eastAsia="宋体" w:cs="Times New Roman"/>
          <w:sz w:val="24"/>
          <w:szCs w:val="24"/>
        </w:rPr>
        <w:t>.3.1</w:t>
      </w:r>
      <w:r>
        <w:rPr>
          <w:rFonts w:hint="eastAsia" w:ascii="宋体" w:hAnsi="宋体" w:eastAsia="宋体" w:cs="Times New Roman"/>
          <w:sz w:val="24"/>
          <w:szCs w:val="24"/>
        </w:rPr>
        <w:t>初步评审（是否响应竞争性磋商文件的要求），确定合格的磋商响应供应商。</w:t>
      </w:r>
    </w:p>
    <w:p w14:paraId="0F5FE67E">
      <w:pPr>
        <w:spacing w:line="44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2</w:t>
      </w:r>
      <w:r>
        <w:rPr>
          <w:rFonts w:ascii="宋体" w:hAnsi="宋体" w:eastAsia="宋体" w:cs="Times New Roman"/>
          <w:sz w:val="24"/>
          <w:szCs w:val="24"/>
        </w:rPr>
        <w:t>.3.2</w:t>
      </w:r>
      <w:r>
        <w:rPr>
          <w:rFonts w:hint="eastAsia" w:ascii="宋体" w:hAnsi="宋体" w:eastAsia="宋体" w:cs="Times New Roman"/>
          <w:sz w:val="24"/>
          <w:szCs w:val="24"/>
        </w:rPr>
        <w:t>各磋商响应供应商依据各自情况进行最后报价。</w:t>
      </w:r>
    </w:p>
    <w:p w14:paraId="6C43DAA3">
      <w:pPr>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2</w:t>
      </w:r>
      <w:r>
        <w:rPr>
          <w:rFonts w:ascii="宋体" w:hAnsi="宋体" w:eastAsia="宋体" w:cs="Times New Roman"/>
          <w:sz w:val="24"/>
          <w:szCs w:val="24"/>
        </w:rPr>
        <w:t>.3.3</w:t>
      </w:r>
      <w:r>
        <w:rPr>
          <w:rFonts w:hint="eastAsia" w:ascii="宋体" w:hAnsi="宋体" w:eastAsia="宋体" w:cs="Times New Roman"/>
          <w:sz w:val="24"/>
          <w:szCs w:val="24"/>
        </w:rPr>
        <w:t>经磋商确定最终采购需求和提交最后报价的磋商响应供应商，由磋商小组采用综合评分法对提交最后报价的磋商响应供应商的响应文件和最后报价进行综合评分。</w:t>
      </w:r>
    </w:p>
    <w:p w14:paraId="106E8F93">
      <w:pPr>
        <w:spacing w:line="420" w:lineRule="exact"/>
        <w:ind w:firstLine="424" w:firstLineChars="176"/>
        <w:rPr>
          <w:rFonts w:ascii="宋体" w:hAnsi="宋体" w:eastAsia="宋体" w:cs="Times New Roman"/>
          <w:b/>
          <w:bCs/>
          <w:sz w:val="24"/>
          <w:szCs w:val="24"/>
        </w:rPr>
      </w:pPr>
      <w:r>
        <w:rPr>
          <w:rFonts w:ascii="宋体" w:hAnsi="宋体" w:eastAsia="宋体" w:cs="Times New Roman"/>
          <w:b/>
          <w:bCs/>
          <w:sz w:val="24"/>
          <w:szCs w:val="24"/>
        </w:rPr>
        <w:t>2</w:t>
      </w:r>
      <w:r>
        <w:rPr>
          <w:rFonts w:hint="eastAsia" w:ascii="宋体" w:hAnsi="宋体" w:eastAsia="宋体" w:cs="Times New Roman"/>
          <w:b/>
          <w:bCs/>
          <w:sz w:val="24"/>
          <w:szCs w:val="24"/>
        </w:rPr>
        <w:t>3、确定成交供应商</w:t>
      </w:r>
    </w:p>
    <w:p w14:paraId="5DF6A400">
      <w:pPr>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3</w:t>
      </w:r>
      <w:r>
        <w:rPr>
          <w:rFonts w:ascii="宋体" w:hAnsi="宋体" w:eastAsia="宋体" w:cs="Times New Roman"/>
          <w:sz w:val="24"/>
          <w:szCs w:val="24"/>
        </w:rPr>
        <w:t>.1</w:t>
      </w:r>
      <w:r>
        <w:rPr>
          <w:rFonts w:hint="eastAsia" w:ascii="宋体" w:hAnsi="宋体" w:eastAsia="宋体" w:cs="Times New Roman"/>
          <w:sz w:val="24"/>
          <w:szCs w:val="24"/>
        </w:rPr>
        <w:t>磋商小组应当根据综合评分情况，按照评审有高到低的顺序推荐成交候选供应商，并向采购人提供书面评审报告。</w:t>
      </w:r>
    </w:p>
    <w:p w14:paraId="25A015C9">
      <w:pPr>
        <w:spacing w:line="420" w:lineRule="exact"/>
        <w:ind w:firstLine="424" w:firstLineChars="176"/>
        <w:rPr>
          <w:rFonts w:ascii="宋体" w:hAnsi="宋体" w:eastAsia="宋体" w:cs="Times New Roman"/>
          <w:b/>
          <w:bCs/>
          <w:sz w:val="24"/>
          <w:szCs w:val="24"/>
        </w:rPr>
      </w:pPr>
      <w:r>
        <w:rPr>
          <w:rFonts w:ascii="宋体" w:hAnsi="宋体" w:eastAsia="宋体" w:cs="Times New Roman"/>
          <w:b/>
          <w:bCs/>
          <w:sz w:val="24"/>
          <w:szCs w:val="24"/>
        </w:rPr>
        <w:t>2</w:t>
      </w:r>
      <w:r>
        <w:rPr>
          <w:rFonts w:hint="eastAsia" w:ascii="宋体" w:hAnsi="宋体" w:eastAsia="宋体" w:cs="Times New Roman"/>
          <w:b/>
          <w:bCs/>
          <w:sz w:val="24"/>
          <w:szCs w:val="24"/>
        </w:rPr>
        <w:t>4、保密及其它注意事项</w:t>
      </w:r>
    </w:p>
    <w:p w14:paraId="3507A8BC">
      <w:pPr>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4</w:t>
      </w:r>
      <w:r>
        <w:rPr>
          <w:rFonts w:ascii="宋体" w:hAnsi="宋体" w:eastAsia="宋体" w:cs="Times New Roman"/>
          <w:sz w:val="24"/>
          <w:szCs w:val="24"/>
        </w:rPr>
        <w:t>.1</w:t>
      </w:r>
      <w:r>
        <w:rPr>
          <w:rFonts w:hint="eastAsia" w:ascii="宋体" w:hAnsi="宋体" w:eastAsia="宋体" w:cs="Times New Roman"/>
          <w:sz w:val="24"/>
          <w:szCs w:val="24"/>
        </w:rPr>
        <w:t>评审工作是磋商工作的重要环节，评审工作在磋商小组内独立进行。</w:t>
      </w:r>
    </w:p>
    <w:p w14:paraId="7DAC3931">
      <w:pPr>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4</w:t>
      </w:r>
      <w:r>
        <w:rPr>
          <w:rFonts w:ascii="宋体" w:hAnsi="宋体" w:eastAsia="宋体" w:cs="Times New Roman"/>
          <w:sz w:val="24"/>
          <w:szCs w:val="24"/>
        </w:rPr>
        <w:t>.2</w:t>
      </w:r>
      <w:r>
        <w:rPr>
          <w:rFonts w:hint="eastAsia" w:ascii="宋体" w:hAnsi="宋体" w:eastAsia="宋体" w:cs="Times New Roman"/>
          <w:sz w:val="24"/>
          <w:szCs w:val="24"/>
        </w:rPr>
        <w:t>在评审期间，磋商响应供应商不得向磋商小组成员询问评审情况，不得进行影响评审结果的活动。否则其响应将会被拒绝。</w:t>
      </w:r>
    </w:p>
    <w:p w14:paraId="4C311317">
      <w:pPr>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4</w:t>
      </w:r>
      <w:r>
        <w:rPr>
          <w:rFonts w:ascii="宋体" w:hAnsi="宋体" w:eastAsia="宋体" w:cs="Times New Roman"/>
          <w:sz w:val="24"/>
          <w:szCs w:val="24"/>
        </w:rPr>
        <w:t>.3</w:t>
      </w:r>
      <w:r>
        <w:rPr>
          <w:rFonts w:hint="eastAsia" w:ascii="宋体" w:hAnsi="宋体" w:eastAsia="宋体" w:cs="Times New Roman"/>
          <w:sz w:val="24"/>
          <w:szCs w:val="24"/>
        </w:rPr>
        <w:t>为保证评审的公正性，磋商开始后直至授予成交供应商合同，磋商小组成员不得与供应商私下交换意见。</w:t>
      </w:r>
    </w:p>
    <w:p w14:paraId="07833B35">
      <w:pPr>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4</w:t>
      </w:r>
      <w:r>
        <w:rPr>
          <w:rFonts w:ascii="宋体" w:hAnsi="宋体" w:eastAsia="宋体" w:cs="Times New Roman"/>
          <w:sz w:val="24"/>
          <w:szCs w:val="24"/>
        </w:rPr>
        <w:t>.4</w:t>
      </w:r>
      <w:r>
        <w:rPr>
          <w:rFonts w:hint="eastAsia" w:ascii="宋体" w:hAnsi="宋体" w:eastAsia="宋体" w:cs="Times New Roman"/>
          <w:sz w:val="24"/>
          <w:szCs w:val="24"/>
        </w:rPr>
        <w:t>在评审工作结束后，凡与评审情况有接触的任何人不得擅自将评审情况扩散出评审人员之外。</w:t>
      </w:r>
    </w:p>
    <w:p w14:paraId="4EEFEE5D">
      <w:pPr>
        <w:spacing w:line="420" w:lineRule="exact"/>
        <w:ind w:firstLine="424" w:firstLineChars="176"/>
        <w:rPr>
          <w:rFonts w:ascii="宋体" w:hAnsi="宋体" w:eastAsia="宋体" w:cs="Times New Roman"/>
          <w:b/>
          <w:bCs/>
          <w:sz w:val="24"/>
          <w:szCs w:val="24"/>
        </w:rPr>
      </w:pPr>
      <w:r>
        <w:rPr>
          <w:rFonts w:ascii="宋体" w:hAnsi="宋体" w:eastAsia="宋体" w:cs="Times New Roman"/>
          <w:b/>
          <w:bCs/>
          <w:sz w:val="24"/>
          <w:szCs w:val="24"/>
        </w:rPr>
        <w:t>2</w:t>
      </w:r>
      <w:r>
        <w:rPr>
          <w:rFonts w:hint="eastAsia" w:ascii="宋体" w:hAnsi="宋体" w:eastAsia="宋体" w:cs="Times New Roman"/>
          <w:b/>
          <w:bCs/>
          <w:sz w:val="24"/>
          <w:szCs w:val="24"/>
        </w:rPr>
        <w:t>5、成交通知</w:t>
      </w:r>
      <w:r>
        <w:rPr>
          <w:rFonts w:ascii="宋体" w:hAnsi="宋体" w:eastAsia="宋体" w:cs="Times New Roman"/>
          <w:b/>
          <w:bCs/>
          <w:sz w:val="24"/>
          <w:szCs w:val="24"/>
        </w:rPr>
        <w:tab/>
      </w:r>
    </w:p>
    <w:p w14:paraId="036E12E3">
      <w:pPr>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5</w:t>
      </w:r>
      <w:r>
        <w:rPr>
          <w:rFonts w:ascii="宋体" w:hAnsi="宋体" w:eastAsia="宋体" w:cs="Times New Roman"/>
          <w:sz w:val="24"/>
          <w:szCs w:val="24"/>
        </w:rPr>
        <w:t>.1</w:t>
      </w:r>
      <w:r>
        <w:rPr>
          <w:rFonts w:hint="eastAsia" w:ascii="宋体" w:hAnsi="宋体" w:eastAsia="宋体" w:cs="Times New Roman"/>
          <w:sz w:val="24"/>
          <w:szCs w:val="24"/>
        </w:rPr>
        <w:t>成交供应商确定后，采购人向成交供应商签发《成交通知书》，并将成交结果通知所有未成交的磋商响应供应商。</w:t>
      </w:r>
    </w:p>
    <w:p w14:paraId="49AB7D33">
      <w:pPr>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25</w:t>
      </w:r>
      <w:r>
        <w:rPr>
          <w:rFonts w:ascii="宋体" w:hAnsi="宋体" w:eastAsia="宋体" w:cs="Times New Roman"/>
          <w:sz w:val="24"/>
          <w:szCs w:val="24"/>
        </w:rPr>
        <w:t>.2</w:t>
      </w:r>
      <w:r>
        <w:rPr>
          <w:rFonts w:hint="eastAsia" w:ascii="宋体" w:hAnsi="宋体" w:eastAsia="宋体" w:cs="Times New Roman"/>
          <w:sz w:val="24"/>
          <w:szCs w:val="24"/>
        </w:rPr>
        <w:t>《成交通知书》作为签订合同的依据，对采购人和成交供应商均具有法律效力，成交通知书发出后，采购人改变成交结果或者成交供应商放弃项目，应依法承担法律责任。</w:t>
      </w:r>
    </w:p>
    <w:p w14:paraId="46EF2756">
      <w:pPr>
        <w:spacing w:line="420" w:lineRule="exact"/>
        <w:ind w:firstLine="424" w:firstLineChars="176"/>
        <w:rPr>
          <w:rFonts w:ascii="宋体" w:hAnsi="宋体" w:eastAsia="宋体" w:cs="Times New Roman"/>
          <w:b/>
          <w:bCs/>
          <w:sz w:val="24"/>
          <w:szCs w:val="24"/>
        </w:rPr>
      </w:pPr>
      <w:r>
        <w:rPr>
          <w:rFonts w:ascii="宋体" w:hAnsi="宋体" w:eastAsia="宋体" w:cs="Times New Roman"/>
          <w:b/>
          <w:bCs/>
          <w:sz w:val="24"/>
          <w:szCs w:val="24"/>
        </w:rPr>
        <w:t>2</w:t>
      </w:r>
      <w:r>
        <w:rPr>
          <w:rFonts w:hint="eastAsia" w:ascii="宋体" w:hAnsi="宋体" w:eastAsia="宋体" w:cs="Times New Roman"/>
          <w:b/>
          <w:bCs/>
          <w:sz w:val="24"/>
          <w:szCs w:val="24"/>
        </w:rPr>
        <w:t>6、授予合同时变更数量的权力</w:t>
      </w:r>
    </w:p>
    <w:p w14:paraId="625C8E78">
      <w:pPr>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6.</w:t>
      </w:r>
      <w:r>
        <w:rPr>
          <w:rFonts w:ascii="宋体" w:hAnsi="宋体" w:eastAsia="宋体" w:cs="Times New Roman"/>
          <w:sz w:val="24"/>
          <w:szCs w:val="24"/>
        </w:rPr>
        <w:t>1</w:t>
      </w:r>
      <w:r>
        <w:rPr>
          <w:rFonts w:hint="eastAsia" w:ascii="宋体" w:hAnsi="宋体" w:eastAsia="宋体" w:cs="Times New Roman"/>
          <w:sz w:val="24"/>
          <w:szCs w:val="24"/>
        </w:rPr>
        <w:t>采购人在授予合同时，保留对货物数量予以适当增减的权利。成交供应商不得在此情况下对磋商响应文件做出修改，如价格、技术参数、服务承诺等。</w:t>
      </w:r>
    </w:p>
    <w:p w14:paraId="0F67B831">
      <w:pPr>
        <w:spacing w:line="420" w:lineRule="exact"/>
        <w:ind w:firstLine="424" w:firstLineChars="176"/>
        <w:rPr>
          <w:rFonts w:ascii="宋体" w:hAnsi="宋体" w:eastAsia="宋体" w:cs="Times New Roman"/>
          <w:b/>
          <w:bCs/>
          <w:sz w:val="24"/>
          <w:szCs w:val="24"/>
        </w:rPr>
      </w:pPr>
      <w:r>
        <w:rPr>
          <w:rFonts w:ascii="宋体" w:hAnsi="宋体" w:eastAsia="宋体" w:cs="Times New Roman"/>
          <w:b/>
          <w:bCs/>
          <w:sz w:val="24"/>
          <w:szCs w:val="24"/>
        </w:rPr>
        <w:t>2</w:t>
      </w:r>
      <w:r>
        <w:rPr>
          <w:rFonts w:hint="eastAsia" w:ascii="宋体" w:hAnsi="宋体" w:eastAsia="宋体" w:cs="Times New Roman"/>
          <w:b/>
          <w:bCs/>
          <w:sz w:val="24"/>
          <w:szCs w:val="24"/>
        </w:rPr>
        <w:t>7、签订合同</w:t>
      </w:r>
    </w:p>
    <w:p w14:paraId="15FF9B33">
      <w:pPr>
        <w:adjustRightInd w:val="0"/>
        <w:spacing w:line="420" w:lineRule="exact"/>
        <w:ind w:firstLine="422" w:firstLineChars="176"/>
        <w:jc w:val="left"/>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7</w:t>
      </w:r>
      <w:r>
        <w:rPr>
          <w:rFonts w:ascii="宋体" w:hAnsi="宋体" w:eastAsia="宋体" w:cs="Times New Roman"/>
          <w:sz w:val="24"/>
          <w:szCs w:val="24"/>
        </w:rPr>
        <w:t>.1</w:t>
      </w:r>
      <w:r>
        <w:rPr>
          <w:rFonts w:hint="eastAsia" w:ascii="宋体" w:hAnsi="宋体" w:eastAsia="宋体" w:cs="Times New Roman"/>
          <w:sz w:val="24"/>
          <w:szCs w:val="24"/>
        </w:rPr>
        <w:t>供应商应自中标通知书发出之日起2个工作日内与采购人签订采购合同</w:t>
      </w:r>
      <w:r>
        <w:rPr>
          <w:rFonts w:hint="eastAsia" w:ascii="宋体" w:hAnsi="宋体" w:eastAsia="宋体" w:cs="Times New Roman"/>
          <w:spacing w:val="-20"/>
          <w:sz w:val="24"/>
          <w:szCs w:val="24"/>
        </w:rPr>
        <w:t>。</w:t>
      </w:r>
    </w:p>
    <w:p w14:paraId="3C508DD2">
      <w:pPr>
        <w:adjustRightInd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7</w:t>
      </w:r>
      <w:r>
        <w:rPr>
          <w:rFonts w:ascii="宋体" w:hAnsi="宋体" w:eastAsia="宋体" w:cs="Times New Roman"/>
          <w:sz w:val="24"/>
          <w:szCs w:val="24"/>
        </w:rPr>
        <w:t>.2</w:t>
      </w:r>
      <w:r>
        <w:rPr>
          <w:rFonts w:hint="eastAsia" w:ascii="宋体" w:hAnsi="宋体" w:eastAsia="宋体" w:cs="Times New Roman"/>
          <w:sz w:val="24"/>
          <w:szCs w:val="24"/>
        </w:rPr>
        <w:t>采购人签发的成交通知书、竞争性磋商文件、成交供应商的磋商响应文件及其澄清文件等，均为签订合同的依据。</w:t>
      </w:r>
    </w:p>
    <w:p w14:paraId="6F8AF685">
      <w:pPr>
        <w:spacing w:line="420" w:lineRule="exact"/>
        <w:ind w:firstLine="424" w:firstLineChars="176"/>
        <w:rPr>
          <w:rFonts w:ascii="宋体" w:hAnsi="宋体" w:eastAsia="宋体" w:cs="Times New Roman"/>
          <w:b/>
          <w:sz w:val="24"/>
          <w:szCs w:val="24"/>
        </w:rPr>
      </w:pPr>
      <w:r>
        <w:rPr>
          <w:rFonts w:ascii="宋体" w:hAnsi="宋体" w:eastAsia="宋体" w:cs="Times New Roman"/>
          <w:b/>
          <w:sz w:val="24"/>
          <w:szCs w:val="24"/>
        </w:rPr>
        <w:t>2</w:t>
      </w:r>
      <w:r>
        <w:rPr>
          <w:rFonts w:hint="eastAsia" w:ascii="宋体" w:hAnsi="宋体" w:eastAsia="宋体" w:cs="Times New Roman"/>
          <w:b/>
          <w:sz w:val="24"/>
          <w:szCs w:val="24"/>
        </w:rPr>
        <w:t>8．特别注意事项：</w:t>
      </w:r>
    </w:p>
    <w:p w14:paraId="63C1AE39">
      <w:pPr>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8</w:t>
      </w:r>
      <w:r>
        <w:rPr>
          <w:rFonts w:ascii="宋体" w:hAnsi="宋体" w:eastAsia="宋体" w:cs="Times New Roman"/>
          <w:sz w:val="24"/>
          <w:szCs w:val="24"/>
        </w:rPr>
        <w:t xml:space="preserve">.1 </w:t>
      </w:r>
      <w:r>
        <w:rPr>
          <w:rFonts w:hint="eastAsia" w:ascii="宋体" w:hAnsi="宋体" w:eastAsia="宋体" w:cs="Times New Roman"/>
          <w:sz w:val="24"/>
          <w:szCs w:val="24"/>
        </w:rPr>
        <w:t>磋商响应供应商出现下列情形之一的，磋商小组可取消其磋商资格：</w:t>
      </w:r>
    </w:p>
    <w:p w14:paraId="28B59721">
      <w:pPr>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1</w:t>
      </w:r>
      <w:r>
        <w:rPr>
          <w:rFonts w:hint="eastAsia" w:ascii="宋体" w:hAnsi="宋体" w:eastAsia="宋体" w:cs="Times New Roman"/>
          <w:sz w:val="24"/>
          <w:szCs w:val="24"/>
        </w:rPr>
        <w:t>）未按磋商文件要求和规定提交实质性响应材料的；</w:t>
      </w:r>
    </w:p>
    <w:p w14:paraId="2978EF18">
      <w:pPr>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2</w:t>
      </w:r>
      <w:r>
        <w:rPr>
          <w:rFonts w:hint="eastAsia" w:ascii="宋体" w:hAnsi="宋体" w:eastAsia="宋体" w:cs="Times New Roman"/>
          <w:sz w:val="24"/>
          <w:szCs w:val="24"/>
        </w:rPr>
        <w:t>）相互串通磋商的（有下列情形之一的，视为磋商响应供应商相互串通磋商）；</w:t>
      </w:r>
    </w:p>
    <w:p w14:paraId="214B404F">
      <w:pPr>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A</w:t>
      </w:r>
      <w:r>
        <w:rPr>
          <w:rFonts w:hint="eastAsia" w:ascii="宋体" w:hAnsi="宋体" w:eastAsia="宋体" w:cs="Times New Roman"/>
          <w:sz w:val="24"/>
          <w:szCs w:val="24"/>
        </w:rPr>
        <w:t>、不同磋商响应供应商的响应文件由同一单位或者个人编制</w:t>
      </w:r>
    </w:p>
    <w:p w14:paraId="3C06CAC3">
      <w:pPr>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B</w:t>
      </w:r>
      <w:r>
        <w:rPr>
          <w:rFonts w:hint="eastAsia" w:ascii="宋体" w:hAnsi="宋体" w:eastAsia="宋体" w:cs="Times New Roman"/>
          <w:sz w:val="24"/>
          <w:szCs w:val="24"/>
        </w:rPr>
        <w:t>、不同磋商响应供应商的响应文件载明的项目管理成员为同一人</w:t>
      </w:r>
    </w:p>
    <w:p w14:paraId="1C2C6F86">
      <w:pPr>
        <w:autoSpaceDE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C</w:t>
      </w:r>
      <w:r>
        <w:rPr>
          <w:rFonts w:hint="eastAsia" w:ascii="宋体" w:hAnsi="宋体" w:eastAsia="宋体" w:cs="Times New Roman"/>
          <w:sz w:val="24"/>
          <w:szCs w:val="24"/>
        </w:rPr>
        <w:t>、不同磋商响应供应商的响应文件异常一致或者磋商报价呈规律性差异</w:t>
      </w:r>
    </w:p>
    <w:p w14:paraId="378FABEC">
      <w:pPr>
        <w:autoSpaceDE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D</w:t>
      </w:r>
      <w:r>
        <w:rPr>
          <w:rFonts w:hint="eastAsia" w:ascii="宋体" w:hAnsi="宋体" w:eastAsia="宋体" w:cs="Times New Roman"/>
          <w:sz w:val="24"/>
          <w:szCs w:val="24"/>
        </w:rPr>
        <w:t>、不同磋商响应供应商的响应文件相互混放</w:t>
      </w:r>
    </w:p>
    <w:p w14:paraId="6BA5E2D6">
      <w:pPr>
        <w:autoSpaceDE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8</w:t>
      </w:r>
      <w:r>
        <w:rPr>
          <w:rFonts w:ascii="宋体" w:hAnsi="宋体" w:eastAsia="宋体" w:cs="Times New Roman"/>
          <w:sz w:val="24"/>
          <w:szCs w:val="24"/>
        </w:rPr>
        <w:t xml:space="preserve">.2 </w:t>
      </w:r>
      <w:r>
        <w:rPr>
          <w:rFonts w:hint="eastAsia" w:ascii="宋体" w:hAnsi="宋体" w:eastAsia="宋体" w:cs="Times New Roman"/>
          <w:sz w:val="24"/>
          <w:szCs w:val="24"/>
        </w:rPr>
        <w:t>磋商响应供应商出现下列情形之一的，将被视为非实质性响应磋商文件要求：</w:t>
      </w:r>
    </w:p>
    <w:p w14:paraId="2B847F3B">
      <w:pPr>
        <w:autoSpaceDE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 xml:space="preserve">(1) </w:t>
      </w:r>
      <w:r>
        <w:rPr>
          <w:rFonts w:hint="eastAsia" w:ascii="宋体" w:hAnsi="宋体" w:eastAsia="宋体" w:cs="Times New Roman"/>
          <w:sz w:val="24"/>
          <w:szCs w:val="24"/>
        </w:rPr>
        <w:t>交货（完成）期限不确切或不符合磋商文件要求的；</w:t>
      </w:r>
    </w:p>
    <w:p w14:paraId="65E3707D">
      <w:pPr>
        <w:autoSpaceDE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 xml:space="preserve">(2) </w:t>
      </w:r>
      <w:r>
        <w:rPr>
          <w:rFonts w:hint="eastAsia" w:ascii="宋体" w:hAnsi="宋体" w:eastAsia="宋体" w:cs="Times New Roman"/>
          <w:sz w:val="24"/>
          <w:szCs w:val="24"/>
        </w:rPr>
        <w:t>最后报价有选择性的；</w:t>
      </w:r>
    </w:p>
    <w:p w14:paraId="1156D06C">
      <w:pPr>
        <w:autoSpaceDE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 xml:space="preserve">(3) </w:t>
      </w:r>
      <w:r>
        <w:rPr>
          <w:rFonts w:hint="eastAsia" w:ascii="宋体" w:hAnsi="宋体" w:eastAsia="宋体" w:cs="Times New Roman"/>
          <w:sz w:val="24"/>
          <w:szCs w:val="24"/>
        </w:rPr>
        <w:t>最后报价超过招标控制价的；</w:t>
      </w:r>
    </w:p>
    <w:p w14:paraId="676E2A06">
      <w:pPr>
        <w:autoSpaceDE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 xml:space="preserve">(4) </w:t>
      </w:r>
      <w:r>
        <w:rPr>
          <w:rFonts w:hint="eastAsia" w:ascii="宋体" w:hAnsi="宋体" w:eastAsia="宋体" w:cs="Times New Roman"/>
          <w:sz w:val="24"/>
          <w:szCs w:val="24"/>
        </w:rPr>
        <w:t>被磋商小组认定存在重大负偏离的；</w:t>
      </w:r>
    </w:p>
    <w:p w14:paraId="589B462A">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注：所谓重大负偏离是指磋商响应供应商对磋商文件的响应在范围、质量、数量和交货（完成）期限、技术规格要求等方面明显不能满足采购需求的。重大负偏离的认定须经磋商小组三分之二以上同意。</w:t>
      </w:r>
    </w:p>
    <w:p w14:paraId="38E54FBE">
      <w:pPr>
        <w:autoSpaceDE w:val="0"/>
        <w:spacing w:line="420" w:lineRule="exact"/>
        <w:ind w:firstLine="424" w:firstLineChars="176"/>
        <w:rPr>
          <w:rFonts w:ascii="宋体" w:hAnsi="宋体" w:eastAsia="宋体" w:cs="Times New Roman"/>
          <w:b/>
          <w:bCs/>
          <w:sz w:val="24"/>
          <w:szCs w:val="24"/>
        </w:rPr>
      </w:pPr>
      <w:r>
        <w:rPr>
          <w:rFonts w:hint="eastAsia" w:ascii="宋体" w:hAnsi="宋体" w:eastAsia="宋体" w:cs="Times New Roman"/>
          <w:b/>
          <w:bCs/>
          <w:sz w:val="24"/>
          <w:szCs w:val="24"/>
        </w:rPr>
        <w:t>29．询问</w:t>
      </w:r>
    </w:p>
    <w:p w14:paraId="20F508FA">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29</w:t>
      </w:r>
      <w:r>
        <w:rPr>
          <w:rFonts w:ascii="宋体" w:hAnsi="宋体" w:eastAsia="宋体" w:cs="Times New Roman"/>
          <w:sz w:val="24"/>
          <w:szCs w:val="24"/>
        </w:rPr>
        <w:t xml:space="preserve">.1 </w:t>
      </w:r>
      <w:r>
        <w:rPr>
          <w:rFonts w:hint="eastAsia" w:ascii="宋体" w:hAnsi="宋体" w:eastAsia="宋体" w:cs="Times New Roman"/>
          <w:sz w:val="24"/>
          <w:szCs w:val="24"/>
        </w:rPr>
        <w:t>磋商响应供应商对采购事项有疑问，可以按照《政府采购法》的相关规定向采购人或采购代理机构提出询问。</w:t>
      </w:r>
    </w:p>
    <w:p w14:paraId="18935E60">
      <w:pPr>
        <w:autoSpaceDE w:val="0"/>
        <w:spacing w:line="420" w:lineRule="exact"/>
        <w:ind w:firstLine="424" w:firstLineChars="176"/>
        <w:rPr>
          <w:rFonts w:ascii="宋体" w:hAnsi="宋体" w:eastAsia="宋体" w:cs="Times New Roman"/>
          <w:b/>
          <w:bCs/>
          <w:sz w:val="24"/>
          <w:szCs w:val="24"/>
        </w:rPr>
      </w:pPr>
      <w:r>
        <w:rPr>
          <w:rFonts w:hint="eastAsia" w:ascii="宋体" w:hAnsi="宋体" w:eastAsia="宋体" w:cs="Times New Roman"/>
          <w:b/>
          <w:bCs/>
          <w:sz w:val="24"/>
          <w:szCs w:val="24"/>
        </w:rPr>
        <w:t>30</w:t>
      </w:r>
      <w:r>
        <w:rPr>
          <w:rFonts w:ascii="宋体" w:hAnsi="宋体" w:eastAsia="宋体" w:cs="Times New Roman"/>
          <w:b/>
          <w:bCs/>
          <w:sz w:val="24"/>
          <w:szCs w:val="24"/>
        </w:rPr>
        <w:t>.</w:t>
      </w:r>
      <w:r>
        <w:rPr>
          <w:rFonts w:hint="eastAsia" w:ascii="宋体" w:hAnsi="宋体" w:eastAsia="宋体" w:cs="Times New Roman"/>
          <w:b/>
          <w:bCs/>
          <w:sz w:val="24"/>
          <w:szCs w:val="24"/>
        </w:rPr>
        <w:t>质疑程序及处理</w:t>
      </w:r>
    </w:p>
    <w:p w14:paraId="62EBE381">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30</w:t>
      </w:r>
      <w:r>
        <w:rPr>
          <w:rFonts w:ascii="宋体" w:hAnsi="宋体" w:eastAsia="宋体" w:cs="Times New Roman"/>
          <w:sz w:val="24"/>
          <w:szCs w:val="24"/>
        </w:rPr>
        <w:t xml:space="preserve">.1 </w:t>
      </w:r>
      <w:r>
        <w:rPr>
          <w:rFonts w:hint="eastAsia" w:ascii="宋体" w:hAnsi="宋体" w:eastAsia="宋体" w:cs="Times New Roman"/>
          <w:sz w:val="24"/>
          <w:szCs w:val="24"/>
        </w:rPr>
        <w:t>若竞争性磋商响应人认为其磋商未获公平评审或磋商文件、采购过程和成交结果使自己的合法权益受到损害，可以在知道或者应知其权益受到损害之日起</w:t>
      </w:r>
      <w:r>
        <w:rPr>
          <w:rFonts w:ascii="宋体" w:hAnsi="宋体" w:eastAsia="宋体" w:cs="Times New Roman"/>
          <w:sz w:val="24"/>
          <w:szCs w:val="24"/>
        </w:rPr>
        <w:t xml:space="preserve"> 7 </w:t>
      </w:r>
      <w:r>
        <w:rPr>
          <w:rFonts w:hint="eastAsia" w:ascii="宋体" w:hAnsi="宋体" w:eastAsia="宋体" w:cs="Times New Roman"/>
          <w:sz w:val="24"/>
          <w:szCs w:val="24"/>
        </w:rPr>
        <w:t>个工作日内，将质疑书原件送达采购人或采购代理机构。提出质疑期限的计算，依照下列规定办理：</w:t>
      </w:r>
    </w:p>
    <w:p w14:paraId="36D4896A">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（一）对可以质疑的磋商文件提出质疑的，为收到磋商文件之日或者磋商文件公告期限届满之日；</w:t>
      </w:r>
    </w:p>
    <w:p w14:paraId="254473B1">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（二）对采购过程提出质疑的，为各采购程序环节结束之日；</w:t>
      </w:r>
    </w:p>
    <w:p w14:paraId="11EC1DC0">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（三）对成交结果提出质疑的，为成交结果公告期限届满之日。</w:t>
      </w:r>
    </w:p>
    <w:p w14:paraId="4F5FFEF7">
      <w:pPr>
        <w:autoSpaceDE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0</w:t>
      </w:r>
      <w:r>
        <w:rPr>
          <w:rFonts w:ascii="宋体" w:hAnsi="宋体" w:eastAsia="宋体" w:cs="Times New Roman"/>
          <w:sz w:val="24"/>
          <w:szCs w:val="24"/>
        </w:rPr>
        <w:t xml:space="preserve">.2 </w:t>
      </w:r>
      <w:r>
        <w:rPr>
          <w:rFonts w:hint="eastAsia" w:ascii="宋体" w:hAnsi="宋体" w:eastAsia="宋体" w:cs="Times New Roman"/>
          <w:sz w:val="24"/>
          <w:szCs w:val="24"/>
        </w:rPr>
        <w:t>质疑书应当包括下列主要内容，并按照“谁主张、谁举证”的原则，附上相关证明材料。否则，采购人不予受理：</w:t>
      </w:r>
    </w:p>
    <w:p w14:paraId="12944F4F">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（一）质疑磋商响应供应商全称、地址、法定代表人、联系人及联系电话、邮政编码等；</w:t>
      </w:r>
    </w:p>
    <w:p w14:paraId="0E4D8EFC">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（二）被质疑采购项目的名称、编号；</w:t>
      </w:r>
    </w:p>
    <w:p w14:paraId="22CBF536">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（三）质疑的具体事项、明确的请求和主张；</w:t>
      </w:r>
    </w:p>
    <w:p w14:paraId="060C3ADC">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（四）质疑所依据的法律依据（具体条款）、具体事实和具体理由。质疑书依据理由部分只有主观陈述、推理、猜测等，而没有提供客观事实依据、法律依据的；</w:t>
      </w:r>
    </w:p>
    <w:p w14:paraId="40359707">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五）质疑事项按照有关法律、法规和规章规定及竞争性磋商文件要求属于保密或者处于保密阶段的事项，磋商响应供应商必须提供正常的信息来源或有效证据，磋商响应供应商不能提供或者拒绝提供合法的信息来源或有效证据的；</w:t>
      </w:r>
    </w:p>
    <w:p w14:paraId="5246BDDD">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（六）充足有效的相关证明材料；如果涉及到产品功能或技术指标的，应出具相关制造商的证明文件；</w:t>
      </w:r>
    </w:p>
    <w:p w14:paraId="1AEA5F82">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（七）质疑材料中有外文资料的，应一并附上中文译本，并以中文译本为准。</w:t>
      </w:r>
    </w:p>
    <w:p w14:paraId="6A3D0C47">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（八）提起质疑的日期</w:t>
      </w:r>
    </w:p>
    <w:p w14:paraId="461E9A77">
      <w:pPr>
        <w:autoSpaceDE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0</w:t>
      </w:r>
      <w:r>
        <w:rPr>
          <w:rFonts w:ascii="宋体" w:hAnsi="宋体" w:eastAsia="宋体" w:cs="Times New Roman"/>
          <w:sz w:val="24"/>
          <w:szCs w:val="24"/>
        </w:rPr>
        <w:t xml:space="preserve">.3 </w:t>
      </w:r>
      <w:r>
        <w:rPr>
          <w:rFonts w:hint="eastAsia" w:ascii="宋体" w:hAnsi="宋体" w:eastAsia="宋体" w:cs="Times New Roman"/>
          <w:sz w:val="24"/>
          <w:szCs w:val="24"/>
        </w:rPr>
        <w:t>磋商响应供应商质疑实行实名制并须在质疑书上署名。磋商响应供应商不得进行虚假、恶意质疑，不得以质疑为手段获取不当得利、实现非法目的。磋商响应供应商为自然人的，应当由本人签字；磋商响应供应商为法人的，应当由法定代表人签字或盖章并加盖公章；磋商响应供应商为其他组织的，应当由主要负责人签字或盖章并加盖公章。磋商响应供应商其他工作人员或代理人员在质疑书上的署名不具有法律效力。</w:t>
      </w:r>
    </w:p>
    <w:p w14:paraId="52D451E0">
      <w:pPr>
        <w:autoSpaceDE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0</w:t>
      </w:r>
      <w:r>
        <w:rPr>
          <w:rFonts w:ascii="宋体" w:hAnsi="宋体" w:eastAsia="宋体" w:cs="Times New Roman"/>
          <w:sz w:val="24"/>
          <w:szCs w:val="24"/>
        </w:rPr>
        <w:t xml:space="preserve">.4 </w:t>
      </w:r>
      <w:r>
        <w:rPr>
          <w:rFonts w:hint="eastAsia" w:ascii="宋体" w:hAnsi="宋体" w:eastAsia="宋体" w:cs="Times New Roman"/>
          <w:sz w:val="24"/>
          <w:szCs w:val="24"/>
        </w:rPr>
        <w:t>磋商响应供应商委托代理人办理质疑事宜，应当提交授权委托书，并载明委托代理的具体权限和事项。授权委托书应当由委托人签字并加盖单位公章。</w:t>
      </w:r>
    </w:p>
    <w:p w14:paraId="602B89C4">
      <w:pPr>
        <w:autoSpaceDE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0</w:t>
      </w:r>
      <w:r>
        <w:rPr>
          <w:rFonts w:ascii="宋体" w:hAnsi="宋体" w:eastAsia="宋体" w:cs="Times New Roman"/>
          <w:sz w:val="24"/>
          <w:szCs w:val="24"/>
        </w:rPr>
        <w:t xml:space="preserve">.5 </w:t>
      </w:r>
      <w:r>
        <w:rPr>
          <w:rFonts w:hint="eastAsia" w:ascii="宋体" w:hAnsi="宋体" w:eastAsia="宋体" w:cs="Times New Roman"/>
          <w:sz w:val="24"/>
          <w:szCs w:val="24"/>
        </w:rPr>
        <w:t>提交质疑书时，磋商响应供应商应同时提交本人身份证，委托他人代理质疑事宜的，还应提交被委托人的身份证。磋商响应供应商是法人的，应一并提交法人营业执照和法定代表人身份证；磋商响应供应商是其他组织的，应一并提交其他组织经营许可证和主要负责人身份证。磋商响应供应商应当提供上述证明材料的原件及复印件，原件经采购人核对无误后返还。</w:t>
      </w:r>
    </w:p>
    <w:p w14:paraId="5790BCC7">
      <w:pPr>
        <w:autoSpaceDE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0</w:t>
      </w:r>
      <w:r>
        <w:rPr>
          <w:rFonts w:ascii="宋体" w:hAnsi="宋体" w:eastAsia="宋体" w:cs="Times New Roman"/>
          <w:sz w:val="24"/>
          <w:szCs w:val="24"/>
        </w:rPr>
        <w:t xml:space="preserve">.6 </w:t>
      </w:r>
      <w:r>
        <w:rPr>
          <w:rFonts w:hint="eastAsia" w:ascii="宋体" w:hAnsi="宋体" w:eastAsia="宋体" w:cs="Times New Roman"/>
          <w:sz w:val="24"/>
          <w:szCs w:val="24"/>
        </w:rPr>
        <w:t>质疑书提交方式。磋商响应供应商或者其委托代理人应当当面提交质疑书及相关证明材料。磋商响应供应商以电子邮件、传真等其他方式提交质疑书及相关证明材料的，或者不是磋商响应供应商或者其委托代理人提交质疑书及相关证明材料的，采购人或采购机构可以拒收。</w:t>
      </w:r>
    </w:p>
    <w:p w14:paraId="410445B0">
      <w:pPr>
        <w:autoSpaceDE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0</w:t>
      </w:r>
      <w:r>
        <w:rPr>
          <w:rFonts w:ascii="宋体" w:hAnsi="宋体" w:eastAsia="宋体" w:cs="Times New Roman"/>
          <w:sz w:val="24"/>
          <w:szCs w:val="24"/>
        </w:rPr>
        <w:t xml:space="preserve">.7 </w:t>
      </w:r>
      <w:r>
        <w:rPr>
          <w:rFonts w:hint="eastAsia" w:ascii="宋体" w:hAnsi="宋体" w:eastAsia="宋体" w:cs="Times New Roman"/>
          <w:sz w:val="24"/>
          <w:szCs w:val="24"/>
        </w:rPr>
        <w:t>磋商响应供应商不得虚假质疑和恶意质疑，并对质疑内容的真实性承担责任。磋商响应供应商或者其他利害关系人通过捏造事实、伪造证明材料等方式提出异议或投诉，阻碍招磋商活动正常进行的，属于严重不良行为，采购人将提请财政部门将其列入不良行为记录名单，并依法予以处罚。</w:t>
      </w:r>
    </w:p>
    <w:p w14:paraId="45CD026C">
      <w:pPr>
        <w:autoSpaceDE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0</w:t>
      </w:r>
      <w:r>
        <w:rPr>
          <w:rFonts w:ascii="宋体" w:hAnsi="宋体" w:eastAsia="宋体" w:cs="Times New Roman"/>
          <w:sz w:val="24"/>
          <w:szCs w:val="24"/>
        </w:rPr>
        <w:t xml:space="preserve">.8 </w:t>
      </w:r>
      <w:r>
        <w:rPr>
          <w:rFonts w:hint="eastAsia" w:ascii="宋体" w:hAnsi="宋体" w:eastAsia="宋体" w:cs="Times New Roman"/>
          <w:sz w:val="24"/>
          <w:szCs w:val="24"/>
        </w:rPr>
        <w:t>采购人将在收到符合上述条件的书面质疑后</w:t>
      </w:r>
      <w:r>
        <w:rPr>
          <w:rFonts w:ascii="宋体" w:hAnsi="宋体" w:eastAsia="宋体" w:cs="Times New Roman"/>
          <w:sz w:val="24"/>
          <w:szCs w:val="24"/>
        </w:rPr>
        <w:t xml:space="preserve"> 7 </w:t>
      </w:r>
      <w:r>
        <w:rPr>
          <w:rFonts w:hint="eastAsia" w:ascii="宋体" w:hAnsi="宋体" w:eastAsia="宋体" w:cs="Times New Roman"/>
          <w:sz w:val="24"/>
          <w:szCs w:val="24"/>
        </w:rPr>
        <w:t>个工作日内审查质疑事项，作出答复或相关处理决定，并以书面形式通知质疑磋商响应供应商和其他有关磋商响应供应商，但答复的内容不涉及商业秘密。若质疑涉及磋商制度或程序，将被转交政府采购的管理部门审查。采购人遵循“谁过错谁负担”的原则，有过错的一方承担调查论证费用。</w:t>
      </w:r>
    </w:p>
    <w:p w14:paraId="68AB5B1D">
      <w:pPr>
        <w:autoSpaceDE w:val="0"/>
        <w:spacing w:line="420" w:lineRule="exact"/>
        <w:ind w:firstLine="422" w:firstLineChars="176"/>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0</w:t>
      </w:r>
      <w:r>
        <w:rPr>
          <w:rFonts w:ascii="宋体" w:hAnsi="宋体" w:eastAsia="宋体" w:cs="Times New Roman"/>
          <w:sz w:val="24"/>
          <w:szCs w:val="24"/>
        </w:rPr>
        <w:t xml:space="preserve">.9 </w:t>
      </w:r>
      <w:r>
        <w:rPr>
          <w:rFonts w:hint="eastAsia" w:ascii="宋体" w:hAnsi="宋体" w:eastAsia="宋体" w:cs="Times New Roman"/>
          <w:sz w:val="24"/>
          <w:szCs w:val="24"/>
        </w:rPr>
        <w:t>质疑供应商对采购人的答复不满意以及采购人未在规定的时间内做出答复的，可以在答复期满后</w:t>
      </w:r>
      <w:r>
        <w:rPr>
          <w:rFonts w:ascii="宋体" w:hAnsi="宋体" w:eastAsia="宋体" w:cs="Times New Roman"/>
          <w:sz w:val="24"/>
          <w:szCs w:val="24"/>
        </w:rPr>
        <w:t>15</w:t>
      </w:r>
      <w:r>
        <w:rPr>
          <w:rFonts w:hint="eastAsia" w:ascii="宋体" w:hAnsi="宋体" w:eastAsia="宋体" w:cs="Times New Roman"/>
          <w:sz w:val="24"/>
          <w:szCs w:val="24"/>
        </w:rPr>
        <w:t>个工作日内向财政部门投诉。</w:t>
      </w:r>
    </w:p>
    <w:p w14:paraId="6B987E54">
      <w:pPr>
        <w:spacing w:line="360" w:lineRule="auto"/>
        <w:jc w:val="center"/>
        <w:outlineLvl w:val="0"/>
        <w:rPr>
          <w:rFonts w:ascii="宋体" w:hAnsi="宋体" w:eastAsia="宋体" w:cs="Times New Roman"/>
          <w:b/>
          <w:sz w:val="36"/>
          <w:szCs w:val="36"/>
        </w:rPr>
      </w:pPr>
      <w:r>
        <w:rPr>
          <w:rFonts w:ascii="宋体" w:hAnsi="宋体" w:eastAsia="宋体" w:cs="Times New Roman"/>
          <w:b/>
          <w:sz w:val="36"/>
          <w:szCs w:val="36"/>
        </w:rPr>
        <w:br w:type="page"/>
      </w:r>
      <w:r>
        <w:rPr>
          <w:rFonts w:hint="eastAsia" w:ascii="宋体" w:hAnsi="宋体" w:eastAsia="宋体" w:cs="Times New Roman"/>
          <w:b/>
          <w:sz w:val="36"/>
          <w:szCs w:val="36"/>
        </w:rPr>
        <w:t xml:space="preserve">第三章 采购内容及技术要求 </w:t>
      </w:r>
    </w:p>
    <w:p w14:paraId="0EF38AA6">
      <w:pPr>
        <w:spacing w:before="160" w:after="160" w:line="240" w:lineRule="atLeast"/>
        <w:jc w:val="center"/>
        <w:textAlignment w:val="baseline"/>
        <w:outlineLvl w:val="1"/>
        <w:rPr>
          <w:rFonts w:ascii="宋体" w:hAnsi="宋体" w:eastAsia="宋体" w:cs="Times New Roman"/>
          <w:b/>
          <w:bCs/>
          <w:kern w:val="0"/>
          <w:sz w:val="32"/>
          <w:szCs w:val="32"/>
          <w:shd w:val="clear" w:color="auto" w:fill="FFFFFF"/>
        </w:rPr>
        <w:sectPr>
          <w:footerReference r:id="rId3" w:type="default"/>
          <w:pgSz w:w="11906" w:h="16838"/>
          <w:pgMar w:top="1361" w:right="1361" w:bottom="1361" w:left="1361" w:header="851" w:footer="992" w:gutter="0"/>
          <w:pgNumType w:start="1"/>
          <w:cols w:space="720" w:num="1"/>
          <w:docGrid w:type="lines" w:linePitch="312" w:charSpace="0"/>
        </w:sect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0"/>
        <w:gridCol w:w="969"/>
        <w:gridCol w:w="561"/>
        <w:gridCol w:w="1982"/>
        <w:gridCol w:w="2257"/>
        <w:gridCol w:w="5016"/>
        <w:gridCol w:w="1110"/>
        <w:gridCol w:w="1095"/>
      </w:tblGrid>
      <w:tr w14:paraId="38520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20" w:type="dxa"/>
            <w:gridSpan w:val="8"/>
            <w:vAlign w:val="center"/>
          </w:tcPr>
          <w:p w14:paraId="4E9E5250">
            <w:pPr>
              <w:jc w:val="center"/>
              <w:rPr>
                <w:rFonts w:hint="eastAsia"/>
                <w:b/>
                <w:bCs/>
                <w:sz w:val="28"/>
                <w:szCs w:val="36"/>
                <w:vertAlign w:val="baseline"/>
              </w:rPr>
            </w:pPr>
            <w:r>
              <w:rPr>
                <w:rFonts w:hint="eastAsia"/>
                <w:b/>
                <w:bCs/>
                <w:sz w:val="28"/>
                <w:szCs w:val="36"/>
                <w:vertAlign w:val="baseline"/>
                <w:lang w:val="en-US" w:eastAsia="zh-CN"/>
              </w:rPr>
              <w:t>采购清单</w:t>
            </w:r>
          </w:p>
        </w:tc>
      </w:tr>
      <w:tr w14:paraId="1A61B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Align w:val="center"/>
          </w:tcPr>
          <w:p w14:paraId="5F801D63">
            <w:pPr>
              <w:jc w:val="center"/>
              <w:rPr>
                <w:rFonts w:hint="eastAsia" w:eastAsiaTheme="minorEastAsia"/>
                <w:sz w:val="24"/>
                <w:szCs w:val="32"/>
                <w:vertAlign w:val="baseline"/>
                <w:lang w:val="en-US" w:eastAsia="zh-CN"/>
              </w:rPr>
            </w:pPr>
            <w:r>
              <w:rPr>
                <w:rFonts w:hint="eastAsia"/>
                <w:sz w:val="24"/>
                <w:szCs w:val="32"/>
                <w:vertAlign w:val="baseline"/>
                <w:lang w:val="en-US" w:eastAsia="zh-CN"/>
              </w:rPr>
              <w:t>名称</w:t>
            </w:r>
          </w:p>
        </w:tc>
        <w:tc>
          <w:tcPr>
            <w:tcW w:w="969" w:type="dxa"/>
            <w:vAlign w:val="center"/>
          </w:tcPr>
          <w:p w14:paraId="7D2046E9">
            <w:pPr>
              <w:jc w:val="center"/>
              <w:rPr>
                <w:rFonts w:hint="eastAsia" w:eastAsiaTheme="minorEastAsia"/>
                <w:sz w:val="24"/>
                <w:szCs w:val="32"/>
                <w:vertAlign w:val="baseline"/>
                <w:lang w:val="en-US" w:eastAsia="zh-CN"/>
              </w:rPr>
            </w:pPr>
            <w:r>
              <w:rPr>
                <w:rFonts w:hint="eastAsia"/>
                <w:sz w:val="24"/>
                <w:szCs w:val="32"/>
                <w:vertAlign w:val="baseline"/>
                <w:lang w:val="en-US" w:eastAsia="zh-CN"/>
              </w:rPr>
              <w:t>数量</w:t>
            </w:r>
          </w:p>
        </w:tc>
        <w:tc>
          <w:tcPr>
            <w:tcW w:w="561" w:type="dxa"/>
            <w:vAlign w:val="center"/>
          </w:tcPr>
          <w:p w14:paraId="62457B65">
            <w:pPr>
              <w:jc w:val="center"/>
              <w:rPr>
                <w:rFonts w:hint="eastAsia" w:eastAsiaTheme="minorEastAsia"/>
                <w:sz w:val="24"/>
                <w:szCs w:val="32"/>
                <w:vertAlign w:val="baseline"/>
                <w:lang w:val="en-US" w:eastAsia="zh-CN"/>
              </w:rPr>
            </w:pPr>
            <w:r>
              <w:rPr>
                <w:rFonts w:hint="eastAsia"/>
                <w:sz w:val="24"/>
                <w:szCs w:val="32"/>
                <w:vertAlign w:val="baseline"/>
                <w:lang w:val="en-US" w:eastAsia="zh-CN"/>
              </w:rPr>
              <w:t>单位</w:t>
            </w:r>
          </w:p>
        </w:tc>
        <w:tc>
          <w:tcPr>
            <w:tcW w:w="9255" w:type="dxa"/>
            <w:gridSpan w:val="3"/>
            <w:vAlign w:val="center"/>
          </w:tcPr>
          <w:p w14:paraId="6441202D">
            <w:pPr>
              <w:jc w:val="center"/>
              <w:rPr>
                <w:rFonts w:hint="eastAsia" w:eastAsiaTheme="minorEastAsia"/>
                <w:sz w:val="24"/>
                <w:szCs w:val="32"/>
                <w:vertAlign w:val="baseline"/>
                <w:lang w:val="en-US" w:eastAsia="zh-CN"/>
              </w:rPr>
            </w:pPr>
            <w:r>
              <w:rPr>
                <w:rFonts w:hint="eastAsia"/>
                <w:sz w:val="24"/>
                <w:szCs w:val="32"/>
                <w:vertAlign w:val="baseline"/>
                <w:lang w:val="en-US" w:eastAsia="zh-CN"/>
              </w:rPr>
              <w:t>技术参数</w:t>
            </w:r>
          </w:p>
        </w:tc>
        <w:tc>
          <w:tcPr>
            <w:tcW w:w="1110" w:type="dxa"/>
            <w:vAlign w:val="center"/>
          </w:tcPr>
          <w:p w14:paraId="635B084A">
            <w:pPr>
              <w:jc w:val="center"/>
              <w:rPr>
                <w:rFonts w:hint="eastAsia"/>
                <w:sz w:val="24"/>
                <w:szCs w:val="32"/>
                <w:vertAlign w:val="baseline"/>
                <w:lang w:val="en-US" w:eastAsia="zh-CN"/>
              </w:rPr>
            </w:pPr>
            <w:r>
              <w:rPr>
                <w:rFonts w:hint="eastAsia"/>
                <w:sz w:val="24"/>
                <w:szCs w:val="32"/>
                <w:vertAlign w:val="baseline"/>
                <w:lang w:val="en-US" w:eastAsia="zh-CN"/>
              </w:rPr>
              <w:t>单价</w:t>
            </w:r>
          </w:p>
          <w:p w14:paraId="2AF3F6D9">
            <w:pPr>
              <w:jc w:val="center"/>
              <w:rPr>
                <w:rFonts w:hint="default" w:eastAsiaTheme="minorEastAsia"/>
                <w:sz w:val="24"/>
                <w:szCs w:val="32"/>
                <w:vertAlign w:val="baseline"/>
                <w:lang w:val="en-US" w:eastAsia="zh-CN"/>
              </w:rPr>
            </w:pPr>
            <w:r>
              <w:rPr>
                <w:rFonts w:hint="eastAsia"/>
                <w:sz w:val="24"/>
                <w:szCs w:val="32"/>
                <w:vertAlign w:val="baseline"/>
                <w:lang w:val="en-US" w:eastAsia="zh-CN"/>
              </w:rPr>
              <w:t>(元)</w:t>
            </w:r>
          </w:p>
        </w:tc>
        <w:tc>
          <w:tcPr>
            <w:tcW w:w="1095" w:type="dxa"/>
            <w:vAlign w:val="center"/>
          </w:tcPr>
          <w:p w14:paraId="50DB6E84">
            <w:pPr>
              <w:jc w:val="center"/>
              <w:rPr>
                <w:rFonts w:hint="eastAsia"/>
                <w:sz w:val="24"/>
                <w:szCs w:val="32"/>
                <w:vertAlign w:val="baseline"/>
                <w:lang w:val="en-US" w:eastAsia="zh-CN"/>
              </w:rPr>
            </w:pPr>
            <w:r>
              <w:rPr>
                <w:rFonts w:hint="eastAsia"/>
                <w:sz w:val="24"/>
                <w:szCs w:val="32"/>
                <w:vertAlign w:val="baseline"/>
                <w:lang w:val="en-US" w:eastAsia="zh-CN"/>
              </w:rPr>
              <w:t>总价</w:t>
            </w:r>
          </w:p>
          <w:p w14:paraId="05A66E08">
            <w:pPr>
              <w:jc w:val="center"/>
              <w:rPr>
                <w:rFonts w:hint="default" w:eastAsiaTheme="minorEastAsia"/>
                <w:sz w:val="24"/>
                <w:szCs w:val="32"/>
                <w:vertAlign w:val="baseline"/>
                <w:lang w:val="en-US" w:eastAsia="zh-CN"/>
              </w:rPr>
            </w:pPr>
            <w:r>
              <w:rPr>
                <w:rFonts w:hint="eastAsia"/>
                <w:sz w:val="24"/>
                <w:szCs w:val="32"/>
                <w:vertAlign w:val="baseline"/>
                <w:lang w:val="en-US" w:eastAsia="zh-CN"/>
              </w:rPr>
              <w:t>(元)</w:t>
            </w:r>
          </w:p>
        </w:tc>
      </w:tr>
      <w:tr w14:paraId="43FF7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restart"/>
            <w:vAlign w:val="center"/>
          </w:tcPr>
          <w:p w14:paraId="57731EB5">
            <w:pPr>
              <w:jc w:val="center"/>
              <w:rPr>
                <w:rFonts w:hint="eastAsia"/>
                <w:sz w:val="24"/>
                <w:szCs w:val="32"/>
                <w:vertAlign w:val="baseline"/>
              </w:rPr>
            </w:pPr>
            <w:r>
              <w:rPr>
                <w:rFonts w:hint="eastAsia"/>
                <w:sz w:val="24"/>
                <w:szCs w:val="32"/>
                <w:vertAlign w:val="baseline"/>
                <w:lang w:val="en-US" w:eastAsia="zh-CN"/>
              </w:rPr>
              <w:t>渗滤液收集</w:t>
            </w:r>
            <w:r>
              <w:rPr>
                <w:rFonts w:hint="eastAsia"/>
                <w:sz w:val="24"/>
                <w:szCs w:val="32"/>
                <w:vertAlign w:val="baseline"/>
              </w:rPr>
              <w:t>车（燃油）</w:t>
            </w:r>
          </w:p>
        </w:tc>
        <w:tc>
          <w:tcPr>
            <w:tcW w:w="969" w:type="dxa"/>
            <w:vMerge w:val="restart"/>
            <w:vAlign w:val="center"/>
          </w:tcPr>
          <w:p w14:paraId="42D9148C">
            <w:pPr>
              <w:jc w:val="center"/>
              <w:rPr>
                <w:rFonts w:hint="default" w:eastAsiaTheme="minorEastAsia"/>
                <w:sz w:val="24"/>
                <w:szCs w:val="32"/>
                <w:vertAlign w:val="baseline"/>
                <w:lang w:val="en-US" w:eastAsia="zh-CN"/>
              </w:rPr>
            </w:pPr>
            <w:r>
              <w:rPr>
                <w:rFonts w:hint="eastAsia"/>
                <w:sz w:val="24"/>
                <w:szCs w:val="32"/>
                <w:vertAlign w:val="baseline"/>
                <w:lang w:val="en-US" w:eastAsia="zh-CN"/>
              </w:rPr>
              <w:t>1</w:t>
            </w:r>
          </w:p>
        </w:tc>
        <w:tc>
          <w:tcPr>
            <w:tcW w:w="561" w:type="dxa"/>
            <w:vMerge w:val="restart"/>
            <w:vAlign w:val="center"/>
          </w:tcPr>
          <w:p w14:paraId="5EBB0177">
            <w:pPr>
              <w:jc w:val="center"/>
              <w:rPr>
                <w:rFonts w:hint="eastAsia" w:eastAsiaTheme="minorEastAsia"/>
                <w:sz w:val="24"/>
                <w:szCs w:val="32"/>
                <w:vertAlign w:val="baseline"/>
                <w:lang w:val="en-US" w:eastAsia="zh-CN"/>
              </w:rPr>
            </w:pPr>
            <w:r>
              <w:rPr>
                <w:rFonts w:hint="eastAsia"/>
                <w:sz w:val="24"/>
                <w:szCs w:val="32"/>
                <w:vertAlign w:val="baseline"/>
                <w:lang w:val="en-US" w:eastAsia="zh-CN"/>
              </w:rPr>
              <w:t>辆</w:t>
            </w:r>
          </w:p>
        </w:tc>
        <w:tc>
          <w:tcPr>
            <w:tcW w:w="9255" w:type="dxa"/>
            <w:gridSpan w:val="3"/>
            <w:vAlign w:val="center"/>
          </w:tcPr>
          <w:p w14:paraId="31A992C5">
            <w:pPr>
              <w:jc w:val="center"/>
              <w:rPr>
                <w:rFonts w:hint="eastAsia"/>
                <w:sz w:val="24"/>
                <w:szCs w:val="32"/>
                <w:vertAlign w:val="baseline"/>
                <w:lang w:val="en-US" w:eastAsia="zh-CN"/>
              </w:rPr>
            </w:pPr>
            <w:r>
              <w:rPr>
                <w:rFonts w:hint="eastAsia"/>
                <w:b/>
                <w:bCs/>
                <w:sz w:val="24"/>
                <w:szCs w:val="32"/>
                <w:vertAlign w:val="baseline"/>
                <w:lang w:val="en-US" w:eastAsia="zh-CN"/>
              </w:rPr>
              <w:t>一、主要参数要求</w:t>
            </w:r>
          </w:p>
        </w:tc>
        <w:tc>
          <w:tcPr>
            <w:tcW w:w="1110" w:type="dxa"/>
            <w:vMerge w:val="restart"/>
            <w:vAlign w:val="center"/>
          </w:tcPr>
          <w:p w14:paraId="22C92B17">
            <w:pPr>
              <w:jc w:val="center"/>
              <w:rPr>
                <w:rFonts w:hint="default" w:eastAsiaTheme="minorEastAsia"/>
                <w:sz w:val="24"/>
                <w:szCs w:val="32"/>
                <w:vertAlign w:val="baseline"/>
                <w:lang w:val="en-US" w:eastAsia="zh-CN"/>
              </w:rPr>
            </w:pPr>
          </w:p>
        </w:tc>
        <w:tc>
          <w:tcPr>
            <w:tcW w:w="1095" w:type="dxa"/>
            <w:vMerge w:val="restart"/>
            <w:vAlign w:val="center"/>
          </w:tcPr>
          <w:p w14:paraId="44295693">
            <w:pPr>
              <w:jc w:val="center"/>
              <w:rPr>
                <w:rFonts w:hint="default" w:eastAsiaTheme="minorEastAsia"/>
                <w:sz w:val="24"/>
                <w:szCs w:val="32"/>
                <w:vertAlign w:val="baseline"/>
                <w:lang w:val="en-US" w:eastAsia="zh-CN"/>
              </w:rPr>
            </w:pPr>
          </w:p>
        </w:tc>
      </w:tr>
      <w:tr w14:paraId="4EB2C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3B52F40E">
            <w:pPr>
              <w:jc w:val="center"/>
              <w:rPr>
                <w:rFonts w:hint="eastAsia"/>
                <w:sz w:val="24"/>
                <w:szCs w:val="32"/>
                <w:vertAlign w:val="baseline"/>
              </w:rPr>
            </w:pPr>
          </w:p>
        </w:tc>
        <w:tc>
          <w:tcPr>
            <w:tcW w:w="969" w:type="dxa"/>
            <w:vMerge w:val="continue"/>
            <w:vAlign w:val="center"/>
          </w:tcPr>
          <w:p w14:paraId="7178BB34">
            <w:pPr>
              <w:jc w:val="center"/>
              <w:rPr>
                <w:rFonts w:hint="eastAsia"/>
                <w:sz w:val="24"/>
                <w:szCs w:val="32"/>
                <w:vertAlign w:val="baseline"/>
                <w:lang w:val="en-US" w:eastAsia="zh-CN"/>
              </w:rPr>
            </w:pPr>
          </w:p>
        </w:tc>
        <w:tc>
          <w:tcPr>
            <w:tcW w:w="561" w:type="dxa"/>
            <w:vMerge w:val="continue"/>
            <w:vAlign w:val="center"/>
          </w:tcPr>
          <w:p w14:paraId="484E50ED">
            <w:pPr>
              <w:jc w:val="center"/>
              <w:rPr>
                <w:rFonts w:hint="eastAsia"/>
                <w:sz w:val="24"/>
                <w:szCs w:val="32"/>
                <w:vertAlign w:val="baseline"/>
                <w:lang w:val="en-US" w:eastAsia="zh-CN"/>
              </w:rPr>
            </w:pPr>
          </w:p>
        </w:tc>
        <w:tc>
          <w:tcPr>
            <w:tcW w:w="4239" w:type="dxa"/>
            <w:gridSpan w:val="2"/>
            <w:vAlign w:val="center"/>
          </w:tcPr>
          <w:p w14:paraId="12C0082C">
            <w:pPr>
              <w:jc w:val="center"/>
              <w:rPr>
                <w:rFonts w:hint="eastAsia"/>
                <w:sz w:val="24"/>
                <w:szCs w:val="32"/>
                <w:vertAlign w:val="baseline"/>
                <w:lang w:val="en-US" w:eastAsia="zh-CN"/>
              </w:rPr>
            </w:pPr>
            <w:r>
              <w:rPr>
                <w:rFonts w:hint="eastAsia"/>
                <w:sz w:val="24"/>
                <w:szCs w:val="32"/>
                <w:vertAlign w:val="baseline"/>
                <w:lang w:val="en-US" w:eastAsia="zh-CN"/>
              </w:rPr>
              <w:t>底盘</w:t>
            </w:r>
          </w:p>
        </w:tc>
        <w:tc>
          <w:tcPr>
            <w:tcW w:w="5016" w:type="dxa"/>
            <w:vAlign w:val="center"/>
          </w:tcPr>
          <w:p w14:paraId="0CE8BA61">
            <w:pPr>
              <w:jc w:val="center"/>
              <w:rPr>
                <w:rFonts w:hint="eastAsia"/>
                <w:sz w:val="24"/>
                <w:szCs w:val="32"/>
                <w:vertAlign w:val="baseline"/>
                <w:lang w:val="en-US" w:eastAsia="zh-CN"/>
              </w:rPr>
            </w:pPr>
            <w:r>
              <w:rPr>
                <w:rFonts w:hint="eastAsia"/>
                <w:sz w:val="24"/>
                <w:szCs w:val="32"/>
                <w:vertAlign w:val="baseline"/>
                <w:lang w:val="en-US" w:eastAsia="zh-CN"/>
              </w:rPr>
              <w:t>柴油二类底盘</w:t>
            </w:r>
          </w:p>
        </w:tc>
        <w:tc>
          <w:tcPr>
            <w:tcW w:w="1110" w:type="dxa"/>
            <w:vMerge w:val="continue"/>
            <w:vAlign w:val="center"/>
          </w:tcPr>
          <w:p w14:paraId="0CC23A91">
            <w:pPr>
              <w:jc w:val="center"/>
              <w:rPr>
                <w:sz w:val="24"/>
                <w:szCs w:val="32"/>
                <w:vertAlign w:val="baseline"/>
              </w:rPr>
            </w:pPr>
          </w:p>
        </w:tc>
        <w:tc>
          <w:tcPr>
            <w:tcW w:w="1095" w:type="dxa"/>
            <w:vMerge w:val="continue"/>
            <w:vAlign w:val="center"/>
          </w:tcPr>
          <w:p w14:paraId="117E47B1">
            <w:pPr>
              <w:jc w:val="center"/>
              <w:rPr>
                <w:sz w:val="24"/>
                <w:szCs w:val="32"/>
                <w:vertAlign w:val="baseline"/>
              </w:rPr>
            </w:pPr>
          </w:p>
        </w:tc>
      </w:tr>
      <w:tr w14:paraId="2C684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06B4E5F3">
            <w:pPr>
              <w:jc w:val="center"/>
              <w:rPr>
                <w:rFonts w:hint="eastAsia"/>
                <w:sz w:val="24"/>
                <w:szCs w:val="32"/>
                <w:vertAlign w:val="baseline"/>
              </w:rPr>
            </w:pPr>
          </w:p>
        </w:tc>
        <w:tc>
          <w:tcPr>
            <w:tcW w:w="969" w:type="dxa"/>
            <w:vMerge w:val="continue"/>
            <w:vAlign w:val="center"/>
          </w:tcPr>
          <w:p w14:paraId="51E64564">
            <w:pPr>
              <w:jc w:val="center"/>
              <w:rPr>
                <w:rFonts w:hint="eastAsia"/>
                <w:sz w:val="24"/>
                <w:szCs w:val="32"/>
                <w:vertAlign w:val="baseline"/>
                <w:lang w:val="en-US" w:eastAsia="zh-CN"/>
              </w:rPr>
            </w:pPr>
          </w:p>
        </w:tc>
        <w:tc>
          <w:tcPr>
            <w:tcW w:w="561" w:type="dxa"/>
            <w:vMerge w:val="continue"/>
            <w:vAlign w:val="center"/>
          </w:tcPr>
          <w:p w14:paraId="5CC7A29A">
            <w:pPr>
              <w:jc w:val="center"/>
              <w:rPr>
                <w:rFonts w:hint="eastAsia"/>
                <w:sz w:val="24"/>
                <w:szCs w:val="32"/>
                <w:vertAlign w:val="baseline"/>
                <w:lang w:val="en-US" w:eastAsia="zh-CN"/>
              </w:rPr>
            </w:pPr>
          </w:p>
        </w:tc>
        <w:tc>
          <w:tcPr>
            <w:tcW w:w="4239" w:type="dxa"/>
            <w:gridSpan w:val="2"/>
            <w:vAlign w:val="center"/>
          </w:tcPr>
          <w:p w14:paraId="68D96A77">
            <w:pPr>
              <w:jc w:val="center"/>
              <w:rPr>
                <w:rFonts w:hint="eastAsia"/>
                <w:sz w:val="24"/>
                <w:szCs w:val="32"/>
                <w:vertAlign w:val="baseline"/>
                <w:lang w:val="en-US" w:eastAsia="zh-CN"/>
              </w:rPr>
            </w:pPr>
            <w:r>
              <w:rPr>
                <w:rFonts w:hint="eastAsia"/>
                <w:sz w:val="24"/>
                <w:szCs w:val="32"/>
                <w:vertAlign w:val="baseline"/>
                <w:lang w:val="en-US" w:eastAsia="zh-CN"/>
              </w:rPr>
              <w:t>发动机型号</w:t>
            </w:r>
          </w:p>
        </w:tc>
        <w:tc>
          <w:tcPr>
            <w:tcW w:w="5016" w:type="dxa"/>
            <w:vAlign w:val="center"/>
          </w:tcPr>
          <w:p w14:paraId="400348F2">
            <w:pPr>
              <w:jc w:val="center"/>
              <w:rPr>
                <w:rFonts w:hint="eastAsia"/>
                <w:sz w:val="24"/>
                <w:szCs w:val="32"/>
                <w:vertAlign w:val="baseline"/>
                <w:lang w:val="en-US" w:eastAsia="zh-CN"/>
              </w:rPr>
            </w:pPr>
            <w:r>
              <w:rPr>
                <w:rFonts w:hint="eastAsia"/>
                <w:sz w:val="24"/>
                <w:szCs w:val="32"/>
                <w:vertAlign w:val="baseline"/>
                <w:lang w:val="en-US" w:eastAsia="zh-CN"/>
              </w:rPr>
              <w:t>柴油发动机</w:t>
            </w:r>
          </w:p>
        </w:tc>
        <w:tc>
          <w:tcPr>
            <w:tcW w:w="1110" w:type="dxa"/>
            <w:vMerge w:val="continue"/>
            <w:vAlign w:val="center"/>
          </w:tcPr>
          <w:p w14:paraId="4557E4CC">
            <w:pPr>
              <w:jc w:val="center"/>
              <w:rPr>
                <w:sz w:val="24"/>
                <w:szCs w:val="32"/>
                <w:vertAlign w:val="baseline"/>
              </w:rPr>
            </w:pPr>
          </w:p>
        </w:tc>
        <w:tc>
          <w:tcPr>
            <w:tcW w:w="1095" w:type="dxa"/>
            <w:vMerge w:val="continue"/>
            <w:vAlign w:val="center"/>
          </w:tcPr>
          <w:p w14:paraId="62CB7C55">
            <w:pPr>
              <w:jc w:val="center"/>
              <w:rPr>
                <w:sz w:val="24"/>
                <w:szCs w:val="32"/>
                <w:vertAlign w:val="baseline"/>
              </w:rPr>
            </w:pPr>
          </w:p>
        </w:tc>
      </w:tr>
      <w:tr w14:paraId="66DB8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7A7E10D9">
            <w:pPr>
              <w:jc w:val="center"/>
              <w:rPr>
                <w:rFonts w:hint="eastAsia"/>
                <w:sz w:val="24"/>
                <w:szCs w:val="32"/>
                <w:vertAlign w:val="baseline"/>
              </w:rPr>
            </w:pPr>
          </w:p>
        </w:tc>
        <w:tc>
          <w:tcPr>
            <w:tcW w:w="969" w:type="dxa"/>
            <w:vMerge w:val="continue"/>
            <w:vAlign w:val="center"/>
          </w:tcPr>
          <w:p w14:paraId="379A46D3">
            <w:pPr>
              <w:jc w:val="center"/>
              <w:rPr>
                <w:rFonts w:hint="eastAsia"/>
                <w:sz w:val="24"/>
                <w:szCs w:val="32"/>
                <w:vertAlign w:val="baseline"/>
                <w:lang w:val="en-US" w:eastAsia="zh-CN"/>
              </w:rPr>
            </w:pPr>
          </w:p>
        </w:tc>
        <w:tc>
          <w:tcPr>
            <w:tcW w:w="561" w:type="dxa"/>
            <w:vMerge w:val="continue"/>
            <w:vAlign w:val="center"/>
          </w:tcPr>
          <w:p w14:paraId="377C8968">
            <w:pPr>
              <w:jc w:val="center"/>
              <w:rPr>
                <w:rFonts w:hint="eastAsia"/>
                <w:sz w:val="24"/>
                <w:szCs w:val="32"/>
                <w:vertAlign w:val="baseline"/>
                <w:lang w:val="en-US" w:eastAsia="zh-CN"/>
              </w:rPr>
            </w:pPr>
          </w:p>
        </w:tc>
        <w:tc>
          <w:tcPr>
            <w:tcW w:w="4239" w:type="dxa"/>
            <w:gridSpan w:val="2"/>
            <w:vAlign w:val="center"/>
          </w:tcPr>
          <w:p w14:paraId="7069600D">
            <w:pPr>
              <w:jc w:val="center"/>
              <w:rPr>
                <w:rFonts w:hint="eastAsia"/>
                <w:sz w:val="24"/>
                <w:szCs w:val="32"/>
                <w:vertAlign w:val="baseline"/>
                <w:lang w:val="en-US" w:eastAsia="zh-CN"/>
              </w:rPr>
            </w:pPr>
            <w:r>
              <w:rPr>
                <w:rFonts w:hint="eastAsia"/>
                <w:sz w:val="24"/>
                <w:szCs w:val="32"/>
                <w:vertAlign w:val="baseline"/>
                <w:lang w:val="en-US" w:eastAsia="zh-CN"/>
              </w:rPr>
              <w:t>发动机功率（kw）</w:t>
            </w:r>
          </w:p>
        </w:tc>
        <w:tc>
          <w:tcPr>
            <w:tcW w:w="5016" w:type="dxa"/>
            <w:vAlign w:val="center"/>
          </w:tcPr>
          <w:p w14:paraId="7F39A96B">
            <w:pPr>
              <w:jc w:val="center"/>
              <w:rPr>
                <w:rFonts w:hint="eastAsia"/>
                <w:sz w:val="24"/>
                <w:szCs w:val="32"/>
                <w:vertAlign w:val="baseline"/>
                <w:lang w:val="en-US" w:eastAsia="zh-CN"/>
              </w:rPr>
            </w:pPr>
            <w:r>
              <w:rPr>
                <w:rFonts w:hint="eastAsia"/>
                <w:sz w:val="24"/>
                <w:szCs w:val="32"/>
                <w:vertAlign w:val="baseline"/>
                <w:lang w:val="en-US" w:eastAsia="zh-CN"/>
              </w:rPr>
              <w:t>≥100</w:t>
            </w:r>
          </w:p>
        </w:tc>
        <w:tc>
          <w:tcPr>
            <w:tcW w:w="1110" w:type="dxa"/>
            <w:vMerge w:val="continue"/>
            <w:vAlign w:val="center"/>
          </w:tcPr>
          <w:p w14:paraId="3761944F">
            <w:pPr>
              <w:jc w:val="center"/>
              <w:rPr>
                <w:sz w:val="24"/>
                <w:szCs w:val="32"/>
                <w:vertAlign w:val="baseline"/>
              </w:rPr>
            </w:pPr>
          </w:p>
        </w:tc>
        <w:tc>
          <w:tcPr>
            <w:tcW w:w="1095" w:type="dxa"/>
            <w:vMerge w:val="continue"/>
            <w:vAlign w:val="center"/>
          </w:tcPr>
          <w:p w14:paraId="675C6F50">
            <w:pPr>
              <w:jc w:val="center"/>
              <w:rPr>
                <w:sz w:val="24"/>
                <w:szCs w:val="32"/>
                <w:vertAlign w:val="baseline"/>
              </w:rPr>
            </w:pPr>
          </w:p>
        </w:tc>
      </w:tr>
      <w:tr w14:paraId="2890C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37EF4B81">
            <w:pPr>
              <w:jc w:val="center"/>
              <w:rPr>
                <w:rFonts w:hint="eastAsia"/>
                <w:sz w:val="24"/>
                <w:szCs w:val="32"/>
                <w:vertAlign w:val="baseline"/>
              </w:rPr>
            </w:pPr>
          </w:p>
        </w:tc>
        <w:tc>
          <w:tcPr>
            <w:tcW w:w="969" w:type="dxa"/>
            <w:vMerge w:val="continue"/>
            <w:vAlign w:val="center"/>
          </w:tcPr>
          <w:p w14:paraId="6F5FFAB8">
            <w:pPr>
              <w:jc w:val="center"/>
              <w:rPr>
                <w:rFonts w:hint="eastAsia"/>
                <w:sz w:val="24"/>
                <w:szCs w:val="32"/>
                <w:vertAlign w:val="baseline"/>
                <w:lang w:val="en-US" w:eastAsia="zh-CN"/>
              </w:rPr>
            </w:pPr>
          </w:p>
        </w:tc>
        <w:tc>
          <w:tcPr>
            <w:tcW w:w="561" w:type="dxa"/>
            <w:vMerge w:val="continue"/>
            <w:vAlign w:val="center"/>
          </w:tcPr>
          <w:p w14:paraId="2A5DBDF4">
            <w:pPr>
              <w:jc w:val="center"/>
              <w:rPr>
                <w:rFonts w:hint="eastAsia"/>
                <w:sz w:val="24"/>
                <w:szCs w:val="32"/>
                <w:vertAlign w:val="baseline"/>
                <w:lang w:val="en-US" w:eastAsia="zh-CN"/>
              </w:rPr>
            </w:pPr>
          </w:p>
        </w:tc>
        <w:tc>
          <w:tcPr>
            <w:tcW w:w="4239" w:type="dxa"/>
            <w:gridSpan w:val="2"/>
            <w:vAlign w:val="center"/>
          </w:tcPr>
          <w:p w14:paraId="4DBB3FE7">
            <w:pPr>
              <w:jc w:val="center"/>
              <w:rPr>
                <w:rFonts w:hint="eastAsia"/>
                <w:sz w:val="24"/>
                <w:szCs w:val="32"/>
                <w:vertAlign w:val="baseline"/>
                <w:lang w:val="en-US" w:eastAsia="zh-CN"/>
              </w:rPr>
            </w:pPr>
            <w:r>
              <w:rPr>
                <w:rFonts w:hint="eastAsia"/>
                <w:sz w:val="24"/>
                <w:szCs w:val="32"/>
                <w:vertAlign w:val="baseline"/>
                <w:lang w:val="en-US" w:eastAsia="zh-CN"/>
              </w:rPr>
              <w:t>总质量（kg）</w:t>
            </w:r>
          </w:p>
        </w:tc>
        <w:tc>
          <w:tcPr>
            <w:tcW w:w="5016" w:type="dxa"/>
            <w:vAlign w:val="center"/>
          </w:tcPr>
          <w:p w14:paraId="79FA9886">
            <w:pPr>
              <w:jc w:val="center"/>
              <w:rPr>
                <w:rFonts w:hint="eastAsia"/>
                <w:sz w:val="24"/>
                <w:szCs w:val="32"/>
                <w:vertAlign w:val="baseline"/>
                <w:lang w:val="en-US" w:eastAsia="zh-CN"/>
              </w:rPr>
            </w:pPr>
            <w:r>
              <w:rPr>
                <w:rFonts w:hint="eastAsia"/>
                <w:sz w:val="24"/>
                <w:szCs w:val="32"/>
                <w:vertAlign w:val="baseline"/>
                <w:lang w:val="en-US" w:eastAsia="zh-CN"/>
              </w:rPr>
              <w:t>≥7360</w:t>
            </w:r>
          </w:p>
        </w:tc>
        <w:tc>
          <w:tcPr>
            <w:tcW w:w="1110" w:type="dxa"/>
            <w:vMerge w:val="continue"/>
            <w:vAlign w:val="center"/>
          </w:tcPr>
          <w:p w14:paraId="5FFC683F">
            <w:pPr>
              <w:jc w:val="center"/>
              <w:rPr>
                <w:sz w:val="24"/>
                <w:szCs w:val="32"/>
                <w:vertAlign w:val="baseline"/>
              </w:rPr>
            </w:pPr>
          </w:p>
        </w:tc>
        <w:tc>
          <w:tcPr>
            <w:tcW w:w="1095" w:type="dxa"/>
            <w:vMerge w:val="continue"/>
            <w:vAlign w:val="center"/>
          </w:tcPr>
          <w:p w14:paraId="41A4016E">
            <w:pPr>
              <w:jc w:val="center"/>
              <w:rPr>
                <w:sz w:val="24"/>
                <w:szCs w:val="32"/>
                <w:vertAlign w:val="baseline"/>
              </w:rPr>
            </w:pPr>
          </w:p>
        </w:tc>
      </w:tr>
      <w:tr w14:paraId="28F87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401EB0AF">
            <w:pPr>
              <w:jc w:val="center"/>
              <w:rPr>
                <w:rFonts w:hint="eastAsia"/>
                <w:sz w:val="24"/>
                <w:szCs w:val="32"/>
                <w:vertAlign w:val="baseline"/>
              </w:rPr>
            </w:pPr>
          </w:p>
        </w:tc>
        <w:tc>
          <w:tcPr>
            <w:tcW w:w="969" w:type="dxa"/>
            <w:vMerge w:val="continue"/>
            <w:vAlign w:val="center"/>
          </w:tcPr>
          <w:p w14:paraId="43B283DD">
            <w:pPr>
              <w:jc w:val="center"/>
              <w:rPr>
                <w:rFonts w:hint="eastAsia"/>
                <w:sz w:val="24"/>
                <w:szCs w:val="32"/>
                <w:vertAlign w:val="baseline"/>
                <w:lang w:val="en-US" w:eastAsia="zh-CN"/>
              </w:rPr>
            </w:pPr>
          </w:p>
        </w:tc>
        <w:tc>
          <w:tcPr>
            <w:tcW w:w="561" w:type="dxa"/>
            <w:vMerge w:val="continue"/>
            <w:vAlign w:val="center"/>
          </w:tcPr>
          <w:p w14:paraId="4CDC410D">
            <w:pPr>
              <w:jc w:val="center"/>
              <w:rPr>
                <w:rFonts w:hint="eastAsia"/>
                <w:sz w:val="24"/>
                <w:szCs w:val="32"/>
                <w:vertAlign w:val="baseline"/>
                <w:lang w:val="en-US" w:eastAsia="zh-CN"/>
              </w:rPr>
            </w:pPr>
          </w:p>
        </w:tc>
        <w:tc>
          <w:tcPr>
            <w:tcW w:w="4239" w:type="dxa"/>
            <w:gridSpan w:val="2"/>
            <w:vAlign w:val="center"/>
          </w:tcPr>
          <w:p w14:paraId="4DF0CCCC">
            <w:pPr>
              <w:jc w:val="center"/>
              <w:rPr>
                <w:rFonts w:hint="eastAsia"/>
                <w:sz w:val="24"/>
                <w:szCs w:val="32"/>
                <w:vertAlign w:val="baseline"/>
                <w:lang w:val="en-US" w:eastAsia="zh-CN"/>
              </w:rPr>
            </w:pPr>
            <w:r>
              <w:rPr>
                <w:rFonts w:hint="eastAsia"/>
                <w:sz w:val="24"/>
                <w:szCs w:val="32"/>
                <w:vertAlign w:val="baseline"/>
                <w:lang w:val="en-US" w:eastAsia="zh-CN"/>
              </w:rPr>
              <w:t>★整备质量（kg）</w:t>
            </w:r>
          </w:p>
        </w:tc>
        <w:tc>
          <w:tcPr>
            <w:tcW w:w="5016" w:type="dxa"/>
            <w:vAlign w:val="center"/>
          </w:tcPr>
          <w:p w14:paraId="276A13D0">
            <w:pPr>
              <w:jc w:val="center"/>
              <w:rPr>
                <w:rFonts w:hint="eastAsia"/>
                <w:sz w:val="24"/>
                <w:szCs w:val="32"/>
                <w:vertAlign w:val="baseline"/>
                <w:lang w:val="en-US" w:eastAsia="zh-CN"/>
              </w:rPr>
            </w:pPr>
            <w:r>
              <w:rPr>
                <w:rFonts w:hint="eastAsia"/>
                <w:sz w:val="24"/>
                <w:szCs w:val="32"/>
                <w:vertAlign w:val="baseline"/>
                <w:lang w:val="en-US" w:eastAsia="zh-CN"/>
              </w:rPr>
              <w:t>≥4100</w:t>
            </w:r>
          </w:p>
        </w:tc>
        <w:tc>
          <w:tcPr>
            <w:tcW w:w="1110" w:type="dxa"/>
            <w:vMerge w:val="continue"/>
            <w:vAlign w:val="center"/>
          </w:tcPr>
          <w:p w14:paraId="0B618A2B">
            <w:pPr>
              <w:jc w:val="center"/>
              <w:rPr>
                <w:sz w:val="24"/>
                <w:szCs w:val="32"/>
                <w:vertAlign w:val="baseline"/>
              </w:rPr>
            </w:pPr>
          </w:p>
        </w:tc>
        <w:tc>
          <w:tcPr>
            <w:tcW w:w="1095" w:type="dxa"/>
            <w:vMerge w:val="continue"/>
            <w:vAlign w:val="center"/>
          </w:tcPr>
          <w:p w14:paraId="76633391">
            <w:pPr>
              <w:jc w:val="center"/>
              <w:rPr>
                <w:sz w:val="24"/>
                <w:szCs w:val="32"/>
                <w:vertAlign w:val="baseline"/>
              </w:rPr>
            </w:pPr>
          </w:p>
        </w:tc>
      </w:tr>
      <w:tr w14:paraId="72D60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371C6988">
            <w:pPr>
              <w:jc w:val="center"/>
              <w:rPr>
                <w:rFonts w:hint="eastAsia"/>
                <w:sz w:val="24"/>
                <w:szCs w:val="32"/>
                <w:vertAlign w:val="baseline"/>
              </w:rPr>
            </w:pPr>
          </w:p>
        </w:tc>
        <w:tc>
          <w:tcPr>
            <w:tcW w:w="969" w:type="dxa"/>
            <w:vMerge w:val="continue"/>
            <w:vAlign w:val="center"/>
          </w:tcPr>
          <w:p w14:paraId="4EF2CC16">
            <w:pPr>
              <w:jc w:val="center"/>
              <w:rPr>
                <w:rFonts w:hint="eastAsia"/>
                <w:sz w:val="24"/>
                <w:szCs w:val="32"/>
                <w:vertAlign w:val="baseline"/>
                <w:lang w:val="en-US" w:eastAsia="zh-CN"/>
              </w:rPr>
            </w:pPr>
          </w:p>
        </w:tc>
        <w:tc>
          <w:tcPr>
            <w:tcW w:w="561" w:type="dxa"/>
            <w:vMerge w:val="continue"/>
            <w:vAlign w:val="center"/>
          </w:tcPr>
          <w:p w14:paraId="2BB6A35F">
            <w:pPr>
              <w:jc w:val="center"/>
              <w:rPr>
                <w:rFonts w:hint="eastAsia"/>
                <w:sz w:val="24"/>
                <w:szCs w:val="32"/>
                <w:vertAlign w:val="baseline"/>
                <w:lang w:val="en-US" w:eastAsia="zh-CN"/>
              </w:rPr>
            </w:pPr>
          </w:p>
        </w:tc>
        <w:tc>
          <w:tcPr>
            <w:tcW w:w="4239" w:type="dxa"/>
            <w:gridSpan w:val="2"/>
            <w:vAlign w:val="center"/>
          </w:tcPr>
          <w:p w14:paraId="0C98E640">
            <w:pPr>
              <w:jc w:val="center"/>
              <w:rPr>
                <w:rFonts w:hint="eastAsia"/>
                <w:sz w:val="24"/>
                <w:szCs w:val="32"/>
                <w:vertAlign w:val="baseline"/>
                <w:lang w:val="en-US" w:eastAsia="zh-CN"/>
              </w:rPr>
            </w:pPr>
            <w:r>
              <w:rPr>
                <w:rFonts w:hint="eastAsia"/>
                <w:sz w:val="24"/>
                <w:szCs w:val="32"/>
                <w:vertAlign w:val="baseline"/>
                <w:lang w:val="en-US" w:eastAsia="zh-CN"/>
              </w:rPr>
              <w:t>★额定载质量（kg）</w:t>
            </w:r>
          </w:p>
        </w:tc>
        <w:tc>
          <w:tcPr>
            <w:tcW w:w="5016" w:type="dxa"/>
            <w:vAlign w:val="center"/>
          </w:tcPr>
          <w:p w14:paraId="66230FFD">
            <w:pPr>
              <w:jc w:val="center"/>
              <w:rPr>
                <w:rFonts w:hint="eastAsia"/>
                <w:sz w:val="24"/>
                <w:szCs w:val="32"/>
                <w:vertAlign w:val="baseline"/>
                <w:lang w:val="en-US" w:eastAsia="zh-CN"/>
              </w:rPr>
            </w:pPr>
            <w:r>
              <w:rPr>
                <w:rFonts w:hint="eastAsia"/>
                <w:sz w:val="24"/>
                <w:szCs w:val="32"/>
                <w:vertAlign w:val="baseline"/>
                <w:lang w:val="en-US" w:eastAsia="zh-CN"/>
              </w:rPr>
              <w:t>≥3120</w:t>
            </w:r>
          </w:p>
        </w:tc>
        <w:tc>
          <w:tcPr>
            <w:tcW w:w="1110" w:type="dxa"/>
            <w:vMerge w:val="continue"/>
            <w:vAlign w:val="center"/>
          </w:tcPr>
          <w:p w14:paraId="50AE6555">
            <w:pPr>
              <w:jc w:val="center"/>
              <w:rPr>
                <w:sz w:val="24"/>
                <w:szCs w:val="32"/>
                <w:vertAlign w:val="baseline"/>
              </w:rPr>
            </w:pPr>
          </w:p>
        </w:tc>
        <w:tc>
          <w:tcPr>
            <w:tcW w:w="1095" w:type="dxa"/>
            <w:vMerge w:val="continue"/>
            <w:vAlign w:val="center"/>
          </w:tcPr>
          <w:p w14:paraId="3FB23B63">
            <w:pPr>
              <w:jc w:val="center"/>
              <w:rPr>
                <w:sz w:val="24"/>
                <w:szCs w:val="32"/>
                <w:vertAlign w:val="baseline"/>
              </w:rPr>
            </w:pPr>
          </w:p>
        </w:tc>
      </w:tr>
      <w:tr w14:paraId="34320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79FC2457">
            <w:pPr>
              <w:jc w:val="center"/>
              <w:rPr>
                <w:rFonts w:hint="eastAsia"/>
                <w:sz w:val="24"/>
                <w:szCs w:val="32"/>
                <w:vertAlign w:val="baseline"/>
              </w:rPr>
            </w:pPr>
          </w:p>
        </w:tc>
        <w:tc>
          <w:tcPr>
            <w:tcW w:w="969" w:type="dxa"/>
            <w:vMerge w:val="continue"/>
            <w:vAlign w:val="center"/>
          </w:tcPr>
          <w:p w14:paraId="6C44EEFD">
            <w:pPr>
              <w:jc w:val="center"/>
              <w:rPr>
                <w:rFonts w:hint="eastAsia"/>
                <w:sz w:val="24"/>
                <w:szCs w:val="32"/>
                <w:vertAlign w:val="baseline"/>
                <w:lang w:val="en-US" w:eastAsia="zh-CN"/>
              </w:rPr>
            </w:pPr>
          </w:p>
        </w:tc>
        <w:tc>
          <w:tcPr>
            <w:tcW w:w="561" w:type="dxa"/>
            <w:vMerge w:val="continue"/>
            <w:vAlign w:val="center"/>
          </w:tcPr>
          <w:p w14:paraId="29907EE1">
            <w:pPr>
              <w:jc w:val="center"/>
              <w:rPr>
                <w:rFonts w:hint="eastAsia"/>
                <w:sz w:val="24"/>
                <w:szCs w:val="32"/>
                <w:vertAlign w:val="baseline"/>
                <w:lang w:val="en-US" w:eastAsia="zh-CN"/>
              </w:rPr>
            </w:pPr>
          </w:p>
        </w:tc>
        <w:tc>
          <w:tcPr>
            <w:tcW w:w="1982" w:type="dxa"/>
            <w:vMerge w:val="restart"/>
            <w:vAlign w:val="center"/>
          </w:tcPr>
          <w:p w14:paraId="41BF086A">
            <w:pPr>
              <w:jc w:val="center"/>
              <w:rPr>
                <w:rFonts w:hint="eastAsia"/>
                <w:sz w:val="24"/>
                <w:szCs w:val="32"/>
                <w:vertAlign w:val="baseline"/>
                <w:lang w:val="en-US" w:eastAsia="zh-CN"/>
              </w:rPr>
            </w:pPr>
            <w:r>
              <w:rPr>
                <w:rFonts w:hint="eastAsia"/>
                <w:sz w:val="24"/>
                <w:szCs w:val="32"/>
                <w:vertAlign w:val="baseline"/>
                <w:lang w:val="en-US" w:eastAsia="zh-CN"/>
              </w:rPr>
              <w:t>★外形尺寸</w:t>
            </w:r>
          </w:p>
        </w:tc>
        <w:tc>
          <w:tcPr>
            <w:tcW w:w="2257" w:type="dxa"/>
            <w:vAlign w:val="center"/>
          </w:tcPr>
          <w:p w14:paraId="30797E88">
            <w:pPr>
              <w:jc w:val="center"/>
              <w:rPr>
                <w:rFonts w:hint="eastAsia"/>
                <w:sz w:val="24"/>
                <w:szCs w:val="32"/>
                <w:vertAlign w:val="baseline"/>
                <w:lang w:val="en-US" w:eastAsia="zh-CN"/>
              </w:rPr>
            </w:pPr>
            <w:r>
              <w:rPr>
                <w:rFonts w:hint="eastAsia"/>
                <w:sz w:val="24"/>
                <w:szCs w:val="32"/>
                <w:vertAlign w:val="baseline"/>
                <w:lang w:val="en-US" w:eastAsia="zh-CN"/>
              </w:rPr>
              <w:t>长（mm）</w:t>
            </w:r>
          </w:p>
        </w:tc>
        <w:tc>
          <w:tcPr>
            <w:tcW w:w="5016" w:type="dxa"/>
            <w:vAlign w:val="center"/>
          </w:tcPr>
          <w:p w14:paraId="2EB4AF59">
            <w:pPr>
              <w:jc w:val="center"/>
              <w:rPr>
                <w:rFonts w:hint="eastAsia"/>
                <w:sz w:val="24"/>
                <w:szCs w:val="32"/>
                <w:vertAlign w:val="baseline"/>
                <w:lang w:val="en-US" w:eastAsia="zh-CN"/>
              </w:rPr>
            </w:pPr>
            <w:r>
              <w:rPr>
                <w:rFonts w:hint="eastAsia"/>
                <w:sz w:val="24"/>
                <w:szCs w:val="32"/>
                <w:vertAlign w:val="baseline"/>
                <w:lang w:val="en-US" w:eastAsia="zh-CN"/>
              </w:rPr>
              <w:t>≥5990</w:t>
            </w:r>
          </w:p>
        </w:tc>
        <w:tc>
          <w:tcPr>
            <w:tcW w:w="1110" w:type="dxa"/>
            <w:vMerge w:val="continue"/>
            <w:vAlign w:val="center"/>
          </w:tcPr>
          <w:p w14:paraId="7205D738">
            <w:pPr>
              <w:jc w:val="center"/>
              <w:rPr>
                <w:sz w:val="24"/>
                <w:szCs w:val="32"/>
                <w:vertAlign w:val="baseline"/>
              </w:rPr>
            </w:pPr>
          </w:p>
        </w:tc>
        <w:tc>
          <w:tcPr>
            <w:tcW w:w="1095" w:type="dxa"/>
            <w:vMerge w:val="continue"/>
            <w:vAlign w:val="center"/>
          </w:tcPr>
          <w:p w14:paraId="174D82EC">
            <w:pPr>
              <w:jc w:val="center"/>
              <w:rPr>
                <w:sz w:val="24"/>
                <w:szCs w:val="32"/>
                <w:vertAlign w:val="baseline"/>
              </w:rPr>
            </w:pPr>
          </w:p>
        </w:tc>
      </w:tr>
      <w:tr w14:paraId="7710B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22914108">
            <w:pPr>
              <w:jc w:val="center"/>
              <w:rPr>
                <w:rFonts w:hint="eastAsia"/>
                <w:sz w:val="24"/>
                <w:szCs w:val="32"/>
                <w:vertAlign w:val="baseline"/>
              </w:rPr>
            </w:pPr>
          </w:p>
        </w:tc>
        <w:tc>
          <w:tcPr>
            <w:tcW w:w="969" w:type="dxa"/>
            <w:vMerge w:val="continue"/>
            <w:vAlign w:val="center"/>
          </w:tcPr>
          <w:p w14:paraId="26391540">
            <w:pPr>
              <w:jc w:val="center"/>
              <w:rPr>
                <w:rFonts w:hint="eastAsia"/>
                <w:sz w:val="24"/>
                <w:szCs w:val="32"/>
                <w:vertAlign w:val="baseline"/>
                <w:lang w:val="en-US" w:eastAsia="zh-CN"/>
              </w:rPr>
            </w:pPr>
          </w:p>
        </w:tc>
        <w:tc>
          <w:tcPr>
            <w:tcW w:w="561" w:type="dxa"/>
            <w:vMerge w:val="continue"/>
            <w:vAlign w:val="center"/>
          </w:tcPr>
          <w:p w14:paraId="0FC493B8">
            <w:pPr>
              <w:jc w:val="center"/>
              <w:rPr>
                <w:rFonts w:hint="eastAsia"/>
                <w:sz w:val="24"/>
                <w:szCs w:val="32"/>
                <w:vertAlign w:val="baseline"/>
                <w:lang w:val="en-US" w:eastAsia="zh-CN"/>
              </w:rPr>
            </w:pPr>
          </w:p>
        </w:tc>
        <w:tc>
          <w:tcPr>
            <w:tcW w:w="1982" w:type="dxa"/>
            <w:vMerge w:val="continue"/>
            <w:vAlign w:val="center"/>
          </w:tcPr>
          <w:p w14:paraId="4C699A17">
            <w:pPr>
              <w:jc w:val="center"/>
              <w:rPr>
                <w:rFonts w:hint="eastAsia"/>
                <w:sz w:val="24"/>
                <w:szCs w:val="32"/>
                <w:vertAlign w:val="baseline"/>
                <w:lang w:val="en-US" w:eastAsia="zh-CN"/>
              </w:rPr>
            </w:pPr>
          </w:p>
        </w:tc>
        <w:tc>
          <w:tcPr>
            <w:tcW w:w="2257" w:type="dxa"/>
            <w:vAlign w:val="center"/>
          </w:tcPr>
          <w:p w14:paraId="0B87B542">
            <w:pPr>
              <w:jc w:val="center"/>
              <w:rPr>
                <w:rFonts w:hint="eastAsia"/>
                <w:sz w:val="24"/>
                <w:szCs w:val="32"/>
                <w:vertAlign w:val="baseline"/>
                <w:lang w:val="en-US" w:eastAsia="zh-CN"/>
              </w:rPr>
            </w:pPr>
            <w:r>
              <w:rPr>
                <w:rFonts w:hint="eastAsia"/>
                <w:sz w:val="24"/>
                <w:szCs w:val="32"/>
                <w:vertAlign w:val="baseline"/>
                <w:lang w:val="en-US" w:eastAsia="zh-CN"/>
              </w:rPr>
              <w:t>宽（mm）</w:t>
            </w:r>
          </w:p>
        </w:tc>
        <w:tc>
          <w:tcPr>
            <w:tcW w:w="5016" w:type="dxa"/>
            <w:vAlign w:val="center"/>
          </w:tcPr>
          <w:p w14:paraId="46F98C81">
            <w:pPr>
              <w:jc w:val="center"/>
              <w:rPr>
                <w:rFonts w:hint="eastAsia"/>
                <w:sz w:val="24"/>
                <w:szCs w:val="32"/>
                <w:vertAlign w:val="baseline"/>
                <w:lang w:val="en-US" w:eastAsia="zh-CN"/>
              </w:rPr>
            </w:pPr>
            <w:r>
              <w:rPr>
                <w:rFonts w:hint="eastAsia"/>
                <w:sz w:val="24"/>
                <w:szCs w:val="32"/>
                <w:vertAlign w:val="baseline"/>
                <w:lang w:val="en-US" w:eastAsia="zh-CN"/>
              </w:rPr>
              <w:t>≥2000</w:t>
            </w:r>
          </w:p>
        </w:tc>
        <w:tc>
          <w:tcPr>
            <w:tcW w:w="1110" w:type="dxa"/>
            <w:vMerge w:val="continue"/>
            <w:vAlign w:val="center"/>
          </w:tcPr>
          <w:p w14:paraId="63E729A2">
            <w:pPr>
              <w:jc w:val="center"/>
              <w:rPr>
                <w:sz w:val="24"/>
                <w:szCs w:val="32"/>
                <w:vertAlign w:val="baseline"/>
              </w:rPr>
            </w:pPr>
          </w:p>
        </w:tc>
        <w:tc>
          <w:tcPr>
            <w:tcW w:w="1095" w:type="dxa"/>
            <w:vMerge w:val="continue"/>
            <w:vAlign w:val="center"/>
          </w:tcPr>
          <w:p w14:paraId="7DD279CC">
            <w:pPr>
              <w:jc w:val="center"/>
              <w:rPr>
                <w:sz w:val="24"/>
                <w:szCs w:val="32"/>
                <w:vertAlign w:val="baseline"/>
              </w:rPr>
            </w:pPr>
          </w:p>
        </w:tc>
      </w:tr>
      <w:tr w14:paraId="79CDD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13AB45CC">
            <w:pPr>
              <w:jc w:val="center"/>
              <w:rPr>
                <w:rFonts w:hint="eastAsia"/>
                <w:sz w:val="24"/>
                <w:szCs w:val="32"/>
                <w:vertAlign w:val="baseline"/>
              </w:rPr>
            </w:pPr>
          </w:p>
        </w:tc>
        <w:tc>
          <w:tcPr>
            <w:tcW w:w="969" w:type="dxa"/>
            <w:vMerge w:val="continue"/>
            <w:vAlign w:val="center"/>
          </w:tcPr>
          <w:p w14:paraId="3E8239C6">
            <w:pPr>
              <w:jc w:val="center"/>
              <w:rPr>
                <w:rFonts w:hint="eastAsia"/>
                <w:sz w:val="24"/>
                <w:szCs w:val="32"/>
                <w:vertAlign w:val="baseline"/>
                <w:lang w:val="en-US" w:eastAsia="zh-CN"/>
              </w:rPr>
            </w:pPr>
          </w:p>
        </w:tc>
        <w:tc>
          <w:tcPr>
            <w:tcW w:w="561" w:type="dxa"/>
            <w:vMerge w:val="continue"/>
            <w:vAlign w:val="center"/>
          </w:tcPr>
          <w:p w14:paraId="1149AC86">
            <w:pPr>
              <w:jc w:val="center"/>
              <w:rPr>
                <w:rFonts w:hint="eastAsia"/>
                <w:sz w:val="24"/>
                <w:szCs w:val="32"/>
                <w:vertAlign w:val="baseline"/>
                <w:lang w:val="en-US" w:eastAsia="zh-CN"/>
              </w:rPr>
            </w:pPr>
          </w:p>
        </w:tc>
        <w:tc>
          <w:tcPr>
            <w:tcW w:w="1982" w:type="dxa"/>
            <w:vMerge w:val="continue"/>
            <w:vAlign w:val="center"/>
          </w:tcPr>
          <w:p w14:paraId="52948A7F">
            <w:pPr>
              <w:jc w:val="center"/>
              <w:rPr>
                <w:rFonts w:hint="eastAsia"/>
                <w:sz w:val="24"/>
                <w:szCs w:val="32"/>
                <w:vertAlign w:val="baseline"/>
                <w:lang w:val="en-US" w:eastAsia="zh-CN"/>
              </w:rPr>
            </w:pPr>
          </w:p>
        </w:tc>
        <w:tc>
          <w:tcPr>
            <w:tcW w:w="2257" w:type="dxa"/>
            <w:vAlign w:val="center"/>
          </w:tcPr>
          <w:p w14:paraId="378CB286">
            <w:pPr>
              <w:jc w:val="center"/>
              <w:rPr>
                <w:rFonts w:hint="eastAsia"/>
                <w:sz w:val="24"/>
                <w:szCs w:val="32"/>
                <w:vertAlign w:val="baseline"/>
                <w:lang w:val="en-US" w:eastAsia="zh-CN"/>
              </w:rPr>
            </w:pPr>
            <w:r>
              <w:rPr>
                <w:rFonts w:hint="eastAsia"/>
                <w:sz w:val="24"/>
                <w:szCs w:val="32"/>
                <w:vertAlign w:val="baseline"/>
                <w:lang w:val="en-US" w:eastAsia="zh-CN"/>
              </w:rPr>
              <w:t>高（mm）</w:t>
            </w:r>
          </w:p>
        </w:tc>
        <w:tc>
          <w:tcPr>
            <w:tcW w:w="5016" w:type="dxa"/>
            <w:vAlign w:val="center"/>
          </w:tcPr>
          <w:p w14:paraId="422F927B">
            <w:pPr>
              <w:jc w:val="center"/>
              <w:rPr>
                <w:rFonts w:hint="eastAsia"/>
                <w:sz w:val="24"/>
                <w:szCs w:val="32"/>
                <w:vertAlign w:val="baseline"/>
                <w:lang w:val="en-US" w:eastAsia="zh-CN"/>
              </w:rPr>
            </w:pPr>
            <w:r>
              <w:rPr>
                <w:rFonts w:hint="eastAsia"/>
                <w:sz w:val="24"/>
                <w:szCs w:val="32"/>
                <w:vertAlign w:val="baseline"/>
                <w:lang w:val="en-US" w:eastAsia="zh-CN"/>
              </w:rPr>
              <w:t>≥2650</w:t>
            </w:r>
          </w:p>
        </w:tc>
        <w:tc>
          <w:tcPr>
            <w:tcW w:w="1110" w:type="dxa"/>
            <w:vMerge w:val="continue"/>
            <w:vAlign w:val="center"/>
          </w:tcPr>
          <w:p w14:paraId="688559AE">
            <w:pPr>
              <w:jc w:val="center"/>
              <w:rPr>
                <w:sz w:val="24"/>
                <w:szCs w:val="32"/>
                <w:vertAlign w:val="baseline"/>
              </w:rPr>
            </w:pPr>
          </w:p>
        </w:tc>
        <w:tc>
          <w:tcPr>
            <w:tcW w:w="1095" w:type="dxa"/>
            <w:vMerge w:val="continue"/>
            <w:vAlign w:val="center"/>
          </w:tcPr>
          <w:p w14:paraId="535DFBAF">
            <w:pPr>
              <w:jc w:val="center"/>
              <w:rPr>
                <w:sz w:val="24"/>
                <w:szCs w:val="32"/>
                <w:vertAlign w:val="baseline"/>
              </w:rPr>
            </w:pPr>
          </w:p>
        </w:tc>
      </w:tr>
      <w:tr w14:paraId="6926A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66AADB6F">
            <w:pPr>
              <w:jc w:val="center"/>
              <w:rPr>
                <w:rFonts w:hint="eastAsia"/>
                <w:sz w:val="24"/>
                <w:szCs w:val="32"/>
                <w:vertAlign w:val="baseline"/>
              </w:rPr>
            </w:pPr>
          </w:p>
        </w:tc>
        <w:tc>
          <w:tcPr>
            <w:tcW w:w="969" w:type="dxa"/>
            <w:vMerge w:val="continue"/>
            <w:vAlign w:val="center"/>
          </w:tcPr>
          <w:p w14:paraId="6A57206B">
            <w:pPr>
              <w:jc w:val="center"/>
              <w:rPr>
                <w:rFonts w:hint="eastAsia"/>
                <w:sz w:val="24"/>
                <w:szCs w:val="32"/>
                <w:vertAlign w:val="baseline"/>
                <w:lang w:val="en-US" w:eastAsia="zh-CN"/>
              </w:rPr>
            </w:pPr>
          </w:p>
        </w:tc>
        <w:tc>
          <w:tcPr>
            <w:tcW w:w="561" w:type="dxa"/>
            <w:vMerge w:val="continue"/>
            <w:vAlign w:val="center"/>
          </w:tcPr>
          <w:p w14:paraId="2F51B50F">
            <w:pPr>
              <w:jc w:val="center"/>
              <w:rPr>
                <w:rFonts w:hint="eastAsia"/>
                <w:sz w:val="24"/>
                <w:szCs w:val="32"/>
                <w:vertAlign w:val="baseline"/>
                <w:lang w:val="en-US" w:eastAsia="zh-CN"/>
              </w:rPr>
            </w:pPr>
          </w:p>
        </w:tc>
        <w:tc>
          <w:tcPr>
            <w:tcW w:w="4239" w:type="dxa"/>
            <w:gridSpan w:val="2"/>
            <w:vAlign w:val="center"/>
          </w:tcPr>
          <w:p w14:paraId="7D7B73F1">
            <w:pPr>
              <w:jc w:val="center"/>
              <w:rPr>
                <w:rFonts w:hint="eastAsia"/>
                <w:sz w:val="24"/>
                <w:szCs w:val="32"/>
                <w:vertAlign w:val="baseline"/>
                <w:lang w:val="en-US" w:eastAsia="zh-CN"/>
              </w:rPr>
            </w:pPr>
            <w:r>
              <w:rPr>
                <w:rFonts w:hint="eastAsia"/>
                <w:sz w:val="24"/>
                <w:szCs w:val="32"/>
                <w:vertAlign w:val="baseline"/>
                <w:lang w:val="en-US" w:eastAsia="zh-CN"/>
              </w:rPr>
              <w:t>★轴距（mm）</w:t>
            </w:r>
          </w:p>
        </w:tc>
        <w:tc>
          <w:tcPr>
            <w:tcW w:w="5016" w:type="dxa"/>
            <w:vAlign w:val="center"/>
          </w:tcPr>
          <w:p w14:paraId="2D8266CC">
            <w:pPr>
              <w:jc w:val="center"/>
              <w:rPr>
                <w:rFonts w:hint="eastAsia"/>
                <w:sz w:val="24"/>
                <w:szCs w:val="32"/>
                <w:vertAlign w:val="baseline"/>
                <w:lang w:val="en-US" w:eastAsia="zh-CN"/>
              </w:rPr>
            </w:pPr>
            <w:r>
              <w:rPr>
                <w:rFonts w:hint="eastAsia"/>
                <w:sz w:val="24"/>
                <w:szCs w:val="32"/>
                <w:vertAlign w:val="baseline"/>
                <w:lang w:val="en-US" w:eastAsia="zh-CN"/>
              </w:rPr>
              <w:t>≥3308</w:t>
            </w:r>
          </w:p>
        </w:tc>
        <w:tc>
          <w:tcPr>
            <w:tcW w:w="1110" w:type="dxa"/>
            <w:vMerge w:val="continue"/>
            <w:vAlign w:val="center"/>
          </w:tcPr>
          <w:p w14:paraId="6C5BAF2B">
            <w:pPr>
              <w:jc w:val="center"/>
              <w:rPr>
                <w:sz w:val="24"/>
                <w:szCs w:val="32"/>
                <w:vertAlign w:val="baseline"/>
              </w:rPr>
            </w:pPr>
          </w:p>
        </w:tc>
        <w:tc>
          <w:tcPr>
            <w:tcW w:w="1095" w:type="dxa"/>
            <w:vMerge w:val="continue"/>
            <w:vAlign w:val="center"/>
          </w:tcPr>
          <w:p w14:paraId="3F3ADE4B">
            <w:pPr>
              <w:jc w:val="center"/>
              <w:rPr>
                <w:sz w:val="24"/>
                <w:szCs w:val="32"/>
                <w:vertAlign w:val="baseline"/>
              </w:rPr>
            </w:pPr>
          </w:p>
        </w:tc>
      </w:tr>
      <w:tr w14:paraId="20511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3F03C230">
            <w:pPr>
              <w:jc w:val="center"/>
              <w:rPr>
                <w:rFonts w:hint="eastAsia"/>
                <w:sz w:val="24"/>
                <w:szCs w:val="32"/>
                <w:vertAlign w:val="baseline"/>
              </w:rPr>
            </w:pPr>
          </w:p>
        </w:tc>
        <w:tc>
          <w:tcPr>
            <w:tcW w:w="969" w:type="dxa"/>
            <w:vMerge w:val="continue"/>
            <w:vAlign w:val="center"/>
          </w:tcPr>
          <w:p w14:paraId="0C939EDF">
            <w:pPr>
              <w:jc w:val="center"/>
              <w:rPr>
                <w:rFonts w:hint="eastAsia"/>
                <w:sz w:val="24"/>
                <w:szCs w:val="32"/>
                <w:vertAlign w:val="baseline"/>
                <w:lang w:val="en-US" w:eastAsia="zh-CN"/>
              </w:rPr>
            </w:pPr>
          </w:p>
        </w:tc>
        <w:tc>
          <w:tcPr>
            <w:tcW w:w="561" w:type="dxa"/>
            <w:vMerge w:val="continue"/>
            <w:vAlign w:val="center"/>
          </w:tcPr>
          <w:p w14:paraId="27880B2A">
            <w:pPr>
              <w:jc w:val="center"/>
              <w:rPr>
                <w:rFonts w:hint="eastAsia"/>
                <w:sz w:val="24"/>
                <w:szCs w:val="32"/>
                <w:vertAlign w:val="baseline"/>
                <w:lang w:val="en-US" w:eastAsia="zh-CN"/>
              </w:rPr>
            </w:pPr>
          </w:p>
        </w:tc>
        <w:tc>
          <w:tcPr>
            <w:tcW w:w="4239" w:type="dxa"/>
            <w:gridSpan w:val="2"/>
            <w:vAlign w:val="center"/>
          </w:tcPr>
          <w:p w14:paraId="2563E438">
            <w:pPr>
              <w:jc w:val="center"/>
              <w:rPr>
                <w:rFonts w:hint="eastAsia"/>
                <w:sz w:val="24"/>
                <w:szCs w:val="32"/>
                <w:vertAlign w:val="baseline"/>
                <w:lang w:val="en-US" w:eastAsia="zh-CN"/>
              </w:rPr>
            </w:pPr>
            <w:r>
              <w:rPr>
                <w:rFonts w:hint="eastAsia"/>
                <w:sz w:val="24"/>
                <w:szCs w:val="32"/>
                <w:vertAlign w:val="baseline"/>
                <w:lang w:val="en-US" w:eastAsia="zh-CN"/>
              </w:rPr>
              <w:t>★前悬/后悬（mm）</w:t>
            </w:r>
          </w:p>
        </w:tc>
        <w:tc>
          <w:tcPr>
            <w:tcW w:w="5016" w:type="dxa"/>
            <w:vAlign w:val="center"/>
          </w:tcPr>
          <w:p w14:paraId="03323DE4">
            <w:pPr>
              <w:jc w:val="center"/>
              <w:rPr>
                <w:rFonts w:hint="eastAsia"/>
                <w:sz w:val="24"/>
                <w:szCs w:val="32"/>
                <w:vertAlign w:val="baseline"/>
                <w:lang w:val="en-US" w:eastAsia="zh-CN"/>
              </w:rPr>
            </w:pPr>
            <w:r>
              <w:rPr>
                <w:rFonts w:hint="eastAsia"/>
                <w:sz w:val="24"/>
                <w:szCs w:val="32"/>
                <w:vertAlign w:val="baseline"/>
                <w:lang w:val="en-US" w:eastAsia="zh-CN"/>
              </w:rPr>
              <w:t>≥1055/1635</w:t>
            </w:r>
          </w:p>
        </w:tc>
        <w:tc>
          <w:tcPr>
            <w:tcW w:w="1110" w:type="dxa"/>
            <w:vMerge w:val="continue"/>
            <w:vAlign w:val="center"/>
          </w:tcPr>
          <w:p w14:paraId="39FFE2C0">
            <w:pPr>
              <w:jc w:val="center"/>
              <w:rPr>
                <w:sz w:val="24"/>
                <w:szCs w:val="32"/>
                <w:vertAlign w:val="baseline"/>
              </w:rPr>
            </w:pPr>
          </w:p>
        </w:tc>
        <w:tc>
          <w:tcPr>
            <w:tcW w:w="1095" w:type="dxa"/>
            <w:vMerge w:val="continue"/>
            <w:vAlign w:val="center"/>
          </w:tcPr>
          <w:p w14:paraId="6EE15895">
            <w:pPr>
              <w:jc w:val="center"/>
              <w:rPr>
                <w:sz w:val="24"/>
                <w:szCs w:val="32"/>
                <w:vertAlign w:val="baseline"/>
              </w:rPr>
            </w:pPr>
          </w:p>
        </w:tc>
      </w:tr>
      <w:tr w14:paraId="0BFB2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41915786">
            <w:pPr>
              <w:jc w:val="center"/>
              <w:rPr>
                <w:rFonts w:hint="eastAsia"/>
                <w:sz w:val="24"/>
                <w:szCs w:val="32"/>
                <w:vertAlign w:val="baseline"/>
              </w:rPr>
            </w:pPr>
          </w:p>
        </w:tc>
        <w:tc>
          <w:tcPr>
            <w:tcW w:w="969" w:type="dxa"/>
            <w:vMerge w:val="continue"/>
            <w:vAlign w:val="center"/>
          </w:tcPr>
          <w:p w14:paraId="228BE102">
            <w:pPr>
              <w:jc w:val="center"/>
              <w:rPr>
                <w:rFonts w:hint="eastAsia"/>
                <w:sz w:val="24"/>
                <w:szCs w:val="32"/>
                <w:vertAlign w:val="baseline"/>
                <w:lang w:val="en-US" w:eastAsia="zh-CN"/>
              </w:rPr>
            </w:pPr>
          </w:p>
        </w:tc>
        <w:tc>
          <w:tcPr>
            <w:tcW w:w="561" w:type="dxa"/>
            <w:vMerge w:val="continue"/>
            <w:vAlign w:val="center"/>
          </w:tcPr>
          <w:p w14:paraId="33961C0B">
            <w:pPr>
              <w:jc w:val="center"/>
              <w:rPr>
                <w:rFonts w:hint="eastAsia"/>
                <w:sz w:val="24"/>
                <w:szCs w:val="32"/>
                <w:vertAlign w:val="baseline"/>
                <w:lang w:val="en-US" w:eastAsia="zh-CN"/>
              </w:rPr>
            </w:pPr>
          </w:p>
        </w:tc>
        <w:tc>
          <w:tcPr>
            <w:tcW w:w="4239" w:type="dxa"/>
            <w:gridSpan w:val="2"/>
            <w:vAlign w:val="center"/>
          </w:tcPr>
          <w:p w14:paraId="105B033F">
            <w:pPr>
              <w:jc w:val="center"/>
              <w:rPr>
                <w:rFonts w:hint="eastAsia"/>
                <w:sz w:val="24"/>
                <w:szCs w:val="32"/>
                <w:vertAlign w:val="baseline"/>
                <w:lang w:val="en-US" w:eastAsia="zh-CN"/>
              </w:rPr>
            </w:pPr>
            <w:r>
              <w:rPr>
                <w:rFonts w:hint="eastAsia"/>
                <w:sz w:val="24"/>
                <w:szCs w:val="32"/>
                <w:vertAlign w:val="baseline"/>
                <w:lang w:val="en-US" w:eastAsia="zh-CN"/>
              </w:rPr>
              <w:t>★接近角/离去角（°）</w:t>
            </w:r>
          </w:p>
        </w:tc>
        <w:tc>
          <w:tcPr>
            <w:tcW w:w="5016" w:type="dxa"/>
            <w:vAlign w:val="center"/>
          </w:tcPr>
          <w:p w14:paraId="0A3F4875">
            <w:pPr>
              <w:jc w:val="center"/>
              <w:rPr>
                <w:rFonts w:hint="eastAsia"/>
                <w:sz w:val="24"/>
                <w:szCs w:val="32"/>
                <w:vertAlign w:val="baseline"/>
                <w:lang w:val="en-US" w:eastAsia="zh-CN"/>
              </w:rPr>
            </w:pPr>
            <w:r>
              <w:rPr>
                <w:rFonts w:hint="eastAsia"/>
                <w:sz w:val="24"/>
                <w:szCs w:val="32"/>
                <w:vertAlign w:val="baseline"/>
                <w:lang w:val="en-US" w:eastAsia="zh-CN"/>
              </w:rPr>
              <w:t>≥25/15</w:t>
            </w:r>
          </w:p>
        </w:tc>
        <w:tc>
          <w:tcPr>
            <w:tcW w:w="1110" w:type="dxa"/>
            <w:vMerge w:val="continue"/>
            <w:vAlign w:val="center"/>
          </w:tcPr>
          <w:p w14:paraId="1663F802">
            <w:pPr>
              <w:jc w:val="center"/>
              <w:rPr>
                <w:sz w:val="24"/>
                <w:szCs w:val="32"/>
                <w:vertAlign w:val="baseline"/>
              </w:rPr>
            </w:pPr>
          </w:p>
        </w:tc>
        <w:tc>
          <w:tcPr>
            <w:tcW w:w="1095" w:type="dxa"/>
            <w:vMerge w:val="continue"/>
            <w:vAlign w:val="center"/>
          </w:tcPr>
          <w:p w14:paraId="06826216">
            <w:pPr>
              <w:jc w:val="center"/>
              <w:rPr>
                <w:sz w:val="24"/>
                <w:szCs w:val="32"/>
                <w:vertAlign w:val="baseline"/>
              </w:rPr>
            </w:pPr>
          </w:p>
        </w:tc>
      </w:tr>
      <w:tr w14:paraId="7DE02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04D7917C">
            <w:pPr>
              <w:jc w:val="center"/>
              <w:rPr>
                <w:rFonts w:hint="eastAsia"/>
                <w:sz w:val="24"/>
                <w:szCs w:val="32"/>
                <w:vertAlign w:val="baseline"/>
              </w:rPr>
            </w:pPr>
          </w:p>
        </w:tc>
        <w:tc>
          <w:tcPr>
            <w:tcW w:w="969" w:type="dxa"/>
            <w:vMerge w:val="continue"/>
            <w:vAlign w:val="center"/>
          </w:tcPr>
          <w:p w14:paraId="3012ACBF">
            <w:pPr>
              <w:jc w:val="center"/>
              <w:rPr>
                <w:rFonts w:hint="eastAsia"/>
                <w:sz w:val="24"/>
                <w:szCs w:val="32"/>
                <w:vertAlign w:val="baseline"/>
                <w:lang w:val="en-US" w:eastAsia="zh-CN"/>
              </w:rPr>
            </w:pPr>
          </w:p>
        </w:tc>
        <w:tc>
          <w:tcPr>
            <w:tcW w:w="561" w:type="dxa"/>
            <w:vMerge w:val="continue"/>
            <w:vAlign w:val="center"/>
          </w:tcPr>
          <w:p w14:paraId="00E11067">
            <w:pPr>
              <w:jc w:val="center"/>
              <w:rPr>
                <w:rFonts w:hint="eastAsia"/>
                <w:sz w:val="24"/>
                <w:szCs w:val="32"/>
                <w:vertAlign w:val="baseline"/>
                <w:lang w:val="en-US" w:eastAsia="zh-CN"/>
              </w:rPr>
            </w:pPr>
          </w:p>
        </w:tc>
        <w:tc>
          <w:tcPr>
            <w:tcW w:w="4239" w:type="dxa"/>
            <w:gridSpan w:val="2"/>
            <w:vAlign w:val="center"/>
          </w:tcPr>
          <w:p w14:paraId="49DB1A26">
            <w:pPr>
              <w:jc w:val="center"/>
              <w:rPr>
                <w:rFonts w:hint="eastAsia"/>
                <w:sz w:val="24"/>
                <w:szCs w:val="32"/>
                <w:vertAlign w:val="baseline"/>
                <w:lang w:val="en-US" w:eastAsia="zh-CN"/>
              </w:rPr>
            </w:pPr>
            <w:r>
              <w:rPr>
                <w:rFonts w:hint="eastAsia"/>
                <w:sz w:val="24"/>
                <w:szCs w:val="32"/>
                <w:vertAlign w:val="baseline"/>
                <w:lang w:val="en-US" w:eastAsia="zh-CN"/>
              </w:rPr>
              <w:t>后下部防护截面尺寸（mm）</w:t>
            </w:r>
          </w:p>
        </w:tc>
        <w:tc>
          <w:tcPr>
            <w:tcW w:w="5016" w:type="dxa"/>
            <w:vAlign w:val="center"/>
          </w:tcPr>
          <w:p w14:paraId="5F377DE1">
            <w:pPr>
              <w:jc w:val="center"/>
              <w:rPr>
                <w:rFonts w:hint="eastAsia"/>
                <w:sz w:val="24"/>
                <w:szCs w:val="32"/>
                <w:vertAlign w:val="baseline"/>
                <w:lang w:val="en-US" w:eastAsia="zh-CN"/>
              </w:rPr>
            </w:pPr>
            <w:r>
              <w:rPr>
                <w:rFonts w:hint="eastAsia"/>
                <w:sz w:val="24"/>
                <w:szCs w:val="32"/>
                <w:vertAlign w:val="baseline"/>
                <w:lang w:val="en-US" w:eastAsia="zh-CN"/>
              </w:rPr>
              <w:t>≥120×60</w:t>
            </w:r>
          </w:p>
        </w:tc>
        <w:tc>
          <w:tcPr>
            <w:tcW w:w="1110" w:type="dxa"/>
            <w:vMerge w:val="continue"/>
            <w:vAlign w:val="center"/>
          </w:tcPr>
          <w:p w14:paraId="6C997124">
            <w:pPr>
              <w:jc w:val="center"/>
              <w:rPr>
                <w:sz w:val="24"/>
                <w:szCs w:val="32"/>
                <w:vertAlign w:val="baseline"/>
              </w:rPr>
            </w:pPr>
          </w:p>
        </w:tc>
        <w:tc>
          <w:tcPr>
            <w:tcW w:w="1095" w:type="dxa"/>
            <w:vMerge w:val="continue"/>
            <w:vAlign w:val="center"/>
          </w:tcPr>
          <w:p w14:paraId="10B8618B">
            <w:pPr>
              <w:jc w:val="center"/>
              <w:rPr>
                <w:sz w:val="24"/>
                <w:szCs w:val="32"/>
                <w:vertAlign w:val="baseline"/>
              </w:rPr>
            </w:pPr>
          </w:p>
        </w:tc>
      </w:tr>
      <w:tr w14:paraId="2DB28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76F34966">
            <w:pPr>
              <w:jc w:val="center"/>
              <w:rPr>
                <w:rFonts w:hint="eastAsia"/>
                <w:sz w:val="24"/>
                <w:szCs w:val="32"/>
                <w:vertAlign w:val="baseline"/>
              </w:rPr>
            </w:pPr>
          </w:p>
        </w:tc>
        <w:tc>
          <w:tcPr>
            <w:tcW w:w="969" w:type="dxa"/>
            <w:vMerge w:val="continue"/>
            <w:vAlign w:val="center"/>
          </w:tcPr>
          <w:p w14:paraId="1610EAD4">
            <w:pPr>
              <w:jc w:val="center"/>
              <w:rPr>
                <w:rFonts w:hint="eastAsia"/>
                <w:sz w:val="24"/>
                <w:szCs w:val="32"/>
                <w:vertAlign w:val="baseline"/>
                <w:lang w:val="en-US" w:eastAsia="zh-CN"/>
              </w:rPr>
            </w:pPr>
          </w:p>
        </w:tc>
        <w:tc>
          <w:tcPr>
            <w:tcW w:w="561" w:type="dxa"/>
            <w:vMerge w:val="continue"/>
            <w:vAlign w:val="center"/>
          </w:tcPr>
          <w:p w14:paraId="6E845F78">
            <w:pPr>
              <w:jc w:val="center"/>
              <w:rPr>
                <w:rFonts w:hint="eastAsia"/>
                <w:sz w:val="24"/>
                <w:szCs w:val="32"/>
                <w:vertAlign w:val="baseline"/>
                <w:lang w:val="en-US" w:eastAsia="zh-CN"/>
              </w:rPr>
            </w:pPr>
          </w:p>
        </w:tc>
        <w:tc>
          <w:tcPr>
            <w:tcW w:w="4239" w:type="dxa"/>
            <w:gridSpan w:val="2"/>
            <w:vAlign w:val="center"/>
          </w:tcPr>
          <w:p w14:paraId="78E3EB28">
            <w:pPr>
              <w:jc w:val="center"/>
              <w:rPr>
                <w:rFonts w:hint="eastAsia"/>
                <w:sz w:val="24"/>
                <w:szCs w:val="32"/>
                <w:vertAlign w:val="baseline"/>
                <w:lang w:val="en-US" w:eastAsia="zh-CN"/>
              </w:rPr>
            </w:pPr>
            <w:r>
              <w:rPr>
                <w:rFonts w:hint="eastAsia"/>
                <w:sz w:val="24"/>
                <w:szCs w:val="32"/>
                <w:vertAlign w:val="baseline"/>
                <w:lang w:val="en-US" w:eastAsia="zh-CN"/>
              </w:rPr>
              <w:t>最高车速（km/h）</w:t>
            </w:r>
          </w:p>
        </w:tc>
        <w:tc>
          <w:tcPr>
            <w:tcW w:w="5016" w:type="dxa"/>
            <w:vAlign w:val="center"/>
          </w:tcPr>
          <w:p w14:paraId="460D2DB0">
            <w:pPr>
              <w:jc w:val="center"/>
              <w:rPr>
                <w:rFonts w:hint="eastAsia"/>
                <w:sz w:val="24"/>
                <w:szCs w:val="32"/>
                <w:vertAlign w:val="baseline"/>
                <w:lang w:val="en-US" w:eastAsia="zh-CN"/>
              </w:rPr>
            </w:pPr>
            <w:r>
              <w:rPr>
                <w:rFonts w:hint="eastAsia"/>
                <w:sz w:val="24"/>
                <w:szCs w:val="32"/>
                <w:vertAlign w:val="baseline"/>
                <w:lang w:val="en-US" w:eastAsia="zh-CN"/>
              </w:rPr>
              <w:t>≥110</w:t>
            </w:r>
          </w:p>
        </w:tc>
        <w:tc>
          <w:tcPr>
            <w:tcW w:w="1110" w:type="dxa"/>
            <w:vMerge w:val="continue"/>
            <w:vAlign w:val="center"/>
          </w:tcPr>
          <w:p w14:paraId="5C5497B9">
            <w:pPr>
              <w:jc w:val="center"/>
              <w:rPr>
                <w:sz w:val="24"/>
                <w:szCs w:val="32"/>
                <w:vertAlign w:val="baseline"/>
              </w:rPr>
            </w:pPr>
          </w:p>
        </w:tc>
        <w:tc>
          <w:tcPr>
            <w:tcW w:w="1095" w:type="dxa"/>
            <w:vMerge w:val="continue"/>
            <w:vAlign w:val="center"/>
          </w:tcPr>
          <w:p w14:paraId="23B15477">
            <w:pPr>
              <w:jc w:val="center"/>
              <w:rPr>
                <w:sz w:val="24"/>
                <w:szCs w:val="32"/>
                <w:vertAlign w:val="baseline"/>
              </w:rPr>
            </w:pPr>
          </w:p>
        </w:tc>
      </w:tr>
      <w:tr w14:paraId="72BD9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609BE452">
            <w:pPr>
              <w:jc w:val="center"/>
              <w:rPr>
                <w:rFonts w:hint="eastAsia"/>
                <w:sz w:val="24"/>
                <w:szCs w:val="32"/>
                <w:vertAlign w:val="baseline"/>
              </w:rPr>
            </w:pPr>
          </w:p>
        </w:tc>
        <w:tc>
          <w:tcPr>
            <w:tcW w:w="969" w:type="dxa"/>
            <w:vMerge w:val="continue"/>
            <w:vAlign w:val="center"/>
          </w:tcPr>
          <w:p w14:paraId="6AF5C858">
            <w:pPr>
              <w:jc w:val="center"/>
              <w:rPr>
                <w:rFonts w:hint="eastAsia"/>
                <w:sz w:val="24"/>
                <w:szCs w:val="32"/>
                <w:vertAlign w:val="baseline"/>
                <w:lang w:val="en-US" w:eastAsia="zh-CN"/>
              </w:rPr>
            </w:pPr>
          </w:p>
        </w:tc>
        <w:tc>
          <w:tcPr>
            <w:tcW w:w="561" w:type="dxa"/>
            <w:vMerge w:val="continue"/>
            <w:vAlign w:val="center"/>
          </w:tcPr>
          <w:p w14:paraId="4432E6C0">
            <w:pPr>
              <w:jc w:val="center"/>
              <w:rPr>
                <w:rFonts w:hint="eastAsia"/>
                <w:sz w:val="24"/>
                <w:szCs w:val="32"/>
                <w:vertAlign w:val="baseline"/>
                <w:lang w:val="en-US" w:eastAsia="zh-CN"/>
              </w:rPr>
            </w:pPr>
          </w:p>
        </w:tc>
        <w:tc>
          <w:tcPr>
            <w:tcW w:w="1982" w:type="dxa"/>
            <w:vMerge w:val="restart"/>
            <w:vAlign w:val="center"/>
          </w:tcPr>
          <w:p w14:paraId="357E5D63">
            <w:pPr>
              <w:jc w:val="center"/>
              <w:rPr>
                <w:rFonts w:hint="eastAsia"/>
                <w:sz w:val="24"/>
                <w:szCs w:val="32"/>
                <w:vertAlign w:val="baseline"/>
                <w:lang w:val="en-US" w:eastAsia="zh-CN"/>
              </w:rPr>
            </w:pPr>
            <w:r>
              <w:rPr>
                <w:rFonts w:hint="eastAsia"/>
                <w:sz w:val="24"/>
                <w:szCs w:val="32"/>
                <w:vertAlign w:val="baseline"/>
                <w:lang w:val="en-US" w:eastAsia="zh-CN"/>
              </w:rPr>
              <w:t>罐体外形尺寸</w:t>
            </w:r>
          </w:p>
        </w:tc>
        <w:tc>
          <w:tcPr>
            <w:tcW w:w="2257" w:type="dxa"/>
            <w:vAlign w:val="center"/>
          </w:tcPr>
          <w:p w14:paraId="42C34BD0">
            <w:pPr>
              <w:jc w:val="center"/>
              <w:rPr>
                <w:rFonts w:hint="eastAsia"/>
                <w:sz w:val="24"/>
                <w:szCs w:val="32"/>
                <w:vertAlign w:val="baseline"/>
                <w:lang w:val="en-US" w:eastAsia="zh-CN"/>
              </w:rPr>
            </w:pPr>
            <w:r>
              <w:rPr>
                <w:rFonts w:hint="eastAsia"/>
                <w:sz w:val="24"/>
                <w:szCs w:val="32"/>
                <w:vertAlign w:val="baseline"/>
                <w:lang w:val="en-US" w:eastAsia="zh-CN"/>
              </w:rPr>
              <w:t>长（mm）</w:t>
            </w:r>
          </w:p>
        </w:tc>
        <w:tc>
          <w:tcPr>
            <w:tcW w:w="5016" w:type="dxa"/>
            <w:vAlign w:val="center"/>
          </w:tcPr>
          <w:p w14:paraId="1BD0EB2A">
            <w:pPr>
              <w:jc w:val="center"/>
              <w:rPr>
                <w:rFonts w:hint="eastAsia"/>
                <w:sz w:val="24"/>
                <w:szCs w:val="32"/>
                <w:vertAlign w:val="baseline"/>
                <w:lang w:val="en-US" w:eastAsia="zh-CN"/>
              </w:rPr>
            </w:pPr>
            <w:r>
              <w:rPr>
                <w:rFonts w:hint="eastAsia"/>
                <w:sz w:val="24"/>
                <w:szCs w:val="32"/>
                <w:vertAlign w:val="baseline"/>
                <w:lang w:val="en-US" w:eastAsia="zh-CN"/>
              </w:rPr>
              <w:t>≥3000</w:t>
            </w:r>
          </w:p>
        </w:tc>
        <w:tc>
          <w:tcPr>
            <w:tcW w:w="1110" w:type="dxa"/>
            <w:vMerge w:val="continue"/>
            <w:vAlign w:val="center"/>
          </w:tcPr>
          <w:p w14:paraId="67E19A0D">
            <w:pPr>
              <w:jc w:val="center"/>
              <w:rPr>
                <w:sz w:val="24"/>
                <w:szCs w:val="32"/>
                <w:vertAlign w:val="baseline"/>
              </w:rPr>
            </w:pPr>
          </w:p>
        </w:tc>
        <w:tc>
          <w:tcPr>
            <w:tcW w:w="1095" w:type="dxa"/>
            <w:vMerge w:val="continue"/>
            <w:vAlign w:val="center"/>
          </w:tcPr>
          <w:p w14:paraId="79BAE2D2">
            <w:pPr>
              <w:jc w:val="center"/>
              <w:rPr>
                <w:sz w:val="24"/>
                <w:szCs w:val="32"/>
                <w:vertAlign w:val="baseline"/>
              </w:rPr>
            </w:pPr>
          </w:p>
        </w:tc>
      </w:tr>
      <w:tr w14:paraId="3521A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35CD179B">
            <w:pPr>
              <w:jc w:val="center"/>
              <w:rPr>
                <w:rFonts w:hint="eastAsia"/>
                <w:sz w:val="24"/>
                <w:szCs w:val="32"/>
                <w:vertAlign w:val="baseline"/>
              </w:rPr>
            </w:pPr>
          </w:p>
        </w:tc>
        <w:tc>
          <w:tcPr>
            <w:tcW w:w="969" w:type="dxa"/>
            <w:vMerge w:val="continue"/>
            <w:vAlign w:val="center"/>
          </w:tcPr>
          <w:p w14:paraId="0E9D9235">
            <w:pPr>
              <w:jc w:val="center"/>
              <w:rPr>
                <w:rFonts w:hint="eastAsia"/>
                <w:sz w:val="24"/>
                <w:szCs w:val="32"/>
                <w:vertAlign w:val="baseline"/>
                <w:lang w:val="en-US" w:eastAsia="zh-CN"/>
              </w:rPr>
            </w:pPr>
          </w:p>
        </w:tc>
        <w:tc>
          <w:tcPr>
            <w:tcW w:w="561" w:type="dxa"/>
            <w:vMerge w:val="continue"/>
            <w:vAlign w:val="center"/>
          </w:tcPr>
          <w:p w14:paraId="5E9DC14F">
            <w:pPr>
              <w:jc w:val="center"/>
              <w:rPr>
                <w:rFonts w:hint="eastAsia"/>
                <w:sz w:val="24"/>
                <w:szCs w:val="32"/>
                <w:vertAlign w:val="baseline"/>
                <w:lang w:val="en-US" w:eastAsia="zh-CN"/>
              </w:rPr>
            </w:pPr>
          </w:p>
        </w:tc>
        <w:tc>
          <w:tcPr>
            <w:tcW w:w="1982" w:type="dxa"/>
            <w:vMerge w:val="continue"/>
            <w:vAlign w:val="center"/>
          </w:tcPr>
          <w:p w14:paraId="1F57D120">
            <w:pPr>
              <w:jc w:val="center"/>
              <w:rPr>
                <w:rFonts w:hint="eastAsia"/>
                <w:sz w:val="24"/>
                <w:szCs w:val="32"/>
                <w:vertAlign w:val="baseline"/>
                <w:lang w:val="en-US" w:eastAsia="zh-CN"/>
              </w:rPr>
            </w:pPr>
          </w:p>
        </w:tc>
        <w:tc>
          <w:tcPr>
            <w:tcW w:w="2257" w:type="dxa"/>
            <w:vAlign w:val="center"/>
          </w:tcPr>
          <w:p w14:paraId="2081A00B">
            <w:pPr>
              <w:jc w:val="center"/>
              <w:rPr>
                <w:rFonts w:hint="eastAsia"/>
                <w:sz w:val="24"/>
                <w:szCs w:val="32"/>
                <w:vertAlign w:val="baseline"/>
                <w:lang w:val="en-US" w:eastAsia="zh-CN"/>
              </w:rPr>
            </w:pPr>
            <w:r>
              <w:rPr>
                <w:rFonts w:hint="eastAsia"/>
                <w:sz w:val="24"/>
                <w:szCs w:val="32"/>
                <w:vertAlign w:val="baseline"/>
                <w:lang w:val="en-US" w:eastAsia="zh-CN"/>
              </w:rPr>
              <w:t>直径（mm）</w:t>
            </w:r>
          </w:p>
        </w:tc>
        <w:tc>
          <w:tcPr>
            <w:tcW w:w="5016" w:type="dxa"/>
            <w:vAlign w:val="center"/>
          </w:tcPr>
          <w:p w14:paraId="1322877E">
            <w:pPr>
              <w:jc w:val="center"/>
              <w:rPr>
                <w:rFonts w:hint="eastAsia"/>
                <w:sz w:val="24"/>
                <w:szCs w:val="32"/>
                <w:vertAlign w:val="baseline"/>
                <w:lang w:val="en-US" w:eastAsia="zh-CN"/>
              </w:rPr>
            </w:pPr>
            <w:r>
              <w:rPr>
                <w:rFonts w:hint="eastAsia"/>
                <w:sz w:val="24"/>
                <w:szCs w:val="32"/>
                <w:vertAlign w:val="baseline"/>
                <w:lang w:val="en-US" w:eastAsia="zh-CN"/>
              </w:rPr>
              <w:t>≥1350</w:t>
            </w:r>
          </w:p>
        </w:tc>
        <w:tc>
          <w:tcPr>
            <w:tcW w:w="1110" w:type="dxa"/>
            <w:vMerge w:val="continue"/>
            <w:vAlign w:val="center"/>
          </w:tcPr>
          <w:p w14:paraId="0D240A5C">
            <w:pPr>
              <w:jc w:val="center"/>
              <w:rPr>
                <w:sz w:val="24"/>
                <w:szCs w:val="32"/>
                <w:vertAlign w:val="baseline"/>
              </w:rPr>
            </w:pPr>
          </w:p>
        </w:tc>
        <w:tc>
          <w:tcPr>
            <w:tcW w:w="1095" w:type="dxa"/>
            <w:vMerge w:val="continue"/>
            <w:vAlign w:val="center"/>
          </w:tcPr>
          <w:p w14:paraId="5914C490">
            <w:pPr>
              <w:jc w:val="center"/>
              <w:rPr>
                <w:sz w:val="24"/>
                <w:szCs w:val="32"/>
                <w:vertAlign w:val="baseline"/>
              </w:rPr>
            </w:pPr>
          </w:p>
        </w:tc>
      </w:tr>
      <w:tr w14:paraId="59D8E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1230" w:type="dxa"/>
            <w:vMerge w:val="continue"/>
            <w:vAlign w:val="center"/>
          </w:tcPr>
          <w:p w14:paraId="1EB963E8">
            <w:pPr>
              <w:jc w:val="center"/>
              <w:rPr>
                <w:rFonts w:hint="eastAsia"/>
                <w:sz w:val="24"/>
                <w:szCs w:val="32"/>
                <w:vertAlign w:val="baseline"/>
              </w:rPr>
            </w:pPr>
          </w:p>
        </w:tc>
        <w:tc>
          <w:tcPr>
            <w:tcW w:w="969" w:type="dxa"/>
            <w:vMerge w:val="continue"/>
            <w:vAlign w:val="center"/>
          </w:tcPr>
          <w:p w14:paraId="54585E69">
            <w:pPr>
              <w:jc w:val="center"/>
              <w:rPr>
                <w:rFonts w:hint="eastAsia"/>
                <w:sz w:val="24"/>
                <w:szCs w:val="32"/>
                <w:vertAlign w:val="baseline"/>
                <w:lang w:val="en-US" w:eastAsia="zh-CN"/>
              </w:rPr>
            </w:pPr>
          </w:p>
        </w:tc>
        <w:tc>
          <w:tcPr>
            <w:tcW w:w="561" w:type="dxa"/>
            <w:vMerge w:val="continue"/>
            <w:vAlign w:val="center"/>
          </w:tcPr>
          <w:p w14:paraId="79A77928">
            <w:pPr>
              <w:jc w:val="center"/>
              <w:rPr>
                <w:rFonts w:hint="eastAsia"/>
                <w:sz w:val="24"/>
                <w:szCs w:val="32"/>
                <w:vertAlign w:val="baseline"/>
                <w:lang w:val="en-US" w:eastAsia="zh-CN"/>
              </w:rPr>
            </w:pPr>
          </w:p>
        </w:tc>
        <w:tc>
          <w:tcPr>
            <w:tcW w:w="4239" w:type="dxa"/>
            <w:gridSpan w:val="2"/>
            <w:vAlign w:val="center"/>
          </w:tcPr>
          <w:p w14:paraId="43A1CFC0">
            <w:pPr>
              <w:jc w:val="center"/>
              <w:rPr>
                <w:rFonts w:hint="eastAsia"/>
                <w:sz w:val="24"/>
                <w:szCs w:val="32"/>
                <w:vertAlign w:val="baseline"/>
                <w:lang w:val="en-US" w:eastAsia="zh-CN"/>
              </w:rPr>
            </w:pPr>
            <w:r>
              <w:rPr>
                <w:rFonts w:hint="eastAsia"/>
                <w:sz w:val="24"/>
                <w:szCs w:val="32"/>
                <w:vertAlign w:val="baseline"/>
                <w:lang w:val="en-US" w:eastAsia="zh-CN"/>
              </w:rPr>
              <w:t>罐体有效容积（m³）</w:t>
            </w:r>
          </w:p>
        </w:tc>
        <w:tc>
          <w:tcPr>
            <w:tcW w:w="5016" w:type="dxa"/>
            <w:vAlign w:val="center"/>
          </w:tcPr>
          <w:p w14:paraId="1C985607">
            <w:pPr>
              <w:jc w:val="center"/>
              <w:rPr>
                <w:rFonts w:hint="eastAsia"/>
                <w:sz w:val="24"/>
                <w:szCs w:val="32"/>
                <w:vertAlign w:val="baseline"/>
                <w:lang w:val="en-US" w:eastAsia="zh-CN"/>
              </w:rPr>
            </w:pPr>
            <w:r>
              <w:rPr>
                <w:rFonts w:hint="eastAsia"/>
                <w:sz w:val="24"/>
                <w:szCs w:val="32"/>
                <w:vertAlign w:val="baseline"/>
                <w:lang w:val="en-US" w:eastAsia="zh-CN"/>
              </w:rPr>
              <w:t>≥3.5</w:t>
            </w:r>
          </w:p>
        </w:tc>
        <w:tc>
          <w:tcPr>
            <w:tcW w:w="1110" w:type="dxa"/>
            <w:vMerge w:val="continue"/>
            <w:vAlign w:val="center"/>
          </w:tcPr>
          <w:p w14:paraId="32D41A04">
            <w:pPr>
              <w:jc w:val="center"/>
              <w:rPr>
                <w:sz w:val="24"/>
                <w:szCs w:val="32"/>
                <w:vertAlign w:val="baseline"/>
              </w:rPr>
            </w:pPr>
          </w:p>
        </w:tc>
        <w:tc>
          <w:tcPr>
            <w:tcW w:w="1095" w:type="dxa"/>
            <w:vMerge w:val="continue"/>
            <w:vAlign w:val="center"/>
          </w:tcPr>
          <w:p w14:paraId="79C18824">
            <w:pPr>
              <w:jc w:val="center"/>
              <w:rPr>
                <w:sz w:val="24"/>
                <w:szCs w:val="32"/>
                <w:vertAlign w:val="baseline"/>
              </w:rPr>
            </w:pPr>
          </w:p>
        </w:tc>
      </w:tr>
      <w:tr w14:paraId="5083E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69BE6BF5">
            <w:pPr>
              <w:jc w:val="center"/>
              <w:rPr>
                <w:rFonts w:hint="eastAsia"/>
                <w:sz w:val="24"/>
                <w:szCs w:val="32"/>
                <w:vertAlign w:val="baseline"/>
              </w:rPr>
            </w:pPr>
          </w:p>
        </w:tc>
        <w:tc>
          <w:tcPr>
            <w:tcW w:w="969" w:type="dxa"/>
            <w:vMerge w:val="continue"/>
            <w:vAlign w:val="center"/>
          </w:tcPr>
          <w:p w14:paraId="1AFECA5D">
            <w:pPr>
              <w:jc w:val="center"/>
              <w:rPr>
                <w:rFonts w:hint="eastAsia"/>
                <w:sz w:val="24"/>
                <w:szCs w:val="32"/>
                <w:vertAlign w:val="baseline"/>
                <w:lang w:val="en-US" w:eastAsia="zh-CN"/>
              </w:rPr>
            </w:pPr>
          </w:p>
        </w:tc>
        <w:tc>
          <w:tcPr>
            <w:tcW w:w="561" w:type="dxa"/>
            <w:vMerge w:val="continue"/>
            <w:vAlign w:val="center"/>
          </w:tcPr>
          <w:p w14:paraId="5052F768">
            <w:pPr>
              <w:jc w:val="center"/>
              <w:rPr>
                <w:rFonts w:hint="eastAsia"/>
                <w:sz w:val="24"/>
                <w:szCs w:val="32"/>
                <w:vertAlign w:val="baseline"/>
                <w:lang w:val="en-US" w:eastAsia="zh-CN"/>
              </w:rPr>
            </w:pPr>
          </w:p>
        </w:tc>
        <w:tc>
          <w:tcPr>
            <w:tcW w:w="9255" w:type="dxa"/>
            <w:gridSpan w:val="3"/>
            <w:vAlign w:val="center"/>
          </w:tcPr>
          <w:p w14:paraId="68CA6A4A">
            <w:pPr>
              <w:jc w:val="center"/>
              <w:rPr>
                <w:sz w:val="24"/>
                <w:szCs w:val="32"/>
                <w:vertAlign w:val="baseline"/>
              </w:rPr>
            </w:pPr>
            <w:r>
              <w:rPr>
                <w:rFonts w:hint="eastAsia"/>
                <w:b/>
                <w:bCs/>
                <w:sz w:val="24"/>
                <w:szCs w:val="32"/>
                <w:vertAlign w:val="baseline"/>
                <w:lang w:val="en-US" w:eastAsia="zh-CN"/>
              </w:rPr>
              <w:t>二、主要功能要求</w:t>
            </w:r>
          </w:p>
        </w:tc>
        <w:tc>
          <w:tcPr>
            <w:tcW w:w="1110" w:type="dxa"/>
            <w:vMerge w:val="continue"/>
            <w:vAlign w:val="center"/>
          </w:tcPr>
          <w:p w14:paraId="0D526AD0">
            <w:pPr>
              <w:jc w:val="center"/>
              <w:rPr>
                <w:sz w:val="24"/>
                <w:szCs w:val="32"/>
                <w:vertAlign w:val="baseline"/>
              </w:rPr>
            </w:pPr>
          </w:p>
        </w:tc>
        <w:tc>
          <w:tcPr>
            <w:tcW w:w="1095" w:type="dxa"/>
            <w:vMerge w:val="continue"/>
            <w:vAlign w:val="center"/>
          </w:tcPr>
          <w:p w14:paraId="4EBACA5F">
            <w:pPr>
              <w:jc w:val="center"/>
              <w:rPr>
                <w:sz w:val="24"/>
                <w:szCs w:val="32"/>
                <w:vertAlign w:val="baseline"/>
              </w:rPr>
            </w:pPr>
          </w:p>
        </w:tc>
      </w:tr>
      <w:tr w14:paraId="361E8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7" w:hRule="atLeast"/>
          <w:jc w:val="center"/>
        </w:trPr>
        <w:tc>
          <w:tcPr>
            <w:tcW w:w="1230" w:type="dxa"/>
            <w:vMerge w:val="continue"/>
            <w:vAlign w:val="center"/>
          </w:tcPr>
          <w:p w14:paraId="0C2180BA">
            <w:pPr>
              <w:jc w:val="center"/>
              <w:rPr>
                <w:rFonts w:hint="eastAsia"/>
                <w:sz w:val="24"/>
                <w:szCs w:val="32"/>
                <w:vertAlign w:val="baseline"/>
              </w:rPr>
            </w:pPr>
          </w:p>
        </w:tc>
        <w:tc>
          <w:tcPr>
            <w:tcW w:w="969" w:type="dxa"/>
            <w:vMerge w:val="continue"/>
            <w:vAlign w:val="center"/>
          </w:tcPr>
          <w:p w14:paraId="39ECCF83">
            <w:pPr>
              <w:jc w:val="center"/>
              <w:rPr>
                <w:rFonts w:hint="eastAsia"/>
                <w:sz w:val="24"/>
                <w:szCs w:val="32"/>
                <w:vertAlign w:val="baseline"/>
                <w:lang w:val="en-US" w:eastAsia="zh-CN"/>
              </w:rPr>
            </w:pPr>
          </w:p>
        </w:tc>
        <w:tc>
          <w:tcPr>
            <w:tcW w:w="561" w:type="dxa"/>
            <w:vMerge w:val="continue"/>
            <w:vAlign w:val="center"/>
          </w:tcPr>
          <w:p w14:paraId="7A36E40F">
            <w:pPr>
              <w:jc w:val="center"/>
              <w:rPr>
                <w:rFonts w:hint="eastAsia"/>
                <w:sz w:val="24"/>
                <w:szCs w:val="32"/>
                <w:vertAlign w:val="baseline"/>
                <w:lang w:val="en-US" w:eastAsia="zh-CN"/>
              </w:rPr>
            </w:pPr>
          </w:p>
        </w:tc>
        <w:tc>
          <w:tcPr>
            <w:tcW w:w="9255" w:type="dxa"/>
            <w:gridSpan w:val="3"/>
            <w:vAlign w:val="center"/>
          </w:tcPr>
          <w:p w14:paraId="592B199E">
            <w:pPr>
              <w:jc w:val="both"/>
              <w:rPr>
                <w:rFonts w:hint="eastAsia"/>
                <w:sz w:val="24"/>
                <w:szCs w:val="32"/>
                <w:vertAlign w:val="baseline"/>
                <w:lang w:val="en-US" w:eastAsia="zh-CN"/>
              </w:rPr>
            </w:pPr>
            <w:r>
              <w:rPr>
                <w:rFonts w:hint="eastAsia"/>
                <w:sz w:val="24"/>
                <w:szCs w:val="32"/>
                <w:vertAlign w:val="baseline"/>
                <w:lang w:val="en-US" w:eastAsia="zh-CN"/>
              </w:rPr>
              <w:t>1、真空泵：体积小巧、质量轻、真空度高、流量大、吸污能力强。</w:t>
            </w:r>
          </w:p>
          <w:p w14:paraId="6582B6FC">
            <w:pPr>
              <w:jc w:val="both"/>
              <w:rPr>
                <w:rFonts w:hint="eastAsia"/>
                <w:sz w:val="24"/>
                <w:szCs w:val="32"/>
                <w:vertAlign w:val="baseline"/>
                <w:lang w:val="en-US" w:eastAsia="zh-CN"/>
              </w:rPr>
            </w:pPr>
            <w:r>
              <w:rPr>
                <w:rFonts w:hint="eastAsia"/>
                <w:sz w:val="24"/>
                <w:szCs w:val="32"/>
                <w:vertAlign w:val="baseline"/>
                <w:lang w:val="en-US" w:eastAsia="zh-CN"/>
              </w:rPr>
              <w:t>2、配置三重保护装置：三重保护系统可有效防止漫灌，罐体顶部装有防溢阀，防溢流探杆，液满报警装置，可有效保护真空泵安全。</w:t>
            </w:r>
          </w:p>
          <w:p w14:paraId="62B2D3A9">
            <w:pPr>
              <w:jc w:val="both"/>
              <w:rPr>
                <w:rFonts w:hint="eastAsia"/>
                <w:sz w:val="24"/>
                <w:szCs w:val="32"/>
                <w:vertAlign w:val="baseline"/>
                <w:lang w:val="en-US" w:eastAsia="zh-CN"/>
              </w:rPr>
            </w:pPr>
            <w:r>
              <w:rPr>
                <w:rFonts w:hint="eastAsia"/>
                <w:sz w:val="24"/>
                <w:szCs w:val="32"/>
                <w:vertAlign w:val="baseline"/>
                <w:lang w:val="en-US" w:eastAsia="zh-CN"/>
              </w:rPr>
              <w:t>3、取力器：转化效率高、功率损耗小、噪音小等。</w:t>
            </w:r>
          </w:p>
          <w:p w14:paraId="016EECBD">
            <w:pPr>
              <w:jc w:val="both"/>
              <w:rPr>
                <w:rFonts w:hint="eastAsia"/>
                <w:sz w:val="24"/>
                <w:szCs w:val="32"/>
                <w:vertAlign w:val="baseline"/>
                <w:lang w:val="en-US" w:eastAsia="zh-CN"/>
              </w:rPr>
            </w:pPr>
            <w:r>
              <w:rPr>
                <w:rFonts w:hint="eastAsia"/>
                <w:sz w:val="24"/>
                <w:szCs w:val="32"/>
                <w:vertAlign w:val="baseline"/>
                <w:lang w:val="en-US" w:eastAsia="zh-CN"/>
              </w:rPr>
              <w:t>4、设计合理化、自动化、人性化：操作灵活方便；污泥罐体容量大，吸程高、吸粪、吸污能力强等。</w:t>
            </w:r>
          </w:p>
          <w:p w14:paraId="25895AA9">
            <w:pPr>
              <w:jc w:val="both"/>
              <w:rPr>
                <w:rFonts w:hint="eastAsia"/>
                <w:b w:val="0"/>
                <w:bCs w:val="0"/>
                <w:sz w:val="24"/>
                <w:szCs w:val="32"/>
                <w:vertAlign w:val="baseline"/>
              </w:rPr>
            </w:pPr>
            <w:r>
              <w:rPr>
                <w:rFonts w:hint="eastAsia"/>
                <w:sz w:val="24"/>
                <w:szCs w:val="32"/>
                <w:vertAlign w:val="baseline"/>
                <w:lang w:val="en-US" w:eastAsia="zh-CN"/>
              </w:rPr>
              <w:t>5、罐体采用优质碳钢，宝钢、鞍钢、罐体加厚，中间带隔板，增加罐体使用寿命。</w:t>
            </w:r>
          </w:p>
        </w:tc>
        <w:tc>
          <w:tcPr>
            <w:tcW w:w="1110" w:type="dxa"/>
            <w:vMerge w:val="continue"/>
            <w:vAlign w:val="center"/>
          </w:tcPr>
          <w:p w14:paraId="7E00427D">
            <w:pPr>
              <w:jc w:val="center"/>
              <w:rPr>
                <w:sz w:val="24"/>
                <w:szCs w:val="32"/>
                <w:vertAlign w:val="baseline"/>
              </w:rPr>
            </w:pPr>
          </w:p>
        </w:tc>
        <w:tc>
          <w:tcPr>
            <w:tcW w:w="1095" w:type="dxa"/>
            <w:vMerge w:val="continue"/>
            <w:vAlign w:val="center"/>
          </w:tcPr>
          <w:p w14:paraId="7B1BD339">
            <w:pPr>
              <w:jc w:val="center"/>
              <w:rPr>
                <w:sz w:val="24"/>
                <w:szCs w:val="32"/>
                <w:vertAlign w:val="baseline"/>
              </w:rPr>
            </w:pPr>
          </w:p>
        </w:tc>
      </w:tr>
      <w:tr w14:paraId="79D27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restart"/>
            <w:vAlign w:val="center"/>
          </w:tcPr>
          <w:p w14:paraId="5EC1070A">
            <w:pPr>
              <w:jc w:val="center"/>
              <w:rPr>
                <w:sz w:val="24"/>
                <w:szCs w:val="32"/>
                <w:vertAlign w:val="baseline"/>
              </w:rPr>
            </w:pPr>
            <w:r>
              <w:rPr>
                <w:rFonts w:hint="eastAsia"/>
                <w:sz w:val="24"/>
                <w:szCs w:val="32"/>
                <w:vertAlign w:val="baseline"/>
              </w:rPr>
              <w:t>5吨纯电动压缩式垃圾车</w:t>
            </w:r>
          </w:p>
        </w:tc>
        <w:tc>
          <w:tcPr>
            <w:tcW w:w="969" w:type="dxa"/>
            <w:vMerge w:val="restart"/>
            <w:vAlign w:val="center"/>
          </w:tcPr>
          <w:p w14:paraId="644DEF2A">
            <w:pPr>
              <w:jc w:val="center"/>
              <w:rPr>
                <w:rFonts w:hint="default" w:eastAsiaTheme="minorEastAsia"/>
                <w:sz w:val="24"/>
                <w:szCs w:val="32"/>
                <w:vertAlign w:val="baseline"/>
                <w:lang w:val="en-US" w:eastAsia="zh-CN"/>
              </w:rPr>
            </w:pPr>
            <w:r>
              <w:rPr>
                <w:rFonts w:hint="eastAsia"/>
                <w:sz w:val="24"/>
                <w:szCs w:val="32"/>
                <w:vertAlign w:val="baseline"/>
                <w:lang w:val="en-US" w:eastAsia="zh-CN"/>
              </w:rPr>
              <w:t>1</w:t>
            </w:r>
          </w:p>
        </w:tc>
        <w:tc>
          <w:tcPr>
            <w:tcW w:w="561" w:type="dxa"/>
            <w:vMerge w:val="restart"/>
            <w:vAlign w:val="center"/>
          </w:tcPr>
          <w:p w14:paraId="73989CBD">
            <w:pPr>
              <w:jc w:val="center"/>
              <w:rPr>
                <w:sz w:val="24"/>
                <w:szCs w:val="32"/>
                <w:vertAlign w:val="baseline"/>
              </w:rPr>
            </w:pPr>
            <w:r>
              <w:rPr>
                <w:rFonts w:hint="eastAsia"/>
                <w:sz w:val="24"/>
                <w:szCs w:val="32"/>
                <w:vertAlign w:val="baseline"/>
                <w:lang w:val="en-US" w:eastAsia="zh-CN"/>
              </w:rPr>
              <w:t>辆</w:t>
            </w:r>
          </w:p>
        </w:tc>
        <w:tc>
          <w:tcPr>
            <w:tcW w:w="9255" w:type="dxa"/>
            <w:gridSpan w:val="3"/>
            <w:vAlign w:val="center"/>
          </w:tcPr>
          <w:p w14:paraId="4F75D128">
            <w:pPr>
              <w:jc w:val="center"/>
              <w:rPr>
                <w:sz w:val="24"/>
                <w:szCs w:val="32"/>
                <w:vertAlign w:val="baseline"/>
              </w:rPr>
            </w:pPr>
            <w:r>
              <w:rPr>
                <w:rFonts w:hint="eastAsia"/>
                <w:b/>
                <w:bCs/>
                <w:sz w:val="24"/>
                <w:szCs w:val="32"/>
                <w:vertAlign w:val="baseline"/>
                <w:lang w:val="en-US" w:eastAsia="zh-CN"/>
              </w:rPr>
              <w:t>一、主要参数要求</w:t>
            </w:r>
          </w:p>
        </w:tc>
        <w:tc>
          <w:tcPr>
            <w:tcW w:w="1110" w:type="dxa"/>
            <w:vMerge w:val="restart"/>
            <w:vAlign w:val="center"/>
          </w:tcPr>
          <w:p w14:paraId="3E67EC2D">
            <w:pPr>
              <w:jc w:val="center"/>
              <w:rPr>
                <w:rFonts w:hint="default" w:eastAsiaTheme="minorEastAsia"/>
                <w:sz w:val="24"/>
                <w:szCs w:val="32"/>
                <w:vertAlign w:val="baseline"/>
                <w:lang w:val="en-US" w:eastAsia="zh-CN"/>
              </w:rPr>
            </w:pPr>
          </w:p>
        </w:tc>
        <w:tc>
          <w:tcPr>
            <w:tcW w:w="1095" w:type="dxa"/>
            <w:vMerge w:val="restart"/>
            <w:vAlign w:val="center"/>
          </w:tcPr>
          <w:p w14:paraId="735F04E7">
            <w:pPr>
              <w:jc w:val="center"/>
              <w:rPr>
                <w:rFonts w:hint="default" w:eastAsiaTheme="minorEastAsia"/>
                <w:sz w:val="24"/>
                <w:szCs w:val="32"/>
                <w:vertAlign w:val="baseline"/>
                <w:lang w:val="en-US" w:eastAsia="zh-CN"/>
              </w:rPr>
            </w:pPr>
          </w:p>
        </w:tc>
      </w:tr>
      <w:tr w14:paraId="26549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3CCAB7E1">
            <w:pPr>
              <w:jc w:val="center"/>
              <w:rPr>
                <w:rFonts w:hint="eastAsia"/>
                <w:sz w:val="24"/>
                <w:szCs w:val="32"/>
                <w:vertAlign w:val="baseline"/>
              </w:rPr>
            </w:pPr>
          </w:p>
        </w:tc>
        <w:tc>
          <w:tcPr>
            <w:tcW w:w="969" w:type="dxa"/>
            <w:vMerge w:val="continue"/>
            <w:vAlign w:val="center"/>
          </w:tcPr>
          <w:p w14:paraId="7B2D6C14">
            <w:pPr>
              <w:jc w:val="center"/>
              <w:rPr>
                <w:rFonts w:hint="eastAsia"/>
                <w:sz w:val="24"/>
                <w:szCs w:val="32"/>
                <w:vertAlign w:val="baseline"/>
                <w:lang w:val="en-US" w:eastAsia="zh-CN"/>
              </w:rPr>
            </w:pPr>
          </w:p>
        </w:tc>
        <w:tc>
          <w:tcPr>
            <w:tcW w:w="561" w:type="dxa"/>
            <w:vMerge w:val="continue"/>
            <w:vAlign w:val="center"/>
          </w:tcPr>
          <w:p w14:paraId="37D88E14">
            <w:pPr>
              <w:jc w:val="center"/>
              <w:rPr>
                <w:rFonts w:hint="eastAsia"/>
                <w:sz w:val="24"/>
                <w:szCs w:val="32"/>
                <w:vertAlign w:val="baseline"/>
                <w:lang w:val="en-US" w:eastAsia="zh-CN"/>
              </w:rPr>
            </w:pPr>
          </w:p>
        </w:tc>
        <w:tc>
          <w:tcPr>
            <w:tcW w:w="4239" w:type="dxa"/>
            <w:gridSpan w:val="2"/>
            <w:vAlign w:val="center"/>
          </w:tcPr>
          <w:p w14:paraId="1F94A89F">
            <w:pPr>
              <w:jc w:val="center"/>
              <w:rPr>
                <w:rFonts w:hint="eastAsia"/>
                <w:sz w:val="24"/>
                <w:szCs w:val="32"/>
                <w:vertAlign w:val="baseline"/>
                <w:lang w:val="zh-CN" w:eastAsia="zh-CN"/>
              </w:rPr>
            </w:pPr>
            <w:r>
              <w:rPr>
                <w:rFonts w:hint="eastAsia"/>
                <w:sz w:val="24"/>
                <w:szCs w:val="32"/>
                <w:vertAlign w:val="baseline"/>
                <w:lang w:val="en-US" w:eastAsia="en-US"/>
              </w:rPr>
              <w:t>底盘型号</w:t>
            </w:r>
          </w:p>
        </w:tc>
        <w:tc>
          <w:tcPr>
            <w:tcW w:w="5016" w:type="dxa"/>
            <w:vAlign w:val="center"/>
          </w:tcPr>
          <w:p w14:paraId="610266E3">
            <w:pPr>
              <w:jc w:val="center"/>
              <w:rPr>
                <w:rFonts w:hint="eastAsia"/>
                <w:sz w:val="24"/>
                <w:szCs w:val="32"/>
                <w:highlight w:val="yellow"/>
                <w:vertAlign w:val="baseline"/>
                <w:lang w:val="zh-CN" w:eastAsia="zh-CN"/>
              </w:rPr>
            </w:pPr>
            <w:r>
              <w:rPr>
                <w:rFonts w:hint="eastAsia"/>
                <w:sz w:val="24"/>
                <w:szCs w:val="32"/>
                <w:highlight w:val="none"/>
                <w:vertAlign w:val="baseline"/>
                <w:lang w:val="en-US" w:eastAsia="zh-CN"/>
              </w:rPr>
              <w:t>同等或优于二类纯电动底盘</w:t>
            </w:r>
          </w:p>
        </w:tc>
        <w:tc>
          <w:tcPr>
            <w:tcW w:w="1110" w:type="dxa"/>
            <w:vMerge w:val="continue"/>
            <w:vAlign w:val="center"/>
          </w:tcPr>
          <w:p w14:paraId="79FD756E">
            <w:pPr>
              <w:jc w:val="center"/>
              <w:rPr>
                <w:rFonts w:hint="eastAsia"/>
                <w:sz w:val="24"/>
                <w:szCs w:val="32"/>
                <w:vertAlign w:val="baseline"/>
                <w:lang w:val="en-US" w:eastAsia="zh-CN"/>
              </w:rPr>
            </w:pPr>
          </w:p>
        </w:tc>
        <w:tc>
          <w:tcPr>
            <w:tcW w:w="1095" w:type="dxa"/>
            <w:vMerge w:val="continue"/>
            <w:vAlign w:val="center"/>
          </w:tcPr>
          <w:p w14:paraId="4BEDB1A2">
            <w:pPr>
              <w:jc w:val="center"/>
              <w:rPr>
                <w:rFonts w:hint="eastAsia"/>
                <w:sz w:val="24"/>
                <w:szCs w:val="32"/>
                <w:vertAlign w:val="baseline"/>
                <w:lang w:val="en-US" w:eastAsia="zh-CN"/>
              </w:rPr>
            </w:pPr>
          </w:p>
        </w:tc>
      </w:tr>
      <w:tr w14:paraId="0DD24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6380C672">
            <w:pPr>
              <w:jc w:val="center"/>
              <w:rPr>
                <w:rFonts w:hint="eastAsia"/>
                <w:sz w:val="24"/>
                <w:szCs w:val="32"/>
                <w:vertAlign w:val="baseline"/>
              </w:rPr>
            </w:pPr>
          </w:p>
        </w:tc>
        <w:tc>
          <w:tcPr>
            <w:tcW w:w="969" w:type="dxa"/>
            <w:vMerge w:val="continue"/>
            <w:vAlign w:val="center"/>
          </w:tcPr>
          <w:p w14:paraId="425155EE">
            <w:pPr>
              <w:jc w:val="center"/>
              <w:rPr>
                <w:rFonts w:hint="eastAsia"/>
                <w:sz w:val="24"/>
                <w:szCs w:val="32"/>
                <w:vertAlign w:val="baseline"/>
                <w:lang w:val="en-US" w:eastAsia="zh-CN"/>
              </w:rPr>
            </w:pPr>
          </w:p>
        </w:tc>
        <w:tc>
          <w:tcPr>
            <w:tcW w:w="561" w:type="dxa"/>
            <w:vMerge w:val="continue"/>
            <w:vAlign w:val="center"/>
          </w:tcPr>
          <w:p w14:paraId="7011F921">
            <w:pPr>
              <w:jc w:val="center"/>
              <w:rPr>
                <w:rFonts w:hint="eastAsia"/>
                <w:sz w:val="24"/>
                <w:szCs w:val="32"/>
                <w:vertAlign w:val="baseline"/>
                <w:lang w:val="en-US" w:eastAsia="zh-CN"/>
              </w:rPr>
            </w:pPr>
          </w:p>
        </w:tc>
        <w:tc>
          <w:tcPr>
            <w:tcW w:w="4239" w:type="dxa"/>
            <w:gridSpan w:val="2"/>
            <w:vAlign w:val="center"/>
          </w:tcPr>
          <w:p w14:paraId="7775E99A">
            <w:pPr>
              <w:jc w:val="center"/>
              <w:rPr>
                <w:rFonts w:hint="eastAsia"/>
                <w:sz w:val="24"/>
                <w:szCs w:val="32"/>
                <w:vertAlign w:val="baseline"/>
                <w:lang w:val="zh-CN" w:eastAsia="zh-CN"/>
              </w:rPr>
            </w:pPr>
            <w:r>
              <w:rPr>
                <w:rFonts w:hint="eastAsia"/>
                <w:sz w:val="24"/>
                <w:szCs w:val="32"/>
                <w:vertAlign w:val="baseline"/>
                <w:lang w:val="en-US" w:eastAsia="en-US"/>
              </w:rPr>
              <w:t>峰值功率（kw）</w:t>
            </w:r>
          </w:p>
        </w:tc>
        <w:tc>
          <w:tcPr>
            <w:tcW w:w="5016" w:type="dxa"/>
            <w:vAlign w:val="center"/>
          </w:tcPr>
          <w:p w14:paraId="262F7BCF">
            <w:pPr>
              <w:jc w:val="center"/>
              <w:rPr>
                <w:rFonts w:hint="eastAsia"/>
                <w:sz w:val="24"/>
                <w:szCs w:val="32"/>
                <w:vertAlign w:val="baseline"/>
                <w:lang w:val="zh-CN" w:eastAsia="zh-CN"/>
              </w:rPr>
            </w:pPr>
            <w:r>
              <w:rPr>
                <w:rFonts w:hint="eastAsia"/>
                <w:sz w:val="24"/>
                <w:szCs w:val="32"/>
                <w:vertAlign w:val="baseline"/>
                <w:lang w:val="en-US" w:eastAsia="en-US"/>
              </w:rPr>
              <w:t>≥160</w:t>
            </w:r>
          </w:p>
        </w:tc>
        <w:tc>
          <w:tcPr>
            <w:tcW w:w="1110" w:type="dxa"/>
            <w:vMerge w:val="continue"/>
            <w:vAlign w:val="center"/>
          </w:tcPr>
          <w:p w14:paraId="72348A56">
            <w:pPr>
              <w:jc w:val="center"/>
              <w:rPr>
                <w:rFonts w:hint="eastAsia"/>
                <w:sz w:val="24"/>
                <w:szCs w:val="32"/>
                <w:vertAlign w:val="baseline"/>
                <w:lang w:val="en-US" w:eastAsia="zh-CN"/>
              </w:rPr>
            </w:pPr>
          </w:p>
        </w:tc>
        <w:tc>
          <w:tcPr>
            <w:tcW w:w="1095" w:type="dxa"/>
            <w:vMerge w:val="continue"/>
            <w:vAlign w:val="center"/>
          </w:tcPr>
          <w:p w14:paraId="1DF432C8">
            <w:pPr>
              <w:jc w:val="center"/>
              <w:rPr>
                <w:rFonts w:hint="eastAsia"/>
                <w:sz w:val="24"/>
                <w:szCs w:val="32"/>
                <w:vertAlign w:val="baseline"/>
                <w:lang w:val="en-US" w:eastAsia="zh-CN"/>
              </w:rPr>
            </w:pPr>
          </w:p>
        </w:tc>
      </w:tr>
      <w:tr w14:paraId="2DD40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55F2D843">
            <w:pPr>
              <w:jc w:val="center"/>
              <w:rPr>
                <w:rFonts w:hint="eastAsia"/>
                <w:sz w:val="24"/>
                <w:szCs w:val="32"/>
                <w:vertAlign w:val="baseline"/>
              </w:rPr>
            </w:pPr>
          </w:p>
        </w:tc>
        <w:tc>
          <w:tcPr>
            <w:tcW w:w="969" w:type="dxa"/>
            <w:vMerge w:val="continue"/>
            <w:vAlign w:val="center"/>
          </w:tcPr>
          <w:p w14:paraId="1275A07A">
            <w:pPr>
              <w:jc w:val="center"/>
              <w:rPr>
                <w:rFonts w:hint="eastAsia"/>
                <w:sz w:val="24"/>
                <w:szCs w:val="32"/>
                <w:vertAlign w:val="baseline"/>
                <w:lang w:val="en-US" w:eastAsia="zh-CN"/>
              </w:rPr>
            </w:pPr>
          </w:p>
        </w:tc>
        <w:tc>
          <w:tcPr>
            <w:tcW w:w="561" w:type="dxa"/>
            <w:vMerge w:val="continue"/>
            <w:vAlign w:val="center"/>
          </w:tcPr>
          <w:p w14:paraId="2EEB61A7">
            <w:pPr>
              <w:jc w:val="center"/>
              <w:rPr>
                <w:rFonts w:hint="eastAsia"/>
                <w:sz w:val="24"/>
                <w:szCs w:val="32"/>
                <w:vertAlign w:val="baseline"/>
                <w:lang w:val="en-US" w:eastAsia="zh-CN"/>
              </w:rPr>
            </w:pPr>
          </w:p>
        </w:tc>
        <w:tc>
          <w:tcPr>
            <w:tcW w:w="4239" w:type="dxa"/>
            <w:gridSpan w:val="2"/>
            <w:vAlign w:val="center"/>
          </w:tcPr>
          <w:p w14:paraId="5F8A013C">
            <w:pPr>
              <w:jc w:val="center"/>
              <w:rPr>
                <w:rFonts w:hint="eastAsia"/>
                <w:sz w:val="24"/>
                <w:szCs w:val="32"/>
                <w:vertAlign w:val="baseline"/>
                <w:lang w:val="zh-CN" w:eastAsia="zh-CN"/>
              </w:rPr>
            </w:pPr>
            <w:r>
              <w:rPr>
                <w:rFonts w:hint="eastAsia"/>
                <w:sz w:val="24"/>
                <w:szCs w:val="32"/>
                <w:vertAlign w:val="baseline"/>
                <w:lang w:val="en-US" w:eastAsia="en-US"/>
              </w:rPr>
              <w:t>电池种类</w:t>
            </w:r>
          </w:p>
        </w:tc>
        <w:tc>
          <w:tcPr>
            <w:tcW w:w="5016" w:type="dxa"/>
            <w:vAlign w:val="center"/>
          </w:tcPr>
          <w:p w14:paraId="533A430E">
            <w:pPr>
              <w:jc w:val="center"/>
              <w:rPr>
                <w:rFonts w:hint="eastAsia"/>
                <w:sz w:val="24"/>
                <w:szCs w:val="32"/>
                <w:highlight w:val="yellow"/>
                <w:vertAlign w:val="baseline"/>
                <w:lang w:val="zh-CN" w:eastAsia="zh-CN"/>
              </w:rPr>
            </w:pPr>
            <w:r>
              <w:rPr>
                <w:rFonts w:hint="eastAsia"/>
                <w:sz w:val="24"/>
                <w:szCs w:val="32"/>
                <w:highlight w:val="none"/>
                <w:vertAlign w:val="baseline"/>
                <w:lang w:val="en-US" w:eastAsia="zh-CN"/>
              </w:rPr>
              <w:t>磷酸铁锂电池</w:t>
            </w:r>
          </w:p>
        </w:tc>
        <w:tc>
          <w:tcPr>
            <w:tcW w:w="1110" w:type="dxa"/>
            <w:vMerge w:val="continue"/>
            <w:vAlign w:val="center"/>
          </w:tcPr>
          <w:p w14:paraId="1EA0F2B6">
            <w:pPr>
              <w:jc w:val="center"/>
              <w:rPr>
                <w:rFonts w:hint="eastAsia"/>
                <w:sz w:val="24"/>
                <w:szCs w:val="32"/>
                <w:vertAlign w:val="baseline"/>
                <w:lang w:val="en-US" w:eastAsia="zh-CN"/>
              </w:rPr>
            </w:pPr>
          </w:p>
        </w:tc>
        <w:tc>
          <w:tcPr>
            <w:tcW w:w="1095" w:type="dxa"/>
            <w:vMerge w:val="continue"/>
            <w:vAlign w:val="center"/>
          </w:tcPr>
          <w:p w14:paraId="109F3FA2">
            <w:pPr>
              <w:jc w:val="center"/>
              <w:rPr>
                <w:rFonts w:hint="eastAsia"/>
                <w:sz w:val="24"/>
                <w:szCs w:val="32"/>
                <w:vertAlign w:val="baseline"/>
                <w:lang w:val="en-US" w:eastAsia="zh-CN"/>
              </w:rPr>
            </w:pPr>
          </w:p>
        </w:tc>
      </w:tr>
      <w:tr w14:paraId="42592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67F65B2B">
            <w:pPr>
              <w:jc w:val="center"/>
              <w:rPr>
                <w:rFonts w:hint="eastAsia"/>
                <w:sz w:val="24"/>
                <w:szCs w:val="32"/>
                <w:vertAlign w:val="baseline"/>
              </w:rPr>
            </w:pPr>
          </w:p>
        </w:tc>
        <w:tc>
          <w:tcPr>
            <w:tcW w:w="969" w:type="dxa"/>
            <w:vMerge w:val="continue"/>
            <w:vAlign w:val="center"/>
          </w:tcPr>
          <w:p w14:paraId="13E20CE6">
            <w:pPr>
              <w:jc w:val="center"/>
              <w:rPr>
                <w:rFonts w:hint="eastAsia"/>
                <w:sz w:val="24"/>
                <w:szCs w:val="32"/>
                <w:vertAlign w:val="baseline"/>
                <w:lang w:val="en-US" w:eastAsia="zh-CN"/>
              </w:rPr>
            </w:pPr>
          </w:p>
        </w:tc>
        <w:tc>
          <w:tcPr>
            <w:tcW w:w="561" w:type="dxa"/>
            <w:vMerge w:val="continue"/>
            <w:vAlign w:val="center"/>
          </w:tcPr>
          <w:p w14:paraId="49E62628">
            <w:pPr>
              <w:jc w:val="center"/>
              <w:rPr>
                <w:rFonts w:hint="eastAsia"/>
                <w:sz w:val="24"/>
                <w:szCs w:val="32"/>
                <w:vertAlign w:val="baseline"/>
                <w:lang w:val="en-US" w:eastAsia="zh-CN"/>
              </w:rPr>
            </w:pPr>
          </w:p>
        </w:tc>
        <w:tc>
          <w:tcPr>
            <w:tcW w:w="4239" w:type="dxa"/>
            <w:gridSpan w:val="2"/>
            <w:vAlign w:val="center"/>
          </w:tcPr>
          <w:p w14:paraId="29FD9D53">
            <w:pPr>
              <w:jc w:val="center"/>
              <w:rPr>
                <w:rFonts w:hint="eastAsia"/>
                <w:sz w:val="24"/>
                <w:szCs w:val="32"/>
                <w:vertAlign w:val="baseline"/>
                <w:lang w:val="zh-CN" w:eastAsia="zh-CN"/>
              </w:rPr>
            </w:pPr>
            <w:r>
              <w:rPr>
                <w:rFonts w:hint="eastAsia"/>
                <w:sz w:val="24"/>
                <w:szCs w:val="32"/>
                <w:vertAlign w:val="baseline"/>
                <w:lang w:val="en-US" w:eastAsia="zh-CN"/>
              </w:rPr>
              <w:t>储能装置总储电量（kWh）</w:t>
            </w:r>
          </w:p>
        </w:tc>
        <w:tc>
          <w:tcPr>
            <w:tcW w:w="5016" w:type="dxa"/>
            <w:vAlign w:val="center"/>
          </w:tcPr>
          <w:p w14:paraId="7E82F1AA">
            <w:pPr>
              <w:jc w:val="center"/>
              <w:rPr>
                <w:rFonts w:hint="default" w:eastAsiaTheme="minorEastAsia"/>
                <w:sz w:val="24"/>
                <w:szCs w:val="32"/>
                <w:vertAlign w:val="baseline"/>
                <w:lang w:val="en-US" w:eastAsia="zh-CN"/>
              </w:rPr>
            </w:pPr>
            <w:r>
              <w:rPr>
                <w:rFonts w:hint="eastAsia"/>
                <w:sz w:val="24"/>
                <w:szCs w:val="32"/>
                <w:vertAlign w:val="baseline"/>
                <w:lang w:val="en-US" w:eastAsia="en-US"/>
              </w:rPr>
              <w:t>≥1</w:t>
            </w:r>
            <w:r>
              <w:rPr>
                <w:rFonts w:hint="eastAsia"/>
                <w:sz w:val="24"/>
                <w:szCs w:val="32"/>
                <w:vertAlign w:val="baseline"/>
                <w:lang w:val="en-US" w:eastAsia="zh-CN"/>
              </w:rPr>
              <w:t>38</w:t>
            </w:r>
          </w:p>
        </w:tc>
        <w:tc>
          <w:tcPr>
            <w:tcW w:w="1110" w:type="dxa"/>
            <w:vMerge w:val="continue"/>
            <w:vAlign w:val="center"/>
          </w:tcPr>
          <w:p w14:paraId="156331C6">
            <w:pPr>
              <w:jc w:val="center"/>
              <w:rPr>
                <w:rFonts w:hint="eastAsia"/>
                <w:sz w:val="24"/>
                <w:szCs w:val="32"/>
                <w:vertAlign w:val="baseline"/>
                <w:lang w:val="en-US" w:eastAsia="zh-CN"/>
              </w:rPr>
            </w:pPr>
          </w:p>
        </w:tc>
        <w:tc>
          <w:tcPr>
            <w:tcW w:w="1095" w:type="dxa"/>
            <w:vMerge w:val="continue"/>
            <w:vAlign w:val="center"/>
          </w:tcPr>
          <w:p w14:paraId="01ADD030">
            <w:pPr>
              <w:jc w:val="center"/>
              <w:rPr>
                <w:rFonts w:hint="eastAsia"/>
                <w:sz w:val="24"/>
                <w:szCs w:val="32"/>
                <w:vertAlign w:val="baseline"/>
                <w:lang w:val="en-US" w:eastAsia="zh-CN"/>
              </w:rPr>
            </w:pPr>
          </w:p>
        </w:tc>
      </w:tr>
      <w:tr w14:paraId="1A7EB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5E76875C">
            <w:pPr>
              <w:jc w:val="center"/>
              <w:rPr>
                <w:rFonts w:hint="eastAsia"/>
                <w:sz w:val="24"/>
                <w:szCs w:val="32"/>
                <w:vertAlign w:val="baseline"/>
              </w:rPr>
            </w:pPr>
          </w:p>
        </w:tc>
        <w:tc>
          <w:tcPr>
            <w:tcW w:w="969" w:type="dxa"/>
            <w:vMerge w:val="continue"/>
            <w:vAlign w:val="center"/>
          </w:tcPr>
          <w:p w14:paraId="27D7303B">
            <w:pPr>
              <w:jc w:val="center"/>
              <w:rPr>
                <w:rFonts w:hint="eastAsia"/>
                <w:sz w:val="24"/>
                <w:szCs w:val="32"/>
                <w:vertAlign w:val="baseline"/>
                <w:lang w:val="en-US" w:eastAsia="zh-CN"/>
              </w:rPr>
            </w:pPr>
          </w:p>
        </w:tc>
        <w:tc>
          <w:tcPr>
            <w:tcW w:w="561" w:type="dxa"/>
            <w:vMerge w:val="continue"/>
            <w:vAlign w:val="center"/>
          </w:tcPr>
          <w:p w14:paraId="20BEF36B">
            <w:pPr>
              <w:jc w:val="center"/>
              <w:rPr>
                <w:rFonts w:hint="eastAsia"/>
                <w:sz w:val="24"/>
                <w:szCs w:val="32"/>
                <w:vertAlign w:val="baseline"/>
                <w:lang w:val="en-US" w:eastAsia="zh-CN"/>
              </w:rPr>
            </w:pPr>
          </w:p>
        </w:tc>
        <w:tc>
          <w:tcPr>
            <w:tcW w:w="4239" w:type="dxa"/>
            <w:gridSpan w:val="2"/>
            <w:vAlign w:val="center"/>
          </w:tcPr>
          <w:p w14:paraId="13070CE5">
            <w:pPr>
              <w:jc w:val="center"/>
              <w:rPr>
                <w:rFonts w:hint="eastAsia"/>
                <w:sz w:val="24"/>
                <w:szCs w:val="32"/>
                <w:vertAlign w:val="baseline"/>
                <w:lang w:val="en-US" w:eastAsia="zh-CN"/>
              </w:rPr>
            </w:pPr>
            <w:r>
              <w:rPr>
                <w:rFonts w:hint="eastAsia"/>
                <w:sz w:val="24"/>
                <w:szCs w:val="32"/>
                <w:vertAlign w:val="baseline"/>
                <w:lang w:val="en-US" w:eastAsia="zh-CN"/>
              </w:rPr>
              <w:t>续航里程（km）</w:t>
            </w:r>
          </w:p>
        </w:tc>
        <w:tc>
          <w:tcPr>
            <w:tcW w:w="5016" w:type="dxa"/>
            <w:vAlign w:val="center"/>
          </w:tcPr>
          <w:p w14:paraId="1CB7EF97">
            <w:pPr>
              <w:jc w:val="center"/>
              <w:rPr>
                <w:rFonts w:hint="eastAsia"/>
                <w:sz w:val="24"/>
                <w:szCs w:val="32"/>
                <w:vertAlign w:val="baseline"/>
                <w:lang w:val="en-US" w:eastAsia="en-US"/>
              </w:rPr>
            </w:pPr>
            <w:r>
              <w:rPr>
                <w:rFonts w:hint="eastAsia"/>
                <w:sz w:val="24"/>
                <w:szCs w:val="32"/>
                <w:vertAlign w:val="baseline"/>
                <w:lang w:val="en-US" w:eastAsia="en-US"/>
              </w:rPr>
              <w:t>≥340</w:t>
            </w:r>
          </w:p>
        </w:tc>
        <w:tc>
          <w:tcPr>
            <w:tcW w:w="1110" w:type="dxa"/>
            <w:vMerge w:val="continue"/>
            <w:vAlign w:val="center"/>
          </w:tcPr>
          <w:p w14:paraId="74222E4F">
            <w:pPr>
              <w:jc w:val="center"/>
              <w:rPr>
                <w:rFonts w:hint="eastAsia"/>
                <w:sz w:val="24"/>
                <w:szCs w:val="32"/>
                <w:vertAlign w:val="baseline"/>
                <w:lang w:val="en-US" w:eastAsia="zh-CN"/>
              </w:rPr>
            </w:pPr>
          </w:p>
        </w:tc>
        <w:tc>
          <w:tcPr>
            <w:tcW w:w="1095" w:type="dxa"/>
            <w:vMerge w:val="continue"/>
            <w:vAlign w:val="center"/>
          </w:tcPr>
          <w:p w14:paraId="6F62861C">
            <w:pPr>
              <w:jc w:val="center"/>
              <w:rPr>
                <w:rFonts w:hint="eastAsia"/>
                <w:sz w:val="24"/>
                <w:szCs w:val="32"/>
                <w:vertAlign w:val="baseline"/>
                <w:lang w:val="en-US" w:eastAsia="zh-CN"/>
              </w:rPr>
            </w:pPr>
          </w:p>
        </w:tc>
      </w:tr>
      <w:tr w14:paraId="05CAB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040CB9FC">
            <w:pPr>
              <w:jc w:val="center"/>
              <w:rPr>
                <w:rFonts w:hint="eastAsia"/>
                <w:sz w:val="24"/>
                <w:szCs w:val="32"/>
                <w:vertAlign w:val="baseline"/>
              </w:rPr>
            </w:pPr>
          </w:p>
        </w:tc>
        <w:tc>
          <w:tcPr>
            <w:tcW w:w="969" w:type="dxa"/>
            <w:vMerge w:val="continue"/>
            <w:vAlign w:val="center"/>
          </w:tcPr>
          <w:p w14:paraId="775F91A2">
            <w:pPr>
              <w:jc w:val="center"/>
              <w:rPr>
                <w:rFonts w:hint="eastAsia"/>
                <w:sz w:val="24"/>
                <w:szCs w:val="32"/>
                <w:vertAlign w:val="baseline"/>
                <w:lang w:val="en-US" w:eastAsia="zh-CN"/>
              </w:rPr>
            </w:pPr>
          </w:p>
        </w:tc>
        <w:tc>
          <w:tcPr>
            <w:tcW w:w="561" w:type="dxa"/>
            <w:vMerge w:val="continue"/>
            <w:vAlign w:val="center"/>
          </w:tcPr>
          <w:p w14:paraId="65033FE1">
            <w:pPr>
              <w:jc w:val="center"/>
              <w:rPr>
                <w:rFonts w:hint="eastAsia"/>
                <w:sz w:val="24"/>
                <w:szCs w:val="32"/>
                <w:vertAlign w:val="baseline"/>
                <w:lang w:val="en-US" w:eastAsia="zh-CN"/>
              </w:rPr>
            </w:pPr>
          </w:p>
        </w:tc>
        <w:tc>
          <w:tcPr>
            <w:tcW w:w="4239" w:type="dxa"/>
            <w:gridSpan w:val="2"/>
            <w:vAlign w:val="center"/>
          </w:tcPr>
          <w:p w14:paraId="4D905FCB">
            <w:pPr>
              <w:jc w:val="center"/>
              <w:rPr>
                <w:rFonts w:hint="eastAsia"/>
                <w:sz w:val="24"/>
                <w:szCs w:val="32"/>
                <w:vertAlign w:val="baseline"/>
                <w:lang w:val="zh-CN" w:eastAsia="zh-CN"/>
              </w:rPr>
            </w:pPr>
            <w:r>
              <w:rPr>
                <w:rFonts w:hint="eastAsia"/>
                <w:sz w:val="24"/>
                <w:szCs w:val="32"/>
                <w:vertAlign w:val="baseline"/>
                <w:lang w:val="en-US" w:eastAsia="en-US"/>
              </w:rPr>
              <w:t>乘坐人数（个）</w:t>
            </w:r>
          </w:p>
        </w:tc>
        <w:tc>
          <w:tcPr>
            <w:tcW w:w="5016" w:type="dxa"/>
            <w:vAlign w:val="center"/>
          </w:tcPr>
          <w:p w14:paraId="3946032A">
            <w:pPr>
              <w:jc w:val="center"/>
              <w:rPr>
                <w:rFonts w:hint="eastAsia"/>
                <w:sz w:val="24"/>
                <w:szCs w:val="32"/>
                <w:vertAlign w:val="baseline"/>
                <w:lang w:val="zh-CN" w:eastAsia="zh-CN"/>
              </w:rPr>
            </w:pPr>
            <w:r>
              <w:rPr>
                <w:rFonts w:hint="eastAsia"/>
                <w:sz w:val="24"/>
                <w:szCs w:val="32"/>
                <w:vertAlign w:val="baseline"/>
                <w:lang w:val="en-US" w:eastAsia="en-US"/>
              </w:rPr>
              <w:t>≥2</w:t>
            </w:r>
          </w:p>
        </w:tc>
        <w:tc>
          <w:tcPr>
            <w:tcW w:w="1110" w:type="dxa"/>
            <w:vMerge w:val="continue"/>
            <w:vAlign w:val="center"/>
          </w:tcPr>
          <w:p w14:paraId="2C030413">
            <w:pPr>
              <w:jc w:val="center"/>
              <w:rPr>
                <w:rFonts w:hint="eastAsia"/>
                <w:sz w:val="24"/>
                <w:szCs w:val="32"/>
                <w:vertAlign w:val="baseline"/>
                <w:lang w:val="en-US" w:eastAsia="zh-CN"/>
              </w:rPr>
            </w:pPr>
          </w:p>
        </w:tc>
        <w:tc>
          <w:tcPr>
            <w:tcW w:w="1095" w:type="dxa"/>
            <w:vMerge w:val="continue"/>
            <w:vAlign w:val="center"/>
          </w:tcPr>
          <w:p w14:paraId="4B53A82B">
            <w:pPr>
              <w:jc w:val="center"/>
              <w:rPr>
                <w:rFonts w:hint="eastAsia"/>
                <w:sz w:val="24"/>
                <w:szCs w:val="32"/>
                <w:vertAlign w:val="baseline"/>
                <w:lang w:val="en-US" w:eastAsia="zh-CN"/>
              </w:rPr>
            </w:pPr>
          </w:p>
        </w:tc>
      </w:tr>
      <w:tr w14:paraId="46B24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16DFE81D">
            <w:pPr>
              <w:jc w:val="center"/>
              <w:rPr>
                <w:rFonts w:hint="eastAsia"/>
                <w:sz w:val="24"/>
                <w:szCs w:val="32"/>
                <w:vertAlign w:val="baseline"/>
              </w:rPr>
            </w:pPr>
          </w:p>
        </w:tc>
        <w:tc>
          <w:tcPr>
            <w:tcW w:w="969" w:type="dxa"/>
            <w:vMerge w:val="continue"/>
            <w:vAlign w:val="center"/>
          </w:tcPr>
          <w:p w14:paraId="07BCC966">
            <w:pPr>
              <w:jc w:val="center"/>
              <w:rPr>
                <w:rFonts w:hint="eastAsia"/>
                <w:sz w:val="24"/>
                <w:szCs w:val="32"/>
                <w:vertAlign w:val="baseline"/>
                <w:lang w:val="en-US" w:eastAsia="zh-CN"/>
              </w:rPr>
            </w:pPr>
          </w:p>
        </w:tc>
        <w:tc>
          <w:tcPr>
            <w:tcW w:w="561" w:type="dxa"/>
            <w:vMerge w:val="continue"/>
            <w:vAlign w:val="center"/>
          </w:tcPr>
          <w:p w14:paraId="429A12C3">
            <w:pPr>
              <w:jc w:val="center"/>
              <w:rPr>
                <w:rFonts w:hint="eastAsia"/>
                <w:sz w:val="24"/>
                <w:szCs w:val="32"/>
                <w:vertAlign w:val="baseline"/>
                <w:lang w:val="en-US" w:eastAsia="zh-CN"/>
              </w:rPr>
            </w:pPr>
          </w:p>
        </w:tc>
        <w:tc>
          <w:tcPr>
            <w:tcW w:w="4239" w:type="dxa"/>
            <w:gridSpan w:val="2"/>
            <w:vAlign w:val="center"/>
          </w:tcPr>
          <w:p w14:paraId="312C4C4F">
            <w:pPr>
              <w:jc w:val="center"/>
              <w:rPr>
                <w:rFonts w:hint="eastAsia"/>
                <w:sz w:val="24"/>
                <w:szCs w:val="32"/>
                <w:vertAlign w:val="baseline"/>
                <w:lang w:val="zh-CN" w:eastAsia="zh-CN"/>
              </w:rPr>
            </w:pPr>
            <w:r>
              <w:rPr>
                <w:rFonts w:hint="eastAsia"/>
                <w:sz w:val="24"/>
                <w:szCs w:val="32"/>
                <w:vertAlign w:val="baseline"/>
                <w:lang w:val="en-US" w:eastAsia="zh-CN"/>
              </w:rPr>
              <w:t>★车辆外形尺寸（长×宽×高）（mm）</w:t>
            </w:r>
          </w:p>
        </w:tc>
        <w:tc>
          <w:tcPr>
            <w:tcW w:w="5016" w:type="dxa"/>
            <w:vAlign w:val="center"/>
          </w:tcPr>
          <w:p w14:paraId="66FE364F">
            <w:pPr>
              <w:jc w:val="center"/>
              <w:rPr>
                <w:rFonts w:hint="eastAsia"/>
                <w:sz w:val="24"/>
                <w:szCs w:val="32"/>
                <w:vertAlign w:val="baseline"/>
                <w:lang w:val="zh-CN" w:eastAsia="zh-CN"/>
              </w:rPr>
            </w:pPr>
            <w:r>
              <w:rPr>
                <w:rFonts w:hint="eastAsia"/>
                <w:sz w:val="24"/>
                <w:szCs w:val="32"/>
                <w:vertAlign w:val="baseline"/>
                <w:lang w:val="en-US" w:eastAsia="en-US"/>
              </w:rPr>
              <w:t>≥7500×2230×2500</w:t>
            </w:r>
          </w:p>
        </w:tc>
        <w:tc>
          <w:tcPr>
            <w:tcW w:w="1110" w:type="dxa"/>
            <w:vMerge w:val="continue"/>
            <w:vAlign w:val="center"/>
          </w:tcPr>
          <w:p w14:paraId="4F4473C0">
            <w:pPr>
              <w:jc w:val="center"/>
              <w:rPr>
                <w:rFonts w:hint="eastAsia"/>
                <w:sz w:val="24"/>
                <w:szCs w:val="32"/>
                <w:vertAlign w:val="baseline"/>
                <w:lang w:val="en-US" w:eastAsia="zh-CN"/>
              </w:rPr>
            </w:pPr>
          </w:p>
        </w:tc>
        <w:tc>
          <w:tcPr>
            <w:tcW w:w="1095" w:type="dxa"/>
            <w:vMerge w:val="continue"/>
            <w:vAlign w:val="center"/>
          </w:tcPr>
          <w:p w14:paraId="7D94445D">
            <w:pPr>
              <w:jc w:val="center"/>
              <w:rPr>
                <w:rFonts w:hint="eastAsia"/>
                <w:sz w:val="24"/>
                <w:szCs w:val="32"/>
                <w:vertAlign w:val="baseline"/>
                <w:lang w:val="en-US" w:eastAsia="zh-CN"/>
              </w:rPr>
            </w:pPr>
          </w:p>
        </w:tc>
      </w:tr>
      <w:tr w14:paraId="79ECA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678E6791">
            <w:pPr>
              <w:jc w:val="center"/>
              <w:rPr>
                <w:rFonts w:hint="eastAsia"/>
                <w:sz w:val="24"/>
                <w:szCs w:val="32"/>
                <w:vertAlign w:val="baseline"/>
              </w:rPr>
            </w:pPr>
          </w:p>
        </w:tc>
        <w:tc>
          <w:tcPr>
            <w:tcW w:w="969" w:type="dxa"/>
            <w:vMerge w:val="continue"/>
            <w:vAlign w:val="center"/>
          </w:tcPr>
          <w:p w14:paraId="7DD2FC86">
            <w:pPr>
              <w:jc w:val="center"/>
              <w:rPr>
                <w:rFonts w:hint="eastAsia"/>
                <w:sz w:val="24"/>
                <w:szCs w:val="32"/>
                <w:vertAlign w:val="baseline"/>
                <w:lang w:val="en-US" w:eastAsia="zh-CN"/>
              </w:rPr>
            </w:pPr>
          </w:p>
        </w:tc>
        <w:tc>
          <w:tcPr>
            <w:tcW w:w="561" w:type="dxa"/>
            <w:vMerge w:val="continue"/>
            <w:vAlign w:val="center"/>
          </w:tcPr>
          <w:p w14:paraId="528368C1">
            <w:pPr>
              <w:jc w:val="center"/>
              <w:rPr>
                <w:rFonts w:hint="eastAsia"/>
                <w:sz w:val="24"/>
                <w:szCs w:val="32"/>
                <w:vertAlign w:val="baseline"/>
                <w:lang w:val="en-US" w:eastAsia="zh-CN"/>
              </w:rPr>
            </w:pPr>
          </w:p>
        </w:tc>
        <w:tc>
          <w:tcPr>
            <w:tcW w:w="4239" w:type="dxa"/>
            <w:gridSpan w:val="2"/>
            <w:vAlign w:val="center"/>
          </w:tcPr>
          <w:p w14:paraId="2FBC7156">
            <w:pPr>
              <w:jc w:val="center"/>
              <w:rPr>
                <w:rFonts w:hint="eastAsia"/>
                <w:sz w:val="24"/>
                <w:szCs w:val="32"/>
                <w:vertAlign w:val="baseline"/>
                <w:lang w:val="zh-CN" w:eastAsia="zh-CN"/>
              </w:rPr>
            </w:pPr>
            <w:r>
              <w:rPr>
                <w:rFonts w:hint="eastAsia"/>
                <w:sz w:val="24"/>
                <w:szCs w:val="32"/>
                <w:vertAlign w:val="baseline"/>
                <w:lang w:val="en-US" w:eastAsia="en-US"/>
              </w:rPr>
              <w:t>★总质量（kg）</w:t>
            </w:r>
          </w:p>
        </w:tc>
        <w:tc>
          <w:tcPr>
            <w:tcW w:w="5016" w:type="dxa"/>
            <w:vAlign w:val="center"/>
          </w:tcPr>
          <w:p w14:paraId="07D5AB6D">
            <w:pPr>
              <w:jc w:val="center"/>
              <w:rPr>
                <w:rFonts w:hint="default" w:eastAsiaTheme="minorEastAsia"/>
                <w:sz w:val="24"/>
                <w:szCs w:val="32"/>
                <w:vertAlign w:val="baseline"/>
                <w:lang w:val="en-US" w:eastAsia="zh-CN"/>
              </w:rPr>
            </w:pPr>
            <w:r>
              <w:rPr>
                <w:rFonts w:hint="eastAsia"/>
                <w:sz w:val="24"/>
                <w:szCs w:val="32"/>
                <w:vertAlign w:val="baseline"/>
                <w:lang w:val="en-US" w:eastAsia="en-US"/>
              </w:rPr>
              <w:t>≥1</w:t>
            </w:r>
            <w:r>
              <w:rPr>
                <w:rFonts w:hint="eastAsia"/>
                <w:sz w:val="24"/>
                <w:szCs w:val="32"/>
                <w:vertAlign w:val="baseline"/>
                <w:lang w:val="en-US" w:eastAsia="zh-CN"/>
              </w:rPr>
              <w:t>2500</w:t>
            </w:r>
          </w:p>
        </w:tc>
        <w:tc>
          <w:tcPr>
            <w:tcW w:w="1110" w:type="dxa"/>
            <w:vMerge w:val="continue"/>
            <w:vAlign w:val="center"/>
          </w:tcPr>
          <w:p w14:paraId="1BD34E8F">
            <w:pPr>
              <w:jc w:val="center"/>
              <w:rPr>
                <w:rFonts w:hint="eastAsia"/>
                <w:sz w:val="24"/>
                <w:szCs w:val="32"/>
                <w:vertAlign w:val="baseline"/>
                <w:lang w:val="en-US" w:eastAsia="zh-CN"/>
              </w:rPr>
            </w:pPr>
          </w:p>
        </w:tc>
        <w:tc>
          <w:tcPr>
            <w:tcW w:w="1095" w:type="dxa"/>
            <w:vMerge w:val="continue"/>
            <w:vAlign w:val="center"/>
          </w:tcPr>
          <w:p w14:paraId="00FA15F0">
            <w:pPr>
              <w:jc w:val="center"/>
              <w:rPr>
                <w:rFonts w:hint="eastAsia"/>
                <w:sz w:val="24"/>
                <w:szCs w:val="32"/>
                <w:vertAlign w:val="baseline"/>
                <w:lang w:val="en-US" w:eastAsia="zh-CN"/>
              </w:rPr>
            </w:pPr>
          </w:p>
        </w:tc>
      </w:tr>
      <w:tr w14:paraId="084B5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583131D2">
            <w:pPr>
              <w:jc w:val="center"/>
              <w:rPr>
                <w:rFonts w:hint="eastAsia"/>
                <w:sz w:val="24"/>
                <w:szCs w:val="32"/>
                <w:vertAlign w:val="baseline"/>
              </w:rPr>
            </w:pPr>
          </w:p>
        </w:tc>
        <w:tc>
          <w:tcPr>
            <w:tcW w:w="969" w:type="dxa"/>
            <w:vMerge w:val="continue"/>
            <w:vAlign w:val="center"/>
          </w:tcPr>
          <w:p w14:paraId="1CA3B3EE">
            <w:pPr>
              <w:jc w:val="center"/>
              <w:rPr>
                <w:rFonts w:hint="eastAsia"/>
                <w:sz w:val="24"/>
                <w:szCs w:val="32"/>
                <w:vertAlign w:val="baseline"/>
                <w:lang w:val="en-US" w:eastAsia="zh-CN"/>
              </w:rPr>
            </w:pPr>
          </w:p>
        </w:tc>
        <w:tc>
          <w:tcPr>
            <w:tcW w:w="561" w:type="dxa"/>
            <w:vMerge w:val="continue"/>
            <w:vAlign w:val="center"/>
          </w:tcPr>
          <w:p w14:paraId="0D9D4B10">
            <w:pPr>
              <w:jc w:val="center"/>
              <w:rPr>
                <w:rFonts w:hint="eastAsia"/>
                <w:sz w:val="24"/>
                <w:szCs w:val="32"/>
                <w:vertAlign w:val="baseline"/>
                <w:lang w:val="en-US" w:eastAsia="zh-CN"/>
              </w:rPr>
            </w:pPr>
          </w:p>
        </w:tc>
        <w:tc>
          <w:tcPr>
            <w:tcW w:w="4239" w:type="dxa"/>
            <w:gridSpan w:val="2"/>
            <w:vAlign w:val="center"/>
          </w:tcPr>
          <w:p w14:paraId="6DD5B1EA">
            <w:pPr>
              <w:jc w:val="center"/>
              <w:rPr>
                <w:rFonts w:hint="eastAsia"/>
                <w:sz w:val="24"/>
                <w:szCs w:val="32"/>
                <w:vertAlign w:val="baseline"/>
                <w:lang w:val="zh-CN" w:eastAsia="zh-CN"/>
              </w:rPr>
            </w:pPr>
            <w:r>
              <w:rPr>
                <w:rFonts w:hint="eastAsia"/>
                <w:sz w:val="24"/>
                <w:szCs w:val="32"/>
                <w:vertAlign w:val="baseline"/>
                <w:lang w:val="en-US" w:eastAsia="en-US"/>
              </w:rPr>
              <w:t>★整备质量（kg）</w:t>
            </w:r>
          </w:p>
        </w:tc>
        <w:tc>
          <w:tcPr>
            <w:tcW w:w="5016" w:type="dxa"/>
            <w:vAlign w:val="center"/>
          </w:tcPr>
          <w:p w14:paraId="2FF0800B">
            <w:pPr>
              <w:jc w:val="center"/>
              <w:rPr>
                <w:rFonts w:hint="eastAsia"/>
                <w:sz w:val="24"/>
                <w:szCs w:val="32"/>
                <w:vertAlign w:val="baseline"/>
                <w:lang w:val="zh-CN" w:eastAsia="zh-CN"/>
              </w:rPr>
            </w:pPr>
            <w:r>
              <w:rPr>
                <w:rFonts w:hint="eastAsia"/>
                <w:sz w:val="24"/>
                <w:szCs w:val="32"/>
                <w:vertAlign w:val="baseline"/>
                <w:lang w:val="en-US" w:eastAsia="en-US"/>
              </w:rPr>
              <w:t>≥7500</w:t>
            </w:r>
          </w:p>
        </w:tc>
        <w:tc>
          <w:tcPr>
            <w:tcW w:w="1110" w:type="dxa"/>
            <w:vMerge w:val="continue"/>
            <w:vAlign w:val="center"/>
          </w:tcPr>
          <w:p w14:paraId="5EB16EE7">
            <w:pPr>
              <w:jc w:val="center"/>
              <w:rPr>
                <w:rFonts w:hint="eastAsia"/>
                <w:sz w:val="24"/>
                <w:szCs w:val="32"/>
                <w:vertAlign w:val="baseline"/>
                <w:lang w:val="en-US" w:eastAsia="zh-CN"/>
              </w:rPr>
            </w:pPr>
          </w:p>
        </w:tc>
        <w:tc>
          <w:tcPr>
            <w:tcW w:w="1095" w:type="dxa"/>
            <w:vMerge w:val="continue"/>
            <w:vAlign w:val="center"/>
          </w:tcPr>
          <w:p w14:paraId="6290C40D">
            <w:pPr>
              <w:jc w:val="center"/>
              <w:rPr>
                <w:rFonts w:hint="eastAsia"/>
                <w:sz w:val="24"/>
                <w:szCs w:val="32"/>
                <w:vertAlign w:val="baseline"/>
                <w:lang w:val="en-US" w:eastAsia="zh-CN"/>
              </w:rPr>
            </w:pPr>
          </w:p>
        </w:tc>
      </w:tr>
      <w:tr w14:paraId="25A2B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5CC16905">
            <w:pPr>
              <w:jc w:val="center"/>
              <w:rPr>
                <w:rFonts w:hint="eastAsia"/>
                <w:sz w:val="24"/>
                <w:szCs w:val="32"/>
                <w:vertAlign w:val="baseline"/>
              </w:rPr>
            </w:pPr>
          </w:p>
        </w:tc>
        <w:tc>
          <w:tcPr>
            <w:tcW w:w="969" w:type="dxa"/>
            <w:vMerge w:val="continue"/>
            <w:vAlign w:val="center"/>
          </w:tcPr>
          <w:p w14:paraId="15389056">
            <w:pPr>
              <w:jc w:val="center"/>
              <w:rPr>
                <w:rFonts w:hint="eastAsia"/>
                <w:sz w:val="24"/>
                <w:szCs w:val="32"/>
                <w:vertAlign w:val="baseline"/>
                <w:lang w:val="en-US" w:eastAsia="zh-CN"/>
              </w:rPr>
            </w:pPr>
          </w:p>
        </w:tc>
        <w:tc>
          <w:tcPr>
            <w:tcW w:w="561" w:type="dxa"/>
            <w:vMerge w:val="continue"/>
            <w:vAlign w:val="center"/>
          </w:tcPr>
          <w:p w14:paraId="276D1237">
            <w:pPr>
              <w:jc w:val="center"/>
              <w:rPr>
                <w:rFonts w:hint="eastAsia"/>
                <w:sz w:val="24"/>
                <w:szCs w:val="32"/>
                <w:vertAlign w:val="baseline"/>
                <w:lang w:val="en-US" w:eastAsia="zh-CN"/>
              </w:rPr>
            </w:pPr>
          </w:p>
        </w:tc>
        <w:tc>
          <w:tcPr>
            <w:tcW w:w="4239" w:type="dxa"/>
            <w:gridSpan w:val="2"/>
            <w:vAlign w:val="center"/>
          </w:tcPr>
          <w:p w14:paraId="6B0C6472">
            <w:pPr>
              <w:jc w:val="center"/>
              <w:rPr>
                <w:rFonts w:hint="eastAsia"/>
                <w:sz w:val="24"/>
                <w:szCs w:val="32"/>
                <w:vertAlign w:val="baseline"/>
                <w:lang w:val="zh-CN" w:eastAsia="zh-CN"/>
              </w:rPr>
            </w:pPr>
            <w:r>
              <w:rPr>
                <w:rFonts w:hint="eastAsia"/>
                <w:sz w:val="24"/>
                <w:szCs w:val="32"/>
                <w:vertAlign w:val="baseline"/>
                <w:lang w:val="en-US" w:eastAsia="en-US"/>
              </w:rPr>
              <w:t>★额定质量（Kg）</w:t>
            </w:r>
          </w:p>
        </w:tc>
        <w:tc>
          <w:tcPr>
            <w:tcW w:w="5016" w:type="dxa"/>
            <w:vAlign w:val="center"/>
          </w:tcPr>
          <w:p w14:paraId="792898A4">
            <w:pPr>
              <w:jc w:val="center"/>
              <w:rPr>
                <w:rFonts w:hint="eastAsia"/>
                <w:sz w:val="24"/>
                <w:szCs w:val="32"/>
                <w:vertAlign w:val="baseline"/>
                <w:lang w:val="zh-CN" w:eastAsia="zh-CN"/>
              </w:rPr>
            </w:pPr>
            <w:r>
              <w:rPr>
                <w:rFonts w:hint="eastAsia"/>
                <w:sz w:val="24"/>
                <w:szCs w:val="32"/>
                <w:vertAlign w:val="baseline"/>
                <w:lang w:val="en-US" w:eastAsia="en-US"/>
              </w:rPr>
              <w:t>≥4300</w:t>
            </w:r>
          </w:p>
        </w:tc>
        <w:tc>
          <w:tcPr>
            <w:tcW w:w="1110" w:type="dxa"/>
            <w:vMerge w:val="continue"/>
            <w:vAlign w:val="center"/>
          </w:tcPr>
          <w:p w14:paraId="75384DEB">
            <w:pPr>
              <w:jc w:val="center"/>
              <w:rPr>
                <w:rFonts w:hint="eastAsia"/>
                <w:sz w:val="24"/>
                <w:szCs w:val="32"/>
                <w:vertAlign w:val="baseline"/>
                <w:lang w:val="en-US" w:eastAsia="zh-CN"/>
              </w:rPr>
            </w:pPr>
          </w:p>
        </w:tc>
        <w:tc>
          <w:tcPr>
            <w:tcW w:w="1095" w:type="dxa"/>
            <w:vMerge w:val="continue"/>
            <w:vAlign w:val="center"/>
          </w:tcPr>
          <w:p w14:paraId="7EA39552">
            <w:pPr>
              <w:jc w:val="center"/>
              <w:rPr>
                <w:rFonts w:hint="eastAsia"/>
                <w:sz w:val="24"/>
                <w:szCs w:val="32"/>
                <w:vertAlign w:val="baseline"/>
                <w:lang w:val="en-US" w:eastAsia="zh-CN"/>
              </w:rPr>
            </w:pPr>
          </w:p>
        </w:tc>
      </w:tr>
      <w:tr w14:paraId="107BB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6A3CCC9C">
            <w:pPr>
              <w:jc w:val="center"/>
              <w:rPr>
                <w:rFonts w:hint="eastAsia"/>
                <w:sz w:val="24"/>
                <w:szCs w:val="32"/>
                <w:vertAlign w:val="baseline"/>
              </w:rPr>
            </w:pPr>
          </w:p>
        </w:tc>
        <w:tc>
          <w:tcPr>
            <w:tcW w:w="969" w:type="dxa"/>
            <w:vMerge w:val="continue"/>
            <w:vAlign w:val="center"/>
          </w:tcPr>
          <w:p w14:paraId="27EE74E7">
            <w:pPr>
              <w:jc w:val="center"/>
              <w:rPr>
                <w:rFonts w:hint="eastAsia"/>
                <w:sz w:val="24"/>
                <w:szCs w:val="32"/>
                <w:vertAlign w:val="baseline"/>
                <w:lang w:val="en-US" w:eastAsia="zh-CN"/>
              </w:rPr>
            </w:pPr>
          </w:p>
        </w:tc>
        <w:tc>
          <w:tcPr>
            <w:tcW w:w="561" w:type="dxa"/>
            <w:vMerge w:val="continue"/>
            <w:vAlign w:val="center"/>
          </w:tcPr>
          <w:p w14:paraId="42370733">
            <w:pPr>
              <w:jc w:val="center"/>
              <w:rPr>
                <w:rFonts w:hint="eastAsia"/>
                <w:sz w:val="24"/>
                <w:szCs w:val="32"/>
                <w:vertAlign w:val="baseline"/>
                <w:lang w:val="en-US" w:eastAsia="zh-CN"/>
              </w:rPr>
            </w:pPr>
          </w:p>
        </w:tc>
        <w:tc>
          <w:tcPr>
            <w:tcW w:w="4239" w:type="dxa"/>
            <w:gridSpan w:val="2"/>
            <w:vAlign w:val="center"/>
          </w:tcPr>
          <w:p w14:paraId="2B70DE55">
            <w:pPr>
              <w:jc w:val="center"/>
              <w:rPr>
                <w:rFonts w:hint="eastAsia"/>
                <w:sz w:val="24"/>
                <w:szCs w:val="32"/>
                <w:vertAlign w:val="baseline"/>
                <w:lang w:val="zh-CN" w:eastAsia="zh-CN"/>
              </w:rPr>
            </w:pPr>
            <w:r>
              <w:rPr>
                <w:rFonts w:hint="eastAsia"/>
                <w:sz w:val="24"/>
                <w:szCs w:val="32"/>
                <w:vertAlign w:val="baseline"/>
                <w:lang w:val="en-US" w:eastAsia="en-US"/>
              </w:rPr>
              <w:t>★轴距（mm）</w:t>
            </w:r>
          </w:p>
        </w:tc>
        <w:tc>
          <w:tcPr>
            <w:tcW w:w="5016" w:type="dxa"/>
            <w:vAlign w:val="center"/>
          </w:tcPr>
          <w:p w14:paraId="5FB92816">
            <w:pPr>
              <w:jc w:val="center"/>
              <w:rPr>
                <w:rFonts w:hint="eastAsia"/>
                <w:sz w:val="24"/>
                <w:szCs w:val="32"/>
                <w:vertAlign w:val="baseline"/>
                <w:lang w:val="zh-CN" w:eastAsia="zh-CN"/>
              </w:rPr>
            </w:pPr>
            <w:r>
              <w:rPr>
                <w:rFonts w:hint="eastAsia"/>
                <w:sz w:val="24"/>
                <w:szCs w:val="32"/>
                <w:vertAlign w:val="baseline"/>
                <w:lang w:val="en-US" w:eastAsia="en-US"/>
              </w:rPr>
              <w:t>≥3800</w:t>
            </w:r>
          </w:p>
        </w:tc>
        <w:tc>
          <w:tcPr>
            <w:tcW w:w="1110" w:type="dxa"/>
            <w:vMerge w:val="continue"/>
            <w:vAlign w:val="center"/>
          </w:tcPr>
          <w:p w14:paraId="495FCFF6">
            <w:pPr>
              <w:jc w:val="center"/>
              <w:rPr>
                <w:rFonts w:hint="eastAsia"/>
                <w:sz w:val="24"/>
                <w:szCs w:val="32"/>
                <w:vertAlign w:val="baseline"/>
                <w:lang w:val="en-US" w:eastAsia="zh-CN"/>
              </w:rPr>
            </w:pPr>
          </w:p>
        </w:tc>
        <w:tc>
          <w:tcPr>
            <w:tcW w:w="1095" w:type="dxa"/>
            <w:vMerge w:val="continue"/>
            <w:vAlign w:val="center"/>
          </w:tcPr>
          <w:p w14:paraId="2A9B5BC8">
            <w:pPr>
              <w:jc w:val="center"/>
              <w:rPr>
                <w:rFonts w:hint="eastAsia"/>
                <w:sz w:val="24"/>
                <w:szCs w:val="32"/>
                <w:vertAlign w:val="baseline"/>
                <w:lang w:val="en-US" w:eastAsia="zh-CN"/>
              </w:rPr>
            </w:pPr>
          </w:p>
        </w:tc>
      </w:tr>
      <w:tr w14:paraId="31A24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72C2E6E0">
            <w:pPr>
              <w:jc w:val="center"/>
              <w:rPr>
                <w:rFonts w:hint="eastAsia"/>
                <w:sz w:val="24"/>
                <w:szCs w:val="32"/>
                <w:vertAlign w:val="baseline"/>
              </w:rPr>
            </w:pPr>
          </w:p>
        </w:tc>
        <w:tc>
          <w:tcPr>
            <w:tcW w:w="969" w:type="dxa"/>
            <w:vMerge w:val="continue"/>
            <w:vAlign w:val="center"/>
          </w:tcPr>
          <w:p w14:paraId="3FA88695">
            <w:pPr>
              <w:jc w:val="center"/>
              <w:rPr>
                <w:rFonts w:hint="eastAsia"/>
                <w:sz w:val="24"/>
                <w:szCs w:val="32"/>
                <w:vertAlign w:val="baseline"/>
                <w:lang w:val="en-US" w:eastAsia="zh-CN"/>
              </w:rPr>
            </w:pPr>
          </w:p>
        </w:tc>
        <w:tc>
          <w:tcPr>
            <w:tcW w:w="561" w:type="dxa"/>
            <w:vMerge w:val="continue"/>
            <w:vAlign w:val="center"/>
          </w:tcPr>
          <w:p w14:paraId="1015283D">
            <w:pPr>
              <w:jc w:val="center"/>
              <w:rPr>
                <w:rFonts w:hint="eastAsia"/>
                <w:sz w:val="24"/>
                <w:szCs w:val="32"/>
                <w:vertAlign w:val="baseline"/>
                <w:lang w:val="en-US" w:eastAsia="zh-CN"/>
              </w:rPr>
            </w:pPr>
          </w:p>
        </w:tc>
        <w:tc>
          <w:tcPr>
            <w:tcW w:w="4239" w:type="dxa"/>
            <w:gridSpan w:val="2"/>
            <w:vAlign w:val="center"/>
          </w:tcPr>
          <w:p w14:paraId="0BF5E69C">
            <w:pPr>
              <w:jc w:val="center"/>
              <w:rPr>
                <w:rFonts w:hint="eastAsia"/>
                <w:sz w:val="24"/>
                <w:szCs w:val="32"/>
                <w:vertAlign w:val="baseline"/>
                <w:lang w:val="zh-CN" w:eastAsia="zh-CN"/>
              </w:rPr>
            </w:pPr>
            <w:r>
              <w:rPr>
                <w:rFonts w:hint="eastAsia"/>
                <w:sz w:val="24"/>
                <w:szCs w:val="32"/>
                <w:vertAlign w:val="baseline"/>
                <w:lang w:val="en-US" w:eastAsia="en-US"/>
              </w:rPr>
              <w:t>★前悬/后悬（mm）</w:t>
            </w:r>
          </w:p>
        </w:tc>
        <w:tc>
          <w:tcPr>
            <w:tcW w:w="5016" w:type="dxa"/>
            <w:vAlign w:val="center"/>
          </w:tcPr>
          <w:p w14:paraId="19F5A30C">
            <w:pPr>
              <w:jc w:val="center"/>
              <w:rPr>
                <w:rFonts w:hint="eastAsia"/>
                <w:sz w:val="24"/>
                <w:szCs w:val="32"/>
                <w:vertAlign w:val="baseline"/>
                <w:lang w:val="zh-CN" w:eastAsia="zh-CN"/>
              </w:rPr>
            </w:pPr>
            <w:r>
              <w:rPr>
                <w:rFonts w:hint="eastAsia"/>
                <w:sz w:val="24"/>
                <w:szCs w:val="32"/>
                <w:vertAlign w:val="baseline"/>
                <w:lang w:val="en-US" w:eastAsia="en-US"/>
              </w:rPr>
              <w:t>≥1200/2150</w:t>
            </w:r>
          </w:p>
        </w:tc>
        <w:tc>
          <w:tcPr>
            <w:tcW w:w="1110" w:type="dxa"/>
            <w:vMerge w:val="continue"/>
            <w:vAlign w:val="center"/>
          </w:tcPr>
          <w:p w14:paraId="4CD2572E">
            <w:pPr>
              <w:jc w:val="center"/>
              <w:rPr>
                <w:rFonts w:hint="eastAsia"/>
                <w:sz w:val="24"/>
                <w:szCs w:val="32"/>
                <w:vertAlign w:val="baseline"/>
                <w:lang w:val="en-US" w:eastAsia="zh-CN"/>
              </w:rPr>
            </w:pPr>
          </w:p>
        </w:tc>
        <w:tc>
          <w:tcPr>
            <w:tcW w:w="1095" w:type="dxa"/>
            <w:vMerge w:val="continue"/>
            <w:vAlign w:val="center"/>
          </w:tcPr>
          <w:p w14:paraId="7A43D527">
            <w:pPr>
              <w:jc w:val="center"/>
              <w:rPr>
                <w:rFonts w:hint="eastAsia"/>
                <w:sz w:val="24"/>
                <w:szCs w:val="32"/>
                <w:vertAlign w:val="baseline"/>
                <w:lang w:val="en-US" w:eastAsia="zh-CN"/>
              </w:rPr>
            </w:pPr>
          </w:p>
        </w:tc>
      </w:tr>
      <w:tr w14:paraId="57F37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6F54AE6A">
            <w:pPr>
              <w:jc w:val="center"/>
              <w:rPr>
                <w:rFonts w:hint="eastAsia"/>
                <w:sz w:val="24"/>
                <w:szCs w:val="32"/>
                <w:vertAlign w:val="baseline"/>
              </w:rPr>
            </w:pPr>
          </w:p>
        </w:tc>
        <w:tc>
          <w:tcPr>
            <w:tcW w:w="969" w:type="dxa"/>
            <w:vMerge w:val="continue"/>
            <w:vAlign w:val="center"/>
          </w:tcPr>
          <w:p w14:paraId="7254468D">
            <w:pPr>
              <w:jc w:val="center"/>
              <w:rPr>
                <w:rFonts w:hint="eastAsia"/>
                <w:sz w:val="24"/>
                <w:szCs w:val="32"/>
                <w:vertAlign w:val="baseline"/>
                <w:lang w:val="en-US" w:eastAsia="zh-CN"/>
              </w:rPr>
            </w:pPr>
          </w:p>
        </w:tc>
        <w:tc>
          <w:tcPr>
            <w:tcW w:w="561" w:type="dxa"/>
            <w:vMerge w:val="continue"/>
            <w:vAlign w:val="center"/>
          </w:tcPr>
          <w:p w14:paraId="11876B32">
            <w:pPr>
              <w:jc w:val="center"/>
              <w:rPr>
                <w:rFonts w:hint="eastAsia"/>
                <w:sz w:val="24"/>
                <w:szCs w:val="32"/>
                <w:vertAlign w:val="baseline"/>
                <w:lang w:val="en-US" w:eastAsia="zh-CN"/>
              </w:rPr>
            </w:pPr>
          </w:p>
        </w:tc>
        <w:tc>
          <w:tcPr>
            <w:tcW w:w="4239" w:type="dxa"/>
            <w:gridSpan w:val="2"/>
            <w:vAlign w:val="center"/>
          </w:tcPr>
          <w:p w14:paraId="6FCAE068">
            <w:pPr>
              <w:jc w:val="center"/>
              <w:rPr>
                <w:rFonts w:hint="eastAsia"/>
                <w:sz w:val="24"/>
                <w:szCs w:val="32"/>
                <w:vertAlign w:val="baseline"/>
                <w:lang w:val="zh-CN" w:eastAsia="zh-CN"/>
              </w:rPr>
            </w:pPr>
            <w:r>
              <w:rPr>
                <w:rFonts w:hint="eastAsia"/>
                <w:sz w:val="24"/>
                <w:szCs w:val="32"/>
                <w:vertAlign w:val="baseline"/>
                <w:lang w:val="en-US" w:eastAsia="en-US"/>
              </w:rPr>
              <w:t>★接近角/离去角</w:t>
            </w:r>
          </w:p>
        </w:tc>
        <w:tc>
          <w:tcPr>
            <w:tcW w:w="5016" w:type="dxa"/>
            <w:vAlign w:val="center"/>
          </w:tcPr>
          <w:p w14:paraId="25E93B50">
            <w:pPr>
              <w:jc w:val="center"/>
              <w:rPr>
                <w:rFonts w:hint="eastAsia"/>
                <w:sz w:val="24"/>
                <w:szCs w:val="32"/>
                <w:vertAlign w:val="baseline"/>
                <w:lang w:val="zh-CN" w:eastAsia="zh-CN"/>
              </w:rPr>
            </w:pPr>
            <w:r>
              <w:rPr>
                <w:rFonts w:hint="eastAsia"/>
                <w:sz w:val="24"/>
                <w:szCs w:val="32"/>
                <w:vertAlign w:val="baseline"/>
                <w:lang w:val="en-US" w:eastAsia="en-US"/>
              </w:rPr>
              <w:t>≥18/15</w:t>
            </w:r>
          </w:p>
        </w:tc>
        <w:tc>
          <w:tcPr>
            <w:tcW w:w="1110" w:type="dxa"/>
            <w:vMerge w:val="continue"/>
            <w:vAlign w:val="center"/>
          </w:tcPr>
          <w:p w14:paraId="4E403EA4">
            <w:pPr>
              <w:jc w:val="center"/>
              <w:rPr>
                <w:rFonts w:hint="eastAsia"/>
                <w:sz w:val="24"/>
                <w:szCs w:val="32"/>
                <w:vertAlign w:val="baseline"/>
                <w:lang w:val="en-US" w:eastAsia="zh-CN"/>
              </w:rPr>
            </w:pPr>
          </w:p>
        </w:tc>
        <w:tc>
          <w:tcPr>
            <w:tcW w:w="1095" w:type="dxa"/>
            <w:vMerge w:val="continue"/>
            <w:vAlign w:val="center"/>
          </w:tcPr>
          <w:p w14:paraId="49A92F3E">
            <w:pPr>
              <w:jc w:val="center"/>
              <w:rPr>
                <w:rFonts w:hint="eastAsia"/>
                <w:sz w:val="24"/>
                <w:szCs w:val="32"/>
                <w:vertAlign w:val="baseline"/>
                <w:lang w:val="en-US" w:eastAsia="zh-CN"/>
              </w:rPr>
            </w:pPr>
          </w:p>
        </w:tc>
      </w:tr>
      <w:tr w14:paraId="76CE0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5D15BBE4">
            <w:pPr>
              <w:jc w:val="center"/>
              <w:rPr>
                <w:rFonts w:hint="eastAsia"/>
                <w:sz w:val="24"/>
                <w:szCs w:val="32"/>
                <w:vertAlign w:val="baseline"/>
              </w:rPr>
            </w:pPr>
          </w:p>
        </w:tc>
        <w:tc>
          <w:tcPr>
            <w:tcW w:w="969" w:type="dxa"/>
            <w:vMerge w:val="continue"/>
            <w:vAlign w:val="center"/>
          </w:tcPr>
          <w:p w14:paraId="1DB2C5FC">
            <w:pPr>
              <w:jc w:val="center"/>
              <w:rPr>
                <w:rFonts w:hint="eastAsia"/>
                <w:sz w:val="24"/>
                <w:szCs w:val="32"/>
                <w:vertAlign w:val="baseline"/>
                <w:lang w:val="en-US" w:eastAsia="zh-CN"/>
              </w:rPr>
            </w:pPr>
          </w:p>
        </w:tc>
        <w:tc>
          <w:tcPr>
            <w:tcW w:w="561" w:type="dxa"/>
            <w:vMerge w:val="continue"/>
            <w:vAlign w:val="center"/>
          </w:tcPr>
          <w:p w14:paraId="52D10C4F">
            <w:pPr>
              <w:jc w:val="center"/>
              <w:rPr>
                <w:rFonts w:hint="eastAsia"/>
                <w:sz w:val="24"/>
                <w:szCs w:val="32"/>
                <w:vertAlign w:val="baseline"/>
                <w:lang w:val="en-US" w:eastAsia="zh-CN"/>
              </w:rPr>
            </w:pPr>
          </w:p>
        </w:tc>
        <w:tc>
          <w:tcPr>
            <w:tcW w:w="4239" w:type="dxa"/>
            <w:gridSpan w:val="2"/>
            <w:vAlign w:val="center"/>
          </w:tcPr>
          <w:p w14:paraId="0256FC76">
            <w:pPr>
              <w:jc w:val="center"/>
              <w:rPr>
                <w:rFonts w:hint="eastAsia"/>
                <w:sz w:val="24"/>
                <w:szCs w:val="32"/>
                <w:vertAlign w:val="baseline"/>
                <w:lang w:val="zh-CN" w:eastAsia="zh-CN"/>
              </w:rPr>
            </w:pPr>
            <w:r>
              <w:rPr>
                <w:rFonts w:hint="eastAsia"/>
                <w:sz w:val="24"/>
                <w:szCs w:val="32"/>
                <w:vertAlign w:val="baseline"/>
                <w:lang w:val="en-US" w:eastAsia="zh-CN"/>
              </w:rPr>
              <w:t>垃圾箱有效容积（m³）</w:t>
            </w:r>
          </w:p>
        </w:tc>
        <w:tc>
          <w:tcPr>
            <w:tcW w:w="5016" w:type="dxa"/>
            <w:vAlign w:val="center"/>
          </w:tcPr>
          <w:p w14:paraId="42140A95">
            <w:pPr>
              <w:jc w:val="center"/>
              <w:rPr>
                <w:rFonts w:hint="eastAsia"/>
                <w:sz w:val="24"/>
                <w:szCs w:val="32"/>
                <w:vertAlign w:val="baseline"/>
                <w:lang w:val="zh-CN" w:eastAsia="zh-CN"/>
              </w:rPr>
            </w:pPr>
            <w:r>
              <w:rPr>
                <w:rFonts w:hint="eastAsia"/>
                <w:sz w:val="24"/>
                <w:szCs w:val="32"/>
                <w:vertAlign w:val="baseline"/>
                <w:lang w:val="en-US" w:eastAsia="en-US"/>
              </w:rPr>
              <w:t>≥8</w:t>
            </w:r>
          </w:p>
        </w:tc>
        <w:tc>
          <w:tcPr>
            <w:tcW w:w="1110" w:type="dxa"/>
            <w:vMerge w:val="continue"/>
            <w:vAlign w:val="center"/>
          </w:tcPr>
          <w:p w14:paraId="53FC1F92">
            <w:pPr>
              <w:jc w:val="center"/>
              <w:rPr>
                <w:rFonts w:hint="eastAsia"/>
                <w:sz w:val="24"/>
                <w:szCs w:val="32"/>
                <w:vertAlign w:val="baseline"/>
                <w:lang w:val="en-US" w:eastAsia="zh-CN"/>
              </w:rPr>
            </w:pPr>
          </w:p>
        </w:tc>
        <w:tc>
          <w:tcPr>
            <w:tcW w:w="1095" w:type="dxa"/>
            <w:vMerge w:val="continue"/>
            <w:vAlign w:val="center"/>
          </w:tcPr>
          <w:p w14:paraId="14A61C52">
            <w:pPr>
              <w:jc w:val="center"/>
              <w:rPr>
                <w:rFonts w:hint="eastAsia"/>
                <w:sz w:val="24"/>
                <w:szCs w:val="32"/>
                <w:vertAlign w:val="baseline"/>
                <w:lang w:val="en-US" w:eastAsia="zh-CN"/>
              </w:rPr>
            </w:pPr>
          </w:p>
        </w:tc>
      </w:tr>
      <w:tr w14:paraId="0789B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6F40D8CE">
            <w:pPr>
              <w:jc w:val="center"/>
              <w:rPr>
                <w:rFonts w:hint="eastAsia"/>
                <w:sz w:val="24"/>
                <w:szCs w:val="32"/>
                <w:vertAlign w:val="baseline"/>
              </w:rPr>
            </w:pPr>
          </w:p>
        </w:tc>
        <w:tc>
          <w:tcPr>
            <w:tcW w:w="969" w:type="dxa"/>
            <w:vMerge w:val="continue"/>
            <w:vAlign w:val="center"/>
          </w:tcPr>
          <w:p w14:paraId="002617E3">
            <w:pPr>
              <w:jc w:val="center"/>
              <w:rPr>
                <w:rFonts w:hint="eastAsia"/>
                <w:sz w:val="24"/>
                <w:szCs w:val="32"/>
                <w:vertAlign w:val="baseline"/>
                <w:lang w:val="en-US" w:eastAsia="zh-CN"/>
              </w:rPr>
            </w:pPr>
          </w:p>
        </w:tc>
        <w:tc>
          <w:tcPr>
            <w:tcW w:w="561" w:type="dxa"/>
            <w:vMerge w:val="continue"/>
            <w:vAlign w:val="center"/>
          </w:tcPr>
          <w:p w14:paraId="2533A0DF">
            <w:pPr>
              <w:jc w:val="center"/>
              <w:rPr>
                <w:rFonts w:hint="eastAsia"/>
                <w:sz w:val="24"/>
                <w:szCs w:val="32"/>
                <w:vertAlign w:val="baseline"/>
                <w:lang w:val="en-US" w:eastAsia="zh-CN"/>
              </w:rPr>
            </w:pPr>
          </w:p>
        </w:tc>
        <w:tc>
          <w:tcPr>
            <w:tcW w:w="4239" w:type="dxa"/>
            <w:gridSpan w:val="2"/>
            <w:vAlign w:val="center"/>
          </w:tcPr>
          <w:p w14:paraId="3E09F44C">
            <w:pPr>
              <w:jc w:val="center"/>
              <w:rPr>
                <w:rFonts w:hint="eastAsia"/>
                <w:sz w:val="24"/>
                <w:szCs w:val="32"/>
                <w:vertAlign w:val="baseline"/>
                <w:lang w:val="zh-CN" w:eastAsia="zh-CN"/>
              </w:rPr>
            </w:pPr>
            <w:r>
              <w:rPr>
                <w:rFonts w:hint="eastAsia"/>
                <w:sz w:val="24"/>
                <w:szCs w:val="32"/>
                <w:vertAlign w:val="baseline"/>
                <w:lang w:val="en-US" w:eastAsia="en-US"/>
              </w:rPr>
              <w:t>填料器口离地高（mm）</w:t>
            </w:r>
          </w:p>
        </w:tc>
        <w:tc>
          <w:tcPr>
            <w:tcW w:w="5016" w:type="dxa"/>
            <w:vAlign w:val="center"/>
          </w:tcPr>
          <w:p w14:paraId="5C2CA01E">
            <w:pPr>
              <w:jc w:val="center"/>
              <w:rPr>
                <w:rFonts w:hint="eastAsia"/>
                <w:sz w:val="24"/>
                <w:szCs w:val="32"/>
                <w:vertAlign w:val="baseline"/>
                <w:lang w:val="zh-CN" w:eastAsia="zh-CN"/>
              </w:rPr>
            </w:pPr>
            <w:r>
              <w:rPr>
                <w:rFonts w:hint="eastAsia"/>
                <w:sz w:val="24"/>
                <w:szCs w:val="32"/>
                <w:vertAlign w:val="baseline"/>
                <w:lang w:val="en-US" w:eastAsia="en-US"/>
              </w:rPr>
              <w:t>≤1050</w:t>
            </w:r>
          </w:p>
        </w:tc>
        <w:tc>
          <w:tcPr>
            <w:tcW w:w="1110" w:type="dxa"/>
            <w:vMerge w:val="continue"/>
            <w:vAlign w:val="center"/>
          </w:tcPr>
          <w:p w14:paraId="055553CB">
            <w:pPr>
              <w:jc w:val="center"/>
              <w:rPr>
                <w:rFonts w:hint="eastAsia"/>
                <w:sz w:val="24"/>
                <w:szCs w:val="32"/>
                <w:vertAlign w:val="baseline"/>
                <w:lang w:val="en-US" w:eastAsia="zh-CN"/>
              </w:rPr>
            </w:pPr>
          </w:p>
        </w:tc>
        <w:tc>
          <w:tcPr>
            <w:tcW w:w="1095" w:type="dxa"/>
            <w:vMerge w:val="continue"/>
            <w:vAlign w:val="center"/>
          </w:tcPr>
          <w:p w14:paraId="31411DA7">
            <w:pPr>
              <w:jc w:val="center"/>
              <w:rPr>
                <w:rFonts w:hint="eastAsia"/>
                <w:sz w:val="24"/>
                <w:szCs w:val="32"/>
                <w:vertAlign w:val="baseline"/>
                <w:lang w:val="en-US" w:eastAsia="zh-CN"/>
              </w:rPr>
            </w:pPr>
          </w:p>
        </w:tc>
      </w:tr>
      <w:tr w14:paraId="46D21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40291BA3">
            <w:pPr>
              <w:jc w:val="center"/>
              <w:rPr>
                <w:rFonts w:hint="eastAsia"/>
                <w:sz w:val="24"/>
                <w:szCs w:val="32"/>
                <w:vertAlign w:val="baseline"/>
              </w:rPr>
            </w:pPr>
          </w:p>
        </w:tc>
        <w:tc>
          <w:tcPr>
            <w:tcW w:w="969" w:type="dxa"/>
            <w:vMerge w:val="continue"/>
            <w:vAlign w:val="center"/>
          </w:tcPr>
          <w:p w14:paraId="4F685534">
            <w:pPr>
              <w:jc w:val="center"/>
              <w:rPr>
                <w:rFonts w:hint="eastAsia"/>
                <w:sz w:val="24"/>
                <w:szCs w:val="32"/>
                <w:vertAlign w:val="baseline"/>
                <w:lang w:val="en-US" w:eastAsia="zh-CN"/>
              </w:rPr>
            </w:pPr>
          </w:p>
        </w:tc>
        <w:tc>
          <w:tcPr>
            <w:tcW w:w="561" w:type="dxa"/>
            <w:vMerge w:val="continue"/>
            <w:vAlign w:val="center"/>
          </w:tcPr>
          <w:p w14:paraId="5FCE1B24">
            <w:pPr>
              <w:jc w:val="center"/>
              <w:rPr>
                <w:rFonts w:hint="eastAsia"/>
                <w:sz w:val="24"/>
                <w:szCs w:val="32"/>
                <w:vertAlign w:val="baseline"/>
                <w:lang w:val="en-US" w:eastAsia="zh-CN"/>
              </w:rPr>
            </w:pPr>
          </w:p>
        </w:tc>
        <w:tc>
          <w:tcPr>
            <w:tcW w:w="4239" w:type="dxa"/>
            <w:gridSpan w:val="2"/>
            <w:vAlign w:val="center"/>
          </w:tcPr>
          <w:p w14:paraId="514D00F1">
            <w:pPr>
              <w:jc w:val="center"/>
              <w:rPr>
                <w:rFonts w:hint="eastAsia"/>
                <w:sz w:val="24"/>
                <w:szCs w:val="32"/>
                <w:vertAlign w:val="baseline"/>
                <w:lang w:val="zh-CN" w:eastAsia="zh-CN"/>
              </w:rPr>
            </w:pPr>
            <w:r>
              <w:rPr>
                <w:rFonts w:hint="eastAsia"/>
                <w:sz w:val="24"/>
                <w:szCs w:val="32"/>
                <w:vertAlign w:val="baseline"/>
                <w:lang w:val="en-US" w:eastAsia="zh-CN"/>
              </w:rPr>
              <w:t>压缩一次循环时间（s）</w:t>
            </w:r>
          </w:p>
        </w:tc>
        <w:tc>
          <w:tcPr>
            <w:tcW w:w="5016" w:type="dxa"/>
            <w:vAlign w:val="center"/>
          </w:tcPr>
          <w:p w14:paraId="711433CF">
            <w:pPr>
              <w:jc w:val="center"/>
              <w:rPr>
                <w:rFonts w:hint="eastAsia"/>
                <w:sz w:val="24"/>
                <w:szCs w:val="32"/>
                <w:vertAlign w:val="baseline"/>
                <w:lang w:val="zh-CN" w:eastAsia="zh-CN"/>
              </w:rPr>
            </w:pPr>
            <w:r>
              <w:rPr>
                <w:rFonts w:hint="eastAsia"/>
                <w:sz w:val="24"/>
                <w:szCs w:val="32"/>
                <w:vertAlign w:val="baseline"/>
                <w:lang w:val="en-US" w:eastAsia="en-US"/>
              </w:rPr>
              <w:t>≤12</w:t>
            </w:r>
          </w:p>
        </w:tc>
        <w:tc>
          <w:tcPr>
            <w:tcW w:w="1110" w:type="dxa"/>
            <w:vMerge w:val="continue"/>
            <w:vAlign w:val="center"/>
          </w:tcPr>
          <w:p w14:paraId="150DCB0D">
            <w:pPr>
              <w:jc w:val="center"/>
              <w:rPr>
                <w:rFonts w:hint="eastAsia"/>
                <w:sz w:val="24"/>
                <w:szCs w:val="32"/>
                <w:vertAlign w:val="baseline"/>
                <w:lang w:val="en-US" w:eastAsia="zh-CN"/>
              </w:rPr>
            </w:pPr>
          </w:p>
        </w:tc>
        <w:tc>
          <w:tcPr>
            <w:tcW w:w="1095" w:type="dxa"/>
            <w:vMerge w:val="continue"/>
            <w:vAlign w:val="center"/>
          </w:tcPr>
          <w:p w14:paraId="3B493221">
            <w:pPr>
              <w:jc w:val="center"/>
              <w:rPr>
                <w:rFonts w:hint="eastAsia"/>
                <w:sz w:val="24"/>
                <w:szCs w:val="32"/>
                <w:vertAlign w:val="baseline"/>
                <w:lang w:val="en-US" w:eastAsia="zh-CN"/>
              </w:rPr>
            </w:pPr>
          </w:p>
        </w:tc>
      </w:tr>
      <w:tr w14:paraId="7BF3B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4EB0F77E">
            <w:pPr>
              <w:jc w:val="center"/>
              <w:rPr>
                <w:rFonts w:hint="eastAsia"/>
                <w:sz w:val="24"/>
                <w:szCs w:val="32"/>
                <w:vertAlign w:val="baseline"/>
              </w:rPr>
            </w:pPr>
          </w:p>
        </w:tc>
        <w:tc>
          <w:tcPr>
            <w:tcW w:w="969" w:type="dxa"/>
            <w:vMerge w:val="continue"/>
            <w:vAlign w:val="center"/>
          </w:tcPr>
          <w:p w14:paraId="58E7047A">
            <w:pPr>
              <w:jc w:val="center"/>
              <w:rPr>
                <w:rFonts w:hint="eastAsia"/>
                <w:sz w:val="24"/>
                <w:szCs w:val="32"/>
                <w:vertAlign w:val="baseline"/>
                <w:lang w:val="en-US" w:eastAsia="zh-CN"/>
              </w:rPr>
            </w:pPr>
          </w:p>
        </w:tc>
        <w:tc>
          <w:tcPr>
            <w:tcW w:w="561" w:type="dxa"/>
            <w:vMerge w:val="continue"/>
            <w:vAlign w:val="center"/>
          </w:tcPr>
          <w:p w14:paraId="5B77A42C">
            <w:pPr>
              <w:jc w:val="center"/>
              <w:rPr>
                <w:rFonts w:hint="eastAsia"/>
                <w:sz w:val="24"/>
                <w:szCs w:val="32"/>
                <w:vertAlign w:val="baseline"/>
                <w:lang w:val="en-US" w:eastAsia="zh-CN"/>
              </w:rPr>
            </w:pPr>
          </w:p>
        </w:tc>
        <w:tc>
          <w:tcPr>
            <w:tcW w:w="4239" w:type="dxa"/>
            <w:gridSpan w:val="2"/>
            <w:vAlign w:val="center"/>
          </w:tcPr>
          <w:p w14:paraId="00AA96F4">
            <w:pPr>
              <w:jc w:val="center"/>
              <w:rPr>
                <w:rFonts w:hint="eastAsia"/>
                <w:sz w:val="24"/>
                <w:szCs w:val="32"/>
                <w:vertAlign w:val="baseline"/>
                <w:lang w:val="zh-CN" w:eastAsia="zh-CN"/>
              </w:rPr>
            </w:pPr>
            <w:r>
              <w:rPr>
                <w:rFonts w:hint="eastAsia"/>
                <w:sz w:val="24"/>
                <w:szCs w:val="32"/>
                <w:vertAlign w:val="baseline"/>
                <w:lang w:val="en-US" w:eastAsia="zh-CN"/>
              </w:rPr>
              <w:t>压缩一次循环时间（s）</w:t>
            </w:r>
          </w:p>
        </w:tc>
        <w:tc>
          <w:tcPr>
            <w:tcW w:w="5016" w:type="dxa"/>
            <w:vAlign w:val="center"/>
          </w:tcPr>
          <w:p w14:paraId="687214A2">
            <w:pPr>
              <w:jc w:val="center"/>
              <w:rPr>
                <w:rFonts w:hint="eastAsia"/>
                <w:sz w:val="24"/>
                <w:szCs w:val="32"/>
                <w:vertAlign w:val="baseline"/>
                <w:lang w:val="zh-CN" w:eastAsia="zh-CN"/>
              </w:rPr>
            </w:pPr>
            <w:r>
              <w:rPr>
                <w:rFonts w:hint="eastAsia"/>
                <w:sz w:val="24"/>
                <w:szCs w:val="32"/>
                <w:vertAlign w:val="baseline"/>
                <w:lang w:val="en-US" w:eastAsia="en-US"/>
              </w:rPr>
              <w:t>≤10</w:t>
            </w:r>
          </w:p>
        </w:tc>
        <w:tc>
          <w:tcPr>
            <w:tcW w:w="1110" w:type="dxa"/>
            <w:vMerge w:val="continue"/>
            <w:vAlign w:val="center"/>
          </w:tcPr>
          <w:p w14:paraId="0972A719">
            <w:pPr>
              <w:jc w:val="center"/>
              <w:rPr>
                <w:rFonts w:hint="eastAsia"/>
                <w:sz w:val="24"/>
                <w:szCs w:val="32"/>
                <w:vertAlign w:val="baseline"/>
                <w:lang w:val="en-US" w:eastAsia="zh-CN"/>
              </w:rPr>
            </w:pPr>
          </w:p>
        </w:tc>
        <w:tc>
          <w:tcPr>
            <w:tcW w:w="1095" w:type="dxa"/>
            <w:vMerge w:val="continue"/>
            <w:vAlign w:val="center"/>
          </w:tcPr>
          <w:p w14:paraId="4DCEE83C">
            <w:pPr>
              <w:jc w:val="center"/>
              <w:rPr>
                <w:rFonts w:hint="eastAsia"/>
                <w:sz w:val="24"/>
                <w:szCs w:val="32"/>
                <w:vertAlign w:val="baseline"/>
                <w:lang w:val="en-US" w:eastAsia="zh-CN"/>
              </w:rPr>
            </w:pPr>
          </w:p>
        </w:tc>
      </w:tr>
      <w:tr w14:paraId="5FD15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00548250">
            <w:pPr>
              <w:jc w:val="center"/>
              <w:rPr>
                <w:rFonts w:hint="eastAsia"/>
                <w:sz w:val="24"/>
                <w:szCs w:val="32"/>
                <w:vertAlign w:val="baseline"/>
              </w:rPr>
            </w:pPr>
          </w:p>
        </w:tc>
        <w:tc>
          <w:tcPr>
            <w:tcW w:w="969" w:type="dxa"/>
            <w:vMerge w:val="continue"/>
            <w:vAlign w:val="center"/>
          </w:tcPr>
          <w:p w14:paraId="64FDF073">
            <w:pPr>
              <w:jc w:val="center"/>
              <w:rPr>
                <w:rFonts w:hint="eastAsia"/>
                <w:sz w:val="24"/>
                <w:szCs w:val="32"/>
                <w:vertAlign w:val="baseline"/>
                <w:lang w:val="en-US" w:eastAsia="zh-CN"/>
              </w:rPr>
            </w:pPr>
          </w:p>
        </w:tc>
        <w:tc>
          <w:tcPr>
            <w:tcW w:w="561" w:type="dxa"/>
            <w:vMerge w:val="continue"/>
            <w:vAlign w:val="center"/>
          </w:tcPr>
          <w:p w14:paraId="2B5BEB99">
            <w:pPr>
              <w:jc w:val="center"/>
              <w:rPr>
                <w:rFonts w:hint="eastAsia"/>
                <w:sz w:val="24"/>
                <w:szCs w:val="32"/>
                <w:vertAlign w:val="baseline"/>
                <w:lang w:val="en-US" w:eastAsia="zh-CN"/>
              </w:rPr>
            </w:pPr>
          </w:p>
        </w:tc>
        <w:tc>
          <w:tcPr>
            <w:tcW w:w="4239" w:type="dxa"/>
            <w:gridSpan w:val="2"/>
            <w:vAlign w:val="center"/>
          </w:tcPr>
          <w:p w14:paraId="3C7C7194">
            <w:pPr>
              <w:jc w:val="center"/>
              <w:rPr>
                <w:rFonts w:hint="eastAsia"/>
                <w:sz w:val="24"/>
                <w:szCs w:val="32"/>
                <w:vertAlign w:val="baseline"/>
                <w:lang w:val="zh-CN" w:eastAsia="zh-CN"/>
              </w:rPr>
            </w:pPr>
            <w:r>
              <w:rPr>
                <w:rFonts w:hint="eastAsia"/>
                <w:sz w:val="24"/>
                <w:szCs w:val="32"/>
                <w:vertAlign w:val="baseline"/>
                <w:lang w:val="en-US" w:eastAsia="zh-CN"/>
              </w:rPr>
              <w:t>推板卸料循环时间（s）</w:t>
            </w:r>
          </w:p>
        </w:tc>
        <w:tc>
          <w:tcPr>
            <w:tcW w:w="5016" w:type="dxa"/>
            <w:vAlign w:val="center"/>
          </w:tcPr>
          <w:p w14:paraId="5AD15343">
            <w:pPr>
              <w:jc w:val="center"/>
              <w:rPr>
                <w:rFonts w:hint="eastAsia"/>
                <w:sz w:val="24"/>
                <w:szCs w:val="32"/>
                <w:vertAlign w:val="baseline"/>
                <w:lang w:val="zh-CN" w:eastAsia="zh-CN"/>
              </w:rPr>
            </w:pPr>
            <w:r>
              <w:rPr>
                <w:rFonts w:hint="eastAsia"/>
                <w:sz w:val="24"/>
                <w:szCs w:val="32"/>
                <w:vertAlign w:val="baseline"/>
                <w:lang w:val="en-US" w:eastAsia="en-US"/>
              </w:rPr>
              <w:t>≤25</w:t>
            </w:r>
          </w:p>
        </w:tc>
        <w:tc>
          <w:tcPr>
            <w:tcW w:w="1110" w:type="dxa"/>
            <w:vMerge w:val="continue"/>
            <w:vAlign w:val="center"/>
          </w:tcPr>
          <w:p w14:paraId="7EC78030">
            <w:pPr>
              <w:jc w:val="center"/>
              <w:rPr>
                <w:rFonts w:hint="eastAsia"/>
                <w:sz w:val="24"/>
                <w:szCs w:val="32"/>
                <w:vertAlign w:val="baseline"/>
                <w:lang w:val="en-US" w:eastAsia="zh-CN"/>
              </w:rPr>
            </w:pPr>
          </w:p>
        </w:tc>
        <w:tc>
          <w:tcPr>
            <w:tcW w:w="1095" w:type="dxa"/>
            <w:vMerge w:val="continue"/>
            <w:vAlign w:val="center"/>
          </w:tcPr>
          <w:p w14:paraId="7C9C45A1">
            <w:pPr>
              <w:jc w:val="center"/>
              <w:rPr>
                <w:rFonts w:hint="eastAsia"/>
                <w:sz w:val="24"/>
                <w:szCs w:val="32"/>
                <w:vertAlign w:val="baseline"/>
                <w:lang w:val="en-US" w:eastAsia="zh-CN"/>
              </w:rPr>
            </w:pPr>
          </w:p>
        </w:tc>
      </w:tr>
      <w:tr w14:paraId="29F25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34601ACA">
            <w:pPr>
              <w:jc w:val="center"/>
              <w:rPr>
                <w:rFonts w:hint="eastAsia"/>
                <w:sz w:val="24"/>
                <w:szCs w:val="32"/>
                <w:vertAlign w:val="baseline"/>
              </w:rPr>
            </w:pPr>
          </w:p>
        </w:tc>
        <w:tc>
          <w:tcPr>
            <w:tcW w:w="969" w:type="dxa"/>
            <w:vMerge w:val="continue"/>
            <w:vAlign w:val="center"/>
          </w:tcPr>
          <w:p w14:paraId="01259A20">
            <w:pPr>
              <w:jc w:val="center"/>
              <w:rPr>
                <w:rFonts w:hint="eastAsia"/>
                <w:sz w:val="24"/>
                <w:szCs w:val="32"/>
                <w:vertAlign w:val="baseline"/>
                <w:lang w:val="en-US" w:eastAsia="zh-CN"/>
              </w:rPr>
            </w:pPr>
          </w:p>
        </w:tc>
        <w:tc>
          <w:tcPr>
            <w:tcW w:w="561" w:type="dxa"/>
            <w:vMerge w:val="continue"/>
            <w:vAlign w:val="center"/>
          </w:tcPr>
          <w:p w14:paraId="460BBBF9">
            <w:pPr>
              <w:jc w:val="center"/>
              <w:rPr>
                <w:rFonts w:hint="eastAsia"/>
                <w:sz w:val="24"/>
                <w:szCs w:val="32"/>
                <w:vertAlign w:val="baseline"/>
                <w:lang w:val="en-US" w:eastAsia="zh-CN"/>
              </w:rPr>
            </w:pPr>
          </w:p>
        </w:tc>
        <w:tc>
          <w:tcPr>
            <w:tcW w:w="4239" w:type="dxa"/>
            <w:gridSpan w:val="2"/>
            <w:vAlign w:val="center"/>
          </w:tcPr>
          <w:p w14:paraId="7B56BF58">
            <w:pPr>
              <w:jc w:val="center"/>
              <w:rPr>
                <w:rFonts w:hint="eastAsia"/>
                <w:sz w:val="24"/>
                <w:szCs w:val="32"/>
                <w:vertAlign w:val="baseline"/>
                <w:lang w:val="zh-CN" w:eastAsia="zh-CN"/>
              </w:rPr>
            </w:pPr>
            <w:r>
              <w:rPr>
                <w:rFonts w:hint="eastAsia"/>
                <w:sz w:val="24"/>
                <w:szCs w:val="32"/>
                <w:vertAlign w:val="baseline"/>
                <w:lang w:val="en-US" w:eastAsia="en-US"/>
              </w:rPr>
              <w:t>翻桶机构</w:t>
            </w:r>
          </w:p>
        </w:tc>
        <w:tc>
          <w:tcPr>
            <w:tcW w:w="5016" w:type="dxa"/>
            <w:vAlign w:val="center"/>
          </w:tcPr>
          <w:p w14:paraId="250B681F">
            <w:pPr>
              <w:jc w:val="center"/>
              <w:rPr>
                <w:rFonts w:hint="eastAsia"/>
                <w:sz w:val="24"/>
                <w:szCs w:val="32"/>
                <w:vertAlign w:val="baseline"/>
                <w:lang w:val="zh-CN" w:eastAsia="zh-CN"/>
              </w:rPr>
            </w:pPr>
            <w:r>
              <w:rPr>
                <w:rFonts w:hint="eastAsia"/>
                <w:sz w:val="24"/>
                <w:szCs w:val="32"/>
                <w:vertAlign w:val="baseline"/>
                <w:lang w:val="en-US" w:eastAsia="en-US"/>
              </w:rPr>
              <w:t>120L/240L/660L垃圾桶</w:t>
            </w:r>
          </w:p>
        </w:tc>
        <w:tc>
          <w:tcPr>
            <w:tcW w:w="1110" w:type="dxa"/>
            <w:vMerge w:val="continue"/>
            <w:vAlign w:val="center"/>
          </w:tcPr>
          <w:p w14:paraId="5F683075">
            <w:pPr>
              <w:jc w:val="center"/>
              <w:rPr>
                <w:rFonts w:hint="eastAsia"/>
                <w:sz w:val="24"/>
                <w:szCs w:val="32"/>
                <w:vertAlign w:val="baseline"/>
                <w:lang w:val="en-US" w:eastAsia="zh-CN"/>
              </w:rPr>
            </w:pPr>
          </w:p>
        </w:tc>
        <w:tc>
          <w:tcPr>
            <w:tcW w:w="1095" w:type="dxa"/>
            <w:vMerge w:val="continue"/>
            <w:vAlign w:val="center"/>
          </w:tcPr>
          <w:p w14:paraId="1D8152C3">
            <w:pPr>
              <w:jc w:val="center"/>
              <w:rPr>
                <w:rFonts w:hint="eastAsia"/>
                <w:sz w:val="24"/>
                <w:szCs w:val="32"/>
                <w:vertAlign w:val="baseline"/>
                <w:lang w:val="en-US" w:eastAsia="zh-CN"/>
              </w:rPr>
            </w:pPr>
          </w:p>
        </w:tc>
      </w:tr>
      <w:tr w14:paraId="74285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29E36B8D">
            <w:pPr>
              <w:jc w:val="center"/>
              <w:rPr>
                <w:rFonts w:hint="eastAsia"/>
                <w:sz w:val="24"/>
                <w:szCs w:val="32"/>
                <w:vertAlign w:val="baseline"/>
              </w:rPr>
            </w:pPr>
          </w:p>
        </w:tc>
        <w:tc>
          <w:tcPr>
            <w:tcW w:w="969" w:type="dxa"/>
            <w:vMerge w:val="continue"/>
            <w:vAlign w:val="center"/>
          </w:tcPr>
          <w:p w14:paraId="70FE2645">
            <w:pPr>
              <w:jc w:val="center"/>
              <w:rPr>
                <w:rFonts w:hint="eastAsia"/>
                <w:sz w:val="24"/>
                <w:szCs w:val="32"/>
                <w:vertAlign w:val="baseline"/>
                <w:lang w:val="en-US" w:eastAsia="zh-CN"/>
              </w:rPr>
            </w:pPr>
          </w:p>
        </w:tc>
        <w:tc>
          <w:tcPr>
            <w:tcW w:w="561" w:type="dxa"/>
            <w:vMerge w:val="continue"/>
            <w:vAlign w:val="center"/>
          </w:tcPr>
          <w:p w14:paraId="36F1CCC6">
            <w:pPr>
              <w:jc w:val="center"/>
              <w:rPr>
                <w:rFonts w:hint="eastAsia"/>
                <w:sz w:val="24"/>
                <w:szCs w:val="32"/>
                <w:vertAlign w:val="baseline"/>
                <w:lang w:val="en-US" w:eastAsia="zh-CN"/>
              </w:rPr>
            </w:pPr>
          </w:p>
        </w:tc>
        <w:tc>
          <w:tcPr>
            <w:tcW w:w="9255" w:type="dxa"/>
            <w:gridSpan w:val="3"/>
            <w:vAlign w:val="center"/>
          </w:tcPr>
          <w:p w14:paraId="27D61CB1">
            <w:pPr>
              <w:jc w:val="center"/>
              <w:rPr>
                <w:sz w:val="24"/>
                <w:szCs w:val="32"/>
                <w:vertAlign w:val="baseline"/>
              </w:rPr>
            </w:pPr>
            <w:r>
              <w:rPr>
                <w:rFonts w:hint="eastAsia"/>
                <w:b/>
                <w:bCs/>
                <w:sz w:val="24"/>
                <w:szCs w:val="32"/>
                <w:vertAlign w:val="baseline"/>
                <w:lang w:val="en-US" w:eastAsia="zh-CN"/>
              </w:rPr>
              <w:t>二、主要功能要求</w:t>
            </w:r>
          </w:p>
        </w:tc>
        <w:tc>
          <w:tcPr>
            <w:tcW w:w="1110" w:type="dxa"/>
            <w:vMerge w:val="continue"/>
            <w:vAlign w:val="center"/>
          </w:tcPr>
          <w:p w14:paraId="45DFE854">
            <w:pPr>
              <w:jc w:val="center"/>
              <w:rPr>
                <w:rFonts w:hint="eastAsia"/>
                <w:sz w:val="24"/>
                <w:szCs w:val="32"/>
                <w:vertAlign w:val="baseline"/>
                <w:lang w:val="en-US" w:eastAsia="zh-CN"/>
              </w:rPr>
            </w:pPr>
          </w:p>
        </w:tc>
        <w:tc>
          <w:tcPr>
            <w:tcW w:w="1095" w:type="dxa"/>
            <w:vMerge w:val="continue"/>
            <w:vAlign w:val="center"/>
          </w:tcPr>
          <w:p w14:paraId="2E93EBA7">
            <w:pPr>
              <w:jc w:val="center"/>
              <w:rPr>
                <w:rFonts w:hint="eastAsia"/>
                <w:sz w:val="24"/>
                <w:szCs w:val="32"/>
                <w:vertAlign w:val="baseline"/>
                <w:lang w:val="en-US" w:eastAsia="zh-CN"/>
              </w:rPr>
            </w:pPr>
          </w:p>
        </w:tc>
      </w:tr>
      <w:tr w14:paraId="1C93F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5" w:hRule="atLeast"/>
          <w:jc w:val="center"/>
        </w:trPr>
        <w:tc>
          <w:tcPr>
            <w:tcW w:w="1230" w:type="dxa"/>
            <w:vMerge w:val="continue"/>
            <w:vAlign w:val="center"/>
          </w:tcPr>
          <w:p w14:paraId="3E740471">
            <w:pPr>
              <w:jc w:val="center"/>
              <w:rPr>
                <w:rFonts w:hint="eastAsia"/>
                <w:sz w:val="24"/>
                <w:szCs w:val="32"/>
                <w:vertAlign w:val="baseline"/>
              </w:rPr>
            </w:pPr>
          </w:p>
        </w:tc>
        <w:tc>
          <w:tcPr>
            <w:tcW w:w="969" w:type="dxa"/>
            <w:vMerge w:val="continue"/>
            <w:vAlign w:val="center"/>
          </w:tcPr>
          <w:p w14:paraId="1DD52B02">
            <w:pPr>
              <w:jc w:val="center"/>
              <w:rPr>
                <w:rFonts w:hint="eastAsia"/>
                <w:sz w:val="24"/>
                <w:szCs w:val="32"/>
                <w:vertAlign w:val="baseline"/>
                <w:lang w:val="en-US" w:eastAsia="zh-CN"/>
              </w:rPr>
            </w:pPr>
          </w:p>
        </w:tc>
        <w:tc>
          <w:tcPr>
            <w:tcW w:w="561" w:type="dxa"/>
            <w:vMerge w:val="continue"/>
            <w:vAlign w:val="center"/>
          </w:tcPr>
          <w:p w14:paraId="6301DD9B">
            <w:pPr>
              <w:jc w:val="center"/>
              <w:rPr>
                <w:rFonts w:hint="eastAsia"/>
                <w:sz w:val="24"/>
                <w:szCs w:val="32"/>
                <w:vertAlign w:val="baseline"/>
                <w:lang w:val="en-US" w:eastAsia="zh-CN"/>
              </w:rPr>
            </w:pPr>
          </w:p>
        </w:tc>
        <w:tc>
          <w:tcPr>
            <w:tcW w:w="9255" w:type="dxa"/>
            <w:gridSpan w:val="3"/>
            <w:vAlign w:val="center"/>
          </w:tcPr>
          <w:p w14:paraId="22BF9C5F">
            <w:pPr>
              <w:jc w:val="both"/>
              <w:rPr>
                <w:rFonts w:hint="eastAsia"/>
                <w:b w:val="0"/>
                <w:bCs w:val="0"/>
                <w:sz w:val="24"/>
                <w:szCs w:val="32"/>
                <w:vertAlign w:val="baseline"/>
                <w:lang w:val="en-US" w:eastAsia="zh-CN"/>
              </w:rPr>
            </w:pPr>
            <w:r>
              <w:rPr>
                <w:rFonts w:hint="eastAsia"/>
                <w:b w:val="0"/>
                <w:bCs w:val="0"/>
                <w:sz w:val="24"/>
                <w:szCs w:val="32"/>
                <w:vertAlign w:val="baseline"/>
                <w:lang w:val="en-US" w:eastAsia="zh-CN"/>
              </w:rPr>
              <w:t>1、需采用先进的复合双向压缩技术，双重保压，整个压缩过程中均能保持较高的垃圾压实密度,行业内属于领先地位。液压系统采用双泵独立油路及独立阀组，上料动作与压缩循环互不影响，压缩效率高，上料时间短。</w:t>
            </w:r>
          </w:p>
          <w:p w14:paraId="2BDEB949">
            <w:pPr>
              <w:jc w:val="both"/>
              <w:rPr>
                <w:rFonts w:hint="eastAsia"/>
                <w:b w:val="0"/>
                <w:bCs w:val="0"/>
                <w:sz w:val="24"/>
                <w:szCs w:val="32"/>
                <w:vertAlign w:val="baseline"/>
                <w:lang w:val="en-US" w:eastAsia="zh-CN"/>
              </w:rPr>
            </w:pPr>
            <w:r>
              <w:rPr>
                <w:rFonts w:hint="eastAsia"/>
                <w:b w:val="0"/>
                <w:bCs w:val="0"/>
                <w:sz w:val="24"/>
                <w:szCs w:val="32"/>
                <w:vertAlign w:val="baseline"/>
                <w:lang w:val="en-US" w:eastAsia="zh-CN"/>
              </w:rPr>
              <w:t>2、上料机构可翻120L/240L/660L垃圾桶，同时需采用四连杆机构布局、可调式上料机构挂齿、挂钩，保证上料过程的高可靠性，需采用无弹簧压桶机构，结构简洁，维护保养简便。</w:t>
            </w:r>
          </w:p>
          <w:p w14:paraId="1A76F805">
            <w:pPr>
              <w:jc w:val="both"/>
              <w:rPr>
                <w:rFonts w:hint="eastAsia"/>
                <w:b w:val="0"/>
                <w:bCs w:val="0"/>
                <w:sz w:val="24"/>
                <w:szCs w:val="32"/>
                <w:vertAlign w:val="baseline"/>
                <w:lang w:val="en-US" w:eastAsia="zh-CN"/>
              </w:rPr>
            </w:pPr>
            <w:r>
              <w:rPr>
                <w:rFonts w:hint="eastAsia"/>
                <w:b w:val="0"/>
                <w:bCs w:val="0"/>
                <w:sz w:val="24"/>
                <w:szCs w:val="32"/>
                <w:vertAlign w:val="baseline"/>
                <w:lang w:val="en-US" w:eastAsia="zh-CN"/>
              </w:rPr>
              <w:t>3、为确保垃圾箱后端面的密封性，防止污水流出，需采用独立锁钩，对填装器进行锁紧，垃圾箱后端面与填装器结合面处的密封条始终保持压缩状态，确保了填装器与垃圾箱的结合面良好密封性能。</w:t>
            </w:r>
          </w:p>
          <w:p w14:paraId="61158AC4">
            <w:pPr>
              <w:jc w:val="both"/>
              <w:rPr>
                <w:rFonts w:hint="eastAsia"/>
                <w:b w:val="0"/>
                <w:bCs w:val="0"/>
                <w:sz w:val="24"/>
                <w:szCs w:val="32"/>
                <w:vertAlign w:val="baseline"/>
                <w:lang w:val="en-US" w:eastAsia="zh-CN"/>
              </w:rPr>
            </w:pPr>
            <w:r>
              <w:rPr>
                <w:rFonts w:hint="eastAsia"/>
                <w:b w:val="0"/>
                <w:bCs w:val="0"/>
                <w:sz w:val="24"/>
                <w:szCs w:val="32"/>
                <w:vertAlign w:val="baseline"/>
                <w:lang w:val="en-US" w:eastAsia="zh-CN"/>
              </w:rPr>
              <w:t>4、填料器盖需采用气动控制，关闭后能完全遮盖住填料器投料口，消除转运过程中车尾气流扰动造成的垃圾尘屑飞扬现象，同时减少臭气污染，同时气缸、气控阀等部件均位于填料器外侧，维护保养简便。</w:t>
            </w:r>
          </w:p>
          <w:p w14:paraId="12796ED4">
            <w:pPr>
              <w:jc w:val="both"/>
              <w:rPr>
                <w:rFonts w:hint="eastAsia"/>
                <w:b w:val="0"/>
                <w:bCs w:val="0"/>
                <w:sz w:val="24"/>
                <w:szCs w:val="32"/>
                <w:vertAlign w:val="baseline"/>
                <w:lang w:val="en-US" w:eastAsia="zh-CN"/>
              </w:rPr>
            </w:pPr>
            <w:r>
              <w:rPr>
                <w:rFonts w:hint="eastAsia"/>
                <w:b w:val="0"/>
                <w:bCs w:val="0"/>
                <w:sz w:val="24"/>
                <w:szCs w:val="32"/>
                <w:vertAlign w:val="baseline"/>
                <w:lang w:val="en-US" w:eastAsia="zh-CN"/>
              </w:rPr>
              <w:t>5、需具备箱体辅助清洗功能，推铲油缸水平布置，受力均匀，推出力大。同时，结合产品结构与实际运行要求，推铲前面可推出箱体≥50mm，保证大箱内的垃圾完全卸料干净，无需人工二次清理，提升工作效率。</w:t>
            </w:r>
          </w:p>
          <w:p w14:paraId="579D6486">
            <w:pPr>
              <w:jc w:val="both"/>
              <w:rPr>
                <w:rFonts w:hint="eastAsia"/>
                <w:b w:val="0"/>
                <w:bCs w:val="0"/>
                <w:sz w:val="24"/>
                <w:szCs w:val="32"/>
                <w:vertAlign w:val="baseline"/>
                <w:lang w:val="en-US" w:eastAsia="zh-CN"/>
              </w:rPr>
            </w:pPr>
            <w:r>
              <w:rPr>
                <w:rFonts w:hint="eastAsia"/>
                <w:b w:val="0"/>
                <w:bCs w:val="0"/>
                <w:sz w:val="24"/>
                <w:szCs w:val="32"/>
                <w:vertAlign w:val="baseline"/>
                <w:lang w:val="en-US" w:eastAsia="zh-CN"/>
              </w:rPr>
              <w:t xml:space="preserve">6、作业控制盒分别安装在驾驶室内和车尾，驾驶室内的作业控制盒可控制推挤卸料和选择操作模式，车尾的作业控制盒则控制压填机构和上料机构的作业，使用操作十分方便；特别是在垃圾填埋场，作业人员无须下车即可完成卸料。 </w:t>
            </w:r>
          </w:p>
          <w:p w14:paraId="4C265AA5">
            <w:pPr>
              <w:jc w:val="both"/>
              <w:rPr>
                <w:rFonts w:hint="eastAsia"/>
                <w:b w:val="0"/>
                <w:bCs w:val="0"/>
                <w:sz w:val="24"/>
                <w:szCs w:val="32"/>
                <w:vertAlign w:val="baseline"/>
                <w:lang w:val="en-US" w:eastAsia="zh-CN"/>
              </w:rPr>
            </w:pPr>
            <w:r>
              <w:rPr>
                <w:rFonts w:hint="eastAsia"/>
                <w:b w:val="0"/>
                <w:bCs w:val="0"/>
                <w:sz w:val="24"/>
                <w:szCs w:val="32"/>
                <w:vertAlign w:val="baseline"/>
                <w:lang w:val="en-US" w:eastAsia="zh-CN"/>
              </w:rPr>
              <w:t>7、产品的垃圾箱等与垃圾直接接触的钢板均选用高品质耐腐蚀性强的耐候钢，强度高，耐腐蚀能力强，使用寿命长，尤其适用于腐蚀性作业环境。同时填料器料斗部位采用高硬度耐磨钢，提高了产品耐用度。</w:t>
            </w:r>
          </w:p>
          <w:p w14:paraId="147558E0">
            <w:pPr>
              <w:jc w:val="both"/>
              <w:rPr>
                <w:rFonts w:hint="eastAsia"/>
                <w:b w:val="0"/>
                <w:bCs w:val="0"/>
                <w:sz w:val="24"/>
                <w:szCs w:val="32"/>
                <w:vertAlign w:val="baseline"/>
                <w:lang w:val="en-US" w:eastAsia="zh-CN"/>
              </w:rPr>
            </w:pPr>
            <w:r>
              <w:rPr>
                <w:rFonts w:hint="eastAsia"/>
                <w:b w:val="0"/>
                <w:bCs w:val="0"/>
                <w:sz w:val="24"/>
                <w:szCs w:val="32"/>
                <w:vertAlign w:val="baseline"/>
                <w:lang w:val="en-US" w:eastAsia="zh-CN"/>
              </w:rPr>
              <w:t>8、垃圾箱侧面设有防下降开关防止填料器举升后误操作导致填料器下降威胁到人身安全；产品上装有报警装置，进行涉及到安全的操作时可报警提示操作人员谨慎操作；填料器上设有安全撑</w:t>
            </w:r>
            <w:r>
              <w:rPr>
                <w:rFonts w:hint="eastAsia"/>
                <w:b w:val="0"/>
                <w:bCs w:val="0"/>
                <w:sz w:val="24"/>
                <w:szCs w:val="32"/>
                <w:highlight w:val="none"/>
                <w:vertAlign w:val="baseline"/>
                <w:lang w:val="en-US" w:eastAsia="zh-CN"/>
              </w:rPr>
              <w:t>杆，避免填料器下降伤人；填料器两侧设置的紧急停止按钮可使垃圾压填机构在任何状态或任何位置停止，保障作业人员、设备的安全；产品上贴有安全标贴，引导操作人员安全操作。</w:t>
            </w:r>
          </w:p>
        </w:tc>
        <w:tc>
          <w:tcPr>
            <w:tcW w:w="1110" w:type="dxa"/>
            <w:vMerge w:val="continue"/>
            <w:vAlign w:val="center"/>
          </w:tcPr>
          <w:p w14:paraId="5E137E59">
            <w:pPr>
              <w:jc w:val="center"/>
              <w:rPr>
                <w:rFonts w:hint="eastAsia"/>
                <w:sz w:val="24"/>
                <w:szCs w:val="32"/>
                <w:vertAlign w:val="baseline"/>
                <w:lang w:val="en-US" w:eastAsia="zh-CN"/>
              </w:rPr>
            </w:pPr>
          </w:p>
        </w:tc>
        <w:tc>
          <w:tcPr>
            <w:tcW w:w="1095" w:type="dxa"/>
            <w:vMerge w:val="continue"/>
            <w:vAlign w:val="center"/>
          </w:tcPr>
          <w:p w14:paraId="696426A0">
            <w:pPr>
              <w:jc w:val="center"/>
              <w:rPr>
                <w:rFonts w:hint="eastAsia"/>
                <w:sz w:val="24"/>
                <w:szCs w:val="32"/>
                <w:vertAlign w:val="baseline"/>
                <w:lang w:val="en-US" w:eastAsia="zh-CN"/>
              </w:rPr>
            </w:pPr>
          </w:p>
        </w:tc>
      </w:tr>
      <w:tr w14:paraId="4526B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restart"/>
            <w:vAlign w:val="center"/>
          </w:tcPr>
          <w:p w14:paraId="6B5CD4D0">
            <w:pPr>
              <w:jc w:val="center"/>
              <w:rPr>
                <w:sz w:val="24"/>
                <w:szCs w:val="32"/>
                <w:vertAlign w:val="baseline"/>
              </w:rPr>
            </w:pPr>
            <w:r>
              <w:rPr>
                <w:rFonts w:hint="eastAsia"/>
                <w:sz w:val="24"/>
                <w:szCs w:val="32"/>
                <w:vertAlign w:val="baseline"/>
                <w:lang w:val="en-US" w:eastAsia="zh-CN"/>
              </w:rPr>
              <w:t>皮卡型工具</w:t>
            </w:r>
            <w:r>
              <w:rPr>
                <w:rFonts w:hint="eastAsia"/>
                <w:sz w:val="24"/>
                <w:szCs w:val="32"/>
                <w:vertAlign w:val="baseline"/>
              </w:rPr>
              <w:t>车（燃油）</w:t>
            </w:r>
          </w:p>
        </w:tc>
        <w:tc>
          <w:tcPr>
            <w:tcW w:w="969" w:type="dxa"/>
            <w:vMerge w:val="restart"/>
            <w:vAlign w:val="center"/>
          </w:tcPr>
          <w:p w14:paraId="40601A28">
            <w:pPr>
              <w:pStyle w:val="7"/>
              <w:jc w:val="center"/>
              <w:rPr>
                <w:rFonts w:hint="default"/>
                <w:lang w:val="en-US" w:eastAsia="zh-CN"/>
              </w:rPr>
            </w:pPr>
            <w:r>
              <w:rPr>
                <w:rFonts w:hint="eastAsia"/>
                <w:sz w:val="24"/>
                <w:szCs w:val="32"/>
                <w:vertAlign w:val="baseline"/>
                <w:lang w:val="en-US" w:eastAsia="zh-CN"/>
              </w:rPr>
              <w:t>两驱：2</w:t>
            </w:r>
            <w:r>
              <w:rPr>
                <w:rFonts w:hint="eastAsia"/>
                <w:sz w:val="24"/>
                <w:szCs w:val="32"/>
                <w:vertAlign w:val="baseline"/>
                <w:lang w:val="en-US" w:eastAsia="zh-CN"/>
              </w:rPr>
              <w:br w:type="textWrapping"/>
            </w:r>
            <w:r>
              <w:rPr>
                <w:rFonts w:hint="eastAsia"/>
                <w:sz w:val="24"/>
                <w:szCs w:val="32"/>
                <w:vertAlign w:val="baseline"/>
                <w:lang w:val="en-US" w:eastAsia="zh-CN"/>
              </w:rPr>
              <w:t>四驱：2</w:t>
            </w:r>
          </w:p>
        </w:tc>
        <w:tc>
          <w:tcPr>
            <w:tcW w:w="561" w:type="dxa"/>
            <w:vMerge w:val="restart"/>
            <w:vAlign w:val="center"/>
          </w:tcPr>
          <w:p w14:paraId="7D06F53F">
            <w:pPr>
              <w:jc w:val="center"/>
              <w:rPr>
                <w:sz w:val="24"/>
                <w:szCs w:val="32"/>
                <w:vertAlign w:val="baseline"/>
              </w:rPr>
            </w:pPr>
            <w:r>
              <w:rPr>
                <w:rFonts w:hint="eastAsia"/>
                <w:sz w:val="24"/>
                <w:szCs w:val="32"/>
                <w:vertAlign w:val="baseline"/>
                <w:lang w:val="en-US" w:eastAsia="zh-CN"/>
              </w:rPr>
              <w:t>辆</w:t>
            </w:r>
          </w:p>
        </w:tc>
        <w:tc>
          <w:tcPr>
            <w:tcW w:w="9255" w:type="dxa"/>
            <w:gridSpan w:val="3"/>
            <w:vAlign w:val="center"/>
          </w:tcPr>
          <w:p w14:paraId="0EE48A8A">
            <w:pPr>
              <w:jc w:val="center"/>
              <w:rPr>
                <w:sz w:val="24"/>
                <w:szCs w:val="32"/>
                <w:vertAlign w:val="baseline"/>
              </w:rPr>
            </w:pPr>
            <w:r>
              <w:rPr>
                <w:rFonts w:hint="eastAsia"/>
                <w:b/>
                <w:bCs/>
                <w:sz w:val="24"/>
                <w:szCs w:val="32"/>
                <w:vertAlign w:val="baseline"/>
                <w:lang w:val="en-US" w:eastAsia="zh-CN"/>
              </w:rPr>
              <w:t>一、主要参数要求</w:t>
            </w:r>
          </w:p>
        </w:tc>
        <w:tc>
          <w:tcPr>
            <w:tcW w:w="1110" w:type="dxa"/>
            <w:vMerge w:val="restart"/>
            <w:vAlign w:val="center"/>
          </w:tcPr>
          <w:p w14:paraId="0C49EA9D">
            <w:pPr>
              <w:jc w:val="center"/>
              <w:rPr>
                <w:rFonts w:hint="default" w:eastAsiaTheme="minorEastAsia"/>
                <w:sz w:val="24"/>
                <w:szCs w:val="32"/>
                <w:vertAlign w:val="baseline"/>
                <w:lang w:val="en-US" w:eastAsia="zh-CN"/>
              </w:rPr>
            </w:pPr>
          </w:p>
        </w:tc>
        <w:tc>
          <w:tcPr>
            <w:tcW w:w="1095" w:type="dxa"/>
            <w:vMerge w:val="restart"/>
            <w:vAlign w:val="center"/>
          </w:tcPr>
          <w:p w14:paraId="473AD811">
            <w:pPr>
              <w:jc w:val="center"/>
              <w:rPr>
                <w:rFonts w:hint="default" w:eastAsiaTheme="minorEastAsia"/>
                <w:sz w:val="24"/>
                <w:szCs w:val="32"/>
                <w:vertAlign w:val="baseline"/>
                <w:lang w:val="en-US" w:eastAsia="zh-CN"/>
              </w:rPr>
            </w:pPr>
          </w:p>
        </w:tc>
      </w:tr>
      <w:tr w14:paraId="1D40F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241386EE">
            <w:pPr>
              <w:jc w:val="center"/>
              <w:rPr>
                <w:rFonts w:hint="eastAsia"/>
                <w:sz w:val="24"/>
                <w:szCs w:val="32"/>
                <w:vertAlign w:val="baseline"/>
              </w:rPr>
            </w:pPr>
          </w:p>
        </w:tc>
        <w:tc>
          <w:tcPr>
            <w:tcW w:w="969" w:type="dxa"/>
            <w:vMerge w:val="continue"/>
            <w:vAlign w:val="center"/>
          </w:tcPr>
          <w:p w14:paraId="332FCC4B">
            <w:pPr>
              <w:jc w:val="center"/>
              <w:rPr>
                <w:rFonts w:hint="eastAsia"/>
                <w:sz w:val="24"/>
                <w:szCs w:val="32"/>
                <w:vertAlign w:val="baseline"/>
                <w:lang w:val="en-US" w:eastAsia="zh-CN"/>
              </w:rPr>
            </w:pPr>
          </w:p>
        </w:tc>
        <w:tc>
          <w:tcPr>
            <w:tcW w:w="561" w:type="dxa"/>
            <w:vMerge w:val="continue"/>
            <w:vAlign w:val="center"/>
          </w:tcPr>
          <w:p w14:paraId="2AC8602B">
            <w:pPr>
              <w:jc w:val="center"/>
              <w:rPr>
                <w:rFonts w:hint="eastAsia"/>
                <w:sz w:val="24"/>
                <w:szCs w:val="32"/>
                <w:vertAlign w:val="baseline"/>
                <w:lang w:val="en-US" w:eastAsia="zh-CN"/>
              </w:rPr>
            </w:pPr>
          </w:p>
        </w:tc>
        <w:tc>
          <w:tcPr>
            <w:tcW w:w="4239" w:type="dxa"/>
            <w:gridSpan w:val="2"/>
            <w:vAlign w:val="center"/>
          </w:tcPr>
          <w:p w14:paraId="3F91E997">
            <w:pPr>
              <w:jc w:val="center"/>
              <w:rPr>
                <w:rFonts w:hint="eastAsia"/>
                <w:sz w:val="24"/>
                <w:szCs w:val="32"/>
                <w:vertAlign w:val="baseline"/>
                <w:lang w:val="en-US" w:eastAsia="zh-CN"/>
              </w:rPr>
            </w:pPr>
            <w:r>
              <w:rPr>
                <w:rFonts w:hint="eastAsia"/>
                <w:sz w:val="24"/>
                <w:szCs w:val="32"/>
                <w:vertAlign w:val="baseline"/>
                <w:lang w:val="en-US" w:eastAsia="zh-CN"/>
              </w:rPr>
              <w:t>底盘型号</w:t>
            </w:r>
          </w:p>
        </w:tc>
        <w:tc>
          <w:tcPr>
            <w:tcW w:w="5016" w:type="dxa"/>
            <w:vAlign w:val="center"/>
          </w:tcPr>
          <w:p w14:paraId="75DF6084">
            <w:pPr>
              <w:jc w:val="center"/>
              <w:rPr>
                <w:rFonts w:hint="default"/>
                <w:sz w:val="24"/>
                <w:szCs w:val="32"/>
                <w:vertAlign w:val="baseline"/>
                <w:lang w:val="en-US" w:eastAsia="zh-CN"/>
              </w:rPr>
            </w:pPr>
            <w:r>
              <w:rPr>
                <w:rFonts w:hint="default"/>
                <w:sz w:val="24"/>
                <w:szCs w:val="32"/>
                <w:vertAlign w:val="baseline"/>
                <w:lang w:val="en-US" w:eastAsia="zh-CN"/>
              </w:rPr>
              <w:t>多用途货车</w:t>
            </w:r>
          </w:p>
        </w:tc>
        <w:tc>
          <w:tcPr>
            <w:tcW w:w="1110" w:type="dxa"/>
            <w:vMerge w:val="continue"/>
            <w:vAlign w:val="center"/>
          </w:tcPr>
          <w:p w14:paraId="438D5DE6">
            <w:pPr>
              <w:jc w:val="center"/>
              <w:rPr>
                <w:rFonts w:hint="eastAsia"/>
                <w:sz w:val="24"/>
                <w:szCs w:val="32"/>
                <w:vertAlign w:val="baseline"/>
                <w:lang w:val="en-US" w:eastAsia="zh-CN"/>
              </w:rPr>
            </w:pPr>
          </w:p>
        </w:tc>
        <w:tc>
          <w:tcPr>
            <w:tcW w:w="1095" w:type="dxa"/>
            <w:vMerge w:val="continue"/>
            <w:vAlign w:val="center"/>
          </w:tcPr>
          <w:p w14:paraId="5A712169">
            <w:pPr>
              <w:jc w:val="center"/>
              <w:rPr>
                <w:rFonts w:hint="eastAsia"/>
                <w:sz w:val="24"/>
                <w:szCs w:val="32"/>
                <w:vertAlign w:val="baseline"/>
                <w:lang w:val="en-US" w:eastAsia="zh-CN"/>
              </w:rPr>
            </w:pPr>
          </w:p>
        </w:tc>
      </w:tr>
      <w:tr w14:paraId="65025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5F602308">
            <w:pPr>
              <w:jc w:val="center"/>
              <w:rPr>
                <w:rFonts w:hint="eastAsia"/>
                <w:sz w:val="24"/>
                <w:szCs w:val="32"/>
                <w:vertAlign w:val="baseline"/>
              </w:rPr>
            </w:pPr>
          </w:p>
        </w:tc>
        <w:tc>
          <w:tcPr>
            <w:tcW w:w="969" w:type="dxa"/>
            <w:vMerge w:val="continue"/>
            <w:vAlign w:val="center"/>
          </w:tcPr>
          <w:p w14:paraId="226C866C">
            <w:pPr>
              <w:jc w:val="center"/>
              <w:rPr>
                <w:rFonts w:hint="eastAsia"/>
                <w:sz w:val="24"/>
                <w:szCs w:val="32"/>
                <w:vertAlign w:val="baseline"/>
                <w:lang w:val="en-US" w:eastAsia="zh-CN"/>
              </w:rPr>
            </w:pPr>
          </w:p>
        </w:tc>
        <w:tc>
          <w:tcPr>
            <w:tcW w:w="561" w:type="dxa"/>
            <w:vMerge w:val="continue"/>
            <w:vAlign w:val="center"/>
          </w:tcPr>
          <w:p w14:paraId="71912244">
            <w:pPr>
              <w:jc w:val="center"/>
              <w:rPr>
                <w:rFonts w:hint="eastAsia"/>
                <w:sz w:val="24"/>
                <w:szCs w:val="32"/>
                <w:vertAlign w:val="baseline"/>
                <w:lang w:val="en-US" w:eastAsia="zh-CN"/>
              </w:rPr>
            </w:pPr>
          </w:p>
        </w:tc>
        <w:tc>
          <w:tcPr>
            <w:tcW w:w="4239" w:type="dxa"/>
            <w:gridSpan w:val="2"/>
            <w:vAlign w:val="center"/>
          </w:tcPr>
          <w:p w14:paraId="7013DE39">
            <w:pPr>
              <w:jc w:val="center"/>
              <w:rPr>
                <w:rFonts w:hint="eastAsia"/>
                <w:sz w:val="24"/>
                <w:szCs w:val="32"/>
                <w:vertAlign w:val="baseline"/>
                <w:lang w:val="en-US" w:eastAsia="zh-CN"/>
              </w:rPr>
            </w:pPr>
            <w:r>
              <w:rPr>
                <w:rFonts w:hint="eastAsia"/>
                <w:sz w:val="24"/>
                <w:szCs w:val="32"/>
                <w:vertAlign w:val="baseline"/>
                <w:lang w:val="en-US" w:eastAsia="zh-CN"/>
              </w:rPr>
              <w:t>燃料种类</w:t>
            </w:r>
          </w:p>
        </w:tc>
        <w:tc>
          <w:tcPr>
            <w:tcW w:w="5016" w:type="dxa"/>
            <w:vAlign w:val="center"/>
          </w:tcPr>
          <w:p w14:paraId="571D347B">
            <w:pPr>
              <w:jc w:val="center"/>
              <w:rPr>
                <w:rFonts w:hint="default"/>
                <w:sz w:val="24"/>
                <w:szCs w:val="32"/>
                <w:vertAlign w:val="baseline"/>
                <w:lang w:val="en-US" w:eastAsia="zh-CN"/>
              </w:rPr>
            </w:pPr>
            <w:r>
              <w:rPr>
                <w:rFonts w:hint="eastAsia"/>
                <w:sz w:val="24"/>
                <w:szCs w:val="32"/>
                <w:vertAlign w:val="baseline"/>
                <w:lang w:val="en-US" w:eastAsia="zh-CN"/>
              </w:rPr>
              <w:t>汽油</w:t>
            </w:r>
          </w:p>
        </w:tc>
        <w:tc>
          <w:tcPr>
            <w:tcW w:w="1110" w:type="dxa"/>
            <w:vMerge w:val="continue"/>
            <w:vAlign w:val="center"/>
          </w:tcPr>
          <w:p w14:paraId="2B94BBD3">
            <w:pPr>
              <w:jc w:val="center"/>
              <w:rPr>
                <w:rFonts w:hint="eastAsia"/>
                <w:sz w:val="24"/>
                <w:szCs w:val="32"/>
                <w:vertAlign w:val="baseline"/>
                <w:lang w:val="en-US" w:eastAsia="zh-CN"/>
              </w:rPr>
            </w:pPr>
          </w:p>
        </w:tc>
        <w:tc>
          <w:tcPr>
            <w:tcW w:w="1095" w:type="dxa"/>
            <w:vMerge w:val="continue"/>
            <w:vAlign w:val="center"/>
          </w:tcPr>
          <w:p w14:paraId="7F1F9081">
            <w:pPr>
              <w:jc w:val="center"/>
              <w:rPr>
                <w:rFonts w:hint="eastAsia"/>
                <w:sz w:val="24"/>
                <w:szCs w:val="32"/>
                <w:vertAlign w:val="baseline"/>
                <w:lang w:val="en-US" w:eastAsia="zh-CN"/>
              </w:rPr>
            </w:pPr>
          </w:p>
        </w:tc>
      </w:tr>
      <w:tr w14:paraId="320E7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548FBAE6">
            <w:pPr>
              <w:jc w:val="center"/>
              <w:rPr>
                <w:rFonts w:hint="eastAsia"/>
                <w:sz w:val="24"/>
                <w:szCs w:val="32"/>
                <w:vertAlign w:val="baseline"/>
              </w:rPr>
            </w:pPr>
          </w:p>
        </w:tc>
        <w:tc>
          <w:tcPr>
            <w:tcW w:w="969" w:type="dxa"/>
            <w:vMerge w:val="continue"/>
            <w:vAlign w:val="center"/>
          </w:tcPr>
          <w:p w14:paraId="794F6F00">
            <w:pPr>
              <w:jc w:val="center"/>
              <w:rPr>
                <w:rFonts w:hint="eastAsia"/>
                <w:sz w:val="24"/>
                <w:szCs w:val="32"/>
                <w:vertAlign w:val="baseline"/>
                <w:lang w:val="en-US" w:eastAsia="zh-CN"/>
              </w:rPr>
            </w:pPr>
          </w:p>
        </w:tc>
        <w:tc>
          <w:tcPr>
            <w:tcW w:w="561" w:type="dxa"/>
            <w:vMerge w:val="continue"/>
            <w:vAlign w:val="center"/>
          </w:tcPr>
          <w:p w14:paraId="2D2AC2D9">
            <w:pPr>
              <w:jc w:val="center"/>
              <w:rPr>
                <w:rFonts w:hint="eastAsia"/>
                <w:sz w:val="24"/>
                <w:szCs w:val="32"/>
                <w:vertAlign w:val="baseline"/>
                <w:lang w:val="en-US" w:eastAsia="zh-CN"/>
              </w:rPr>
            </w:pPr>
          </w:p>
        </w:tc>
        <w:tc>
          <w:tcPr>
            <w:tcW w:w="4239" w:type="dxa"/>
            <w:gridSpan w:val="2"/>
            <w:vAlign w:val="center"/>
          </w:tcPr>
          <w:p w14:paraId="6CD8E3DF">
            <w:pPr>
              <w:jc w:val="center"/>
              <w:rPr>
                <w:rFonts w:hint="eastAsia"/>
                <w:sz w:val="24"/>
                <w:szCs w:val="32"/>
                <w:vertAlign w:val="baseline"/>
                <w:lang w:val="en-US" w:eastAsia="zh-CN"/>
              </w:rPr>
            </w:pPr>
            <w:r>
              <w:rPr>
                <w:rFonts w:hint="eastAsia"/>
                <w:sz w:val="24"/>
                <w:szCs w:val="32"/>
                <w:vertAlign w:val="baseline"/>
                <w:lang w:val="en-US" w:eastAsia="zh-CN"/>
              </w:rPr>
              <w:t xml:space="preserve">发动机额定功率(kw) </w:t>
            </w:r>
          </w:p>
        </w:tc>
        <w:tc>
          <w:tcPr>
            <w:tcW w:w="5016" w:type="dxa"/>
            <w:vAlign w:val="center"/>
          </w:tcPr>
          <w:p w14:paraId="45C9764A">
            <w:pPr>
              <w:jc w:val="center"/>
              <w:rPr>
                <w:rFonts w:hint="default"/>
                <w:sz w:val="24"/>
                <w:szCs w:val="32"/>
                <w:vertAlign w:val="baseline"/>
                <w:lang w:val="en-US" w:eastAsia="zh-CN"/>
              </w:rPr>
            </w:pPr>
            <w:r>
              <w:rPr>
                <w:rFonts w:hint="eastAsia"/>
                <w:sz w:val="24"/>
                <w:szCs w:val="32"/>
                <w:vertAlign w:val="baseline"/>
                <w:lang w:val="en-US" w:eastAsia="en-US"/>
              </w:rPr>
              <w:t>≥</w:t>
            </w:r>
            <w:r>
              <w:rPr>
                <w:rFonts w:hint="eastAsia"/>
                <w:sz w:val="24"/>
                <w:szCs w:val="32"/>
                <w:vertAlign w:val="baseline"/>
                <w:lang w:val="en-US" w:eastAsia="zh-CN"/>
              </w:rPr>
              <w:t>140</w:t>
            </w:r>
          </w:p>
        </w:tc>
        <w:tc>
          <w:tcPr>
            <w:tcW w:w="1110" w:type="dxa"/>
            <w:vMerge w:val="continue"/>
            <w:vAlign w:val="center"/>
          </w:tcPr>
          <w:p w14:paraId="72D62E7B">
            <w:pPr>
              <w:jc w:val="center"/>
              <w:rPr>
                <w:rFonts w:hint="eastAsia"/>
                <w:sz w:val="24"/>
                <w:szCs w:val="32"/>
                <w:vertAlign w:val="baseline"/>
                <w:lang w:val="en-US" w:eastAsia="zh-CN"/>
              </w:rPr>
            </w:pPr>
          </w:p>
        </w:tc>
        <w:tc>
          <w:tcPr>
            <w:tcW w:w="1095" w:type="dxa"/>
            <w:vMerge w:val="continue"/>
            <w:vAlign w:val="center"/>
          </w:tcPr>
          <w:p w14:paraId="202BE479">
            <w:pPr>
              <w:jc w:val="center"/>
              <w:rPr>
                <w:rFonts w:hint="eastAsia"/>
                <w:sz w:val="24"/>
                <w:szCs w:val="32"/>
                <w:vertAlign w:val="baseline"/>
                <w:lang w:val="en-US" w:eastAsia="zh-CN"/>
              </w:rPr>
            </w:pPr>
          </w:p>
        </w:tc>
      </w:tr>
      <w:tr w14:paraId="7C6F0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0" w:type="dxa"/>
            <w:vMerge w:val="continue"/>
            <w:vAlign w:val="center"/>
          </w:tcPr>
          <w:p w14:paraId="12721169">
            <w:pPr>
              <w:jc w:val="center"/>
              <w:rPr>
                <w:rFonts w:hint="eastAsia"/>
                <w:sz w:val="24"/>
                <w:szCs w:val="32"/>
                <w:vertAlign w:val="baseline"/>
              </w:rPr>
            </w:pPr>
          </w:p>
        </w:tc>
        <w:tc>
          <w:tcPr>
            <w:tcW w:w="969" w:type="dxa"/>
            <w:vMerge w:val="continue"/>
            <w:vAlign w:val="center"/>
          </w:tcPr>
          <w:p w14:paraId="1C0F8397">
            <w:pPr>
              <w:jc w:val="center"/>
              <w:rPr>
                <w:rFonts w:hint="eastAsia"/>
                <w:sz w:val="24"/>
                <w:szCs w:val="32"/>
                <w:vertAlign w:val="baseline"/>
                <w:lang w:val="en-US" w:eastAsia="zh-CN"/>
              </w:rPr>
            </w:pPr>
          </w:p>
        </w:tc>
        <w:tc>
          <w:tcPr>
            <w:tcW w:w="561" w:type="dxa"/>
            <w:vMerge w:val="continue"/>
            <w:vAlign w:val="center"/>
          </w:tcPr>
          <w:p w14:paraId="5C3FB720">
            <w:pPr>
              <w:jc w:val="center"/>
              <w:rPr>
                <w:rFonts w:hint="eastAsia"/>
                <w:sz w:val="24"/>
                <w:szCs w:val="32"/>
                <w:vertAlign w:val="baseline"/>
                <w:lang w:val="en-US" w:eastAsia="zh-CN"/>
              </w:rPr>
            </w:pPr>
          </w:p>
        </w:tc>
        <w:tc>
          <w:tcPr>
            <w:tcW w:w="4239" w:type="dxa"/>
            <w:gridSpan w:val="2"/>
            <w:vAlign w:val="center"/>
          </w:tcPr>
          <w:p w14:paraId="50D2C059">
            <w:pPr>
              <w:jc w:val="center"/>
              <w:rPr>
                <w:rFonts w:hint="eastAsia"/>
                <w:sz w:val="24"/>
                <w:szCs w:val="32"/>
                <w:vertAlign w:val="baseline"/>
                <w:lang w:val="en-US" w:eastAsia="zh-CN"/>
              </w:rPr>
            </w:pPr>
            <w:r>
              <w:rPr>
                <w:rFonts w:hint="eastAsia"/>
                <w:sz w:val="24"/>
                <w:szCs w:val="32"/>
                <w:vertAlign w:val="baseline"/>
                <w:lang w:val="en-US" w:eastAsia="zh-CN"/>
              </w:rPr>
              <w:t>总质量(Kg)</w:t>
            </w:r>
          </w:p>
        </w:tc>
        <w:tc>
          <w:tcPr>
            <w:tcW w:w="5016" w:type="dxa"/>
            <w:vAlign w:val="center"/>
          </w:tcPr>
          <w:p w14:paraId="6388AB4A">
            <w:pPr>
              <w:jc w:val="center"/>
              <w:rPr>
                <w:rFonts w:hint="default"/>
                <w:sz w:val="24"/>
                <w:szCs w:val="32"/>
                <w:vertAlign w:val="baseline"/>
                <w:lang w:val="en-US" w:eastAsia="zh-CN"/>
              </w:rPr>
            </w:pPr>
            <w:r>
              <w:rPr>
                <w:rFonts w:hint="eastAsia"/>
                <w:sz w:val="24"/>
                <w:szCs w:val="32"/>
                <w:vertAlign w:val="baseline"/>
                <w:lang w:val="en-US" w:eastAsia="en-US"/>
              </w:rPr>
              <w:t>≥</w:t>
            </w:r>
            <w:r>
              <w:rPr>
                <w:rFonts w:hint="eastAsia"/>
                <w:sz w:val="24"/>
                <w:szCs w:val="32"/>
                <w:vertAlign w:val="baseline"/>
                <w:lang w:val="en-US" w:eastAsia="zh-CN"/>
              </w:rPr>
              <w:t>2640</w:t>
            </w:r>
          </w:p>
        </w:tc>
        <w:tc>
          <w:tcPr>
            <w:tcW w:w="1110" w:type="dxa"/>
            <w:vMerge w:val="continue"/>
            <w:vAlign w:val="center"/>
          </w:tcPr>
          <w:p w14:paraId="71DE1F23">
            <w:pPr>
              <w:jc w:val="center"/>
              <w:rPr>
                <w:rFonts w:hint="eastAsia"/>
                <w:sz w:val="24"/>
                <w:szCs w:val="32"/>
                <w:vertAlign w:val="baseline"/>
                <w:lang w:val="en-US" w:eastAsia="zh-CN"/>
              </w:rPr>
            </w:pPr>
          </w:p>
        </w:tc>
        <w:tc>
          <w:tcPr>
            <w:tcW w:w="1095" w:type="dxa"/>
            <w:vMerge w:val="continue"/>
            <w:vAlign w:val="center"/>
          </w:tcPr>
          <w:p w14:paraId="33DF4B15">
            <w:pPr>
              <w:jc w:val="center"/>
              <w:rPr>
                <w:rFonts w:hint="eastAsia"/>
                <w:sz w:val="24"/>
                <w:szCs w:val="32"/>
                <w:vertAlign w:val="baseline"/>
                <w:lang w:val="en-US" w:eastAsia="zh-CN"/>
              </w:rPr>
            </w:pPr>
          </w:p>
        </w:tc>
      </w:tr>
      <w:tr w14:paraId="72E8C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478F3B3E">
            <w:pPr>
              <w:jc w:val="center"/>
              <w:rPr>
                <w:rFonts w:hint="eastAsia"/>
                <w:sz w:val="24"/>
                <w:szCs w:val="32"/>
                <w:vertAlign w:val="baseline"/>
              </w:rPr>
            </w:pPr>
          </w:p>
        </w:tc>
        <w:tc>
          <w:tcPr>
            <w:tcW w:w="969" w:type="dxa"/>
            <w:vMerge w:val="continue"/>
            <w:vAlign w:val="center"/>
          </w:tcPr>
          <w:p w14:paraId="2B5730D9">
            <w:pPr>
              <w:jc w:val="center"/>
              <w:rPr>
                <w:rFonts w:hint="eastAsia"/>
                <w:sz w:val="24"/>
                <w:szCs w:val="32"/>
                <w:vertAlign w:val="baseline"/>
                <w:lang w:val="en-US" w:eastAsia="zh-CN"/>
              </w:rPr>
            </w:pPr>
          </w:p>
        </w:tc>
        <w:tc>
          <w:tcPr>
            <w:tcW w:w="561" w:type="dxa"/>
            <w:vMerge w:val="continue"/>
            <w:vAlign w:val="center"/>
          </w:tcPr>
          <w:p w14:paraId="5526EB96">
            <w:pPr>
              <w:jc w:val="center"/>
              <w:rPr>
                <w:rFonts w:hint="eastAsia"/>
                <w:sz w:val="24"/>
                <w:szCs w:val="32"/>
                <w:vertAlign w:val="baseline"/>
                <w:lang w:val="en-US" w:eastAsia="zh-CN"/>
              </w:rPr>
            </w:pPr>
          </w:p>
        </w:tc>
        <w:tc>
          <w:tcPr>
            <w:tcW w:w="4239" w:type="dxa"/>
            <w:gridSpan w:val="2"/>
            <w:vAlign w:val="center"/>
          </w:tcPr>
          <w:p w14:paraId="268B732F">
            <w:pPr>
              <w:jc w:val="center"/>
              <w:rPr>
                <w:rFonts w:hint="eastAsia"/>
                <w:sz w:val="24"/>
                <w:szCs w:val="32"/>
                <w:vertAlign w:val="baseline"/>
                <w:lang w:val="en-US" w:eastAsia="zh-CN"/>
              </w:rPr>
            </w:pPr>
            <w:r>
              <w:rPr>
                <w:rFonts w:hint="eastAsia"/>
                <w:sz w:val="24"/>
                <w:szCs w:val="32"/>
                <w:vertAlign w:val="baseline"/>
                <w:lang w:val="en-US" w:eastAsia="zh-CN"/>
              </w:rPr>
              <w:t>★ 整备质量(Kg)</w:t>
            </w:r>
          </w:p>
        </w:tc>
        <w:tc>
          <w:tcPr>
            <w:tcW w:w="5016" w:type="dxa"/>
            <w:vAlign w:val="center"/>
          </w:tcPr>
          <w:p w14:paraId="204B0FDF">
            <w:pPr>
              <w:jc w:val="center"/>
              <w:rPr>
                <w:rFonts w:hint="default"/>
                <w:sz w:val="24"/>
                <w:szCs w:val="32"/>
                <w:vertAlign w:val="baseline"/>
                <w:lang w:val="en-US" w:eastAsia="zh-CN"/>
              </w:rPr>
            </w:pPr>
            <w:r>
              <w:rPr>
                <w:rFonts w:hint="eastAsia"/>
                <w:sz w:val="24"/>
                <w:szCs w:val="32"/>
                <w:vertAlign w:val="baseline"/>
                <w:lang w:val="en-US" w:eastAsia="en-US"/>
              </w:rPr>
              <w:t>≥</w:t>
            </w:r>
            <w:r>
              <w:rPr>
                <w:rFonts w:hint="eastAsia"/>
                <w:sz w:val="24"/>
                <w:szCs w:val="32"/>
                <w:vertAlign w:val="baseline"/>
                <w:lang w:val="en-US" w:eastAsia="zh-CN"/>
              </w:rPr>
              <w:t>1900</w:t>
            </w:r>
          </w:p>
        </w:tc>
        <w:tc>
          <w:tcPr>
            <w:tcW w:w="1110" w:type="dxa"/>
            <w:vMerge w:val="continue"/>
            <w:vAlign w:val="center"/>
          </w:tcPr>
          <w:p w14:paraId="0C49CA5B">
            <w:pPr>
              <w:jc w:val="center"/>
              <w:rPr>
                <w:rFonts w:hint="eastAsia"/>
                <w:sz w:val="24"/>
                <w:szCs w:val="32"/>
                <w:vertAlign w:val="baseline"/>
                <w:lang w:val="en-US" w:eastAsia="zh-CN"/>
              </w:rPr>
            </w:pPr>
          </w:p>
        </w:tc>
        <w:tc>
          <w:tcPr>
            <w:tcW w:w="1095" w:type="dxa"/>
            <w:vMerge w:val="continue"/>
            <w:vAlign w:val="center"/>
          </w:tcPr>
          <w:p w14:paraId="3778E9C3">
            <w:pPr>
              <w:jc w:val="center"/>
              <w:rPr>
                <w:rFonts w:hint="eastAsia"/>
                <w:sz w:val="24"/>
                <w:szCs w:val="32"/>
                <w:vertAlign w:val="baseline"/>
                <w:lang w:val="en-US" w:eastAsia="zh-CN"/>
              </w:rPr>
            </w:pPr>
          </w:p>
        </w:tc>
      </w:tr>
      <w:tr w14:paraId="322C1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736549E3">
            <w:pPr>
              <w:jc w:val="center"/>
              <w:rPr>
                <w:rFonts w:hint="eastAsia"/>
                <w:sz w:val="24"/>
                <w:szCs w:val="32"/>
                <w:vertAlign w:val="baseline"/>
              </w:rPr>
            </w:pPr>
          </w:p>
        </w:tc>
        <w:tc>
          <w:tcPr>
            <w:tcW w:w="969" w:type="dxa"/>
            <w:vMerge w:val="continue"/>
            <w:vAlign w:val="center"/>
          </w:tcPr>
          <w:p w14:paraId="112134AD">
            <w:pPr>
              <w:jc w:val="center"/>
              <w:rPr>
                <w:rFonts w:hint="eastAsia"/>
                <w:sz w:val="24"/>
                <w:szCs w:val="32"/>
                <w:vertAlign w:val="baseline"/>
                <w:lang w:val="en-US" w:eastAsia="zh-CN"/>
              </w:rPr>
            </w:pPr>
          </w:p>
        </w:tc>
        <w:tc>
          <w:tcPr>
            <w:tcW w:w="561" w:type="dxa"/>
            <w:vMerge w:val="continue"/>
            <w:vAlign w:val="center"/>
          </w:tcPr>
          <w:p w14:paraId="777B74CC">
            <w:pPr>
              <w:jc w:val="center"/>
              <w:rPr>
                <w:rFonts w:hint="eastAsia"/>
                <w:sz w:val="24"/>
                <w:szCs w:val="32"/>
                <w:vertAlign w:val="baseline"/>
                <w:lang w:val="en-US" w:eastAsia="zh-CN"/>
              </w:rPr>
            </w:pPr>
          </w:p>
        </w:tc>
        <w:tc>
          <w:tcPr>
            <w:tcW w:w="4239" w:type="dxa"/>
            <w:gridSpan w:val="2"/>
            <w:vAlign w:val="center"/>
          </w:tcPr>
          <w:p w14:paraId="1FC142D9">
            <w:pPr>
              <w:jc w:val="center"/>
              <w:rPr>
                <w:rFonts w:hint="eastAsia"/>
                <w:sz w:val="24"/>
                <w:szCs w:val="32"/>
                <w:vertAlign w:val="baseline"/>
                <w:lang w:val="en-US" w:eastAsia="zh-CN"/>
              </w:rPr>
            </w:pPr>
            <w:r>
              <w:rPr>
                <w:rFonts w:hint="eastAsia"/>
                <w:sz w:val="24"/>
                <w:szCs w:val="32"/>
                <w:vertAlign w:val="baseline"/>
                <w:lang w:val="en-US" w:eastAsia="zh-CN"/>
              </w:rPr>
              <w:t>★额定载质量(Kg)</w:t>
            </w:r>
          </w:p>
        </w:tc>
        <w:tc>
          <w:tcPr>
            <w:tcW w:w="5016" w:type="dxa"/>
            <w:vAlign w:val="center"/>
          </w:tcPr>
          <w:p w14:paraId="7DEBB6B0">
            <w:pPr>
              <w:jc w:val="center"/>
              <w:rPr>
                <w:rFonts w:hint="default"/>
                <w:sz w:val="24"/>
                <w:szCs w:val="32"/>
                <w:vertAlign w:val="baseline"/>
                <w:lang w:val="en-US" w:eastAsia="zh-CN"/>
              </w:rPr>
            </w:pPr>
            <w:r>
              <w:rPr>
                <w:rFonts w:hint="eastAsia"/>
                <w:sz w:val="24"/>
                <w:szCs w:val="32"/>
                <w:vertAlign w:val="baseline"/>
                <w:lang w:val="en-US" w:eastAsia="en-US"/>
              </w:rPr>
              <w:t>≥</w:t>
            </w:r>
            <w:r>
              <w:rPr>
                <w:rFonts w:hint="eastAsia"/>
                <w:sz w:val="24"/>
                <w:szCs w:val="32"/>
                <w:vertAlign w:val="baseline"/>
                <w:lang w:val="en-US" w:eastAsia="zh-CN"/>
              </w:rPr>
              <w:t>380</w:t>
            </w:r>
          </w:p>
        </w:tc>
        <w:tc>
          <w:tcPr>
            <w:tcW w:w="1110" w:type="dxa"/>
            <w:vMerge w:val="continue"/>
            <w:vAlign w:val="center"/>
          </w:tcPr>
          <w:p w14:paraId="75636BEE">
            <w:pPr>
              <w:jc w:val="center"/>
              <w:rPr>
                <w:rFonts w:hint="eastAsia"/>
                <w:sz w:val="24"/>
                <w:szCs w:val="32"/>
                <w:vertAlign w:val="baseline"/>
                <w:lang w:val="en-US" w:eastAsia="zh-CN"/>
              </w:rPr>
            </w:pPr>
          </w:p>
        </w:tc>
        <w:tc>
          <w:tcPr>
            <w:tcW w:w="1095" w:type="dxa"/>
            <w:vMerge w:val="continue"/>
            <w:vAlign w:val="center"/>
          </w:tcPr>
          <w:p w14:paraId="5E655DB7">
            <w:pPr>
              <w:jc w:val="center"/>
              <w:rPr>
                <w:rFonts w:hint="eastAsia"/>
                <w:sz w:val="24"/>
                <w:szCs w:val="32"/>
                <w:vertAlign w:val="baseline"/>
                <w:lang w:val="en-US" w:eastAsia="zh-CN"/>
              </w:rPr>
            </w:pPr>
          </w:p>
        </w:tc>
      </w:tr>
      <w:tr w14:paraId="73C3F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44407F2F">
            <w:pPr>
              <w:jc w:val="center"/>
              <w:rPr>
                <w:rFonts w:hint="eastAsia"/>
                <w:sz w:val="24"/>
                <w:szCs w:val="32"/>
                <w:vertAlign w:val="baseline"/>
              </w:rPr>
            </w:pPr>
          </w:p>
        </w:tc>
        <w:tc>
          <w:tcPr>
            <w:tcW w:w="969" w:type="dxa"/>
            <w:vMerge w:val="continue"/>
            <w:vAlign w:val="center"/>
          </w:tcPr>
          <w:p w14:paraId="21B6DDEB">
            <w:pPr>
              <w:jc w:val="center"/>
              <w:rPr>
                <w:rFonts w:hint="eastAsia"/>
                <w:sz w:val="24"/>
                <w:szCs w:val="32"/>
                <w:vertAlign w:val="baseline"/>
                <w:lang w:val="en-US" w:eastAsia="zh-CN"/>
              </w:rPr>
            </w:pPr>
          </w:p>
        </w:tc>
        <w:tc>
          <w:tcPr>
            <w:tcW w:w="561" w:type="dxa"/>
            <w:vMerge w:val="continue"/>
            <w:vAlign w:val="center"/>
          </w:tcPr>
          <w:p w14:paraId="3051979B">
            <w:pPr>
              <w:jc w:val="center"/>
              <w:rPr>
                <w:rFonts w:hint="eastAsia"/>
                <w:sz w:val="24"/>
                <w:szCs w:val="32"/>
                <w:vertAlign w:val="baseline"/>
                <w:lang w:val="en-US" w:eastAsia="zh-CN"/>
              </w:rPr>
            </w:pPr>
          </w:p>
        </w:tc>
        <w:tc>
          <w:tcPr>
            <w:tcW w:w="4239" w:type="dxa"/>
            <w:gridSpan w:val="2"/>
            <w:vAlign w:val="center"/>
          </w:tcPr>
          <w:p w14:paraId="5987A087">
            <w:pPr>
              <w:jc w:val="center"/>
              <w:rPr>
                <w:rFonts w:hint="eastAsia"/>
                <w:sz w:val="24"/>
                <w:szCs w:val="32"/>
                <w:vertAlign w:val="baseline"/>
                <w:lang w:val="en-US" w:eastAsia="zh-CN"/>
              </w:rPr>
            </w:pPr>
            <w:r>
              <w:rPr>
                <w:rFonts w:hint="eastAsia"/>
                <w:sz w:val="24"/>
                <w:szCs w:val="32"/>
                <w:vertAlign w:val="baseline"/>
                <w:lang w:val="en-US" w:eastAsia="zh-CN"/>
              </w:rPr>
              <w:t>★外形尺寸(长x宽x高)(mm)</w:t>
            </w:r>
          </w:p>
        </w:tc>
        <w:tc>
          <w:tcPr>
            <w:tcW w:w="5016" w:type="dxa"/>
            <w:vAlign w:val="center"/>
          </w:tcPr>
          <w:p w14:paraId="6713ED81">
            <w:pPr>
              <w:jc w:val="center"/>
              <w:rPr>
                <w:rFonts w:hint="eastAsia"/>
                <w:sz w:val="24"/>
                <w:szCs w:val="32"/>
                <w:vertAlign w:val="baseline"/>
                <w:lang w:val="en-US" w:eastAsia="zh-CN"/>
              </w:rPr>
            </w:pPr>
            <w:r>
              <w:rPr>
                <w:rFonts w:hint="eastAsia"/>
                <w:sz w:val="24"/>
                <w:szCs w:val="32"/>
                <w:vertAlign w:val="baseline"/>
                <w:lang w:val="en-US" w:eastAsia="en-US"/>
              </w:rPr>
              <w:t>≥</w:t>
            </w:r>
            <w:r>
              <w:rPr>
                <w:rFonts w:hint="eastAsia"/>
                <w:sz w:val="24"/>
                <w:szCs w:val="32"/>
                <w:vertAlign w:val="baseline"/>
                <w:lang w:val="en-US" w:eastAsia="zh-CN"/>
              </w:rPr>
              <w:t>5450×1880×1830</w:t>
            </w:r>
          </w:p>
        </w:tc>
        <w:tc>
          <w:tcPr>
            <w:tcW w:w="1110" w:type="dxa"/>
            <w:vMerge w:val="continue"/>
            <w:vAlign w:val="center"/>
          </w:tcPr>
          <w:p w14:paraId="0FFFBC44">
            <w:pPr>
              <w:jc w:val="center"/>
              <w:rPr>
                <w:rFonts w:hint="eastAsia"/>
                <w:sz w:val="24"/>
                <w:szCs w:val="32"/>
                <w:vertAlign w:val="baseline"/>
                <w:lang w:val="en-US" w:eastAsia="zh-CN"/>
              </w:rPr>
            </w:pPr>
          </w:p>
        </w:tc>
        <w:tc>
          <w:tcPr>
            <w:tcW w:w="1095" w:type="dxa"/>
            <w:vMerge w:val="continue"/>
            <w:vAlign w:val="center"/>
          </w:tcPr>
          <w:p w14:paraId="208937A9">
            <w:pPr>
              <w:jc w:val="center"/>
              <w:rPr>
                <w:rFonts w:hint="eastAsia"/>
                <w:sz w:val="24"/>
                <w:szCs w:val="32"/>
                <w:vertAlign w:val="baseline"/>
                <w:lang w:val="en-US" w:eastAsia="zh-CN"/>
              </w:rPr>
            </w:pPr>
          </w:p>
        </w:tc>
      </w:tr>
      <w:tr w14:paraId="4D036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61BF131D">
            <w:pPr>
              <w:jc w:val="center"/>
              <w:rPr>
                <w:rFonts w:hint="eastAsia"/>
                <w:sz w:val="24"/>
                <w:szCs w:val="32"/>
                <w:vertAlign w:val="baseline"/>
              </w:rPr>
            </w:pPr>
          </w:p>
        </w:tc>
        <w:tc>
          <w:tcPr>
            <w:tcW w:w="969" w:type="dxa"/>
            <w:vMerge w:val="continue"/>
            <w:vAlign w:val="center"/>
          </w:tcPr>
          <w:p w14:paraId="72E849FF">
            <w:pPr>
              <w:jc w:val="center"/>
              <w:rPr>
                <w:rFonts w:hint="eastAsia"/>
                <w:sz w:val="24"/>
                <w:szCs w:val="32"/>
                <w:vertAlign w:val="baseline"/>
                <w:lang w:val="en-US" w:eastAsia="zh-CN"/>
              </w:rPr>
            </w:pPr>
          </w:p>
        </w:tc>
        <w:tc>
          <w:tcPr>
            <w:tcW w:w="561" w:type="dxa"/>
            <w:vMerge w:val="continue"/>
            <w:vAlign w:val="center"/>
          </w:tcPr>
          <w:p w14:paraId="1BA545B3">
            <w:pPr>
              <w:jc w:val="center"/>
              <w:rPr>
                <w:rFonts w:hint="eastAsia"/>
                <w:sz w:val="24"/>
                <w:szCs w:val="32"/>
                <w:vertAlign w:val="baseline"/>
                <w:lang w:val="en-US" w:eastAsia="zh-CN"/>
              </w:rPr>
            </w:pPr>
          </w:p>
        </w:tc>
        <w:tc>
          <w:tcPr>
            <w:tcW w:w="4239" w:type="dxa"/>
            <w:gridSpan w:val="2"/>
            <w:vAlign w:val="center"/>
          </w:tcPr>
          <w:p w14:paraId="59832700">
            <w:pPr>
              <w:jc w:val="center"/>
              <w:rPr>
                <w:rFonts w:hint="eastAsia"/>
                <w:sz w:val="24"/>
                <w:szCs w:val="32"/>
                <w:vertAlign w:val="baseline"/>
                <w:lang w:val="en-US" w:eastAsia="zh-CN"/>
              </w:rPr>
            </w:pPr>
            <w:r>
              <w:rPr>
                <w:rFonts w:hint="eastAsia"/>
                <w:sz w:val="24"/>
                <w:szCs w:val="32"/>
                <w:vertAlign w:val="baseline"/>
                <w:lang w:val="en-US" w:eastAsia="zh-CN"/>
              </w:rPr>
              <w:t>★轴距(mm)</w:t>
            </w:r>
          </w:p>
        </w:tc>
        <w:tc>
          <w:tcPr>
            <w:tcW w:w="5016" w:type="dxa"/>
            <w:vAlign w:val="center"/>
          </w:tcPr>
          <w:p w14:paraId="0056E966">
            <w:pPr>
              <w:jc w:val="center"/>
              <w:rPr>
                <w:rFonts w:hint="eastAsia"/>
                <w:sz w:val="24"/>
                <w:szCs w:val="32"/>
                <w:vertAlign w:val="baseline"/>
                <w:lang w:val="en-US" w:eastAsia="zh-CN"/>
              </w:rPr>
            </w:pPr>
            <w:r>
              <w:rPr>
                <w:rFonts w:hint="eastAsia"/>
                <w:sz w:val="24"/>
                <w:szCs w:val="32"/>
                <w:vertAlign w:val="baseline"/>
                <w:lang w:val="en-US" w:eastAsia="en-US"/>
              </w:rPr>
              <w:t>≥</w:t>
            </w:r>
            <w:r>
              <w:rPr>
                <w:rFonts w:hint="eastAsia"/>
                <w:sz w:val="24"/>
                <w:szCs w:val="32"/>
                <w:vertAlign w:val="baseline"/>
                <w:lang w:val="en-US" w:eastAsia="zh-CN"/>
              </w:rPr>
              <w:t>3085</w:t>
            </w:r>
          </w:p>
        </w:tc>
        <w:tc>
          <w:tcPr>
            <w:tcW w:w="1110" w:type="dxa"/>
            <w:vMerge w:val="continue"/>
            <w:vAlign w:val="center"/>
          </w:tcPr>
          <w:p w14:paraId="6D0FEA53">
            <w:pPr>
              <w:jc w:val="center"/>
              <w:rPr>
                <w:rFonts w:hint="eastAsia"/>
                <w:sz w:val="24"/>
                <w:szCs w:val="32"/>
                <w:vertAlign w:val="baseline"/>
                <w:lang w:val="en-US" w:eastAsia="zh-CN"/>
              </w:rPr>
            </w:pPr>
          </w:p>
        </w:tc>
        <w:tc>
          <w:tcPr>
            <w:tcW w:w="1095" w:type="dxa"/>
            <w:vMerge w:val="continue"/>
            <w:vAlign w:val="center"/>
          </w:tcPr>
          <w:p w14:paraId="7C60A86A">
            <w:pPr>
              <w:jc w:val="center"/>
              <w:rPr>
                <w:rFonts w:hint="eastAsia"/>
                <w:sz w:val="24"/>
                <w:szCs w:val="32"/>
                <w:vertAlign w:val="baseline"/>
                <w:lang w:val="en-US" w:eastAsia="zh-CN"/>
              </w:rPr>
            </w:pPr>
          </w:p>
        </w:tc>
      </w:tr>
      <w:tr w14:paraId="2DFC6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5570C8DE">
            <w:pPr>
              <w:jc w:val="center"/>
              <w:rPr>
                <w:rFonts w:hint="eastAsia"/>
                <w:sz w:val="24"/>
                <w:szCs w:val="32"/>
                <w:vertAlign w:val="baseline"/>
              </w:rPr>
            </w:pPr>
          </w:p>
        </w:tc>
        <w:tc>
          <w:tcPr>
            <w:tcW w:w="969" w:type="dxa"/>
            <w:vMerge w:val="continue"/>
            <w:vAlign w:val="center"/>
          </w:tcPr>
          <w:p w14:paraId="1D2B55EE">
            <w:pPr>
              <w:jc w:val="center"/>
              <w:rPr>
                <w:rFonts w:hint="eastAsia"/>
                <w:sz w:val="24"/>
                <w:szCs w:val="32"/>
                <w:vertAlign w:val="baseline"/>
                <w:lang w:val="en-US" w:eastAsia="zh-CN"/>
              </w:rPr>
            </w:pPr>
          </w:p>
        </w:tc>
        <w:tc>
          <w:tcPr>
            <w:tcW w:w="561" w:type="dxa"/>
            <w:vMerge w:val="continue"/>
            <w:vAlign w:val="center"/>
          </w:tcPr>
          <w:p w14:paraId="7AF7E691">
            <w:pPr>
              <w:jc w:val="center"/>
              <w:rPr>
                <w:rFonts w:hint="eastAsia"/>
                <w:sz w:val="24"/>
                <w:szCs w:val="32"/>
                <w:vertAlign w:val="baseline"/>
                <w:lang w:val="en-US" w:eastAsia="zh-CN"/>
              </w:rPr>
            </w:pPr>
          </w:p>
        </w:tc>
        <w:tc>
          <w:tcPr>
            <w:tcW w:w="4239" w:type="dxa"/>
            <w:gridSpan w:val="2"/>
            <w:vAlign w:val="center"/>
          </w:tcPr>
          <w:p w14:paraId="3C7AFEE7">
            <w:pPr>
              <w:jc w:val="center"/>
              <w:rPr>
                <w:rFonts w:hint="eastAsia"/>
                <w:sz w:val="24"/>
                <w:szCs w:val="32"/>
                <w:vertAlign w:val="baseline"/>
                <w:lang w:val="en-US" w:eastAsia="zh-CN"/>
              </w:rPr>
            </w:pPr>
            <w:r>
              <w:rPr>
                <w:rFonts w:hint="eastAsia"/>
                <w:sz w:val="24"/>
                <w:szCs w:val="32"/>
                <w:vertAlign w:val="baseline"/>
                <w:lang w:val="en-US" w:eastAsia="zh-CN"/>
              </w:rPr>
              <w:t xml:space="preserve"> 前排乘客(人)</w:t>
            </w:r>
          </w:p>
        </w:tc>
        <w:tc>
          <w:tcPr>
            <w:tcW w:w="5016" w:type="dxa"/>
            <w:vAlign w:val="center"/>
          </w:tcPr>
          <w:p w14:paraId="3624A44F">
            <w:pPr>
              <w:jc w:val="center"/>
              <w:rPr>
                <w:rFonts w:hint="eastAsia"/>
                <w:sz w:val="24"/>
                <w:szCs w:val="32"/>
                <w:vertAlign w:val="baseline"/>
                <w:lang w:val="en-US" w:eastAsia="zh-CN"/>
              </w:rPr>
            </w:pPr>
            <w:r>
              <w:rPr>
                <w:rFonts w:hint="eastAsia"/>
                <w:sz w:val="24"/>
                <w:szCs w:val="32"/>
                <w:vertAlign w:val="baseline"/>
                <w:lang w:val="en-US" w:eastAsia="en-US"/>
              </w:rPr>
              <w:t>≥</w:t>
            </w:r>
            <w:r>
              <w:rPr>
                <w:rFonts w:hint="eastAsia"/>
                <w:sz w:val="24"/>
                <w:szCs w:val="32"/>
                <w:vertAlign w:val="baseline"/>
                <w:lang w:val="en-US" w:eastAsia="zh-CN"/>
              </w:rPr>
              <w:t>2+3</w:t>
            </w:r>
          </w:p>
        </w:tc>
        <w:tc>
          <w:tcPr>
            <w:tcW w:w="1110" w:type="dxa"/>
            <w:vMerge w:val="continue"/>
            <w:vAlign w:val="center"/>
          </w:tcPr>
          <w:p w14:paraId="7E2F5BE8">
            <w:pPr>
              <w:jc w:val="center"/>
              <w:rPr>
                <w:rFonts w:hint="eastAsia"/>
                <w:sz w:val="24"/>
                <w:szCs w:val="32"/>
                <w:vertAlign w:val="baseline"/>
                <w:lang w:val="en-US" w:eastAsia="zh-CN"/>
              </w:rPr>
            </w:pPr>
          </w:p>
        </w:tc>
        <w:tc>
          <w:tcPr>
            <w:tcW w:w="1095" w:type="dxa"/>
            <w:vMerge w:val="continue"/>
            <w:vAlign w:val="center"/>
          </w:tcPr>
          <w:p w14:paraId="2D038BB8">
            <w:pPr>
              <w:jc w:val="center"/>
              <w:rPr>
                <w:rFonts w:hint="eastAsia"/>
                <w:sz w:val="24"/>
                <w:szCs w:val="32"/>
                <w:vertAlign w:val="baseline"/>
                <w:lang w:val="en-US" w:eastAsia="zh-CN"/>
              </w:rPr>
            </w:pPr>
          </w:p>
        </w:tc>
      </w:tr>
      <w:tr w14:paraId="7DEC0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2912F6D4">
            <w:pPr>
              <w:jc w:val="center"/>
              <w:rPr>
                <w:rFonts w:hint="eastAsia"/>
                <w:sz w:val="24"/>
                <w:szCs w:val="32"/>
                <w:vertAlign w:val="baseline"/>
              </w:rPr>
            </w:pPr>
          </w:p>
        </w:tc>
        <w:tc>
          <w:tcPr>
            <w:tcW w:w="969" w:type="dxa"/>
            <w:vMerge w:val="continue"/>
            <w:vAlign w:val="center"/>
          </w:tcPr>
          <w:p w14:paraId="4AEA42A8">
            <w:pPr>
              <w:jc w:val="center"/>
              <w:rPr>
                <w:rFonts w:hint="eastAsia"/>
                <w:sz w:val="24"/>
                <w:szCs w:val="32"/>
                <w:vertAlign w:val="baseline"/>
                <w:lang w:val="en-US" w:eastAsia="zh-CN"/>
              </w:rPr>
            </w:pPr>
          </w:p>
        </w:tc>
        <w:tc>
          <w:tcPr>
            <w:tcW w:w="561" w:type="dxa"/>
            <w:vMerge w:val="continue"/>
            <w:vAlign w:val="center"/>
          </w:tcPr>
          <w:p w14:paraId="1E0E3F9A">
            <w:pPr>
              <w:jc w:val="center"/>
              <w:rPr>
                <w:rFonts w:hint="eastAsia"/>
                <w:sz w:val="24"/>
                <w:szCs w:val="32"/>
                <w:vertAlign w:val="baseline"/>
                <w:lang w:val="en-US" w:eastAsia="zh-CN"/>
              </w:rPr>
            </w:pPr>
          </w:p>
        </w:tc>
        <w:tc>
          <w:tcPr>
            <w:tcW w:w="4239" w:type="dxa"/>
            <w:gridSpan w:val="2"/>
            <w:vAlign w:val="top"/>
          </w:tcPr>
          <w:p w14:paraId="778A9BCD">
            <w:pPr>
              <w:jc w:val="center"/>
              <w:rPr>
                <w:rFonts w:hint="eastAsia"/>
                <w:sz w:val="24"/>
                <w:szCs w:val="32"/>
                <w:vertAlign w:val="baseline"/>
                <w:lang w:val="en-US" w:eastAsia="zh-CN"/>
              </w:rPr>
            </w:pPr>
            <w:r>
              <w:rPr>
                <w:rFonts w:hint="eastAsia"/>
                <w:sz w:val="24"/>
                <w:szCs w:val="32"/>
                <w:vertAlign w:val="baseline"/>
                <w:lang w:val="en-US" w:eastAsia="zh-CN"/>
              </w:rPr>
              <w:t>接近角/离去角</w:t>
            </w:r>
          </w:p>
        </w:tc>
        <w:tc>
          <w:tcPr>
            <w:tcW w:w="5016" w:type="dxa"/>
            <w:vAlign w:val="top"/>
          </w:tcPr>
          <w:p w14:paraId="599FE3C1">
            <w:pPr>
              <w:jc w:val="center"/>
              <w:rPr>
                <w:rFonts w:hint="default"/>
                <w:sz w:val="24"/>
                <w:szCs w:val="32"/>
                <w:vertAlign w:val="baseline"/>
                <w:lang w:val="en-US" w:eastAsia="zh-CN"/>
              </w:rPr>
            </w:pPr>
            <w:r>
              <w:rPr>
                <w:rFonts w:hint="eastAsia"/>
                <w:sz w:val="24"/>
                <w:szCs w:val="32"/>
                <w:vertAlign w:val="baseline"/>
                <w:lang w:val="en-US" w:eastAsia="en-US"/>
              </w:rPr>
              <w:t>≥</w:t>
            </w:r>
            <w:r>
              <w:rPr>
                <w:rFonts w:hint="eastAsia"/>
                <w:sz w:val="24"/>
                <w:szCs w:val="32"/>
                <w:vertAlign w:val="baseline"/>
                <w:lang w:val="en-US" w:eastAsia="zh-CN"/>
              </w:rPr>
              <w:t>20/25</w:t>
            </w:r>
          </w:p>
        </w:tc>
        <w:tc>
          <w:tcPr>
            <w:tcW w:w="1110" w:type="dxa"/>
            <w:vMerge w:val="continue"/>
            <w:vAlign w:val="center"/>
          </w:tcPr>
          <w:p w14:paraId="5FD8BA2D">
            <w:pPr>
              <w:jc w:val="center"/>
              <w:rPr>
                <w:rFonts w:hint="eastAsia"/>
                <w:sz w:val="24"/>
                <w:szCs w:val="32"/>
                <w:vertAlign w:val="baseline"/>
                <w:lang w:val="en-US" w:eastAsia="zh-CN"/>
              </w:rPr>
            </w:pPr>
          </w:p>
        </w:tc>
        <w:tc>
          <w:tcPr>
            <w:tcW w:w="1095" w:type="dxa"/>
            <w:vMerge w:val="continue"/>
            <w:vAlign w:val="center"/>
          </w:tcPr>
          <w:p w14:paraId="042FBFDA">
            <w:pPr>
              <w:jc w:val="center"/>
              <w:rPr>
                <w:rFonts w:hint="eastAsia"/>
                <w:sz w:val="24"/>
                <w:szCs w:val="32"/>
                <w:vertAlign w:val="baseline"/>
                <w:lang w:val="en-US" w:eastAsia="zh-CN"/>
              </w:rPr>
            </w:pPr>
          </w:p>
        </w:tc>
      </w:tr>
      <w:tr w14:paraId="4C73A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vMerge w:val="continue"/>
            <w:vAlign w:val="center"/>
          </w:tcPr>
          <w:p w14:paraId="039A5B47">
            <w:pPr>
              <w:jc w:val="center"/>
              <w:rPr>
                <w:rFonts w:hint="eastAsia"/>
                <w:sz w:val="24"/>
                <w:szCs w:val="32"/>
                <w:vertAlign w:val="baseline"/>
              </w:rPr>
            </w:pPr>
          </w:p>
        </w:tc>
        <w:tc>
          <w:tcPr>
            <w:tcW w:w="969" w:type="dxa"/>
            <w:vMerge w:val="continue"/>
            <w:vAlign w:val="center"/>
          </w:tcPr>
          <w:p w14:paraId="4B9B6E05">
            <w:pPr>
              <w:jc w:val="center"/>
              <w:rPr>
                <w:rFonts w:hint="eastAsia"/>
                <w:sz w:val="24"/>
                <w:szCs w:val="32"/>
                <w:vertAlign w:val="baseline"/>
                <w:lang w:val="en-US" w:eastAsia="zh-CN"/>
              </w:rPr>
            </w:pPr>
          </w:p>
        </w:tc>
        <w:tc>
          <w:tcPr>
            <w:tcW w:w="561" w:type="dxa"/>
            <w:vMerge w:val="continue"/>
            <w:vAlign w:val="center"/>
          </w:tcPr>
          <w:p w14:paraId="47350B54">
            <w:pPr>
              <w:jc w:val="center"/>
              <w:rPr>
                <w:rFonts w:hint="eastAsia"/>
                <w:sz w:val="24"/>
                <w:szCs w:val="32"/>
                <w:vertAlign w:val="baseline"/>
                <w:lang w:val="en-US" w:eastAsia="zh-CN"/>
              </w:rPr>
            </w:pPr>
          </w:p>
        </w:tc>
        <w:tc>
          <w:tcPr>
            <w:tcW w:w="4239" w:type="dxa"/>
            <w:gridSpan w:val="2"/>
            <w:vAlign w:val="top"/>
          </w:tcPr>
          <w:p w14:paraId="0481C4CB">
            <w:pPr>
              <w:jc w:val="center"/>
              <w:rPr>
                <w:rFonts w:hint="eastAsia"/>
                <w:sz w:val="24"/>
                <w:szCs w:val="32"/>
                <w:vertAlign w:val="baseline"/>
                <w:lang w:val="en-US" w:eastAsia="zh-CN"/>
              </w:rPr>
            </w:pPr>
            <w:r>
              <w:rPr>
                <w:rFonts w:hint="eastAsia"/>
                <w:sz w:val="24"/>
                <w:szCs w:val="32"/>
                <w:vertAlign w:val="baseline"/>
                <w:lang w:val="en-US" w:eastAsia="zh-CN"/>
              </w:rPr>
              <w:t>前悬/后悬(mm)</w:t>
            </w:r>
          </w:p>
        </w:tc>
        <w:tc>
          <w:tcPr>
            <w:tcW w:w="5016" w:type="dxa"/>
            <w:vAlign w:val="top"/>
          </w:tcPr>
          <w:p w14:paraId="57B5167F">
            <w:pPr>
              <w:jc w:val="center"/>
              <w:rPr>
                <w:rFonts w:hint="eastAsia"/>
                <w:sz w:val="24"/>
                <w:szCs w:val="32"/>
                <w:vertAlign w:val="baseline"/>
                <w:lang w:val="en-US" w:eastAsia="zh-CN"/>
              </w:rPr>
            </w:pPr>
            <w:r>
              <w:rPr>
                <w:rFonts w:hint="eastAsia"/>
                <w:sz w:val="24"/>
                <w:szCs w:val="32"/>
                <w:vertAlign w:val="baseline"/>
                <w:lang w:val="en-US" w:eastAsia="en-US"/>
              </w:rPr>
              <w:t>≥</w:t>
            </w:r>
            <w:r>
              <w:rPr>
                <w:rFonts w:hint="eastAsia"/>
                <w:sz w:val="24"/>
                <w:szCs w:val="32"/>
                <w:vertAlign w:val="baseline"/>
                <w:lang w:val="en-US" w:eastAsia="zh-CN"/>
              </w:rPr>
              <w:t>923/1230</w:t>
            </w:r>
          </w:p>
        </w:tc>
        <w:tc>
          <w:tcPr>
            <w:tcW w:w="1110" w:type="dxa"/>
            <w:vMerge w:val="continue"/>
            <w:vAlign w:val="center"/>
          </w:tcPr>
          <w:p w14:paraId="073B1D32">
            <w:pPr>
              <w:jc w:val="center"/>
              <w:rPr>
                <w:rFonts w:hint="eastAsia"/>
                <w:sz w:val="24"/>
                <w:szCs w:val="32"/>
                <w:vertAlign w:val="baseline"/>
                <w:lang w:val="en-US" w:eastAsia="zh-CN"/>
              </w:rPr>
            </w:pPr>
          </w:p>
        </w:tc>
        <w:tc>
          <w:tcPr>
            <w:tcW w:w="1095" w:type="dxa"/>
            <w:vMerge w:val="continue"/>
            <w:vAlign w:val="center"/>
          </w:tcPr>
          <w:p w14:paraId="02534297">
            <w:pPr>
              <w:jc w:val="center"/>
              <w:rPr>
                <w:rFonts w:hint="eastAsia"/>
                <w:sz w:val="24"/>
                <w:szCs w:val="32"/>
                <w:vertAlign w:val="baseline"/>
                <w:lang w:val="en-US" w:eastAsia="zh-CN"/>
              </w:rPr>
            </w:pPr>
          </w:p>
        </w:tc>
      </w:tr>
      <w:tr w14:paraId="135D3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0" w:type="dxa"/>
            <w:vMerge w:val="continue"/>
            <w:vAlign w:val="center"/>
          </w:tcPr>
          <w:p w14:paraId="4DAC0856">
            <w:pPr>
              <w:jc w:val="center"/>
              <w:rPr>
                <w:rFonts w:hint="eastAsia"/>
                <w:sz w:val="24"/>
                <w:szCs w:val="32"/>
                <w:vertAlign w:val="baseline"/>
              </w:rPr>
            </w:pPr>
          </w:p>
        </w:tc>
        <w:tc>
          <w:tcPr>
            <w:tcW w:w="969" w:type="dxa"/>
            <w:vMerge w:val="continue"/>
            <w:vAlign w:val="center"/>
          </w:tcPr>
          <w:p w14:paraId="0A587DFA">
            <w:pPr>
              <w:jc w:val="center"/>
              <w:rPr>
                <w:rFonts w:hint="eastAsia"/>
                <w:sz w:val="24"/>
                <w:szCs w:val="32"/>
                <w:vertAlign w:val="baseline"/>
                <w:lang w:val="en-US" w:eastAsia="zh-CN"/>
              </w:rPr>
            </w:pPr>
          </w:p>
        </w:tc>
        <w:tc>
          <w:tcPr>
            <w:tcW w:w="561" w:type="dxa"/>
            <w:vMerge w:val="continue"/>
            <w:vAlign w:val="center"/>
          </w:tcPr>
          <w:p w14:paraId="5874AD32">
            <w:pPr>
              <w:jc w:val="center"/>
              <w:rPr>
                <w:rFonts w:hint="eastAsia"/>
                <w:sz w:val="24"/>
                <w:szCs w:val="32"/>
                <w:vertAlign w:val="baseline"/>
                <w:lang w:val="en-US" w:eastAsia="zh-CN"/>
              </w:rPr>
            </w:pPr>
          </w:p>
        </w:tc>
        <w:tc>
          <w:tcPr>
            <w:tcW w:w="4239" w:type="dxa"/>
            <w:gridSpan w:val="2"/>
            <w:vAlign w:val="top"/>
          </w:tcPr>
          <w:p w14:paraId="43084CC3">
            <w:pPr>
              <w:jc w:val="center"/>
              <w:rPr>
                <w:rFonts w:hint="eastAsia"/>
                <w:sz w:val="24"/>
                <w:szCs w:val="32"/>
                <w:vertAlign w:val="baseline"/>
                <w:lang w:val="en-US" w:eastAsia="zh-CN"/>
              </w:rPr>
            </w:pPr>
            <w:r>
              <w:rPr>
                <w:rFonts w:hint="eastAsia"/>
                <w:sz w:val="24"/>
                <w:szCs w:val="32"/>
                <w:vertAlign w:val="baseline"/>
                <w:lang w:val="en-US" w:eastAsia="zh-CN"/>
              </w:rPr>
              <w:t>最高车速(km/h)</w:t>
            </w:r>
          </w:p>
        </w:tc>
        <w:tc>
          <w:tcPr>
            <w:tcW w:w="5016" w:type="dxa"/>
            <w:vAlign w:val="top"/>
          </w:tcPr>
          <w:p w14:paraId="489798E6">
            <w:pPr>
              <w:jc w:val="center"/>
              <w:rPr>
                <w:rFonts w:hint="default"/>
                <w:sz w:val="24"/>
                <w:szCs w:val="32"/>
                <w:vertAlign w:val="baseline"/>
                <w:lang w:val="en-US" w:eastAsia="zh-CN"/>
              </w:rPr>
            </w:pPr>
            <w:r>
              <w:rPr>
                <w:rFonts w:hint="eastAsia"/>
                <w:sz w:val="24"/>
                <w:szCs w:val="32"/>
                <w:vertAlign w:val="baseline"/>
                <w:lang w:val="en-US" w:eastAsia="en-US"/>
              </w:rPr>
              <w:t>≥</w:t>
            </w:r>
            <w:r>
              <w:rPr>
                <w:rFonts w:hint="eastAsia"/>
                <w:sz w:val="24"/>
                <w:szCs w:val="32"/>
                <w:vertAlign w:val="baseline"/>
                <w:lang w:val="en-US" w:eastAsia="zh-CN"/>
              </w:rPr>
              <w:t>168</w:t>
            </w:r>
          </w:p>
        </w:tc>
        <w:tc>
          <w:tcPr>
            <w:tcW w:w="1110" w:type="dxa"/>
            <w:vMerge w:val="continue"/>
            <w:vAlign w:val="center"/>
          </w:tcPr>
          <w:p w14:paraId="6C0518D9">
            <w:pPr>
              <w:jc w:val="center"/>
              <w:rPr>
                <w:rFonts w:hint="eastAsia"/>
                <w:sz w:val="24"/>
                <w:szCs w:val="32"/>
                <w:vertAlign w:val="baseline"/>
                <w:lang w:val="en-US" w:eastAsia="zh-CN"/>
              </w:rPr>
            </w:pPr>
          </w:p>
        </w:tc>
        <w:tc>
          <w:tcPr>
            <w:tcW w:w="1095" w:type="dxa"/>
            <w:vMerge w:val="continue"/>
            <w:vAlign w:val="center"/>
          </w:tcPr>
          <w:p w14:paraId="6060E5FE">
            <w:pPr>
              <w:jc w:val="center"/>
              <w:rPr>
                <w:rFonts w:hint="eastAsia"/>
                <w:sz w:val="24"/>
                <w:szCs w:val="32"/>
                <w:vertAlign w:val="baseline"/>
                <w:lang w:val="en-US" w:eastAsia="zh-CN"/>
              </w:rPr>
            </w:pPr>
          </w:p>
        </w:tc>
      </w:tr>
      <w:tr w14:paraId="3C534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20" w:type="dxa"/>
            <w:gridSpan w:val="8"/>
            <w:vAlign w:val="center"/>
          </w:tcPr>
          <w:p w14:paraId="6491BBC6">
            <w:pPr>
              <w:jc w:val="center"/>
              <w:rPr>
                <w:rFonts w:hint="default"/>
                <w:sz w:val="24"/>
                <w:szCs w:val="32"/>
                <w:vertAlign w:val="baseline"/>
                <w:lang w:val="en-US" w:eastAsia="zh-CN"/>
              </w:rPr>
            </w:pPr>
            <w:r>
              <w:rPr>
                <w:rFonts w:hint="eastAsia"/>
                <w:sz w:val="24"/>
                <w:szCs w:val="32"/>
                <w:vertAlign w:val="baseline"/>
                <w:lang w:val="en-US" w:eastAsia="zh-CN"/>
              </w:rPr>
              <w:t>合计：     元。</w:t>
            </w:r>
          </w:p>
        </w:tc>
      </w:tr>
    </w:tbl>
    <w:p w14:paraId="2DC310F2">
      <w:pPr>
        <w:jc w:val="center"/>
        <w:rPr>
          <w:rFonts w:hint="eastAsia" w:ascii="宋体" w:hAnsi="宋体" w:eastAsia="宋体" w:cs="宋体"/>
          <w:b/>
          <w:bCs w:val="0"/>
          <w:sz w:val="32"/>
          <w:szCs w:val="32"/>
          <w:lang w:val="en-US" w:eastAsia="zh-CN"/>
        </w:rPr>
      </w:pPr>
    </w:p>
    <w:p w14:paraId="369575C9">
      <w:pPr>
        <w:jc w:val="center"/>
        <w:rPr>
          <w:rFonts w:hint="eastAsia" w:ascii="宋体" w:hAnsi="宋体" w:eastAsia="宋体" w:cs="宋体"/>
          <w:b/>
          <w:bCs w:val="0"/>
          <w:sz w:val="32"/>
          <w:szCs w:val="32"/>
          <w:lang w:val="en-US" w:eastAsia="zh-CN"/>
        </w:rPr>
      </w:pPr>
    </w:p>
    <w:p w14:paraId="315542D5">
      <w:pPr>
        <w:jc w:val="center"/>
        <w:rPr>
          <w:rFonts w:hint="eastAsia" w:ascii="宋体" w:hAnsi="宋体" w:eastAsia="宋体" w:cs="宋体"/>
          <w:b/>
          <w:bCs w:val="0"/>
          <w:sz w:val="32"/>
          <w:szCs w:val="32"/>
          <w:lang w:val="en-US" w:eastAsia="zh-CN"/>
        </w:rPr>
      </w:pPr>
    </w:p>
    <w:p w14:paraId="4D8DB8AD">
      <w:pPr>
        <w:rPr>
          <w:rFonts w:hint="eastAsia" w:ascii="宋体" w:hAnsi="宋体" w:eastAsia="宋体" w:cs="宋体"/>
          <w:b w:val="0"/>
          <w:bCs/>
          <w:sz w:val="24"/>
          <w:szCs w:val="24"/>
        </w:rPr>
      </w:pPr>
    </w:p>
    <w:p w14:paraId="2693CC8D">
      <w:pPr>
        <w:spacing w:before="160" w:after="160" w:line="240" w:lineRule="atLeast"/>
        <w:jc w:val="center"/>
        <w:textAlignment w:val="baseline"/>
        <w:outlineLvl w:val="1"/>
        <w:rPr>
          <w:rFonts w:ascii="宋体" w:hAnsi="宋体" w:eastAsia="宋体" w:cs="Times New Roman"/>
          <w:b/>
          <w:bCs/>
          <w:kern w:val="0"/>
          <w:sz w:val="32"/>
          <w:szCs w:val="32"/>
          <w:shd w:val="clear" w:color="auto" w:fill="FFFFFF"/>
        </w:rPr>
        <w:sectPr>
          <w:pgSz w:w="16838" w:h="11906" w:orient="landscape"/>
          <w:pgMar w:top="1361" w:right="1361" w:bottom="1361" w:left="1361" w:header="851" w:footer="992" w:gutter="0"/>
          <w:cols w:space="720" w:num="1"/>
          <w:docGrid w:type="lines" w:linePitch="312" w:charSpace="0"/>
        </w:sectPr>
      </w:pPr>
    </w:p>
    <w:p w14:paraId="0D197DBC">
      <w:pPr>
        <w:spacing w:before="160" w:after="160" w:line="240" w:lineRule="atLeast"/>
        <w:jc w:val="center"/>
        <w:textAlignment w:val="baseline"/>
        <w:outlineLvl w:val="1"/>
        <w:rPr>
          <w:rFonts w:ascii="宋体" w:hAnsi="宋体" w:eastAsia="宋体" w:cs="Times New Roman"/>
          <w:b/>
          <w:bCs/>
          <w:kern w:val="0"/>
          <w:sz w:val="32"/>
          <w:szCs w:val="32"/>
          <w:shd w:val="clear" w:color="auto" w:fill="FFFFFF"/>
        </w:rPr>
      </w:pPr>
      <w:r>
        <w:rPr>
          <w:rFonts w:hint="eastAsia" w:ascii="宋体" w:hAnsi="宋体" w:eastAsia="宋体" w:cs="Times New Roman"/>
          <w:b/>
          <w:bCs/>
          <w:kern w:val="0"/>
          <w:sz w:val="32"/>
          <w:szCs w:val="32"/>
          <w:shd w:val="clear" w:color="auto" w:fill="FFFFFF"/>
        </w:rPr>
        <w:t>第四章 评审办法</w:t>
      </w:r>
    </w:p>
    <w:p w14:paraId="0EEFAE12">
      <w:pPr>
        <w:spacing w:line="460" w:lineRule="exact"/>
        <w:ind w:firstLine="480"/>
        <w:rPr>
          <w:rFonts w:ascii="宋体" w:hAnsi="宋体" w:eastAsia="宋体" w:cs="Times New Roman"/>
          <w:b/>
          <w:bCs/>
          <w:sz w:val="24"/>
          <w:szCs w:val="24"/>
        </w:rPr>
      </w:pPr>
      <w:r>
        <w:rPr>
          <w:rFonts w:ascii="宋体" w:hAnsi="宋体" w:eastAsia="宋体" w:cs="Times New Roman"/>
          <w:b/>
          <w:bCs/>
          <w:kern w:val="0"/>
          <w:sz w:val="24"/>
          <w:szCs w:val="24"/>
        </w:rPr>
        <w:t xml:space="preserve">1. </w:t>
      </w:r>
      <w:r>
        <w:rPr>
          <w:rFonts w:hint="eastAsia" w:ascii="宋体" w:hAnsi="宋体" w:eastAsia="宋体" w:cs="Times New Roman"/>
          <w:b/>
          <w:bCs/>
          <w:kern w:val="0"/>
          <w:sz w:val="24"/>
          <w:szCs w:val="24"/>
        </w:rPr>
        <w:t>电子化</w:t>
      </w:r>
      <w:r>
        <w:rPr>
          <w:rFonts w:hint="eastAsia" w:ascii="宋体" w:hAnsi="宋体" w:eastAsia="宋体" w:cs="Times New Roman"/>
          <w:b/>
          <w:bCs/>
          <w:sz w:val="24"/>
          <w:szCs w:val="24"/>
        </w:rPr>
        <w:t>磋商响应文件的评审、比较和否决</w:t>
      </w:r>
    </w:p>
    <w:p w14:paraId="5A764F39">
      <w:pPr>
        <w:spacing w:line="460" w:lineRule="exact"/>
        <w:ind w:firstLine="480"/>
        <w:rPr>
          <w:rFonts w:ascii="宋体" w:hAnsi="宋体" w:eastAsia="宋体" w:cs="Times New Roman"/>
          <w:sz w:val="24"/>
          <w:szCs w:val="24"/>
        </w:rPr>
      </w:pPr>
      <w:r>
        <w:rPr>
          <w:rFonts w:ascii="宋体" w:hAnsi="宋体" w:eastAsia="宋体" w:cs="Times New Roman"/>
          <w:b/>
          <w:bCs/>
          <w:sz w:val="24"/>
          <w:szCs w:val="24"/>
        </w:rPr>
        <w:t>1.1</w:t>
      </w:r>
      <w:r>
        <w:rPr>
          <w:rFonts w:hint="eastAsia" w:ascii="宋体" w:hAnsi="宋体" w:eastAsia="宋体" w:cs="Times New Roman"/>
          <w:sz w:val="24"/>
          <w:szCs w:val="24"/>
        </w:rPr>
        <w:t>磋商小组将按照竞争性磋商文件的规定，仅对在实质上响应竞争性磋商文件要求的电子化磋商响应文件进行评估和比较。</w:t>
      </w:r>
    </w:p>
    <w:p w14:paraId="3B8DC4D0">
      <w:pPr>
        <w:spacing w:line="460" w:lineRule="exact"/>
        <w:ind w:firstLine="480"/>
        <w:rPr>
          <w:rFonts w:ascii="宋体" w:hAnsi="宋体" w:eastAsia="宋体" w:cs="Times New Roman"/>
          <w:sz w:val="24"/>
          <w:szCs w:val="24"/>
        </w:rPr>
      </w:pPr>
      <w:r>
        <w:rPr>
          <w:rFonts w:ascii="宋体" w:hAnsi="宋体" w:eastAsia="宋体" w:cs="Times New Roman"/>
          <w:b/>
          <w:bCs/>
          <w:sz w:val="24"/>
          <w:szCs w:val="24"/>
        </w:rPr>
        <w:t>1.2</w:t>
      </w:r>
      <w:r>
        <w:rPr>
          <w:rFonts w:hint="eastAsia" w:ascii="宋体" w:hAnsi="宋体" w:eastAsia="宋体" w:cs="Times New Roman"/>
          <w:sz w:val="24"/>
          <w:szCs w:val="24"/>
        </w:rPr>
        <w:t>根据相关法律法规及有关招磋商响应文件规定，结合本项目具体情况，制定本次磋商评审办法。并按照“公平、公正、科学、择优”的原则进行磋商。采用综合评分法进行评比。</w:t>
      </w:r>
    </w:p>
    <w:p w14:paraId="6DA5999D">
      <w:pPr>
        <w:autoSpaceDE w:val="0"/>
        <w:autoSpaceDN w:val="0"/>
        <w:adjustRightInd w:val="0"/>
        <w:spacing w:line="460" w:lineRule="exact"/>
        <w:ind w:firstLine="482" w:firstLineChars="200"/>
        <w:rPr>
          <w:rFonts w:ascii="宋体" w:hAnsi="宋体" w:eastAsia="宋体" w:cs="Times New Roman"/>
          <w:sz w:val="24"/>
          <w:szCs w:val="24"/>
        </w:rPr>
      </w:pPr>
      <w:r>
        <w:rPr>
          <w:rFonts w:ascii="宋体" w:hAnsi="宋体" w:eastAsia="宋体" w:cs="Times New Roman"/>
          <w:b/>
          <w:bCs/>
          <w:sz w:val="24"/>
          <w:szCs w:val="24"/>
        </w:rPr>
        <w:t>1.3</w:t>
      </w:r>
      <w:r>
        <w:rPr>
          <w:rFonts w:hint="eastAsia" w:ascii="宋体" w:hAnsi="宋体" w:eastAsia="宋体" w:cs="Times New Roman"/>
          <w:sz w:val="24"/>
          <w:szCs w:val="24"/>
        </w:rPr>
        <w:t>在评审过程中，磋商小组可以以书面形式要求磋商响应供应商就电子化磋商响应文件中含义不明确的内容进行书面说明并提供相关材料；</w:t>
      </w:r>
      <w:r>
        <w:rPr>
          <w:rFonts w:hint="eastAsia" w:ascii="宋体" w:hAnsi="宋体" w:eastAsia="宋体" w:cs="Times New Roman"/>
          <w:spacing w:val="-6"/>
          <w:sz w:val="24"/>
          <w:szCs w:val="24"/>
        </w:rPr>
        <w:t>凡遇到竞争性磋商文件中无界定或界定不清、前后不一致使磋商小组成员</w:t>
      </w:r>
      <w:r>
        <w:rPr>
          <w:rFonts w:hint="eastAsia" w:ascii="宋体" w:hAnsi="宋体" w:eastAsia="宋体" w:cs="Times New Roman"/>
          <w:sz w:val="24"/>
          <w:szCs w:val="24"/>
        </w:rPr>
        <w:t>意见</w:t>
      </w:r>
      <w:r>
        <w:rPr>
          <w:rFonts w:hint="eastAsia" w:ascii="宋体" w:hAnsi="宋体" w:eastAsia="宋体" w:cs="Times New Roman"/>
          <w:spacing w:val="-6"/>
          <w:sz w:val="24"/>
          <w:szCs w:val="24"/>
        </w:rPr>
        <w:t>有分歧且又难于协商一致的问题，均由磋商小组予以表决，获半数以上同意的即为通过，未获半数同意的即为否决</w:t>
      </w:r>
      <w:r>
        <w:rPr>
          <w:rFonts w:hint="eastAsia" w:ascii="宋体" w:hAnsi="宋体" w:eastAsia="宋体" w:cs="Times New Roman"/>
          <w:sz w:val="24"/>
          <w:szCs w:val="24"/>
        </w:rPr>
        <w:t>。</w:t>
      </w:r>
    </w:p>
    <w:p w14:paraId="3D2881F6">
      <w:pPr>
        <w:spacing w:line="460" w:lineRule="exact"/>
        <w:ind w:firstLine="480"/>
        <w:rPr>
          <w:rFonts w:ascii="宋体" w:hAnsi="宋体" w:eastAsia="宋体" w:cs="Times New Roman"/>
          <w:sz w:val="24"/>
          <w:szCs w:val="24"/>
        </w:rPr>
      </w:pPr>
      <w:r>
        <w:rPr>
          <w:rFonts w:ascii="宋体" w:hAnsi="宋体" w:eastAsia="宋体" w:cs="Times New Roman"/>
          <w:b/>
          <w:bCs/>
          <w:kern w:val="0"/>
          <w:sz w:val="24"/>
          <w:szCs w:val="24"/>
        </w:rPr>
        <w:t>1.4</w:t>
      </w:r>
      <w:r>
        <w:rPr>
          <w:rFonts w:hint="eastAsia" w:ascii="宋体" w:hAnsi="宋体" w:eastAsia="宋体" w:cs="Times New Roman"/>
          <w:kern w:val="0"/>
          <w:sz w:val="24"/>
          <w:szCs w:val="24"/>
        </w:rPr>
        <w:t>磋商时，磋商报价是磋商的重要依据，但不是唯一依据，</w:t>
      </w:r>
      <w:r>
        <w:rPr>
          <w:rFonts w:hint="eastAsia" w:ascii="宋体" w:hAnsi="宋体" w:eastAsia="宋体" w:cs="Times New Roman"/>
          <w:sz w:val="24"/>
          <w:szCs w:val="24"/>
        </w:rPr>
        <w:t>采购人不承诺将合同授予报价最低或最高的磋商响应供应商。</w:t>
      </w:r>
    </w:p>
    <w:p w14:paraId="0D581BC0">
      <w:pPr>
        <w:spacing w:line="460" w:lineRule="exact"/>
        <w:ind w:firstLine="480"/>
        <w:rPr>
          <w:rFonts w:ascii="宋体" w:hAnsi="宋体" w:eastAsia="宋体" w:cs="Times New Roman"/>
          <w:sz w:val="24"/>
          <w:szCs w:val="24"/>
        </w:rPr>
      </w:pPr>
      <w:r>
        <w:rPr>
          <w:rFonts w:ascii="宋体" w:hAnsi="宋体" w:eastAsia="宋体" w:cs="Times New Roman"/>
          <w:b/>
          <w:bCs/>
          <w:sz w:val="24"/>
          <w:szCs w:val="24"/>
        </w:rPr>
        <w:t>1.5</w:t>
      </w:r>
      <w:r>
        <w:rPr>
          <w:rFonts w:hint="eastAsia" w:ascii="宋体" w:hAnsi="宋体" w:eastAsia="宋体" w:cs="Times New Roman"/>
          <w:sz w:val="24"/>
          <w:szCs w:val="24"/>
        </w:rPr>
        <w:t>磋商小组依据本须知规定的评审标准和方法，对电子化磋商响应文件进行评审和比较，向采购人提出书面磋商报告，并推荐合格的成交候选供应商。</w:t>
      </w:r>
    </w:p>
    <w:p w14:paraId="4D5F2F8D">
      <w:pPr>
        <w:spacing w:line="460" w:lineRule="exact"/>
        <w:ind w:firstLine="426" w:firstLineChars="177"/>
        <w:rPr>
          <w:rFonts w:ascii="宋体" w:hAnsi="宋体" w:eastAsia="宋体" w:cs="Times New Roman"/>
          <w:sz w:val="24"/>
          <w:szCs w:val="24"/>
        </w:rPr>
      </w:pPr>
      <w:r>
        <w:rPr>
          <w:rFonts w:hint="eastAsia" w:ascii="宋体" w:hAnsi="宋体" w:eastAsia="宋体" w:cs="Times New Roman"/>
          <w:b/>
          <w:bCs/>
          <w:sz w:val="24"/>
          <w:szCs w:val="24"/>
        </w:rPr>
        <w:t>1.6</w:t>
      </w:r>
      <w:r>
        <w:rPr>
          <w:rFonts w:hint="eastAsia" w:ascii="宋体" w:hAnsi="宋体" w:eastAsia="宋体" w:cs="Times New Roman"/>
          <w:sz w:val="24"/>
          <w:szCs w:val="24"/>
        </w:rPr>
        <w:t>在磋商过程中，竞争性磋商响应文件中核心产品为同一品牌的且通过资格审查、符合性审查的不同磋商响应供应商参加本项目磋商的，按一家供应商计算，评审后得分最高的同品牌供应商获得成交供应商推荐资格，评审得分相同的，首先以报价最低的磋商响应供应商获得成交供应商推荐资格；若报价相同的，以售后服务得分最高的磋商响应供应商获得成交供应商推荐资格。</w:t>
      </w:r>
    </w:p>
    <w:p w14:paraId="02C93C92">
      <w:pPr>
        <w:spacing w:after="120" w:line="460" w:lineRule="exact"/>
        <w:ind w:firstLine="420"/>
        <w:rPr>
          <w:rFonts w:ascii="宋体" w:hAnsi="宋体" w:eastAsia="宋体" w:cs="Times New Roman"/>
          <w:kern w:val="0"/>
          <w:sz w:val="24"/>
          <w:szCs w:val="24"/>
        </w:rPr>
      </w:pPr>
      <w:r>
        <w:rPr>
          <w:rFonts w:hint="eastAsia" w:ascii="宋体" w:hAnsi="宋体" w:eastAsia="宋体" w:cs="Times New Roman"/>
          <w:b/>
          <w:bCs/>
          <w:kern w:val="0"/>
          <w:sz w:val="24"/>
          <w:szCs w:val="24"/>
        </w:rPr>
        <w:t>1.7</w:t>
      </w:r>
      <w:r>
        <w:rPr>
          <w:rFonts w:hint="eastAsia" w:ascii="宋体" w:hAnsi="宋体" w:eastAsia="宋体" w:cs="Times New Roman"/>
          <w:kern w:val="0"/>
          <w:sz w:val="24"/>
          <w:szCs w:val="24"/>
        </w:rPr>
        <w:t>在磋商过程中，采购人采购的产品属于“节能产品政府采购清单”和“环境标志产品政府采购清单”中品目的，在性能、技术、服务等指标同等条件下，应当优先采购清单中的产品。对于同时列入环保清单和节能清单的产品，应当优先于只获得其中一项认证的产品。</w:t>
      </w:r>
    </w:p>
    <w:p w14:paraId="08918AE5">
      <w:pPr>
        <w:autoSpaceDE w:val="0"/>
        <w:autoSpaceDN w:val="0"/>
        <w:adjustRightInd w:val="0"/>
        <w:spacing w:line="460" w:lineRule="exact"/>
        <w:ind w:firstLine="480"/>
        <w:jc w:val="left"/>
        <w:rPr>
          <w:rFonts w:ascii="宋体" w:hAnsi="宋体" w:eastAsia="宋体" w:cs="Times New Roman"/>
          <w:sz w:val="24"/>
          <w:szCs w:val="24"/>
        </w:rPr>
      </w:pPr>
      <w:r>
        <w:rPr>
          <w:rFonts w:ascii="宋体" w:hAnsi="宋体" w:eastAsia="宋体" w:cs="Times New Roman"/>
          <w:b/>
          <w:bCs/>
          <w:sz w:val="24"/>
          <w:szCs w:val="24"/>
        </w:rPr>
        <w:t>2</w:t>
      </w:r>
      <w:r>
        <w:rPr>
          <w:rFonts w:hint="eastAsia" w:ascii="宋体" w:hAnsi="宋体" w:eastAsia="宋体" w:cs="Times New Roman"/>
          <w:b/>
          <w:bCs/>
          <w:kern w:val="0"/>
          <w:sz w:val="24"/>
          <w:szCs w:val="24"/>
        </w:rPr>
        <w:t>．评分标准</w:t>
      </w:r>
      <w:r>
        <w:rPr>
          <w:rFonts w:ascii="宋体" w:hAnsi="宋体" w:eastAsia="宋体" w:cs="Times New Roman"/>
          <w:sz w:val="24"/>
          <w:szCs w:val="24"/>
        </w:rPr>
        <w:t>(</w:t>
      </w:r>
      <w:r>
        <w:rPr>
          <w:rFonts w:hint="eastAsia" w:ascii="宋体" w:hAnsi="宋体" w:eastAsia="宋体" w:cs="Times New Roman"/>
          <w:sz w:val="24"/>
          <w:szCs w:val="24"/>
        </w:rPr>
        <w:t>采用综合评分法</w:t>
      </w:r>
      <w:r>
        <w:rPr>
          <w:rFonts w:ascii="宋体" w:hAnsi="宋体" w:eastAsia="宋体" w:cs="Times New Roman"/>
          <w:sz w:val="24"/>
          <w:szCs w:val="24"/>
        </w:rPr>
        <w:t>)</w:t>
      </w:r>
    </w:p>
    <w:p w14:paraId="5A47105C">
      <w:pPr>
        <w:autoSpaceDE w:val="0"/>
        <w:autoSpaceDN w:val="0"/>
        <w:adjustRightInd w:val="0"/>
        <w:spacing w:line="460" w:lineRule="exact"/>
        <w:ind w:firstLine="480"/>
        <w:jc w:val="left"/>
        <w:rPr>
          <w:rFonts w:ascii="宋体" w:hAnsi="宋体" w:eastAsia="宋体" w:cs="Times New Roman"/>
          <w:sz w:val="24"/>
          <w:szCs w:val="24"/>
        </w:rPr>
      </w:pPr>
      <w:r>
        <w:rPr>
          <w:rFonts w:hint="eastAsia" w:ascii="宋体" w:hAnsi="宋体" w:eastAsia="宋体" w:cs="Times New Roman"/>
          <w:kern w:val="0"/>
          <w:sz w:val="24"/>
          <w:szCs w:val="24"/>
        </w:rPr>
        <w:t>磋商小组按照《中华人民共和国政府采购法》和</w:t>
      </w:r>
      <w:r>
        <w:rPr>
          <w:rFonts w:hint="eastAsia" w:ascii="宋体" w:hAnsi="宋体" w:eastAsia="宋体" w:cs="Times New Roman"/>
          <w:sz w:val="24"/>
          <w:szCs w:val="24"/>
        </w:rPr>
        <w:t>《政府采购竞争性磋商采购方式管理暂行办法》</w:t>
      </w:r>
      <w:r>
        <w:rPr>
          <w:rFonts w:hint="eastAsia" w:ascii="宋体" w:hAnsi="宋体" w:eastAsia="宋体" w:cs="Times New Roman"/>
          <w:kern w:val="0"/>
          <w:sz w:val="24"/>
          <w:szCs w:val="24"/>
        </w:rPr>
        <w:t>，结合本项目具体情况，按下列标准打分：</w:t>
      </w:r>
      <w:r>
        <w:rPr>
          <w:rFonts w:hint="eastAsia" w:ascii="宋体" w:hAnsi="宋体" w:eastAsia="宋体" w:cs="Times New Roman"/>
          <w:sz w:val="24"/>
          <w:szCs w:val="24"/>
        </w:rPr>
        <w:t>第一部分：磋商报价评审；第二部分：技术部分评审；第三部分：商务部分评审。</w:t>
      </w:r>
    </w:p>
    <w:p w14:paraId="65609348">
      <w:pPr>
        <w:snapToGrid w:val="0"/>
        <w:spacing w:line="460" w:lineRule="exact"/>
        <w:ind w:left="1" w:firstLine="480" w:firstLineChars="200"/>
        <w:rPr>
          <w:rFonts w:ascii="宋体" w:hAnsi="宋体" w:eastAsia="宋体" w:cs="Times New Roman"/>
          <w:sz w:val="24"/>
          <w:szCs w:val="24"/>
        </w:rPr>
      </w:pPr>
      <w:r>
        <w:rPr>
          <w:rFonts w:hint="eastAsia" w:ascii="宋体" w:hAnsi="宋体" w:eastAsia="宋体" w:cs="Times New Roman"/>
          <w:sz w:val="24"/>
          <w:szCs w:val="24"/>
        </w:rPr>
        <w:t>磋商响应供应商最终得分</w:t>
      </w:r>
      <w:r>
        <w:rPr>
          <w:rFonts w:ascii="宋体" w:hAnsi="宋体" w:eastAsia="宋体" w:cs="Times New Roman"/>
          <w:sz w:val="24"/>
          <w:szCs w:val="24"/>
        </w:rPr>
        <w:t>=</w:t>
      </w:r>
      <w:r>
        <w:rPr>
          <w:rFonts w:hint="eastAsia" w:ascii="宋体" w:hAnsi="宋体" w:eastAsia="宋体" w:cs="Times New Roman"/>
          <w:sz w:val="24"/>
          <w:szCs w:val="24"/>
        </w:rPr>
        <w:t>磋商报价得分+技术标评审得分</w:t>
      </w:r>
      <w:r>
        <w:rPr>
          <w:rFonts w:ascii="宋体" w:hAnsi="宋体" w:eastAsia="宋体" w:cs="Times New Roman"/>
          <w:sz w:val="24"/>
          <w:szCs w:val="24"/>
        </w:rPr>
        <w:t>+</w:t>
      </w:r>
      <w:r>
        <w:rPr>
          <w:rFonts w:hint="eastAsia" w:ascii="宋体" w:hAnsi="宋体" w:eastAsia="宋体" w:cs="Times New Roman"/>
          <w:sz w:val="24"/>
          <w:szCs w:val="24"/>
        </w:rPr>
        <w:t>商务标评审得分。</w:t>
      </w:r>
    </w:p>
    <w:p w14:paraId="5B5D233B">
      <w:pPr>
        <w:snapToGrid w:val="0"/>
        <w:spacing w:line="460" w:lineRule="exact"/>
        <w:ind w:left="1" w:firstLine="482" w:firstLineChars="200"/>
        <w:rPr>
          <w:rFonts w:ascii="宋体" w:hAnsi="宋体" w:eastAsia="宋体" w:cs="Times New Roman"/>
          <w:b/>
          <w:bCs/>
          <w:sz w:val="24"/>
          <w:szCs w:val="24"/>
        </w:rPr>
      </w:pPr>
      <w:r>
        <w:rPr>
          <w:rFonts w:ascii="宋体" w:hAnsi="宋体" w:eastAsia="宋体" w:cs="Times New Roman"/>
          <w:b/>
          <w:bCs/>
          <w:sz w:val="24"/>
          <w:szCs w:val="24"/>
        </w:rPr>
        <w:t xml:space="preserve">3. </w:t>
      </w:r>
      <w:r>
        <w:rPr>
          <w:rFonts w:hint="eastAsia" w:ascii="宋体" w:hAnsi="宋体" w:eastAsia="宋体" w:cs="Times New Roman"/>
          <w:b/>
          <w:bCs/>
          <w:sz w:val="24"/>
          <w:szCs w:val="24"/>
        </w:rPr>
        <w:t>评审程序</w:t>
      </w:r>
    </w:p>
    <w:p w14:paraId="1A65BAE5">
      <w:pPr>
        <w:snapToGrid w:val="0"/>
        <w:spacing w:line="460" w:lineRule="exact"/>
        <w:ind w:left="1" w:firstLine="480" w:firstLineChars="200"/>
        <w:rPr>
          <w:rFonts w:ascii="宋体" w:hAnsi="宋体" w:eastAsia="宋体" w:cs="Times New Roman"/>
          <w:b/>
          <w:bCs/>
          <w:sz w:val="24"/>
          <w:szCs w:val="24"/>
        </w:rPr>
      </w:pPr>
      <w:r>
        <w:rPr>
          <w:rFonts w:hint="eastAsia" w:ascii="宋体" w:hAnsi="宋体" w:eastAsia="宋体" w:cs="Times New Roman"/>
          <w:kern w:val="0"/>
          <w:sz w:val="24"/>
          <w:szCs w:val="24"/>
        </w:rPr>
        <w:t>磋商小组</w:t>
      </w:r>
      <w:r>
        <w:rPr>
          <w:rFonts w:hint="eastAsia" w:ascii="宋体" w:hAnsi="宋体" w:eastAsia="宋体" w:cs="Times New Roman"/>
          <w:sz w:val="24"/>
          <w:szCs w:val="24"/>
        </w:rPr>
        <w:t>按照竞争性磋商文件的要求，对磋商响应供应商进行初步审查，有一项不符合的，视为未通过初步审查，不得进入下一磋商过程。</w:t>
      </w:r>
    </w:p>
    <w:p w14:paraId="480C5079">
      <w:pPr>
        <w:keepNext/>
        <w:keepLines/>
        <w:spacing w:before="160" w:after="160" w:line="480" w:lineRule="exact"/>
        <w:jc w:val="center"/>
        <w:textAlignment w:val="baseline"/>
        <w:outlineLvl w:val="1"/>
        <w:rPr>
          <w:rFonts w:ascii="宋体" w:hAnsi="宋体" w:eastAsia="宋体" w:cs="宋体"/>
          <w:kern w:val="0"/>
          <w:sz w:val="28"/>
          <w:szCs w:val="28"/>
        </w:rPr>
      </w:pPr>
      <w:bookmarkStart w:id="0" w:name="_Toc78216791"/>
      <w:bookmarkStart w:id="1" w:name="_Toc25143"/>
      <w:r>
        <w:rPr>
          <w:rFonts w:hint="eastAsia" w:ascii="宋体" w:hAnsi="宋体" w:eastAsia="宋体" w:cs="宋体"/>
          <w:kern w:val="0"/>
          <w:sz w:val="28"/>
          <w:szCs w:val="28"/>
        </w:rPr>
        <w:t>评标办法前附表</w:t>
      </w:r>
      <w:bookmarkEnd w:id="0"/>
      <w:bookmarkEnd w:id="1"/>
    </w:p>
    <w:tbl>
      <w:tblPr>
        <w:tblStyle w:val="21"/>
        <w:tblpPr w:leftFromText="180" w:rightFromText="180" w:vertAnchor="text" w:tblpXSpec="center" w:tblpY="1"/>
        <w:tblOverlap w:val="never"/>
        <w:tblW w:w="515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2"/>
        <w:gridCol w:w="659"/>
        <w:gridCol w:w="2110"/>
        <w:gridCol w:w="5917"/>
      </w:tblGrid>
      <w:tr w14:paraId="5961E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000" w:type="pct"/>
            <w:gridSpan w:val="4"/>
            <w:tcBorders>
              <w:top w:val="single" w:color="auto" w:sz="4" w:space="0"/>
              <w:left w:val="single" w:color="auto" w:sz="4" w:space="0"/>
              <w:bottom w:val="single" w:color="auto" w:sz="4" w:space="0"/>
              <w:right w:val="single" w:color="auto" w:sz="4" w:space="0"/>
            </w:tcBorders>
            <w:vAlign w:val="center"/>
          </w:tcPr>
          <w:p w14:paraId="4D700B9C">
            <w:pPr>
              <w:autoSpaceDE w:val="0"/>
              <w:autoSpaceDN w:val="0"/>
              <w:adjustRightInd w:val="0"/>
              <w:spacing w:line="400" w:lineRule="exact"/>
              <w:jc w:val="center"/>
              <w:rPr>
                <w:rFonts w:ascii="宋体" w:hAnsi="宋体" w:eastAsia="宋体" w:cs="宋体"/>
                <w:b/>
                <w:kern w:val="0"/>
                <w:sz w:val="24"/>
                <w:szCs w:val="24"/>
              </w:rPr>
            </w:pPr>
            <w:r>
              <w:rPr>
                <w:rFonts w:hint="eastAsia" w:ascii="宋体" w:hAnsi="宋体" w:eastAsia="宋体" w:cs="宋体"/>
                <w:b/>
                <w:kern w:val="0"/>
                <w:sz w:val="24"/>
                <w:szCs w:val="24"/>
              </w:rPr>
              <w:t>初步审查</w:t>
            </w:r>
          </w:p>
        </w:tc>
      </w:tr>
      <w:tr w14:paraId="7D59D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17" w:type="pct"/>
            <w:tcBorders>
              <w:top w:val="single" w:color="auto" w:sz="4" w:space="0"/>
              <w:left w:val="single" w:color="auto" w:sz="4" w:space="0"/>
              <w:bottom w:val="single" w:color="auto" w:sz="4" w:space="0"/>
              <w:right w:val="single" w:color="auto" w:sz="4" w:space="0"/>
            </w:tcBorders>
            <w:vAlign w:val="center"/>
          </w:tcPr>
          <w:p w14:paraId="4D754195">
            <w:pPr>
              <w:autoSpaceDE w:val="0"/>
              <w:autoSpaceDN w:val="0"/>
              <w:adjustRightInd w:val="0"/>
              <w:spacing w:line="400" w:lineRule="exact"/>
              <w:jc w:val="center"/>
              <w:rPr>
                <w:rFonts w:ascii="宋体" w:hAnsi="宋体" w:eastAsia="宋体" w:cs="宋体"/>
                <w:b/>
                <w:sz w:val="24"/>
                <w:szCs w:val="24"/>
              </w:rPr>
            </w:pPr>
            <w:r>
              <w:rPr>
                <w:rFonts w:hint="eastAsia" w:ascii="宋体" w:hAnsi="宋体" w:eastAsia="宋体" w:cs="宋体"/>
                <w:b/>
                <w:sz w:val="24"/>
                <w:szCs w:val="24"/>
              </w:rPr>
              <w:t>条款号</w:t>
            </w:r>
          </w:p>
        </w:tc>
        <w:tc>
          <w:tcPr>
            <w:tcW w:w="1429" w:type="pct"/>
            <w:gridSpan w:val="2"/>
            <w:tcBorders>
              <w:top w:val="single" w:color="auto" w:sz="4" w:space="0"/>
              <w:left w:val="single" w:color="auto" w:sz="4" w:space="0"/>
              <w:bottom w:val="single" w:color="auto" w:sz="4" w:space="0"/>
              <w:right w:val="single" w:color="auto" w:sz="4" w:space="0"/>
            </w:tcBorders>
            <w:vAlign w:val="center"/>
          </w:tcPr>
          <w:p w14:paraId="6140DB2F">
            <w:pPr>
              <w:autoSpaceDE w:val="0"/>
              <w:autoSpaceDN w:val="0"/>
              <w:adjustRightInd w:val="0"/>
              <w:spacing w:line="400" w:lineRule="exact"/>
              <w:jc w:val="center"/>
              <w:rPr>
                <w:rFonts w:ascii="宋体" w:hAnsi="宋体" w:eastAsia="宋体" w:cs="宋体"/>
                <w:b/>
                <w:sz w:val="24"/>
                <w:szCs w:val="24"/>
              </w:rPr>
            </w:pPr>
            <w:r>
              <w:rPr>
                <w:rFonts w:hint="eastAsia" w:ascii="宋体" w:hAnsi="宋体" w:eastAsia="宋体" w:cs="宋体"/>
                <w:b/>
                <w:kern w:val="0"/>
                <w:sz w:val="24"/>
                <w:szCs w:val="24"/>
              </w:rPr>
              <w:t>评审因素</w:t>
            </w:r>
          </w:p>
        </w:tc>
        <w:tc>
          <w:tcPr>
            <w:tcW w:w="3053" w:type="pct"/>
            <w:tcBorders>
              <w:top w:val="single" w:color="auto" w:sz="4" w:space="0"/>
              <w:left w:val="single" w:color="auto" w:sz="4" w:space="0"/>
              <w:bottom w:val="single" w:color="auto" w:sz="4" w:space="0"/>
              <w:right w:val="single" w:color="auto" w:sz="4" w:space="0"/>
            </w:tcBorders>
            <w:vAlign w:val="center"/>
          </w:tcPr>
          <w:p w14:paraId="3BF0AFD3">
            <w:pPr>
              <w:autoSpaceDE w:val="0"/>
              <w:autoSpaceDN w:val="0"/>
              <w:adjustRightInd w:val="0"/>
              <w:spacing w:line="400" w:lineRule="exact"/>
              <w:jc w:val="center"/>
              <w:rPr>
                <w:rFonts w:ascii="宋体" w:hAnsi="宋体" w:eastAsia="宋体" w:cs="宋体"/>
                <w:b/>
                <w:sz w:val="24"/>
                <w:szCs w:val="24"/>
              </w:rPr>
            </w:pPr>
            <w:r>
              <w:rPr>
                <w:rFonts w:hint="eastAsia" w:ascii="宋体" w:hAnsi="宋体" w:eastAsia="宋体" w:cs="宋体"/>
                <w:b/>
                <w:kern w:val="0"/>
                <w:sz w:val="24"/>
                <w:szCs w:val="24"/>
              </w:rPr>
              <w:t>评审标准</w:t>
            </w:r>
          </w:p>
        </w:tc>
      </w:tr>
      <w:tr w14:paraId="5A076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exact"/>
        </w:trPr>
        <w:tc>
          <w:tcPr>
            <w:tcW w:w="517" w:type="pct"/>
            <w:vMerge w:val="restart"/>
            <w:tcBorders>
              <w:top w:val="single" w:color="auto" w:sz="4" w:space="0"/>
              <w:left w:val="single" w:color="auto" w:sz="4" w:space="0"/>
              <w:right w:val="single" w:color="auto" w:sz="4" w:space="0"/>
            </w:tcBorders>
            <w:vAlign w:val="center"/>
          </w:tcPr>
          <w:p w14:paraId="4B0713D0">
            <w:pPr>
              <w:autoSpaceDE w:val="0"/>
              <w:autoSpaceDN w:val="0"/>
              <w:adjustRightInd w:val="0"/>
              <w:spacing w:line="400" w:lineRule="exact"/>
              <w:rPr>
                <w:rFonts w:ascii="宋体" w:hAnsi="宋体" w:eastAsia="宋体" w:cs="宋体"/>
                <w:sz w:val="24"/>
                <w:szCs w:val="24"/>
              </w:rPr>
            </w:pPr>
            <w:r>
              <w:rPr>
                <w:rFonts w:hint="eastAsia" w:ascii="宋体" w:hAnsi="宋体" w:eastAsia="宋体" w:cs="宋体"/>
                <w:kern w:val="0"/>
                <w:sz w:val="24"/>
                <w:szCs w:val="24"/>
              </w:rPr>
              <w:t>2.1.1</w:t>
            </w:r>
          </w:p>
        </w:tc>
        <w:tc>
          <w:tcPr>
            <w:tcW w:w="340" w:type="pct"/>
            <w:vMerge w:val="restart"/>
            <w:tcBorders>
              <w:top w:val="single" w:color="auto" w:sz="4" w:space="0"/>
              <w:left w:val="single" w:color="auto" w:sz="4" w:space="0"/>
              <w:right w:val="single" w:color="auto" w:sz="4" w:space="0"/>
            </w:tcBorders>
            <w:vAlign w:val="center"/>
          </w:tcPr>
          <w:p w14:paraId="388B1A7B">
            <w:pPr>
              <w:autoSpaceDE w:val="0"/>
              <w:autoSpaceDN w:val="0"/>
              <w:adjustRightInd w:val="0"/>
              <w:spacing w:line="400" w:lineRule="exact"/>
              <w:jc w:val="center"/>
              <w:rPr>
                <w:rFonts w:ascii="宋体" w:hAnsi="宋体" w:eastAsia="宋体" w:cs="宋体"/>
                <w:sz w:val="24"/>
                <w:szCs w:val="24"/>
              </w:rPr>
            </w:pPr>
            <w:r>
              <w:rPr>
                <w:rFonts w:hint="eastAsia" w:ascii="宋体" w:hAnsi="宋体" w:eastAsia="宋体" w:cs="宋体"/>
                <w:sz w:val="24"/>
                <w:szCs w:val="24"/>
              </w:rPr>
              <w:t>资格审查</w:t>
            </w:r>
          </w:p>
          <w:p w14:paraId="41CD12F8">
            <w:pPr>
              <w:autoSpaceDE w:val="0"/>
              <w:autoSpaceDN w:val="0"/>
              <w:adjustRightInd w:val="0"/>
              <w:spacing w:line="400" w:lineRule="exact"/>
              <w:jc w:val="center"/>
              <w:rPr>
                <w:rFonts w:ascii="宋体" w:hAnsi="宋体" w:eastAsia="宋体" w:cs="宋体"/>
                <w:sz w:val="24"/>
                <w:szCs w:val="24"/>
              </w:rPr>
            </w:pPr>
            <w:r>
              <w:rPr>
                <w:rFonts w:hint="eastAsia" w:ascii="宋体" w:hAnsi="宋体" w:eastAsia="宋体" w:cs="宋体"/>
                <w:sz w:val="24"/>
                <w:szCs w:val="24"/>
              </w:rPr>
              <w:t>标</w:t>
            </w:r>
          </w:p>
          <w:p w14:paraId="2E439B21">
            <w:pPr>
              <w:autoSpaceDE w:val="0"/>
              <w:autoSpaceDN w:val="0"/>
              <w:adjustRightInd w:val="0"/>
              <w:spacing w:line="400" w:lineRule="exact"/>
              <w:jc w:val="center"/>
              <w:rPr>
                <w:rFonts w:ascii="宋体" w:hAnsi="宋体" w:eastAsia="宋体" w:cs="宋体"/>
                <w:sz w:val="24"/>
                <w:szCs w:val="24"/>
              </w:rPr>
            </w:pPr>
            <w:r>
              <w:rPr>
                <w:rFonts w:hint="eastAsia" w:ascii="宋体" w:hAnsi="宋体" w:eastAsia="宋体" w:cs="宋体"/>
                <w:sz w:val="24"/>
                <w:szCs w:val="24"/>
              </w:rPr>
              <w:t>准</w:t>
            </w:r>
          </w:p>
        </w:tc>
        <w:tc>
          <w:tcPr>
            <w:tcW w:w="1088" w:type="pct"/>
            <w:tcBorders>
              <w:top w:val="single" w:color="auto" w:sz="4" w:space="0"/>
              <w:left w:val="single" w:color="auto" w:sz="4" w:space="0"/>
              <w:right w:val="single" w:color="auto" w:sz="4" w:space="0"/>
            </w:tcBorders>
            <w:vAlign w:val="center"/>
          </w:tcPr>
          <w:p w14:paraId="1431AC79">
            <w:pPr>
              <w:autoSpaceDE w:val="0"/>
              <w:autoSpaceDN w:val="0"/>
              <w:adjustRightInd w:val="0"/>
              <w:spacing w:line="400" w:lineRule="exact"/>
              <w:jc w:val="center"/>
              <w:rPr>
                <w:rFonts w:ascii="宋体" w:hAnsi="宋体" w:eastAsia="宋体" w:cs="宋体"/>
                <w:sz w:val="24"/>
                <w:szCs w:val="24"/>
              </w:rPr>
            </w:pPr>
            <w:r>
              <w:rPr>
                <w:rFonts w:hint="eastAsia" w:ascii="宋体" w:hAnsi="宋体" w:eastAsia="宋体" w:cs="宋体"/>
                <w:sz w:val="24"/>
                <w:szCs w:val="24"/>
              </w:rPr>
              <w:t>《中华人民共和国政府采购法》第二十二条</w:t>
            </w:r>
          </w:p>
        </w:tc>
        <w:tc>
          <w:tcPr>
            <w:tcW w:w="3053" w:type="pct"/>
            <w:tcBorders>
              <w:top w:val="single" w:color="auto" w:sz="4" w:space="0"/>
              <w:left w:val="single" w:color="auto" w:sz="4" w:space="0"/>
              <w:bottom w:val="single" w:color="auto" w:sz="4" w:space="0"/>
              <w:right w:val="single" w:color="auto" w:sz="4" w:space="0"/>
            </w:tcBorders>
            <w:vAlign w:val="center"/>
          </w:tcPr>
          <w:p w14:paraId="5EE8F8E2">
            <w:pPr>
              <w:widowControl/>
              <w:spacing w:line="400" w:lineRule="exact"/>
              <w:rPr>
                <w:rFonts w:ascii="宋体" w:hAnsi="宋体" w:eastAsia="宋体" w:cs="宋体"/>
                <w:sz w:val="24"/>
                <w:szCs w:val="24"/>
              </w:rPr>
            </w:pPr>
            <w:r>
              <w:rPr>
                <w:rFonts w:hint="eastAsia" w:ascii="宋体" w:hAnsi="宋体" w:eastAsia="宋体" w:cs="宋体"/>
                <w:sz w:val="24"/>
                <w:szCs w:val="24"/>
              </w:rPr>
              <w:t>满足《中华人民共和国政府采购法》第二十二条规定</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供应商提供承诺书</w:t>
            </w:r>
          </w:p>
        </w:tc>
      </w:tr>
      <w:tr w14:paraId="715CE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exact"/>
        </w:trPr>
        <w:tc>
          <w:tcPr>
            <w:tcW w:w="517" w:type="pct"/>
            <w:vMerge w:val="continue"/>
            <w:tcBorders>
              <w:left w:val="single" w:color="auto" w:sz="4" w:space="0"/>
              <w:right w:val="single" w:color="auto" w:sz="4" w:space="0"/>
            </w:tcBorders>
            <w:vAlign w:val="center"/>
          </w:tcPr>
          <w:p w14:paraId="1A6A12DC">
            <w:pPr>
              <w:autoSpaceDE w:val="0"/>
              <w:autoSpaceDN w:val="0"/>
              <w:adjustRightInd w:val="0"/>
              <w:spacing w:line="400" w:lineRule="exact"/>
              <w:rPr>
                <w:rFonts w:ascii="宋体" w:hAnsi="宋体" w:eastAsia="宋体" w:cs="宋体"/>
                <w:sz w:val="24"/>
                <w:szCs w:val="24"/>
              </w:rPr>
            </w:pPr>
          </w:p>
        </w:tc>
        <w:tc>
          <w:tcPr>
            <w:tcW w:w="340" w:type="pct"/>
            <w:vMerge w:val="continue"/>
            <w:tcBorders>
              <w:left w:val="single" w:color="auto" w:sz="4" w:space="0"/>
              <w:right w:val="single" w:color="auto" w:sz="4" w:space="0"/>
            </w:tcBorders>
            <w:vAlign w:val="center"/>
          </w:tcPr>
          <w:p w14:paraId="2BF24767">
            <w:pPr>
              <w:autoSpaceDE w:val="0"/>
              <w:autoSpaceDN w:val="0"/>
              <w:adjustRightInd w:val="0"/>
              <w:spacing w:line="400" w:lineRule="exact"/>
              <w:jc w:val="center"/>
              <w:rPr>
                <w:rFonts w:ascii="宋体" w:hAnsi="宋体" w:eastAsia="宋体" w:cs="宋体"/>
                <w:sz w:val="24"/>
                <w:szCs w:val="24"/>
              </w:rPr>
            </w:pPr>
          </w:p>
        </w:tc>
        <w:tc>
          <w:tcPr>
            <w:tcW w:w="1088" w:type="pct"/>
            <w:tcBorders>
              <w:top w:val="single" w:color="auto" w:sz="4" w:space="0"/>
              <w:left w:val="single" w:color="auto" w:sz="4" w:space="0"/>
              <w:bottom w:val="single" w:color="auto" w:sz="4" w:space="0"/>
              <w:right w:val="single" w:color="auto" w:sz="4" w:space="0"/>
            </w:tcBorders>
            <w:vAlign w:val="center"/>
          </w:tcPr>
          <w:p w14:paraId="67DB7A2C">
            <w:pPr>
              <w:autoSpaceDE w:val="0"/>
              <w:autoSpaceDN w:val="0"/>
              <w:adjustRightInd w:val="0"/>
              <w:spacing w:line="400" w:lineRule="exact"/>
              <w:jc w:val="center"/>
              <w:rPr>
                <w:rFonts w:ascii="宋体" w:hAnsi="宋体" w:eastAsia="宋体" w:cs="宋体"/>
                <w:sz w:val="24"/>
                <w:szCs w:val="24"/>
              </w:rPr>
            </w:pPr>
            <w:r>
              <w:rPr>
                <w:rFonts w:hint="eastAsia" w:ascii="宋体" w:hAnsi="宋体" w:eastAsia="宋体" w:cs="宋体"/>
                <w:sz w:val="24"/>
                <w:szCs w:val="24"/>
              </w:rPr>
              <w:t>营业执照</w:t>
            </w:r>
          </w:p>
        </w:tc>
        <w:tc>
          <w:tcPr>
            <w:tcW w:w="3053" w:type="pct"/>
            <w:tcBorders>
              <w:top w:val="single" w:color="auto" w:sz="4" w:space="0"/>
              <w:left w:val="single" w:color="auto" w:sz="4" w:space="0"/>
              <w:bottom w:val="single" w:color="auto" w:sz="4" w:space="0"/>
              <w:right w:val="single" w:color="auto" w:sz="4" w:space="0"/>
            </w:tcBorders>
            <w:vAlign w:val="center"/>
          </w:tcPr>
          <w:p w14:paraId="562DDAC0">
            <w:pPr>
              <w:widowControl/>
              <w:spacing w:line="400" w:lineRule="exact"/>
              <w:rPr>
                <w:rFonts w:hint="eastAsia" w:ascii="宋体" w:hAnsi="宋体" w:eastAsia="宋体" w:cs="宋体"/>
                <w:sz w:val="24"/>
                <w:szCs w:val="24"/>
              </w:rPr>
            </w:pPr>
            <w:r>
              <w:rPr>
                <w:rFonts w:hint="eastAsia" w:ascii="宋体" w:hAnsi="宋体" w:eastAsia="宋体" w:cs="宋体"/>
                <w:sz w:val="24"/>
                <w:szCs w:val="24"/>
              </w:rPr>
              <w:t>供应商具有合格有效的营业执照；提供具有履行合同所必需的设备和专业技术能力</w:t>
            </w:r>
            <w:r>
              <w:rPr>
                <w:rFonts w:hint="eastAsia" w:ascii="宋体" w:hAnsi="宋体" w:eastAsia="宋体" w:cs="宋体"/>
                <w:sz w:val="24"/>
                <w:szCs w:val="24"/>
                <w:lang w:eastAsia="zh-CN"/>
              </w:rPr>
              <w:t>（自行作出承诺，格式自拟）</w:t>
            </w:r>
          </w:p>
        </w:tc>
      </w:tr>
      <w:tr w14:paraId="7D444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exact"/>
        </w:trPr>
        <w:tc>
          <w:tcPr>
            <w:tcW w:w="517" w:type="pct"/>
            <w:vMerge w:val="continue"/>
            <w:tcBorders>
              <w:left w:val="single" w:color="auto" w:sz="4" w:space="0"/>
              <w:right w:val="single" w:color="auto" w:sz="4" w:space="0"/>
            </w:tcBorders>
            <w:vAlign w:val="center"/>
          </w:tcPr>
          <w:p w14:paraId="1F863D4B">
            <w:pPr>
              <w:autoSpaceDE w:val="0"/>
              <w:autoSpaceDN w:val="0"/>
              <w:adjustRightInd w:val="0"/>
              <w:spacing w:line="400" w:lineRule="exact"/>
              <w:rPr>
                <w:rFonts w:ascii="宋体" w:hAnsi="宋体" w:eastAsia="宋体" w:cs="宋体"/>
                <w:kern w:val="0"/>
                <w:sz w:val="24"/>
                <w:szCs w:val="24"/>
              </w:rPr>
            </w:pPr>
          </w:p>
        </w:tc>
        <w:tc>
          <w:tcPr>
            <w:tcW w:w="340" w:type="pct"/>
            <w:vMerge w:val="continue"/>
            <w:tcBorders>
              <w:left w:val="single" w:color="auto" w:sz="4" w:space="0"/>
              <w:right w:val="single" w:color="auto" w:sz="4" w:space="0"/>
            </w:tcBorders>
            <w:vAlign w:val="center"/>
          </w:tcPr>
          <w:p w14:paraId="38750508">
            <w:pPr>
              <w:autoSpaceDE w:val="0"/>
              <w:autoSpaceDN w:val="0"/>
              <w:adjustRightInd w:val="0"/>
              <w:spacing w:line="400" w:lineRule="exact"/>
              <w:jc w:val="center"/>
              <w:rPr>
                <w:rFonts w:ascii="宋体" w:hAnsi="宋体" w:eastAsia="宋体" w:cs="宋体"/>
                <w:sz w:val="24"/>
                <w:szCs w:val="24"/>
              </w:rPr>
            </w:pPr>
          </w:p>
        </w:tc>
        <w:tc>
          <w:tcPr>
            <w:tcW w:w="1088" w:type="pct"/>
            <w:tcBorders>
              <w:top w:val="single" w:color="auto" w:sz="4" w:space="0"/>
              <w:left w:val="single" w:color="auto" w:sz="4" w:space="0"/>
              <w:bottom w:val="single" w:color="auto" w:sz="4" w:space="0"/>
              <w:right w:val="single" w:color="auto" w:sz="4" w:space="0"/>
            </w:tcBorders>
            <w:vAlign w:val="center"/>
          </w:tcPr>
          <w:p w14:paraId="61115C31">
            <w:pPr>
              <w:autoSpaceDE w:val="0"/>
              <w:autoSpaceDN w:val="0"/>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无行贿记录及无商业贿赂和不正当竞争行为</w:t>
            </w:r>
          </w:p>
        </w:tc>
        <w:tc>
          <w:tcPr>
            <w:tcW w:w="3053" w:type="pct"/>
            <w:tcBorders>
              <w:top w:val="single" w:color="auto" w:sz="4" w:space="0"/>
              <w:left w:val="single" w:color="auto" w:sz="4" w:space="0"/>
              <w:bottom w:val="single" w:color="auto" w:sz="4" w:space="0"/>
              <w:right w:val="single" w:color="auto" w:sz="4" w:space="0"/>
            </w:tcBorders>
            <w:vAlign w:val="center"/>
          </w:tcPr>
          <w:p w14:paraId="2EC145D4">
            <w:pPr>
              <w:widowControl/>
              <w:spacing w:line="400" w:lineRule="exact"/>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lang w:val="en-US" w:eastAsia="zh-CN"/>
              </w:rPr>
              <w:t>出具无行贿记录在中国裁判文书网自行查询或自行承诺（查询对象：企业、法定代表人）及企业自行承诺无商业贿赂和不正当竞争行为</w:t>
            </w:r>
          </w:p>
        </w:tc>
      </w:tr>
      <w:tr w14:paraId="67D23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6" w:hRule="exact"/>
        </w:trPr>
        <w:tc>
          <w:tcPr>
            <w:tcW w:w="517" w:type="pct"/>
            <w:vMerge w:val="continue"/>
            <w:tcBorders>
              <w:left w:val="single" w:color="auto" w:sz="4" w:space="0"/>
              <w:right w:val="single" w:color="auto" w:sz="4" w:space="0"/>
            </w:tcBorders>
            <w:vAlign w:val="center"/>
          </w:tcPr>
          <w:p w14:paraId="345788B4">
            <w:pPr>
              <w:autoSpaceDE w:val="0"/>
              <w:autoSpaceDN w:val="0"/>
              <w:adjustRightInd w:val="0"/>
              <w:spacing w:line="400" w:lineRule="exact"/>
              <w:rPr>
                <w:rFonts w:ascii="宋体" w:hAnsi="宋体" w:eastAsia="宋体" w:cs="宋体"/>
                <w:kern w:val="0"/>
                <w:sz w:val="24"/>
                <w:szCs w:val="24"/>
              </w:rPr>
            </w:pPr>
          </w:p>
        </w:tc>
        <w:tc>
          <w:tcPr>
            <w:tcW w:w="340" w:type="pct"/>
            <w:vMerge w:val="continue"/>
            <w:tcBorders>
              <w:left w:val="single" w:color="auto" w:sz="4" w:space="0"/>
              <w:right w:val="single" w:color="auto" w:sz="4" w:space="0"/>
            </w:tcBorders>
            <w:vAlign w:val="center"/>
          </w:tcPr>
          <w:p w14:paraId="7C098F5B">
            <w:pPr>
              <w:autoSpaceDE w:val="0"/>
              <w:autoSpaceDN w:val="0"/>
              <w:adjustRightInd w:val="0"/>
              <w:spacing w:line="400" w:lineRule="exact"/>
              <w:jc w:val="center"/>
              <w:rPr>
                <w:rFonts w:ascii="宋体" w:hAnsi="宋体" w:eastAsia="宋体" w:cs="宋体"/>
                <w:sz w:val="24"/>
                <w:szCs w:val="24"/>
              </w:rPr>
            </w:pPr>
          </w:p>
        </w:tc>
        <w:tc>
          <w:tcPr>
            <w:tcW w:w="1088" w:type="pct"/>
            <w:tcBorders>
              <w:top w:val="single" w:color="auto" w:sz="4" w:space="0"/>
              <w:left w:val="single" w:color="auto" w:sz="4" w:space="0"/>
              <w:bottom w:val="single" w:color="auto" w:sz="4" w:space="0"/>
              <w:right w:val="single" w:color="auto" w:sz="4" w:space="0"/>
            </w:tcBorders>
            <w:vAlign w:val="center"/>
          </w:tcPr>
          <w:p w14:paraId="28485D5E">
            <w:pPr>
              <w:autoSpaceDE w:val="0"/>
              <w:autoSpaceDN w:val="0"/>
              <w:adjustRightInd w:val="0"/>
              <w:spacing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rPr>
              <w:t>信用查询</w:t>
            </w:r>
          </w:p>
        </w:tc>
        <w:tc>
          <w:tcPr>
            <w:tcW w:w="3053" w:type="pct"/>
            <w:tcBorders>
              <w:top w:val="single" w:color="auto" w:sz="4" w:space="0"/>
              <w:left w:val="single" w:color="auto" w:sz="4" w:space="0"/>
              <w:bottom w:val="single" w:color="auto" w:sz="4" w:space="0"/>
              <w:right w:val="single" w:color="auto" w:sz="4" w:space="0"/>
            </w:tcBorders>
            <w:vAlign w:val="center"/>
          </w:tcPr>
          <w:p w14:paraId="5D667515">
            <w:pPr>
              <w:widowControl/>
              <w:spacing w:line="400" w:lineRule="exact"/>
              <w:rPr>
                <w:rFonts w:hint="eastAsia" w:ascii="宋体" w:hAnsi="宋体" w:eastAsia="宋体" w:cs="宋体"/>
                <w:sz w:val="24"/>
                <w:szCs w:val="24"/>
              </w:rPr>
            </w:pPr>
            <w:r>
              <w:rPr>
                <w:rFonts w:hint="eastAsia" w:ascii="宋体" w:hAnsi="宋体" w:eastAsia="宋体" w:cs="宋体"/>
                <w:sz w:val="24"/>
                <w:szCs w:val="24"/>
                <w:lang w:val="en-US" w:eastAsia="zh-CN"/>
              </w:rPr>
              <w:t>根据《关于在政府采购活动中查询及使用信用记录有关问题的通知》(财库[2016]125号)和豫财购【2016】15号的规定，企业没有被列入“信用中国”网站的“失信被执行人”、“重大税收违法失信主体”及“中国政府采购网站”的“政府采购严重违法失信行为记录名单”的供应商。【查询渠道：“信用中国”网站（www.creditchina.gov.cn）、中国政府采购网（www.ccgp.gov.cn）】（提供“信用中国”和“中国政府采购网”网站的查询信息截图，查询时间自公告发布之日起)</w:t>
            </w:r>
          </w:p>
        </w:tc>
      </w:tr>
      <w:tr w14:paraId="78565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exact"/>
        </w:trPr>
        <w:tc>
          <w:tcPr>
            <w:tcW w:w="517" w:type="pct"/>
            <w:vMerge w:val="continue"/>
            <w:tcBorders>
              <w:left w:val="single" w:color="auto" w:sz="4" w:space="0"/>
              <w:bottom w:val="single" w:color="auto" w:sz="4" w:space="0"/>
              <w:right w:val="single" w:color="auto" w:sz="4" w:space="0"/>
            </w:tcBorders>
            <w:vAlign w:val="center"/>
          </w:tcPr>
          <w:p w14:paraId="6790D78D">
            <w:pPr>
              <w:autoSpaceDE w:val="0"/>
              <w:autoSpaceDN w:val="0"/>
              <w:adjustRightInd w:val="0"/>
              <w:spacing w:line="400" w:lineRule="exact"/>
              <w:rPr>
                <w:rFonts w:ascii="宋体" w:hAnsi="宋体" w:eastAsia="宋体" w:cs="宋体"/>
                <w:kern w:val="0"/>
                <w:sz w:val="24"/>
                <w:szCs w:val="24"/>
              </w:rPr>
            </w:pPr>
          </w:p>
        </w:tc>
        <w:tc>
          <w:tcPr>
            <w:tcW w:w="340" w:type="pct"/>
            <w:vMerge w:val="continue"/>
            <w:tcBorders>
              <w:left w:val="single" w:color="auto" w:sz="4" w:space="0"/>
              <w:bottom w:val="single" w:color="auto" w:sz="4" w:space="0"/>
              <w:right w:val="single" w:color="auto" w:sz="4" w:space="0"/>
            </w:tcBorders>
            <w:vAlign w:val="center"/>
          </w:tcPr>
          <w:p w14:paraId="50EB7D3A">
            <w:pPr>
              <w:autoSpaceDE w:val="0"/>
              <w:autoSpaceDN w:val="0"/>
              <w:adjustRightInd w:val="0"/>
              <w:spacing w:line="400" w:lineRule="exact"/>
              <w:jc w:val="center"/>
              <w:rPr>
                <w:rFonts w:ascii="宋体" w:hAnsi="宋体" w:eastAsia="宋体" w:cs="宋体"/>
                <w:sz w:val="24"/>
                <w:szCs w:val="24"/>
              </w:rPr>
            </w:pPr>
          </w:p>
        </w:tc>
        <w:tc>
          <w:tcPr>
            <w:tcW w:w="1088" w:type="pct"/>
            <w:tcBorders>
              <w:top w:val="single" w:color="auto" w:sz="4" w:space="0"/>
              <w:left w:val="single" w:color="auto" w:sz="4" w:space="0"/>
              <w:bottom w:val="single" w:color="auto" w:sz="4" w:space="0"/>
              <w:right w:val="single" w:color="auto" w:sz="4" w:space="0"/>
            </w:tcBorders>
            <w:vAlign w:val="center"/>
          </w:tcPr>
          <w:p w14:paraId="62D43D67">
            <w:pPr>
              <w:autoSpaceDE w:val="0"/>
              <w:autoSpaceDN w:val="0"/>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本项目不接受联合体投标</w:t>
            </w:r>
          </w:p>
        </w:tc>
        <w:tc>
          <w:tcPr>
            <w:tcW w:w="3053" w:type="pct"/>
            <w:tcBorders>
              <w:top w:val="single" w:color="auto" w:sz="4" w:space="0"/>
              <w:left w:val="single" w:color="auto" w:sz="4" w:space="0"/>
              <w:bottom w:val="single" w:color="auto" w:sz="4" w:space="0"/>
              <w:right w:val="single" w:color="auto" w:sz="4" w:space="0"/>
            </w:tcBorders>
            <w:vAlign w:val="top"/>
          </w:tcPr>
          <w:p w14:paraId="4F2DA5CE">
            <w:pPr>
              <w:widowControl/>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本项目不接受联合体投标，供应商提供承诺书</w:t>
            </w:r>
          </w:p>
        </w:tc>
      </w:tr>
      <w:tr w14:paraId="2BE24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517" w:type="pct"/>
            <w:vMerge w:val="restart"/>
            <w:tcBorders>
              <w:top w:val="single" w:color="auto" w:sz="4" w:space="0"/>
              <w:left w:val="single" w:color="auto" w:sz="4" w:space="0"/>
              <w:right w:val="single" w:color="auto" w:sz="4" w:space="0"/>
            </w:tcBorders>
            <w:vAlign w:val="center"/>
          </w:tcPr>
          <w:p w14:paraId="32C6D739">
            <w:pPr>
              <w:autoSpaceDE w:val="0"/>
              <w:autoSpaceDN w:val="0"/>
              <w:adjustRightInd w:val="0"/>
              <w:spacing w:line="400" w:lineRule="exact"/>
              <w:rPr>
                <w:rFonts w:ascii="宋体" w:hAnsi="宋体" w:eastAsia="宋体" w:cs="宋体"/>
                <w:sz w:val="24"/>
                <w:szCs w:val="24"/>
              </w:rPr>
            </w:pPr>
            <w:r>
              <w:rPr>
                <w:rFonts w:hint="eastAsia" w:ascii="宋体" w:hAnsi="宋体" w:eastAsia="宋体" w:cs="宋体"/>
                <w:kern w:val="0"/>
                <w:sz w:val="24"/>
                <w:szCs w:val="24"/>
              </w:rPr>
              <w:t>2.1.2</w:t>
            </w:r>
          </w:p>
        </w:tc>
        <w:tc>
          <w:tcPr>
            <w:tcW w:w="340" w:type="pct"/>
            <w:vMerge w:val="restart"/>
            <w:tcBorders>
              <w:top w:val="single" w:color="auto" w:sz="4" w:space="0"/>
              <w:left w:val="single" w:color="auto" w:sz="4" w:space="0"/>
              <w:right w:val="single" w:color="auto" w:sz="4" w:space="0"/>
            </w:tcBorders>
            <w:vAlign w:val="center"/>
          </w:tcPr>
          <w:p w14:paraId="0BED2907">
            <w:pPr>
              <w:autoSpaceDE w:val="0"/>
              <w:autoSpaceDN w:val="0"/>
              <w:adjustRightInd w:val="0"/>
              <w:spacing w:line="400" w:lineRule="exact"/>
              <w:jc w:val="center"/>
              <w:rPr>
                <w:rFonts w:ascii="宋体" w:hAnsi="宋体" w:eastAsia="宋体" w:cs="宋体"/>
                <w:kern w:val="0"/>
                <w:sz w:val="24"/>
                <w:szCs w:val="24"/>
              </w:rPr>
            </w:pPr>
            <w:r>
              <w:rPr>
                <w:rFonts w:hint="eastAsia" w:ascii="宋体" w:hAnsi="宋体" w:eastAsia="宋体" w:cs="宋体"/>
                <w:kern w:val="0"/>
                <w:sz w:val="24"/>
                <w:szCs w:val="24"/>
              </w:rPr>
              <w:t>符 合 性 审查标准</w:t>
            </w:r>
          </w:p>
        </w:tc>
        <w:tc>
          <w:tcPr>
            <w:tcW w:w="1088" w:type="pct"/>
            <w:tcBorders>
              <w:top w:val="single" w:color="auto" w:sz="4" w:space="0"/>
              <w:left w:val="single" w:color="auto" w:sz="4" w:space="0"/>
              <w:bottom w:val="single" w:color="auto" w:sz="4" w:space="0"/>
              <w:right w:val="single" w:color="auto" w:sz="4" w:space="0"/>
            </w:tcBorders>
            <w:vAlign w:val="center"/>
          </w:tcPr>
          <w:p w14:paraId="19EAC18F">
            <w:pPr>
              <w:autoSpaceDE w:val="0"/>
              <w:autoSpaceDN w:val="0"/>
              <w:adjustRightInd w:val="0"/>
              <w:spacing w:line="400" w:lineRule="exact"/>
              <w:jc w:val="center"/>
              <w:rPr>
                <w:rFonts w:ascii="宋体" w:hAnsi="宋体" w:eastAsia="宋体" w:cs="宋体"/>
                <w:sz w:val="24"/>
                <w:szCs w:val="24"/>
              </w:rPr>
            </w:pPr>
            <w:r>
              <w:rPr>
                <w:rFonts w:hint="eastAsia" w:ascii="宋体" w:hAnsi="宋体" w:eastAsia="宋体" w:cs="宋体"/>
                <w:sz w:val="24"/>
                <w:szCs w:val="24"/>
              </w:rPr>
              <w:t>供应商名称</w:t>
            </w:r>
          </w:p>
        </w:tc>
        <w:tc>
          <w:tcPr>
            <w:tcW w:w="3053" w:type="pct"/>
            <w:tcBorders>
              <w:top w:val="single" w:color="auto" w:sz="4" w:space="0"/>
              <w:left w:val="single" w:color="auto" w:sz="4" w:space="0"/>
              <w:bottom w:val="single" w:color="auto" w:sz="4" w:space="0"/>
              <w:right w:val="single" w:color="auto" w:sz="4" w:space="0"/>
            </w:tcBorders>
            <w:vAlign w:val="center"/>
          </w:tcPr>
          <w:p w14:paraId="36E54206">
            <w:pPr>
              <w:autoSpaceDE w:val="0"/>
              <w:autoSpaceDN w:val="0"/>
              <w:adjustRightInd w:val="0"/>
              <w:spacing w:line="400" w:lineRule="exact"/>
              <w:rPr>
                <w:rFonts w:ascii="宋体" w:hAnsi="宋体" w:eastAsia="宋体" w:cs="宋体"/>
                <w:sz w:val="24"/>
                <w:szCs w:val="24"/>
              </w:rPr>
            </w:pPr>
            <w:r>
              <w:rPr>
                <w:rFonts w:hint="eastAsia" w:ascii="宋体" w:hAnsi="宋体" w:eastAsia="宋体" w:cs="宋体"/>
                <w:sz w:val="24"/>
                <w:szCs w:val="24"/>
              </w:rPr>
              <w:t>与营业执照一致</w:t>
            </w:r>
          </w:p>
        </w:tc>
      </w:tr>
      <w:tr w14:paraId="17ECD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trPr>
        <w:tc>
          <w:tcPr>
            <w:tcW w:w="517" w:type="pct"/>
            <w:vMerge w:val="continue"/>
            <w:tcBorders>
              <w:left w:val="single" w:color="auto" w:sz="4" w:space="0"/>
              <w:right w:val="single" w:color="auto" w:sz="4" w:space="0"/>
            </w:tcBorders>
            <w:vAlign w:val="center"/>
          </w:tcPr>
          <w:p w14:paraId="385DC890">
            <w:pPr>
              <w:spacing w:line="400" w:lineRule="exact"/>
              <w:rPr>
                <w:rFonts w:ascii="宋体" w:hAnsi="宋体" w:eastAsia="宋体" w:cs="宋体"/>
                <w:sz w:val="24"/>
                <w:szCs w:val="24"/>
              </w:rPr>
            </w:pPr>
          </w:p>
        </w:tc>
        <w:tc>
          <w:tcPr>
            <w:tcW w:w="340" w:type="pct"/>
            <w:vMerge w:val="continue"/>
            <w:tcBorders>
              <w:left w:val="single" w:color="auto" w:sz="4" w:space="0"/>
              <w:right w:val="single" w:color="auto" w:sz="4" w:space="0"/>
            </w:tcBorders>
            <w:vAlign w:val="center"/>
          </w:tcPr>
          <w:p w14:paraId="767F6E32">
            <w:pPr>
              <w:spacing w:line="400" w:lineRule="exact"/>
              <w:rPr>
                <w:rFonts w:ascii="宋体" w:hAnsi="宋体" w:eastAsia="宋体" w:cs="宋体"/>
                <w:sz w:val="24"/>
                <w:szCs w:val="24"/>
              </w:rPr>
            </w:pPr>
          </w:p>
        </w:tc>
        <w:tc>
          <w:tcPr>
            <w:tcW w:w="1088" w:type="pct"/>
            <w:tcBorders>
              <w:top w:val="single" w:color="auto" w:sz="4" w:space="0"/>
              <w:left w:val="single" w:color="auto" w:sz="4" w:space="0"/>
              <w:right w:val="single" w:color="auto" w:sz="4" w:space="0"/>
            </w:tcBorders>
            <w:vAlign w:val="center"/>
          </w:tcPr>
          <w:p w14:paraId="4E318AF0">
            <w:pPr>
              <w:autoSpaceDE w:val="0"/>
              <w:autoSpaceDN w:val="0"/>
              <w:adjustRightInd w:val="0"/>
              <w:spacing w:line="400" w:lineRule="exact"/>
              <w:jc w:val="center"/>
              <w:rPr>
                <w:rFonts w:ascii="宋体" w:hAnsi="宋体" w:eastAsia="宋体" w:cs="宋体"/>
                <w:sz w:val="24"/>
                <w:szCs w:val="24"/>
              </w:rPr>
            </w:pPr>
            <w:r>
              <w:rPr>
                <w:rFonts w:hint="eastAsia" w:ascii="宋体" w:hAnsi="宋体" w:eastAsia="宋体" w:cs="宋体"/>
                <w:sz w:val="24"/>
                <w:szCs w:val="24"/>
                <w:lang w:val="en-US" w:eastAsia="zh-CN"/>
              </w:rPr>
              <w:t>磋商函签字盖章</w:t>
            </w:r>
          </w:p>
        </w:tc>
        <w:tc>
          <w:tcPr>
            <w:tcW w:w="3053" w:type="pct"/>
            <w:tcBorders>
              <w:top w:val="single" w:color="auto" w:sz="4" w:space="0"/>
              <w:left w:val="single" w:color="auto" w:sz="4" w:space="0"/>
              <w:bottom w:val="single" w:color="auto" w:sz="4" w:space="0"/>
              <w:right w:val="single" w:color="auto" w:sz="4" w:space="0"/>
            </w:tcBorders>
            <w:vAlign w:val="center"/>
          </w:tcPr>
          <w:p w14:paraId="3163CB68">
            <w:pPr>
              <w:autoSpaceDE w:val="0"/>
              <w:autoSpaceDN w:val="0"/>
              <w:adjustRightInd w:val="0"/>
              <w:spacing w:line="400" w:lineRule="exact"/>
              <w:rPr>
                <w:rFonts w:hint="eastAsia" w:ascii="宋体" w:hAnsi="宋体" w:eastAsia="宋体" w:cs="宋体"/>
                <w:sz w:val="24"/>
                <w:szCs w:val="24"/>
              </w:rPr>
            </w:pPr>
            <w:r>
              <w:rPr>
                <w:rFonts w:hint="eastAsia" w:ascii="宋体" w:hAnsi="宋体" w:eastAsia="宋体" w:cs="宋体"/>
                <w:sz w:val="24"/>
                <w:szCs w:val="24"/>
                <w:lang w:val="en-US" w:eastAsia="zh-CN"/>
              </w:rPr>
              <w:t>有法定代表人或其委托代理人签字或盖章并加盖单位公章</w:t>
            </w:r>
          </w:p>
        </w:tc>
      </w:tr>
      <w:tr w14:paraId="7EC23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517" w:type="pct"/>
            <w:vMerge w:val="continue"/>
            <w:tcBorders>
              <w:left w:val="single" w:color="auto" w:sz="4" w:space="0"/>
              <w:right w:val="single" w:color="auto" w:sz="4" w:space="0"/>
            </w:tcBorders>
            <w:vAlign w:val="center"/>
          </w:tcPr>
          <w:p w14:paraId="3595A7F8">
            <w:pPr>
              <w:autoSpaceDE w:val="0"/>
              <w:autoSpaceDN w:val="0"/>
              <w:adjustRightInd w:val="0"/>
              <w:spacing w:line="400" w:lineRule="exact"/>
              <w:rPr>
                <w:rFonts w:ascii="宋体" w:hAnsi="宋体" w:eastAsia="宋体" w:cs="宋体"/>
                <w:kern w:val="0"/>
                <w:sz w:val="24"/>
                <w:szCs w:val="24"/>
              </w:rPr>
            </w:pPr>
          </w:p>
        </w:tc>
        <w:tc>
          <w:tcPr>
            <w:tcW w:w="340" w:type="pct"/>
            <w:vMerge w:val="continue"/>
            <w:tcBorders>
              <w:left w:val="single" w:color="auto" w:sz="4" w:space="0"/>
              <w:right w:val="single" w:color="auto" w:sz="4" w:space="0"/>
            </w:tcBorders>
            <w:vAlign w:val="center"/>
          </w:tcPr>
          <w:p w14:paraId="4D6B7CE4">
            <w:pPr>
              <w:autoSpaceDE w:val="0"/>
              <w:autoSpaceDN w:val="0"/>
              <w:adjustRightInd w:val="0"/>
              <w:spacing w:line="400" w:lineRule="exact"/>
              <w:jc w:val="center"/>
              <w:rPr>
                <w:rFonts w:ascii="宋体" w:hAnsi="宋体" w:eastAsia="宋体" w:cs="宋体"/>
                <w:kern w:val="0"/>
                <w:sz w:val="24"/>
                <w:szCs w:val="24"/>
              </w:rPr>
            </w:pPr>
          </w:p>
        </w:tc>
        <w:tc>
          <w:tcPr>
            <w:tcW w:w="1088" w:type="pct"/>
            <w:tcBorders>
              <w:top w:val="single" w:color="auto" w:sz="4" w:space="0"/>
              <w:left w:val="single" w:color="auto" w:sz="4" w:space="0"/>
              <w:bottom w:val="single" w:color="auto" w:sz="4" w:space="0"/>
              <w:right w:val="single" w:color="auto" w:sz="4" w:space="0"/>
            </w:tcBorders>
            <w:vAlign w:val="center"/>
          </w:tcPr>
          <w:p w14:paraId="056DF7AC">
            <w:pPr>
              <w:autoSpaceDE w:val="0"/>
              <w:autoSpaceDN w:val="0"/>
              <w:adjustRightInd w:val="0"/>
              <w:spacing w:line="400" w:lineRule="exact"/>
              <w:jc w:val="center"/>
              <w:rPr>
                <w:rFonts w:ascii="宋体" w:hAnsi="宋体" w:eastAsia="宋体" w:cs="宋体"/>
                <w:kern w:val="0"/>
                <w:sz w:val="24"/>
                <w:szCs w:val="24"/>
              </w:rPr>
            </w:pPr>
            <w:r>
              <w:rPr>
                <w:rFonts w:hint="eastAsia" w:ascii="宋体" w:hAnsi="宋体" w:eastAsia="宋体" w:cs="宋体"/>
                <w:kern w:val="0"/>
                <w:sz w:val="24"/>
                <w:szCs w:val="24"/>
              </w:rPr>
              <w:t>报价唯一</w:t>
            </w:r>
          </w:p>
        </w:tc>
        <w:tc>
          <w:tcPr>
            <w:tcW w:w="3053" w:type="pct"/>
            <w:tcBorders>
              <w:top w:val="single" w:color="auto" w:sz="4" w:space="0"/>
              <w:left w:val="single" w:color="auto" w:sz="4" w:space="0"/>
              <w:bottom w:val="single" w:color="auto" w:sz="4" w:space="0"/>
              <w:right w:val="single" w:color="auto" w:sz="4" w:space="0"/>
            </w:tcBorders>
            <w:vAlign w:val="center"/>
          </w:tcPr>
          <w:p w14:paraId="3E8192C9">
            <w:pPr>
              <w:autoSpaceDE w:val="0"/>
              <w:autoSpaceDN w:val="0"/>
              <w:adjustRightInd w:val="0"/>
              <w:spacing w:line="400" w:lineRule="exact"/>
              <w:rPr>
                <w:rFonts w:ascii="宋体" w:hAnsi="宋体" w:eastAsia="宋体" w:cs="宋体"/>
                <w:sz w:val="24"/>
                <w:szCs w:val="24"/>
              </w:rPr>
            </w:pPr>
            <w:r>
              <w:rPr>
                <w:rFonts w:hint="eastAsia" w:ascii="宋体" w:hAnsi="宋体" w:eastAsia="宋体" w:cs="宋体"/>
                <w:sz w:val="24"/>
                <w:szCs w:val="24"/>
              </w:rPr>
              <w:t>只能有一个有效报价且不超最高限价</w:t>
            </w:r>
          </w:p>
        </w:tc>
      </w:tr>
      <w:tr w14:paraId="43B83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517" w:type="pct"/>
            <w:vMerge w:val="restart"/>
            <w:tcBorders>
              <w:left w:val="single" w:color="auto" w:sz="4" w:space="0"/>
              <w:right w:val="single" w:color="auto" w:sz="4" w:space="0"/>
            </w:tcBorders>
            <w:vAlign w:val="center"/>
          </w:tcPr>
          <w:p w14:paraId="6A47F674">
            <w:pPr>
              <w:autoSpaceDE w:val="0"/>
              <w:autoSpaceDN w:val="0"/>
              <w:adjustRightInd w:val="0"/>
              <w:spacing w:line="400" w:lineRule="exac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2.1.3</w:t>
            </w:r>
          </w:p>
        </w:tc>
        <w:tc>
          <w:tcPr>
            <w:tcW w:w="340" w:type="pct"/>
            <w:vMerge w:val="restart"/>
            <w:tcBorders>
              <w:left w:val="single" w:color="auto" w:sz="4" w:space="0"/>
              <w:right w:val="single" w:color="auto" w:sz="4" w:space="0"/>
            </w:tcBorders>
            <w:vAlign w:val="center"/>
          </w:tcPr>
          <w:p w14:paraId="4638D8DD">
            <w:pPr>
              <w:autoSpaceDE w:val="0"/>
              <w:autoSpaceDN w:val="0"/>
              <w:adjustRightInd w:val="0"/>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响应性评审</w:t>
            </w:r>
          </w:p>
        </w:tc>
        <w:tc>
          <w:tcPr>
            <w:tcW w:w="1088" w:type="pct"/>
            <w:tcBorders>
              <w:top w:val="single" w:color="auto" w:sz="4" w:space="0"/>
              <w:left w:val="single" w:color="auto" w:sz="4" w:space="0"/>
              <w:bottom w:val="single" w:color="auto" w:sz="4" w:space="0"/>
              <w:right w:val="single" w:color="auto" w:sz="4" w:space="0"/>
            </w:tcBorders>
            <w:vAlign w:val="center"/>
          </w:tcPr>
          <w:p w14:paraId="16A79BE9">
            <w:pPr>
              <w:spacing w:after="0" w:afterLines="0" w:line="259" w:lineRule="auto"/>
              <w:ind w:right="108" w:rightChars="0"/>
              <w:jc w:val="center"/>
              <w:rPr>
                <w:rFonts w:hint="eastAsia" w:ascii="宋体" w:hAnsi="宋体" w:eastAsia="宋体" w:cs="宋体"/>
                <w:kern w:val="0"/>
                <w:sz w:val="24"/>
                <w:szCs w:val="24"/>
              </w:rPr>
            </w:pPr>
            <w:r>
              <w:rPr>
                <w:rFonts w:hint="eastAsia" w:ascii="宋体" w:hAnsi="宋体" w:eastAsia="宋体" w:cs="宋体"/>
                <w:kern w:val="0"/>
                <w:sz w:val="24"/>
                <w:szCs w:val="24"/>
              </w:rPr>
              <w:t>交货期</w:t>
            </w:r>
          </w:p>
        </w:tc>
        <w:tc>
          <w:tcPr>
            <w:tcW w:w="3053" w:type="pct"/>
            <w:tcBorders>
              <w:top w:val="single" w:color="auto" w:sz="4" w:space="0"/>
              <w:left w:val="single" w:color="auto" w:sz="4" w:space="0"/>
              <w:bottom w:val="single" w:color="auto" w:sz="4" w:space="0"/>
              <w:right w:val="single" w:color="auto" w:sz="4" w:space="0"/>
            </w:tcBorders>
            <w:vAlign w:val="center"/>
          </w:tcPr>
          <w:p w14:paraId="0F601A3F">
            <w:pPr>
              <w:spacing w:after="0" w:afterLines="0" w:line="259" w:lineRule="auto"/>
              <w:ind w:left="0" w:leftChars="0" w:right="110" w:rightChars="0" w:firstLine="0" w:firstLineChars="0"/>
              <w:jc w:val="center"/>
              <w:rPr>
                <w:rFonts w:hint="eastAsia" w:ascii="宋体" w:hAnsi="宋体" w:eastAsia="宋体" w:cs="宋体"/>
                <w:sz w:val="24"/>
                <w:szCs w:val="24"/>
              </w:rPr>
            </w:pPr>
            <w:r>
              <w:rPr>
                <w:rFonts w:hint="eastAsia" w:ascii="宋体" w:hAnsi="宋体" w:eastAsia="宋体" w:cs="宋体"/>
                <w:kern w:val="0"/>
                <w:sz w:val="24"/>
                <w:szCs w:val="24"/>
              </w:rPr>
              <w:t>符合第二章“供应商须知前附表”规定</w:t>
            </w:r>
          </w:p>
        </w:tc>
      </w:tr>
      <w:tr w14:paraId="792BF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517" w:type="pct"/>
            <w:vMerge w:val="continue"/>
            <w:tcBorders>
              <w:left w:val="single" w:color="auto" w:sz="4" w:space="0"/>
              <w:right w:val="single" w:color="auto" w:sz="4" w:space="0"/>
            </w:tcBorders>
            <w:vAlign w:val="center"/>
          </w:tcPr>
          <w:p w14:paraId="29A53C28">
            <w:pPr>
              <w:autoSpaceDE w:val="0"/>
              <w:autoSpaceDN w:val="0"/>
              <w:adjustRightInd w:val="0"/>
              <w:spacing w:line="400" w:lineRule="exact"/>
              <w:rPr>
                <w:rFonts w:hint="eastAsia" w:ascii="宋体" w:hAnsi="宋体" w:eastAsia="宋体" w:cs="宋体"/>
                <w:kern w:val="0"/>
                <w:sz w:val="24"/>
                <w:szCs w:val="24"/>
                <w:lang w:val="en-US" w:eastAsia="zh-CN"/>
              </w:rPr>
            </w:pPr>
          </w:p>
        </w:tc>
        <w:tc>
          <w:tcPr>
            <w:tcW w:w="340" w:type="pct"/>
            <w:vMerge w:val="continue"/>
            <w:tcBorders>
              <w:left w:val="single" w:color="auto" w:sz="4" w:space="0"/>
              <w:right w:val="single" w:color="auto" w:sz="4" w:space="0"/>
            </w:tcBorders>
            <w:vAlign w:val="center"/>
          </w:tcPr>
          <w:p w14:paraId="25B86370">
            <w:pPr>
              <w:autoSpaceDE w:val="0"/>
              <w:autoSpaceDN w:val="0"/>
              <w:adjustRightInd w:val="0"/>
              <w:spacing w:line="400" w:lineRule="exact"/>
              <w:jc w:val="center"/>
              <w:rPr>
                <w:rFonts w:hint="eastAsia" w:ascii="宋体" w:hAnsi="宋体" w:eastAsia="宋体" w:cs="宋体"/>
                <w:kern w:val="0"/>
                <w:sz w:val="24"/>
                <w:szCs w:val="24"/>
              </w:rPr>
            </w:pPr>
          </w:p>
        </w:tc>
        <w:tc>
          <w:tcPr>
            <w:tcW w:w="1088" w:type="pct"/>
            <w:tcBorders>
              <w:top w:val="single" w:color="auto" w:sz="4" w:space="0"/>
              <w:left w:val="single" w:color="auto" w:sz="4" w:space="0"/>
              <w:bottom w:val="single" w:color="auto" w:sz="4" w:space="0"/>
              <w:right w:val="single" w:color="auto" w:sz="4" w:space="0"/>
            </w:tcBorders>
            <w:vAlign w:val="center"/>
          </w:tcPr>
          <w:p w14:paraId="4A9D113D">
            <w:pPr>
              <w:spacing w:after="0" w:afterLines="0" w:line="259" w:lineRule="auto"/>
              <w:ind w:right="108" w:rightChars="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质保期</w:t>
            </w:r>
          </w:p>
        </w:tc>
        <w:tc>
          <w:tcPr>
            <w:tcW w:w="3053" w:type="pct"/>
            <w:tcBorders>
              <w:top w:val="single" w:color="auto" w:sz="4" w:space="0"/>
              <w:left w:val="single" w:color="auto" w:sz="4" w:space="0"/>
              <w:bottom w:val="single" w:color="auto" w:sz="4" w:space="0"/>
              <w:right w:val="single" w:color="auto" w:sz="4" w:space="0"/>
            </w:tcBorders>
            <w:vAlign w:val="center"/>
          </w:tcPr>
          <w:p w14:paraId="431E7824">
            <w:pPr>
              <w:spacing w:after="0" w:afterLines="0" w:line="259" w:lineRule="auto"/>
              <w:ind w:left="0" w:leftChars="0" w:right="110" w:rightChars="0"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符合第二章“供应商须知前附表”规定</w:t>
            </w:r>
          </w:p>
        </w:tc>
      </w:tr>
      <w:tr w14:paraId="288AE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17" w:type="pct"/>
            <w:vMerge w:val="continue"/>
            <w:tcBorders>
              <w:left w:val="single" w:color="auto" w:sz="4" w:space="0"/>
              <w:right w:val="single" w:color="auto" w:sz="4" w:space="0"/>
            </w:tcBorders>
            <w:vAlign w:val="center"/>
          </w:tcPr>
          <w:p w14:paraId="53C6311C">
            <w:pPr>
              <w:autoSpaceDE w:val="0"/>
              <w:autoSpaceDN w:val="0"/>
              <w:adjustRightInd w:val="0"/>
              <w:spacing w:line="400" w:lineRule="exact"/>
              <w:rPr>
                <w:rFonts w:hint="eastAsia" w:ascii="宋体" w:hAnsi="宋体" w:eastAsia="宋体" w:cs="宋体"/>
                <w:kern w:val="0"/>
                <w:sz w:val="24"/>
                <w:szCs w:val="24"/>
                <w:lang w:val="en-US" w:eastAsia="zh-CN"/>
              </w:rPr>
            </w:pPr>
          </w:p>
        </w:tc>
        <w:tc>
          <w:tcPr>
            <w:tcW w:w="340" w:type="pct"/>
            <w:vMerge w:val="continue"/>
            <w:tcBorders>
              <w:left w:val="single" w:color="auto" w:sz="4" w:space="0"/>
              <w:right w:val="single" w:color="auto" w:sz="4" w:space="0"/>
            </w:tcBorders>
            <w:vAlign w:val="center"/>
          </w:tcPr>
          <w:p w14:paraId="02B58F4B">
            <w:pPr>
              <w:autoSpaceDE w:val="0"/>
              <w:autoSpaceDN w:val="0"/>
              <w:adjustRightInd w:val="0"/>
              <w:spacing w:line="400" w:lineRule="exact"/>
              <w:jc w:val="center"/>
              <w:rPr>
                <w:rFonts w:hint="eastAsia" w:ascii="宋体" w:hAnsi="宋体" w:eastAsia="宋体" w:cs="宋体"/>
                <w:kern w:val="0"/>
                <w:sz w:val="24"/>
                <w:szCs w:val="24"/>
              </w:rPr>
            </w:pPr>
          </w:p>
        </w:tc>
        <w:tc>
          <w:tcPr>
            <w:tcW w:w="1088" w:type="pct"/>
            <w:tcBorders>
              <w:top w:val="single" w:color="auto" w:sz="4" w:space="0"/>
              <w:left w:val="single" w:color="auto" w:sz="4" w:space="0"/>
              <w:bottom w:val="single" w:color="auto" w:sz="4" w:space="0"/>
              <w:right w:val="single" w:color="auto" w:sz="4" w:space="0"/>
            </w:tcBorders>
            <w:vAlign w:val="center"/>
          </w:tcPr>
          <w:p w14:paraId="4A974509">
            <w:pPr>
              <w:spacing w:after="0" w:afterLines="0" w:line="259" w:lineRule="auto"/>
              <w:ind w:right="108" w:rightChars="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质量要求</w:t>
            </w:r>
          </w:p>
        </w:tc>
        <w:tc>
          <w:tcPr>
            <w:tcW w:w="3053" w:type="pct"/>
            <w:tcBorders>
              <w:top w:val="single" w:color="auto" w:sz="4" w:space="0"/>
              <w:left w:val="single" w:color="auto" w:sz="4" w:space="0"/>
              <w:bottom w:val="single" w:color="auto" w:sz="4" w:space="0"/>
              <w:right w:val="single" w:color="auto" w:sz="4" w:space="0"/>
            </w:tcBorders>
            <w:vAlign w:val="center"/>
          </w:tcPr>
          <w:p w14:paraId="7545F470">
            <w:pPr>
              <w:spacing w:after="0" w:afterLines="0" w:line="259" w:lineRule="auto"/>
              <w:ind w:left="0" w:leftChars="0" w:right="110" w:rightChars="0" w:firstLine="0" w:firstLineChars="0"/>
              <w:jc w:val="center"/>
              <w:rPr>
                <w:rFonts w:hint="eastAsia" w:ascii="宋体" w:hAnsi="宋体" w:eastAsia="宋体" w:cs="宋体"/>
                <w:sz w:val="24"/>
                <w:szCs w:val="24"/>
              </w:rPr>
            </w:pPr>
            <w:r>
              <w:rPr>
                <w:rFonts w:hint="default" w:ascii="宋体" w:hAnsi="宋体" w:eastAsia="宋体" w:cs="宋体"/>
                <w:kern w:val="0"/>
                <w:sz w:val="24"/>
                <w:szCs w:val="24"/>
              </w:rPr>
              <w:t xml:space="preserve"> </w:t>
            </w:r>
            <w:r>
              <w:rPr>
                <w:rFonts w:hint="eastAsia" w:ascii="宋体" w:hAnsi="宋体" w:eastAsia="宋体" w:cs="宋体"/>
                <w:kern w:val="0"/>
                <w:sz w:val="24"/>
                <w:szCs w:val="24"/>
              </w:rPr>
              <w:t>符合国家及行业相关规范和标准</w:t>
            </w:r>
          </w:p>
        </w:tc>
      </w:tr>
      <w:tr w14:paraId="23674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517" w:type="pct"/>
            <w:vMerge w:val="continue"/>
            <w:tcBorders>
              <w:left w:val="single" w:color="auto" w:sz="4" w:space="0"/>
              <w:right w:val="single" w:color="auto" w:sz="4" w:space="0"/>
            </w:tcBorders>
            <w:vAlign w:val="center"/>
          </w:tcPr>
          <w:p w14:paraId="0196B2EA">
            <w:pPr>
              <w:autoSpaceDE w:val="0"/>
              <w:autoSpaceDN w:val="0"/>
              <w:adjustRightInd w:val="0"/>
              <w:spacing w:line="400" w:lineRule="exact"/>
              <w:rPr>
                <w:rFonts w:hint="eastAsia" w:ascii="宋体" w:hAnsi="宋体" w:eastAsia="宋体" w:cs="宋体"/>
                <w:kern w:val="0"/>
                <w:sz w:val="24"/>
                <w:szCs w:val="24"/>
                <w:lang w:val="en-US" w:eastAsia="zh-CN"/>
              </w:rPr>
            </w:pPr>
          </w:p>
        </w:tc>
        <w:tc>
          <w:tcPr>
            <w:tcW w:w="340" w:type="pct"/>
            <w:vMerge w:val="continue"/>
            <w:tcBorders>
              <w:left w:val="single" w:color="auto" w:sz="4" w:space="0"/>
              <w:right w:val="single" w:color="auto" w:sz="4" w:space="0"/>
            </w:tcBorders>
            <w:vAlign w:val="center"/>
          </w:tcPr>
          <w:p w14:paraId="47DC044A">
            <w:pPr>
              <w:autoSpaceDE w:val="0"/>
              <w:autoSpaceDN w:val="0"/>
              <w:adjustRightInd w:val="0"/>
              <w:spacing w:line="400" w:lineRule="exact"/>
              <w:jc w:val="center"/>
              <w:rPr>
                <w:rFonts w:hint="eastAsia" w:ascii="宋体" w:hAnsi="宋体" w:eastAsia="宋体" w:cs="宋体"/>
                <w:kern w:val="0"/>
                <w:sz w:val="24"/>
                <w:szCs w:val="24"/>
              </w:rPr>
            </w:pPr>
          </w:p>
        </w:tc>
        <w:tc>
          <w:tcPr>
            <w:tcW w:w="1088" w:type="pct"/>
            <w:tcBorders>
              <w:top w:val="single" w:color="auto" w:sz="4" w:space="0"/>
              <w:left w:val="single" w:color="auto" w:sz="4" w:space="0"/>
              <w:bottom w:val="single" w:color="auto" w:sz="4" w:space="0"/>
              <w:right w:val="single" w:color="auto" w:sz="4" w:space="0"/>
            </w:tcBorders>
            <w:vAlign w:val="center"/>
          </w:tcPr>
          <w:p w14:paraId="34874D19">
            <w:pPr>
              <w:spacing w:after="0" w:afterLines="0" w:line="259" w:lineRule="auto"/>
              <w:ind w:right="108" w:rightChars="0"/>
              <w:jc w:val="center"/>
              <w:rPr>
                <w:rFonts w:hint="eastAsia" w:ascii="宋体" w:hAnsi="宋体" w:eastAsia="宋体" w:cs="宋体"/>
                <w:kern w:val="0"/>
                <w:sz w:val="24"/>
                <w:szCs w:val="24"/>
              </w:rPr>
            </w:pPr>
            <w:r>
              <w:rPr>
                <w:rFonts w:hint="eastAsia" w:ascii="宋体" w:hAnsi="宋体" w:eastAsia="宋体" w:cs="宋体"/>
                <w:kern w:val="0"/>
                <w:sz w:val="24"/>
                <w:szCs w:val="24"/>
                <w:lang w:eastAsia="zh-CN"/>
              </w:rPr>
              <w:t>磋商</w:t>
            </w:r>
            <w:r>
              <w:rPr>
                <w:rFonts w:hint="eastAsia" w:ascii="宋体" w:hAnsi="宋体" w:eastAsia="宋体" w:cs="宋体"/>
                <w:kern w:val="0"/>
                <w:sz w:val="24"/>
                <w:szCs w:val="24"/>
              </w:rPr>
              <w:t>有效期</w:t>
            </w:r>
          </w:p>
        </w:tc>
        <w:tc>
          <w:tcPr>
            <w:tcW w:w="3053" w:type="pct"/>
            <w:tcBorders>
              <w:top w:val="single" w:color="auto" w:sz="4" w:space="0"/>
              <w:left w:val="single" w:color="auto" w:sz="4" w:space="0"/>
              <w:bottom w:val="single" w:color="auto" w:sz="4" w:space="0"/>
              <w:right w:val="single" w:color="auto" w:sz="4" w:space="0"/>
            </w:tcBorders>
            <w:vAlign w:val="center"/>
          </w:tcPr>
          <w:p w14:paraId="41EA3C6F">
            <w:pPr>
              <w:spacing w:after="0" w:afterLines="0" w:line="259" w:lineRule="auto"/>
              <w:ind w:left="0" w:leftChars="0" w:right="110" w:rightChars="0"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响应文件递交截止之日起60日历天</w:t>
            </w:r>
          </w:p>
        </w:tc>
      </w:tr>
      <w:tr w14:paraId="2C975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517" w:type="pct"/>
            <w:vMerge w:val="continue"/>
            <w:tcBorders>
              <w:left w:val="single" w:color="auto" w:sz="4" w:space="0"/>
              <w:right w:val="single" w:color="auto" w:sz="4" w:space="0"/>
            </w:tcBorders>
            <w:vAlign w:val="center"/>
          </w:tcPr>
          <w:p w14:paraId="57733970">
            <w:pPr>
              <w:autoSpaceDE w:val="0"/>
              <w:autoSpaceDN w:val="0"/>
              <w:adjustRightInd w:val="0"/>
              <w:spacing w:line="400" w:lineRule="exact"/>
              <w:rPr>
                <w:rFonts w:hint="eastAsia" w:ascii="宋体" w:hAnsi="宋体" w:eastAsia="宋体" w:cs="宋体"/>
                <w:kern w:val="0"/>
                <w:sz w:val="24"/>
                <w:szCs w:val="24"/>
                <w:lang w:val="en-US" w:eastAsia="zh-CN"/>
              </w:rPr>
            </w:pPr>
          </w:p>
        </w:tc>
        <w:tc>
          <w:tcPr>
            <w:tcW w:w="340" w:type="pct"/>
            <w:vMerge w:val="continue"/>
            <w:tcBorders>
              <w:left w:val="single" w:color="auto" w:sz="4" w:space="0"/>
              <w:right w:val="single" w:color="auto" w:sz="4" w:space="0"/>
            </w:tcBorders>
            <w:vAlign w:val="center"/>
          </w:tcPr>
          <w:p w14:paraId="5D4AD077">
            <w:pPr>
              <w:autoSpaceDE w:val="0"/>
              <w:autoSpaceDN w:val="0"/>
              <w:adjustRightInd w:val="0"/>
              <w:spacing w:line="400" w:lineRule="exact"/>
              <w:jc w:val="center"/>
              <w:rPr>
                <w:rFonts w:hint="eastAsia" w:ascii="宋体" w:hAnsi="宋体" w:eastAsia="宋体" w:cs="宋体"/>
                <w:kern w:val="0"/>
                <w:sz w:val="24"/>
                <w:szCs w:val="24"/>
              </w:rPr>
            </w:pPr>
          </w:p>
        </w:tc>
        <w:tc>
          <w:tcPr>
            <w:tcW w:w="1088" w:type="pct"/>
            <w:tcBorders>
              <w:top w:val="single" w:color="auto" w:sz="4" w:space="0"/>
              <w:left w:val="single" w:color="auto" w:sz="4" w:space="0"/>
              <w:bottom w:val="single" w:color="auto" w:sz="4" w:space="0"/>
              <w:right w:val="single" w:color="auto" w:sz="4" w:space="0"/>
            </w:tcBorders>
            <w:vAlign w:val="center"/>
          </w:tcPr>
          <w:p w14:paraId="7867CBCE">
            <w:pPr>
              <w:spacing w:after="0" w:afterLines="0" w:line="259" w:lineRule="auto"/>
              <w:ind w:right="108" w:rightChars="0"/>
              <w:jc w:val="center"/>
              <w:rPr>
                <w:rFonts w:hint="eastAsia" w:ascii="宋体" w:hAnsi="宋体" w:eastAsia="宋体" w:cs="宋体"/>
                <w:kern w:val="0"/>
                <w:sz w:val="24"/>
                <w:szCs w:val="24"/>
              </w:rPr>
            </w:pPr>
            <w:r>
              <w:rPr>
                <w:rFonts w:hint="eastAsia" w:ascii="宋体" w:hAnsi="宋体" w:eastAsia="宋体" w:cs="宋体"/>
                <w:kern w:val="0"/>
                <w:sz w:val="24"/>
                <w:szCs w:val="24"/>
                <w:lang w:eastAsia="zh-CN"/>
              </w:rPr>
              <w:t>磋商</w:t>
            </w:r>
            <w:r>
              <w:rPr>
                <w:rFonts w:hint="eastAsia" w:ascii="宋体" w:hAnsi="宋体" w:eastAsia="宋体" w:cs="宋体"/>
                <w:kern w:val="0"/>
                <w:sz w:val="24"/>
                <w:szCs w:val="24"/>
              </w:rPr>
              <w:t>报价</w:t>
            </w:r>
          </w:p>
        </w:tc>
        <w:tc>
          <w:tcPr>
            <w:tcW w:w="3053" w:type="pct"/>
            <w:tcBorders>
              <w:top w:val="single" w:color="auto" w:sz="4" w:space="0"/>
              <w:left w:val="single" w:color="auto" w:sz="4" w:space="0"/>
              <w:bottom w:val="single" w:color="auto" w:sz="4" w:space="0"/>
              <w:right w:val="single" w:color="auto" w:sz="4" w:space="0"/>
            </w:tcBorders>
            <w:vAlign w:val="center"/>
          </w:tcPr>
          <w:p w14:paraId="2705822C">
            <w:pPr>
              <w:spacing w:after="0" w:afterLines="0" w:line="259" w:lineRule="auto"/>
              <w:ind w:left="0" w:leftChars="0" w:right="110" w:rightChars="0"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lang w:eastAsia="zh-CN"/>
              </w:rPr>
              <w:t>供应商磋商</w:t>
            </w:r>
            <w:r>
              <w:rPr>
                <w:rFonts w:hint="eastAsia" w:ascii="宋体" w:hAnsi="宋体" w:eastAsia="宋体" w:cs="宋体"/>
                <w:kern w:val="0"/>
                <w:sz w:val="24"/>
                <w:szCs w:val="24"/>
              </w:rPr>
              <w:t>报价不得高于</w:t>
            </w:r>
            <w:r>
              <w:rPr>
                <w:rFonts w:hint="eastAsia" w:ascii="宋体" w:hAnsi="宋体" w:eastAsia="宋体" w:cs="宋体"/>
                <w:kern w:val="0"/>
                <w:sz w:val="24"/>
                <w:szCs w:val="24"/>
                <w:lang w:eastAsia="zh-CN"/>
              </w:rPr>
              <w:t>采购人</w:t>
            </w:r>
            <w:r>
              <w:rPr>
                <w:rFonts w:hint="eastAsia" w:ascii="宋体" w:hAnsi="宋体" w:eastAsia="宋体" w:cs="宋体"/>
                <w:kern w:val="0"/>
                <w:sz w:val="24"/>
                <w:szCs w:val="24"/>
              </w:rPr>
              <w:t>公布的数额，否则其投标将被否决。</w:t>
            </w:r>
          </w:p>
        </w:tc>
      </w:tr>
      <w:tr w14:paraId="3E817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517" w:type="pct"/>
            <w:vMerge w:val="continue"/>
            <w:tcBorders>
              <w:left w:val="single" w:color="auto" w:sz="4" w:space="0"/>
              <w:right w:val="single" w:color="auto" w:sz="4" w:space="0"/>
            </w:tcBorders>
            <w:vAlign w:val="center"/>
          </w:tcPr>
          <w:p w14:paraId="100BC035">
            <w:pPr>
              <w:autoSpaceDE w:val="0"/>
              <w:autoSpaceDN w:val="0"/>
              <w:adjustRightInd w:val="0"/>
              <w:spacing w:line="400" w:lineRule="exact"/>
              <w:rPr>
                <w:rFonts w:hint="eastAsia" w:ascii="宋体" w:hAnsi="宋体" w:eastAsia="宋体" w:cs="宋体"/>
                <w:kern w:val="0"/>
                <w:sz w:val="24"/>
                <w:szCs w:val="24"/>
                <w:lang w:val="en-US" w:eastAsia="zh-CN"/>
              </w:rPr>
            </w:pPr>
          </w:p>
        </w:tc>
        <w:tc>
          <w:tcPr>
            <w:tcW w:w="340" w:type="pct"/>
            <w:vMerge w:val="continue"/>
            <w:tcBorders>
              <w:left w:val="single" w:color="auto" w:sz="4" w:space="0"/>
              <w:right w:val="single" w:color="auto" w:sz="4" w:space="0"/>
            </w:tcBorders>
            <w:vAlign w:val="center"/>
          </w:tcPr>
          <w:p w14:paraId="4928FCE6">
            <w:pPr>
              <w:autoSpaceDE w:val="0"/>
              <w:autoSpaceDN w:val="0"/>
              <w:adjustRightInd w:val="0"/>
              <w:spacing w:line="400" w:lineRule="exact"/>
              <w:jc w:val="center"/>
              <w:rPr>
                <w:rFonts w:hint="eastAsia" w:ascii="宋体" w:hAnsi="宋体" w:eastAsia="宋体" w:cs="宋体"/>
                <w:kern w:val="0"/>
                <w:sz w:val="24"/>
                <w:szCs w:val="24"/>
              </w:rPr>
            </w:pPr>
          </w:p>
        </w:tc>
        <w:tc>
          <w:tcPr>
            <w:tcW w:w="1088" w:type="pct"/>
            <w:tcBorders>
              <w:top w:val="single" w:color="auto" w:sz="4" w:space="0"/>
              <w:left w:val="single" w:color="auto" w:sz="4" w:space="0"/>
              <w:bottom w:val="single" w:color="auto" w:sz="4" w:space="0"/>
              <w:right w:val="single" w:color="auto" w:sz="4" w:space="0"/>
            </w:tcBorders>
            <w:vAlign w:val="center"/>
          </w:tcPr>
          <w:p w14:paraId="1D4AC3BE">
            <w:pPr>
              <w:spacing w:after="0" w:afterLines="0" w:line="259" w:lineRule="auto"/>
              <w:ind w:right="108" w:rightChars="0"/>
              <w:jc w:val="center"/>
              <w:rPr>
                <w:rFonts w:hint="eastAsia" w:ascii="宋体" w:hAnsi="宋体" w:eastAsia="宋体" w:cs="宋体"/>
                <w:kern w:val="0"/>
                <w:sz w:val="24"/>
                <w:szCs w:val="24"/>
              </w:rPr>
            </w:pPr>
            <w:r>
              <w:rPr>
                <w:rFonts w:hint="eastAsia" w:ascii="宋体" w:hAnsi="宋体" w:eastAsia="宋体" w:cs="宋体"/>
                <w:kern w:val="0"/>
                <w:sz w:val="24"/>
                <w:szCs w:val="24"/>
              </w:rPr>
              <w:t>其他</w:t>
            </w:r>
          </w:p>
        </w:tc>
        <w:tc>
          <w:tcPr>
            <w:tcW w:w="3053" w:type="pct"/>
            <w:tcBorders>
              <w:top w:val="single" w:color="auto" w:sz="4" w:space="0"/>
              <w:left w:val="single" w:color="auto" w:sz="4" w:space="0"/>
              <w:bottom w:val="single" w:color="auto" w:sz="4" w:space="0"/>
              <w:right w:val="single" w:color="auto" w:sz="4" w:space="0"/>
            </w:tcBorders>
            <w:vAlign w:val="center"/>
          </w:tcPr>
          <w:p w14:paraId="3406BF49">
            <w:pPr>
              <w:spacing w:after="0" w:afterLines="0" w:line="259" w:lineRule="auto"/>
              <w:ind w:left="0" w:leftChars="0" w:right="110" w:rightChars="0"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磋商文件规定的其他内容</w:t>
            </w:r>
          </w:p>
        </w:tc>
      </w:tr>
    </w:tbl>
    <w:p w14:paraId="56BA81D3">
      <w:pPr>
        <w:snapToGrid w:val="0"/>
        <w:spacing w:line="460" w:lineRule="exact"/>
        <w:ind w:left="1" w:firstLine="482" w:firstLineChars="200"/>
        <w:rPr>
          <w:rFonts w:ascii="宋体" w:hAnsi="宋体" w:eastAsia="宋体" w:cs="Times New Roman"/>
          <w:b/>
          <w:bCs/>
          <w:sz w:val="24"/>
          <w:szCs w:val="24"/>
        </w:rPr>
      </w:pPr>
    </w:p>
    <w:p w14:paraId="0449D28E">
      <w:pPr>
        <w:snapToGrid w:val="0"/>
        <w:spacing w:line="460" w:lineRule="exact"/>
        <w:ind w:firstLine="482" w:firstLineChars="200"/>
        <w:outlineLvl w:val="0"/>
        <w:rPr>
          <w:rFonts w:ascii="宋体" w:hAnsi="宋体" w:eastAsia="宋体" w:cs="Times New Roman"/>
          <w:b/>
          <w:bCs/>
          <w:sz w:val="24"/>
          <w:szCs w:val="24"/>
        </w:rPr>
      </w:pPr>
      <w:r>
        <w:rPr>
          <w:rFonts w:ascii="宋体" w:hAnsi="宋体" w:eastAsia="宋体" w:cs="Times New Roman"/>
          <w:b/>
          <w:bCs/>
          <w:sz w:val="24"/>
          <w:szCs w:val="24"/>
        </w:rPr>
        <w:t>4</w:t>
      </w:r>
      <w:r>
        <w:rPr>
          <w:rFonts w:hint="eastAsia" w:ascii="宋体" w:hAnsi="宋体" w:eastAsia="宋体" w:cs="Times New Roman"/>
          <w:b/>
          <w:bCs/>
          <w:sz w:val="24"/>
          <w:szCs w:val="24"/>
        </w:rPr>
        <w:t>、详细评审</w:t>
      </w:r>
    </w:p>
    <w:tbl>
      <w:tblPr>
        <w:tblStyle w:val="21"/>
        <w:tblW w:w="93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0"/>
        <w:gridCol w:w="1275"/>
        <w:gridCol w:w="6121"/>
        <w:gridCol w:w="838"/>
      </w:tblGrid>
      <w:tr w14:paraId="47BC8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150" w:type="dxa"/>
            <w:noWrap/>
            <w:vAlign w:val="center"/>
          </w:tcPr>
          <w:p w14:paraId="64A56C6D">
            <w:pPr>
              <w:snapToGrid w:val="0"/>
              <w:spacing w:line="440" w:lineRule="exact"/>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rPr>
              <w:t>评分</w:t>
            </w:r>
          </w:p>
          <w:p w14:paraId="4B69D42D">
            <w:pPr>
              <w:snapToGrid w:val="0"/>
              <w:spacing w:line="440" w:lineRule="exact"/>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rPr>
              <w:t>因素</w:t>
            </w:r>
          </w:p>
        </w:tc>
        <w:tc>
          <w:tcPr>
            <w:tcW w:w="1275" w:type="dxa"/>
            <w:noWrap/>
            <w:vAlign w:val="center"/>
          </w:tcPr>
          <w:p w14:paraId="7E9390D7">
            <w:pPr>
              <w:snapToGrid w:val="0"/>
              <w:spacing w:line="440" w:lineRule="exact"/>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rPr>
              <w:t>评分</w:t>
            </w:r>
          </w:p>
          <w:p w14:paraId="51A6354D">
            <w:pPr>
              <w:snapToGrid w:val="0"/>
              <w:spacing w:line="440" w:lineRule="exact"/>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rPr>
              <w:t>内容</w:t>
            </w:r>
          </w:p>
        </w:tc>
        <w:tc>
          <w:tcPr>
            <w:tcW w:w="6121" w:type="dxa"/>
            <w:noWrap/>
            <w:vAlign w:val="center"/>
          </w:tcPr>
          <w:p w14:paraId="7E5DBDD4">
            <w:pPr>
              <w:snapToGrid w:val="0"/>
              <w:spacing w:line="440" w:lineRule="exact"/>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rPr>
              <w:t>评分标准</w:t>
            </w:r>
          </w:p>
        </w:tc>
        <w:tc>
          <w:tcPr>
            <w:tcW w:w="838" w:type="dxa"/>
            <w:noWrap/>
            <w:vAlign w:val="center"/>
          </w:tcPr>
          <w:p w14:paraId="4B32C1BD">
            <w:pPr>
              <w:snapToGrid w:val="0"/>
              <w:spacing w:line="440" w:lineRule="exact"/>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rPr>
              <w:t>分值</w:t>
            </w:r>
          </w:p>
        </w:tc>
      </w:tr>
      <w:tr w14:paraId="7C4B0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50" w:type="dxa"/>
            <w:noWrap/>
            <w:vAlign w:val="center"/>
          </w:tcPr>
          <w:p w14:paraId="414B30FC">
            <w:pPr>
              <w:snapToGrid w:val="0"/>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磋商</w:t>
            </w:r>
          </w:p>
          <w:p w14:paraId="59F5682F">
            <w:pPr>
              <w:snapToGrid w:val="0"/>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报价</w:t>
            </w:r>
          </w:p>
          <w:p w14:paraId="4D2011E5">
            <w:pPr>
              <w:snapToGrid w:val="0"/>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（30分）</w:t>
            </w:r>
          </w:p>
          <w:p w14:paraId="32968B81">
            <w:pPr>
              <w:snapToGrid w:val="0"/>
              <w:spacing w:line="440" w:lineRule="exact"/>
              <w:jc w:val="center"/>
              <w:rPr>
                <w:rFonts w:ascii="宋体" w:hAnsi="宋体" w:eastAsia="宋体" w:cs="Times New Roman"/>
                <w:kern w:val="0"/>
                <w:sz w:val="24"/>
                <w:szCs w:val="24"/>
              </w:rPr>
            </w:pPr>
          </w:p>
        </w:tc>
        <w:tc>
          <w:tcPr>
            <w:tcW w:w="1275" w:type="dxa"/>
            <w:noWrap/>
            <w:vAlign w:val="center"/>
          </w:tcPr>
          <w:p w14:paraId="1B0BF275">
            <w:pPr>
              <w:snapToGrid w:val="0"/>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磋商报价</w:t>
            </w:r>
          </w:p>
        </w:tc>
        <w:tc>
          <w:tcPr>
            <w:tcW w:w="6121" w:type="dxa"/>
            <w:noWrap/>
            <w:vAlign w:val="center"/>
          </w:tcPr>
          <w:p w14:paraId="7F5DC4AA">
            <w:pPr>
              <w:spacing w:line="440" w:lineRule="exact"/>
              <w:rPr>
                <w:rFonts w:ascii="宋体" w:hAnsi="宋体" w:cs="宋体"/>
                <w:bCs/>
                <w:sz w:val="24"/>
              </w:rPr>
            </w:pPr>
            <w:r>
              <w:rPr>
                <w:rFonts w:hint="eastAsia" w:ascii="宋体" w:hAnsi="宋体" w:cs="宋体"/>
                <w:bCs/>
                <w:sz w:val="24"/>
              </w:rPr>
              <w:t>1、超出采购人最高限价的投标报价为无效报价、按废标处理。</w:t>
            </w:r>
          </w:p>
          <w:p w14:paraId="7B948F50">
            <w:pPr>
              <w:spacing w:line="440" w:lineRule="exact"/>
              <w:rPr>
                <w:rFonts w:ascii="宋体" w:hAnsi="宋体" w:cs="宋体"/>
                <w:bCs/>
                <w:sz w:val="24"/>
              </w:rPr>
            </w:pPr>
            <w:r>
              <w:rPr>
                <w:rFonts w:hint="eastAsia" w:ascii="宋体" w:hAnsi="宋体" w:cs="宋体"/>
                <w:bCs/>
                <w:sz w:val="24"/>
              </w:rPr>
              <w:t>2、所有为未进入详细评审的投标为无效投标，其报价不作为评分依据。</w:t>
            </w:r>
          </w:p>
          <w:p w14:paraId="5F077861">
            <w:pPr>
              <w:spacing w:line="440" w:lineRule="exact"/>
              <w:rPr>
                <w:rFonts w:ascii="宋体" w:hAnsi="宋体" w:cs="宋体"/>
                <w:bCs/>
                <w:sz w:val="24"/>
              </w:rPr>
            </w:pPr>
            <w:r>
              <w:rPr>
                <w:rFonts w:hint="eastAsia" w:ascii="宋体" w:hAnsi="宋体" w:cs="宋体"/>
                <w:bCs/>
                <w:sz w:val="24"/>
              </w:rPr>
              <w:t>3、价格分统一采用低价优先法计算，既满足磋商文件要求且投标价格最低的投标报价为评标基准价，其价格分为满分。其他供应商的价格分统一按照下列公式计算：</w:t>
            </w:r>
          </w:p>
          <w:p w14:paraId="1504D566">
            <w:pPr>
              <w:spacing w:line="440" w:lineRule="exact"/>
              <w:rPr>
                <w:rFonts w:hint="eastAsia" w:ascii="宋体" w:hAnsi="宋体" w:eastAsia="宋体" w:cs="Times New Roman"/>
                <w:sz w:val="24"/>
                <w:szCs w:val="24"/>
                <w:lang w:val="en-US" w:eastAsia="zh-CN"/>
              </w:rPr>
            </w:pPr>
            <w:r>
              <w:rPr>
                <w:rFonts w:hint="eastAsia" w:ascii="宋体" w:hAnsi="宋体" w:cs="宋体"/>
                <w:bCs/>
                <w:sz w:val="24"/>
              </w:rPr>
              <w:t>供应商报价得分=（评标基准价/供应商投标报价）×30</w:t>
            </w:r>
          </w:p>
          <w:p w14:paraId="70216E63">
            <w:pPr>
              <w:spacing w:line="440" w:lineRule="exac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4.参与计算的投标报价要考虑小微型企业产品的价格扣除因素。</w:t>
            </w:r>
          </w:p>
          <w:p w14:paraId="308E6CB2">
            <w:pPr>
              <w:spacing w:line="440" w:lineRule="exac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5.最终得分计算保留小数点后两位。</w:t>
            </w:r>
          </w:p>
          <w:p w14:paraId="3BD45C3F">
            <w:pPr>
              <w:spacing w:line="440" w:lineRule="exac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6.投标人报价不得低于成本价：评标委员会认为投标人的报价明显低于其他通过初步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B00F18A">
            <w:pPr>
              <w:spacing w:line="440" w:lineRule="exac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注：</w:t>
            </w:r>
          </w:p>
          <w:p w14:paraId="0D59BBAD">
            <w:pPr>
              <w:spacing w:line="440" w:lineRule="exac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为了促进中小企业发展，根据《三门峡市财政局关于进一步加大政府采购支持中小企业发展有关事项的通知》（三财购﹝2022﹞9号）的规定，对小微企业产品的价格给予10%～20%的扣除，本项目小微企业按20%扣除，用扣除后的价格参加评审（采购项目含有多个采购标的，只有当供应商提供的每个标的均由小微企业制造，才能享受价格扣除政策。如果小微供应商提供的货物既有中型企业制造货物，也有小微企业制造货物的，不享受价格扣除相关政策）。中小企业划型标准见《关于印发中小企业划型标准规定的通知》（工信部联企业[2011]300号）。</w:t>
            </w:r>
          </w:p>
          <w:p w14:paraId="26966849">
            <w:pPr>
              <w:spacing w:line="440" w:lineRule="exac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为了发挥政府采购促进残疾人就业的作用，进一步保障残疾人权益，根据财库【2017】141号的规定，给予残疾人福利性单位（供应商为残疾人福利性单位且提供的所有投标产品均为残疾人福利性单位产品）价格20%的扣除，用扣除后的价格参与评审，残疾人福利性单位投标报价=残疾人福利性单位报价×（1-20%）。</w:t>
            </w:r>
          </w:p>
          <w:p w14:paraId="511083C5">
            <w:pPr>
              <w:spacing w:line="440" w:lineRule="exac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3）根据《关于政府采购支持监狱企业发展有关问题的通知》（财库[2014]68号）文件规定，监狱企业视同小型、微型企业，评审中享受价格20%扣除，用扣除后的价格参与评审，监狱企业产品投标报价=监狱企业产品报价×（1-20%）。（须提供由省级以上监狱管理局、戒毒管理局（含新疆生产建设兵团）出具的属于监狱企业的证明文件）。</w:t>
            </w:r>
          </w:p>
          <w:p w14:paraId="29D76634">
            <w:pPr>
              <w:spacing w:line="440" w:lineRule="exac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（4）监狱企业、残疾人福利性单位属于小型、微型企业的，不重复享受政策，仅给予一次价格20%的扣除。</w:t>
            </w:r>
          </w:p>
          <w:p w14:paraId="2987265E">
            <w:pPr>
              <w:spacing w:line="440" w:lineRule="exac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5）磋商小组认为供应商的报价明显低于其他通过实质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tc>
        <w:tc>
          <w:tcPr>
            <w:tcW w:w="838" w:type="dxa"/>
            <w:noWrap/>
            <w:vAlign w:val="center"/>
          </w:tcPr>
          <w:p w14:paraId="289C8416">
            <w:pPr>
              <w:snapToGrid w:val="0"/>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30分</w:t>
            </w:r>
          </w:p>
        </w:tc>
      </w:tr>
      <w:tr w14:paraId="29E21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1150" w:type="dxa"/>
            <w:vMerge w:val="restart"/>
            <w:noWrap/>
            <w:vAlign w:val="center"/>
          </w:tcPr>
          <w:p w14:paraId="70F663BF">
            <w:pPr>
              <w:snapToGrid w:val="0"/>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w:t>
            </w:r>
            <w:r>
              <w:rPr>
                <w:rFonts w:hint="eastAsia" w:ascii="宋体" w:hAnsi="宋体" w:eastAsia="宋体" w:cs="宋体"/>
                <w:sz w:val="24"/>
                <w:szCs w:val="24"/>
              </w:rPr>
              <w:t>标（</w:t>
            </w:r>
            <w:r>
              <w:rPr>
                <w:rFonts w:hint="eastAsia" w:ascii="宋体" w:hAnsi="宋体" w:eastAsia="宋体" w:cs="宋体"/>
                <w:sz w:val="24"/>
                <w:szCs w:val="24"/>
                <w:lang w:val="en-US" w:eastAsia="zh-CN"/>
              </w:rPr>
              <w:t>50</w:t>
            </w:r>
            <w:r>
              <w:rPr>
                <w:rFonts w:hint="eastAsia" w:ascii="宋体" w:hAnsi="宋体" w:eastAsia="宋体" w:cs="宋体"/>
                <w:sz w:val="24"/>
                <w:szCs w:val="24"/>
              </w:rPr>
              <w:t>分）</w:t>
            </w:r>
          </w:p>
        </w:tc>
        <w:tc>
          <w:tcPr>
            <w:tcW w:w="1275" w:type="dxa"/>
            <w:noWrap/>
            <w:vAlign w:val="center"/>
          </w:tcPr>
          <w:p w14:paraId="16050B4B">
            <w:pPr>
              <w:spacing w:line="440" w:lineRule="exact"/>
              <w:rPr>
                <w:rFonts w:hint="eastAsia" w:ascii="宋体" w:hAnsi="宋体" w:eastAsia="宋体" w:cs="Times New Roman"/>
                <w:sz w:val="24"/>
                <w:szCs w:val="24"/>
              </w:rPr>
            </w:pPr>
            <w:r>
              <w:rPr>
                <w:rFonts w:hint="eastAsia" w:ascii="宋体" w:hAnsi="宋体" w:eastAsia="宋体" w:cs="Times New Roman"/>
                <w:sz w:val="24"/>
                <w:szCs w:val="24"/>
              </w:rPr>
              <w:t>技术参数</w:t>
            </w:r>
          </w:p>
        </w:tc>
        <w:tc>
          <w:tcPr>
            <w:tcW w:w="6121" w:type="dxa"/>
            <w:noWrap/>
            <w:vAlign w:val="top"/>
          </w:tcPr>
          <w:p w14:paraId="2B0C929D">
            <w:pPr>
              <w:bidi w:val="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完全满足招标文件技术条款的得20分；配置不详、技术参数不清、缺漏项的，视同负偏离处理。 </w:t>
            </w:r>
          </w:p>
          <w:p w14:paraId="088D3271">
            <w:pPr>
              <w:bidi w:val="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（1）技术偏离表按照招标文件的参数要求逐项对应列出所投产品对应条件和参数，并注明响应与负偏离。不按要求列出的，计 0 分；  </w:t>
            </w:r>
          </w:p>
          <w:p w14:paraId="1C0471F1">
            <w:pPr>
              <w:bidi w:val="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（2）没有“货物说明一览表”或“技术偏离表”的，计0分； </w:t>
            </w:r>
          </w:p>
          <w:p w14:paraId="789F464D">
            <w:pPr>
              <w:bidi w:val="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（3）一般技术参数（非“★”参数）每负偏离的一项扣0.5分，扣完为止； </w:t>
            </w:r>
          </w:p>
          <w:p w14:paraId="7E3FC67E">
            <w:pPr>
              <w:bidi w:val="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（4）“★”为重要参数，每负偏离的一项扣1.5分，扣完为止；</w:t>
            </w:r>
          </w:p>
        </w:tc>
        <w:tc>
          <w:tcPr>
            <w:tcW w:w="838" w:type="dxa"/>
            <w:noWrap/>
            <w:vAlign w:val="center"/>
          </w:tcPr>
          <w:p w14:paraId="09556D4E">
            <w:pPr>
              <w:spacing w:before="156" w:line="440" w:lineRule="exact"/>
              <w:jc w:val="center"/>
              <w:rPr>
                <w:rFonts w:ascii="宋体" w:hAnsi="宋体" w:eastAsia="宋体" w:cs="宋体"/>
                <w:sz w:val="24"/>
                <w:szCs w:val="24"/>
              </w:rPr>
            </w:pPr>
            <w:r>
              <w:rPr>
                <w:rFonts w:hint="eastAsia" w:ascii="宋体" w:hAnsi="宋体" w:eastAsia="宋体" w:cs="宋体"/>
                <w:sz w:val="24"/>
                <w:szCs w:val="24"/>
                <w:lang w:val="en-US" w:eastAsia="zh-CN"/>
              </w:rPr>
              <w:t>20</w:t>
            </w:r>
            <w:r>
              <w:rPr>
                <w:rFonts w:hint="eastAsia" w:ascii="宋体" w:hAnsi="宋体" w:eastAsia="宋体" w:cs="宋体"/>
                <w:sz w:val="24"/>
                <w:szCs w:val="24"/>
              </w:rPr>
              <w:t>分</w:t>
            </w:r>
          </w:p>
        </w:tc>
      </w:tr>
      <w:tr w14:paraId="74658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1150" w:type="dxa"/>
            <w:vMerge w:val="continue"/>
            <w:noWrap/>
            <w:vAlign w:val="center"/>
          </w:tcPr>
          <w:p w14:paraId="0CD62EE7">
            <w:pPr>
              <w:snapToGrid w:val="0"/>
              <w:spacing w:line="440" w:lineRule="exact"/>
              <w:jc w:val="center"/>
              <w:rPr>
                <w:rFonts w:hint="eastAsia" w:ascii="宋体" w:hAnsi="宋体" w:eastAsia="宋体" w:cs="Times New Roman"/>
                <w:kern w:val="0"/>
                <w:sz w:val="24"/>
                <w:szCs w:val="24"/>
              </w:rPr>
            </w:pPr>
          </w:p>
        </w:tc>
        <w:tc>
          <w:tcPr>
            <w:tcW w:w="1275" w:type="dxa"/>
            <w:noWrap/>
            <w:vAlign w:val="center"/>
          </w:tcPr>
          <w:p w14:paraId="2F4AA2FB">
            <w:pPr>
              <w:spacing w:line="440" w:lineRule="exact"/>
              <w:rPr>
                <w:rFonts w:hint="eastAsia" w:ascii="宋体" w:hAnsi="宋体" w:eastAsia="宋体" w:cs="Times New Roman"/>
                <w:sz w:val="24"/>
                <w:szCs w:val="24"/>
              </w:rPr>
            </w:pPr>
            <w:r>
              <w:rPr>
                <w:rFonts w:hint="eastAsia" w:ascii="宋体" w:hAnsi="宋体" w:eastAsia="宋体" w:cs="Times New Roman"/>
                <w:sz w:val="24"/>
                <w:szCs w:val="24"/>
              </w:rPr>
              <w:t>产品情况</w:t>
            </w:r>
          </w:p>
        </w:tc>
        <w:tc>
          <w:tcPr>
            <w:tcW w:w="6121" w:type="dxa"/>
            <w:noWrap/>
            <w:vAlign w:val="top"/>
          </w:tcPr>
          <w:p w14:paraId="19673A90">
            <w:pPr>
              <w:bidi w:val="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根据投标人提供的投标设备的品质、性能、技术指标以及货物的先进性、可靠性、安全性程度，结合操作的方便性、简易性、易维护程度进行综合评分：</w:t>
            </w:r>
          </w:p>
          <w:p w14:paraId="1A6A7EFB">
            <w:pPr>
              <w:bidi w:val="0"/>
              <w:rPr>
                <w:rFonts w:hint="eastAsia" w:ascii="宋体" w:hAnsi="宋体" w:eastAsia="宋体" w:cs="Times New Roman"/>
                <w:kern w:val="2"/>
                <w:sz w:val="24"/>
                <w:szCs w:val="24"/>
                <w:lang w:val="en-US" w:eastAsia="zh-CN" w:bidi="ar-SA"/>
              </w:rPr>
            </w:pPr>
            <w:r>
              <w:rPr>
                <w:rFonts w:hint="eastAsia" w:ascii="宋体" w:hAnsi="宋体" w:eastAsia="宋体" w:cs="Times New Roman"/>
                <w:sz w:val="24"/>
                <w:szCs w:val="24"/>
                <w:lang w:val="en-US" w:eastAsia="zh-CN"/>
              </w:rPr>
              <w:t>1.</w:t>
            </w:r>
            <w:r>
              <w:rPr>
                <w:rFonts w:hint="eastAsia" w:ascii="宋体" w:hAnsi="宋体" w:eastAsia="宋体" w:cs="Times New Roman"/>
                <w:kern w:val="2"/>
                <w:sz w:val="24"/>
                <w:szCs w:val="24"/>
                <w:lang w:val="en-US" w:eastAsia="zh-CN" w:bidi="ar-SA"/>
              </w:rPr>
              <w:t>投标设备</w:t>
            </w:r>
            <w:r>
              <w:rPr>
                <w:rFonts w:hint="eastAsia" w:ascii="宋体" w:hAnsi="宋体" w:eastAsia="宋体" w:cs="Times New Roman"/>
                <w:sz w:val="24"/>
                <w:szCs w:val="24"/>
              </w:rPr>
              <w:t>产品情况</w:t>
            </w:r>
            <w:r>
              <w:rPr>
                <w:rFonts w:hint="eastAsia" w:ascii="宋体" w:hAnsi="宋体" w:eastAsia="宋体" w:cs="Times New Roman"/>
                <w:kern w:val="2"/>
                <w:sz w:val="24"/>
                <w:szCs w:val="24"/>
                <w:lang w:val="en-US" w:eastAsia="zh-CN" w:bidi="ar-SA"/>
              </w:rPr>
              <w:t>很完善，非常符合项目需求的得10分；</w:t>
            </w:r>
          </w:p>
          <w:p w14:paraId="6AEA5E0E">
            <w:pPr>
              <w:bidi w:val="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2.投标设备</w:t>
            </w:r>
            <w:r>
              <w:rPr>
                <w:rFonts w:hint="eastAsia" w:ascii="宋体" w:hAnsi="宋体" w:eastAsia="宋体" w:cs="Times New Roman"/>
                <w:sz w:val="24"/>
                <w:szCs w:val="24"/>
              </w:rPr>
              <w:t>产品情况</w:t>
            </w:r>
            <w:r>
              <w:rPr>
                <w:rFonts w:hint="eastAsia" w:ascii="宋体" w:hAnsi="宋体" w:eastAsia="宋体" w:cs="Times New Roman"/>
                <w:kern w:val="2"/>
                <w:sz w:val="24"/>
                <w:szCs w:val="24"/>
                <w:lang w:val="en-US" w:eastAsia="zh-CN" w:bidi="ar-SA"/>
              </w:rPr>
              <w:t>一般，比较符合项目需求的得6分；</w:t>
            </w:r>
          </w:p>
          <w:p w14:paraId="00A904A3">
            <w:pPr>
              <w:bidi w:val="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3.投标设备</w:t>
            </w:r>
            <w:r>
              <w:rPr>
                <w:rFonts w:hint="eastAsia" w:ascii="宋体" w:hAnsi="宋体" w:eastAsia="宋体" w:cs="Times New Roman"/>
                <w:sz w:val="24"/>
                <w:szCs w:val="24"/>
              </w:rPr>
              <w:t>产品情况</w:t>
            </w:r>
            <w:r>
              <w:rPr>
                <w:rFonts w:hint="eastAsia" w:ascii="宋体" w:hAnsi="宋体" w:eastAsia="宋体" w:cs="Times New Roman"/>
                <w:kern w:val="2"/>
                <w:sz w:val="24"/>
                <w:szCs w:val="24"/>
                <w:lang w:val="en-US" w:eastAsia="zh-CN" w:bidi="ar-SA"/>
              </w:rPr>
              <w:t>简洁，无法体现项目需求的得3分；</w:t>
            </w:r>
          </w:p>
        </w:tc>
        <w:tc>
          <w:tcPr>
            <w:tcW w:w="838" w:type="dxa"/>
            <w:noWrap/>
            <w:vAlign w:val="center"/>
          </w:tcPr>
          <w:p w14:paraId="1029C6FD">
            <w:pPr>
              <w:spacing w:before="156" w:line="44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10分</w:t>
            </w:r>
          </w:p>
        </w:tc>
      </w:tr>
      <w:tr w14:paraId="63BCB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jc w:val="center"/>
        </w:trPr>
        <w:tc>
          <w:tcPr>
            <w:tcW w:w="1150" w:type="dxa"/>
            <w:vMerge w:val="continue"/>
            <w:noWrap/>
            <w:vAlign w:val="center"/>
          </w:tcPr>
          <w:p w14:paraId="463B7EC2">
            <w:pPr>
              <w:snapToGrid w:val="0"/>
              <w:spacing w:line="440" w:lineRule="exact"/>
              <w:jc w:val="center"/>
              <w:rPr>
                <w:rFonts w:hint="eastAsia" w:ascii="宋体" w:hAnsi="宋体" w:eastAsia="宋体" w:cs="Times New Roman"/>
                <w:kern w:val="0"/>
                <w:sz w:val="24"/>
                <w:szCs w:val="24"/>
              </w:rPr>
            </w:pPr>
          </w:p>
        </w:tc>
        <w:tc>
          <w:tcPr>
            <w:tcW w:w="1275" w:type="dxa"/>
            <w:noWrap/>
            <w:vAlign w:val="center"/>
          </w:tcPr>
          <w:p w14:paraId="60C37594">
            <w:pPr>
              <w:spacing w:line="440" w:lineRule="exact"/>
              <w:rPr>
                <w:rFonts w:hint="eastAsia" w:ascii="宋体" w:hAnsi="宋体" w:eastAsia="宋体" w:cs="Times New Roman"/>
                <w:sz w:val="24"/>
                <w:szCs w:val="24"/>
              </w:rPr>
            </w:pPr>
            <w:r>
              <w:rPr>
                <w:rFonts w:hint="eastAsia" w:ascii="宋体" w:hAnsi="宋体" w:eastAsia="宋体" w:cs="Times New Roman"/>
                <w:sz w:val="24"/>
                <w:szCs w:val="24"/>
              </w:rPr>
              <w:t>产品质量保证措施</w:t>
            </w:r>
          </w:p>
        </w:tc>
        <w:tc>
          <w:tcPr>
            <w:tcW w:w="6121" w:type="dxa"/>
            <w:noWrap/>
            <w:vAlign w:val="center"/>
          </w:tcPr>
          <w:p w14:paraId="5E03EC4E">
            <w:pPr>
              <w:bidi w:val="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供货进度安排及项目实施保证措施：</w:t>
            </w:r>
          </w:p>
          <w:p w14:paraId="24F6B98F">
            <w:pPr>
              <w:bidi w:val="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根据投标人或生产厂家针对本项目的所有产品分别提供供货进度安排及保证措施：①供货安装进度计划；②人员安排；③产品验收方案；④应急情况处理保障等。方案内容完整、合理且符合项目实际情况的得20分，有1项内容缺失扣5分；有1项内容不合理、不完整、不符合项目实际情况的扣3分。</w:t>
            </w:r>
          </w:p>
        </w:tc>
        <w:tc>
          <w:tcPr>
            <w:tcW w:w="838" w:type="dxa"/>
            <w:noWrap/>
            <w:vAlign w:val="center"/>
          </w:tcPr>
          <w:p w14:paraId="7D53814B">
            <w:pPr>
              <w:spacing w:before="156" w:line="440" w:lineRule="exac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20分</w:t>
            </w:r>
          </w:p>
        </w:tc>
      </w:tr>
      <w:tr w14:paraId="473CC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1150" w:type="dxa"/>
            <w:vMerge w:val="restart"/>
            <w:noWrap/>
            <w:vAlign w:val="center"/>
          </w:tcPr>
          <w:p w14:paraId="2CA8B1DE">
            <w:pPr>
              <w:snapToGrid w:val="0"/>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商务标（</w:t>
            </w:r>
            <w:r>
              <w:rPr>
                <w:rFonts w:hint="eastAsia" w:ascii="宋体" w:hAnsi="宋体" w:eastAsia="宋体" w:cs="Times New Roman"/>
                <w:kern w:val="0"/>
                <w:sz w:val="24"/>
                <w:szCs w:val="24"/>
                <w:lang w:val="en-US" w:eastAsia="zh-CN"/>
              </w:rPr>
              <w:t>20</w:t>
            </w:r>
            <w:r>
              <w:rPr>
                <w:rFonts w:hint="eastAsia" w:ascii="宋体" w:hAnsi="宋体" w:eastAsia="宋体" w:cs="Times New Roman"/>
                <w:kern w:val="0"/>
                <w:sz w:val="24"/>
                <w:szCs w:val="24"/>
              </w:rPr>
              <w:t>分）</w:t>
            </w:r>
          </w:p>
        </w:tc>
        <w:tc>
          <w:tcPr>
            <w:tcW w:w="1275" w:type="dxa"/>
            <w:noWrap/>
            <w:vAlign w:val="center"/>
          </w:tcPr>
          <w:p w14:paraId="2CE4B2A1">
            <w:pPr>
              <w:spacing w:line="440" w:lineRule="exact"/>
              <w:rPr>
                <w:rFonts w:hint="eastAsia" w:ascii="宋体" w:hAnsi="宋体" w:eastAsia="宋体" w:cs="Times New Roman"/>
                <w:sz w:val="24"/>
                <w:szCs w:val="24"/>
              </w:rPr>
            </w:pPr>
            <w:r>
              <w:rPr>
                <w:rFonts w:hint="eastAsia" w:ascii="宋体" w:hAnsi="宋体" w:eastAsia="宋体" w:cs="Times New Roman"/>
                <w:sz w:val="24"/>
                <w:szCs w:val="24"/>
              </w:rPr>
              <w:t>类似业绩</w:t>
            </w:r>
          </w:p>
        </w:tc>
        <w:tc>
          <w:tcPr>
            <w:tcW w:w="6121" w:type="dxa"/>
            <w:noWrap/>
            <w:vAlign w:val="top"/>
          </w:tcPr>
          <w:p w14:paraId="4B8ABEF4">
            <w:pPr>
              <w:bidi w:val="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投标人或生产厂家自2022年1月1日至投标截止日期，每提供1个类似经营业绩计2分，最多计6分，未提供不计分。</w:t>
            </w:r>
          </w:p>
          <w:p w14:paraId="3239FE40">
            <w:pPr>
              <w:bidi w:val="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须提供中标通知书和经营业绩的合同扫描件（包括合同首页、金额页和盖章页），并标记同类产品，盖投标人公章。否则，不计分。</w:t>
            </w:r>
          </w:p>
        </w:tc>
        <w:tc>
          <w:tcPr>
            <w:tcW w:w="838" w:type="dxa"/>
            <w:noWrap/>
            <w:vAlign w:val="center"/>
          </w:tcPr>
          <w:p w14:paraId="4FD10AB9">
            <w:pPr>
              <w:spacing w:before="156" w:line="44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6分</w:t>
            </w:r>
          </w:p>
        </w:tc>
      </w:tr>
      <w:tr w14:paraId="166F8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150" w:type="dxa"/>
            <w:vMerge w:val="continue"/>
            <w:noWrap/>
            <w:vAlign w:val="center"/>
          </w:tcPr>
          <w:p w14:paraId="3961E97B">
            <w:pPr>
              <w:snapToGrid w:val="0"/>
              <w:spacing w:line="440" w:lineRule="exact"/>
              <w:jc w:val="center"/>
              <w:rPr>
                <w:rFonts w:hint="eastAsia" w:ascii="宋体" w:hAnsi="宋体" w:eastAsia="宋体" w:cs="Times New Roman"/>
                <w:kern w:val="0"/>
                <w:sz w:val="24"/>
                <w:szCs w:val="24"/>
              </w:rPr>
            </w:pPr>
          </w:p>
        </w:tc>
        <w:tc>
          <w:tcPr>
            <w:tcW w:w="1275" w:type="dxa"/>
            <w:noWrap/>
            <w:vAlign w:val="center"/>
          </w:tcPr>
          <w:p w14:paraId="2A677972">
            <w:pPr>
              <w:spacing w:line="440" w:lineRule="exact"/>
              <w:jc w:val="center"/>
              <w:rPr>
                <w:rFonts w:hint="eastAsia" w:ascii="宋体" w:hAnsi="宋体" w:eastAsia="宋体" w:cs="Times New Roman"/>
                <w:sz w:val="24"/>
                <w:szCs w:val="24"/>
              </w:rPr>
            </w:pPr>
            <w:r>
              <w:rPr>
                <w:rFonts w:hint="eastAsia" w:ascii="宋体" w:hAnsi="宋体" w:eastAsia="宋体" w:cs="Times New Roman"/>
                <w:sz w:val="24"/>
                <w:szCs w:val="24"/>
              </w:rPr>
              <w:t>优惠承诺</w:t>
            </w:r>
          </w:p>
        </w:tc>
        <w:tc>
          <w:tcPr>
            <w:tcW w:w="6121" w:type="dxa"/>
            <w:noWrap/>
            <w:vAlign w:val="center"/>
          </w:tcPr>
          <w:p w14:paraId="243DA241">
            <w:pPr>
              <w:bidi w:val="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优惠承诺完全符合本项目实际情况，确保依法依规，优惠合理，详实可行得7分；优惠承诺基本符合本项目实际情况，依法依规，优惠合理得4分；优惠承诺基本符合本项目实际情况，依法依规得1分。未提供不得分。</w:t>
            </w:r>
          </w:p>
        </w:tc>
        <w:tc>
          <w:tcPr>
            <w:tcW w:w="838" w:type="dxa"/>
            <w:noWrap/>
            <w:vAlign w:val="center"/>
          </w:tcPr>
          <w:p w14:paraId="0CDED5BA">
            <w:pPr>
              <w:spacing w:before="156" w:line="440" w:lineRule="exact"/>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7</w:t>
            </w:r>
            <w:r>
              <w:rPr>
                <w:rFonts w:hint="eastAsia" w:ascii="宋体" w:hAnsi="宋体" w:eastAsia="宋体" w:cs="宋体"/>
                <w:sz w:val="24"/>
                <w:szCs w:val="24"/>
                <w:lang w:val="en-US" w:eastAsia="zh-CN"/>
              </w:rPr>
              <w:t>分</w:t>
            </w:r>
          </w:p>
        </w:tc>
      </w:tr>
      <w:tr w14:paraId="0C2AD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1150" w:type="dxa"/>
            <w:vMerge w:val="continue"/>
            <w:noWrap/>
            <w:vAlign w:val="center"/>
          </w:tcPr>
          <w:p w14:paraId="00C8BB52">
            <w:pPr>
              <w:snapToGrid w:val="0"/>
              <w:spacing w:line="440" w:lineRule="exact"/>
              <w:jc w:val="center"/>
              <w:rPr>
                <w:rFonts w:hint="eastAsia" w:ascii="宋体" w:hAnsi="宋体" w:eastAsia="宋体" w:cs="Times New Roman"/>
                <w:kern w:val="0"/>
                <w:sz w:val="24"/>
                <w:szCs w:val="24"/>
              </w:rPr>
            </w:pPr>
          </w:p>
        </w:tc>
        <w:tc>
          <w:tcPr>
            <w:tcW w:w="1275" w:type="dxa"/>
            <w:noWrap/>
            <w:vAlign w:val="center"/>
          </w:tcPr>
          <w:p w14:paraId="62F8382D">
            <w:pPr>
              <w:spacing w:line="440" w:lineRule="exact"/>
              <w:jc w:val="center"/>
              <w:rPr>
                <w:rFonts w:hint="eastAsia" w:ascii="宋体" w:hAnsi="宋体" w:eastAsia="宋体" w:cs="Times New Roman"/>
                <w:sz w:val="24"/>
                <w:szCs w:val="24"/>
              </w:rPr>
            </w:pPr>
            <w:r>
              <w:rPr>
                <w:rFonts w:hint="eastAsia" w:ascii="宋体" w:hAnsi="宋体" w:eastAsia="宋体" w:cs="Times New Roman"/>
                <w:sz w:val="24"/>
                <w:szCs w:val="24"/>
              </w:rPr>
              <w:t>售后服务方案</w:t>
            </w:r>
          </w:p>
        </w:tc>
        <w:tc>
          <w:tcPr>
            <w:tcW w:w="6121" w:type="dxa"/>
            <w:noWrap/>
            <w:vAlign w:val="center"/>
          </w:tcPr>
          <w:p w14:paraId="3C3E90BF">
            <w:pPr>
              <w:bidi w:val="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投标人根据本项目特点提供售后服务方案，方案内容及措施 (至少应包含但不限于：售后人员配备名单及售后人员相关证书、售后响应时间、售后流程、售后培训计划、售后服务承诺、故障解决流程等) 进行分档计分：</w:t>
            </w:r>
          </w:p>
          <w:p w14:paraId="6FA817B0">
            <w:pPr>
              <w:bidi w:val="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第一档：方案思路清晰、合理、措施完善、科学、针对性强的计7分；</w:t>
            </w:r>
          </w:p>
          <w:p w14:paraId="3B2905D3">
            <w:pPr>
              <w:bidi w:val="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第二档：方案思路较清晰、较合理、措施较完善、较科学、针对性较强的计4分；</w:t>
            </w:r>
            <w:bookmarkStart w:id="18" w:name="_GoBack"/>
            <w:bookmarkEnd w:id="18"/>
          </w:p>
          <w:p w14:paraId="3F4599AF">
            <w:pPr>
              <w:bidi w:val="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第三档：方案思路欠清晰、欠合理、措施欠完善、欠科学、针对性一般的计1分；</w:t>
            </w:r>
          </w:p>
          <w:p w14:paraId="743445BA">
            <w:pPr>
              <w:bidi w:val="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未提供的不计分。</w:t>
            </w:r>
          </w:p>
        </w:tc>
        <w:tc>
          <w:tcPr>
            <w:tcW w:w="838" w:type="dxa"/>
            <w:noWrap/>
            <w:vAlign w:val="center"/>
          </w:tcPr>
          <w:p w14:paraId="0179C4FF">
            <w:pPr>
              <w:spacing w:before="156" w:line="440" w:lineRule="exact"/>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7分</w:t>
            </w:r>
          </w:p>
        </w:tc>
      </w:tr>
    </w:tbl>
    <w:p w14:paraId="5B324E98">
      <w:pPr>
        <w:spacing w:line="420" w:lineRule="exact"/>
        <w:rPr>
          <w:rFonts w:ascii="宋体" w:hAnsi="宋体" w:eastAsia="宋体" w:cs="Times New Roman"/>
          <w:b/>
          <w:bCs/>
          <w:sz w:val="24"/>
          <w:szCs w:val="24"/>
        </w:rPr>
      </w:pPr>
    </w:p>
    <w:p w14:paraId="2451CF45">
      <w:pPr>
        <w:spacing w:line="420" w:lineRule="exact"/>
        <w:rPr>
          <w:rFonts w:ascii="宋体" w:hAnsi="宋体" w:eastAsia="宋体" w:cs="Times New Roman"/>
          <w:b/>
          <w:bCs/>
          <w:sz w:val="24"/>
          <w:szCs w:val="24"/>
        </w:rPr>
      </w:pPr>
      <w:r>
        <w:rPr>
          <w:rFonts w:ascii="宋体" w:hAnsi="宋体" w:eastAsia="宋体" w:cs="Times New Roman"/>
          <w:b/>
          <w:bCs/>
          <w:sz w:val="24"/>
          <w:szCs w:val="24"/>
        </w:rPr>
        <w:t>5.</w:t>
      </w:r>
      <w:r>
        <w:rPr>
          <w:rFonts w:hint="eastAsia" w:ascii="宋体" w:hAnsi="宋体" w:eastAsia="宋体" w:cs="Times New Roman"/>
          <w:b/>
          <w:bCs/>
          <w:sz w:val="24"/>
          <w:szCs w:val="24"/>
        </w:rPr>
        <w:t>计分办法</w:t>
      </w:r>
    </w:p>
    <w:p w14:paraId="1F790E7A">
      <w:pPr>
        <w:spacing w:line="420" w:lineRule="exact"/>
        <w:rPr>
          <w:rFonts w:ascii="宋体" w:hAnsi="宋体" w:eastAsia="宋体" w:cs="Times New Roman"/>
          <w:sz w:val="24"/>
          <w:szCs w:val="24"/>
        </w:rPr>
      </w:pPr>
      <w:r>
        <w:rPr>
          <w:rFonts w:ascii="宋体" w:hAnsi="宋体" w:eastAsia="宋体" w:cs="Times New Roman"/>
          <w:sz w:val="24"/>
          <w:szCs w:val="24"/>
        </w:rPr>
        <w:t xml:space="preserve">  5.1</w:t>
      </w:r>
      <w:r>
        <w:rPr>
          <w:rFonts w:hint="eastAsia" w:ascii="宋体" w:hAnsi="宋体" w:eastAsia="宋体" w:cs="Times New Roman"/>
          <w:sz w:val="24"/>
          <w:szCs w:val="24"/>
        </w:rPr>
        <w:t>计分过程中按四舍五入的法则，取至小数点后</w:t>
      </w:r>
      <w:r>
        <w:rPr>
          <w:rFonts w:ascii="宋体" w:hAnsi="宋体" w:eastAsia="宋体" w:cs="Times New Roman"/>
          <w:sz w:val="24"/>
          <w:szCs w:val="24"/>
        </w:rPr>
        <w:t>2</w:t>
      </w:r>
      <w:r>
        <w:rPr>
          <w:rFonts w:hint="eastAsia" w:ascii="宋体" w:hAnsi="宋体" w:eastAsia="宋体" w:cs="Times New Roman"/>
          <w:sz w:val="24"/>
          <w:szCs w:val="24"/>
        </w:rPr>
        <w:t>位，磋商响应供应商的最终得分为所有磋商小组打分的算术平均值，最终结果取至小数点后</w:t>
      </w:r>
      <w:r>
        <w:rPr>
          <w:rFonts w:ascii="宋体" w:hAnsi="宋体" w:eastAsia="宋体" w:cs="Times New Roman"/>
          <w:sz w:val="24"/>
          <w:szCs w:val="24"/>
        </w:rPr>
        <w:t>2</w:t>
      </w:r>
      <w:r>
        <w:rPr>
          <w:rFonts w:hint="eastAsia" w:ascii="宋体" w:hAnsi="宋体" w:eastAsia="宋体" w:cs="Times New Roman"/>
          <w:sz w:val="24"/>
          <w:szCs w:val="24"/>
        </w:rPr>
        <w:t>位。磋商小组将按磋商响应供应商得分高低排序向采购人推荐成交候选供应商，并标明顺序。</w:t>
      </w:r>
    </w:p>
    <w:p w14:paraId="6F8B6913">
      <w:pPr>
        <w:spacing w:line="420" w:lineRule="exact"/>
        <w:rPr>
          <w:rFonts w:ascii="宋体" w:hAnsi="宋体" w:eastAsia="宋体" w:cs="Times New Roman"/>
          <w:b/>
          <w:bCs/>
          <w:kern w:val="0"/>
          <w:sz w:val="24"/>
          <w:szCs w:val="24"/>
        </w:rPr>
      </w:pPr>
      <w:r>
        <w:rPr>
          <w:rFonts w:ascii="宋体" w:hAnsi="宋体" w:eastAsia="宋体" w:cs="Times New Roman"/>
          <w:b/>
          <w:bCs/>
          <w:kern w:val="0"/>
          <w:sz w:val="24"/>
          <w:szCs w:val="24"/>
        </w:rPr>
        <w:t xml:space="preserve">  6.</w:t>
      </w:r>
      <w:r>
        <w:rPr>
          <w:rFonts w:hint="eastAsia" w:ascii="宋体" w:hAnsi="宋体" w:eastAsia="宋体" w:cs="Times New Roman"/>
          <w:b/>
          <w:bCs/>
          <w:kern w:val="0"/>
          <w:sz w:val="24"/>
          <w:szCs w:val="24"/>
        </w:rPr>
        <w:t>定标</w:t>
      </w:r>
    </w:p>
    <w:p w14:paraId="0A634E1F">
      <w:pPr>
        <w:spacing w:line="420" w:lineRule="exact"/>
        <w:ind w:firstLine="240" w:firstLineChars="100"/>
        <w:rPr>
          <w:rFonts w:ascii="宋体" w:hAnsi="宋体" w:eastAsia="宋体" w:cs="宋体"/>
          <w:sz w:val="24"/>
          <w:szCs w:val="24"/>
        </w:rPr>
      </w:pPr>
      <w:r>
        <w:rPr>
          <w:rFonts w:ascii="宋体" w:hAnsi="宋体" w:eastAsia="宋体" w:cs="Times New Roman"/>
          <w:sz w:val="24"/>
          <w:szCs w:val="24"/>
        </w:rPr>
        <w:t>6.1</w:t>
      </w:r>
      <w:r>
        <w:rPr>
          <w:rFonts w:hint="eastAsia" w:ascii="宋体" w:hAnsi="宋体" w:eastAsia="宋体" w:cs="宋体"/>
          <w:sz w:val="24"/>
          <w:szCs w:val="24"/>
        </w:rPr>
        <w:t>根据磋商小组计分结果, 按照评审由高到低的顺序推荐成交候选供应商，并向采购人提供书面评审报告。</w:t>
      </w:r>
    </w:p>
    <w:p w14:paraId="2022B56C">
      <w:pPr>
        <w:rPr>
          <w:rFonts w:hint="eastAsia" w:ascii="宋体" w:hAnsi="宋体" w:eastAsia="宋体" w:cs="Times New Roman"/>
          <w:b/>
          <w:bCs/>
          <w:kern w:val="44"/>
          <w:sz w:val="32"/>
          <w:szCs w:val="32"/>
        </w:rPr>
      </w:pPr>
      <w:r>
        <w:rPr>
          <w:rFonts w:hint="eastAsia" w:ascii="宋体" w:hAnsi="宋体" w:eastAsia="宋体" w:cs="Times New Roman"/>
          <w:b/>
          <w:bCs/>
          <w:kern w:val="44"/>
          <w:sz w:val="32"/>
          <w:szCs w:val="32"/>
        </w:rPr>
        <w:br w:type="page"/>
      </w:r>
    </w:p>
    <w:p w14:paraId="2D24819B">
      <w:pPr>
        <w:spacing w:line="500" w:lineRule="exact"/>
        <w:ind w:firstLine="2570" w:firstLineChars="800"/>
        <w:outlineLvl w:val="0"/>
        <w:rPr>
          <w:rFonts w:ascii="宋体" w:hAnsi="宋体" w:eastAsia="宋体" w:cs="Times New Roman"/>
          <w:b/>
          <w:bCs/>
          <w:kern w:val="44"/>
          <w:sz w:val="44"/>
          <w:szCs w:val="44"/>
        </w:rPr>
      </w:pPr>
      <w:r>
        <w:rPr>
          <w:rFonts w:hint="eastAsia" w:ascii="宋体" w:hAnsi="宋体" w:eastAsia="宋体" w:cs="Times New Roman"/>
          <w:b/>
          <w:bCs/>
          <w:kern w:val="44"/>
          <w:sz w:val="32"/>
          <w:szCs w:val="32"/>
        </w:rPr>
        <w:t>第五章</w:t>
      </w:r>
      <w:bookmarkStart w:id="2" w:name="_Toc7902"/>
      <w:bookmarkEnd w:id="2"/>
      <w:bookmarkStart w:id="3" w:name="_Toc331669567"/>
      <w:bookmarkEnd w:id="3"/>
      <w:bookmarkStart w:id="4" w:name="_Toc269828235"/>
      <w:bookmarkEnd w:id="4"/>
      <w:bookmarkStart w:id="5" w:name="_Toc269828236"/>
      <w:r>
        <w:rPr>
          <w:rFonts w:hint="eastAsia" w:ascii="宋体" w:hAnsi="宋体" w:eastAsia="宋体" w:cs="Times New Roman"/>
          <w:b/>
          <w:bCs/>
          <w:kern w:val="44"/>
          <w:sz w:val="32"/>
          <w:szCs w:val="32"/>
        </w:rPr>
        <w:t>合同主要条款</w:t>
      </w:r>
      <w:bookmarkEnd w:id="5"/>
      <w:r>
        <w:rPr>
          <w:rFonts w:hint="eastAsia" w:ascii="宋体" w:hAnsi="宋体" w:eastAsia="宋体" w:cs="Times New Roman"/>
          <w:b/>
          <w:bCs/>
          <w:kern w:val="44"/>
          <w:sz w:val="32"/>
          <w:szCs w:val="32"/>
        </w:rPr>
        <w:t>及格式</w:t>
      </w:r>
    </w:p>
    <w:p w14:paraId="0754EB7E">
      <w:pPr>
        <w:spacing w:line="360" w:lineRule="auto"/>
        <w:jc w:val="center"/>
        <w:rPr>
          <w:rFonts w:ascii="宋体" w:hAnsi="宋体" w:eastAsia="宋体" w:cs="Times New Roman"/>
          <w:b/>
          <w:bCs/>
          <w:sz w:val="28"/>
          <w:szCs w:val="28"/>
        </w:rPr>
      </w:pPr>
      <w:r>
        <w:rPr>
          <w:rFonts w:hint="eastAsia" w:ascii="宋体" w:hAnsi="宋体" w:eastAsia="宋体" w:cs="Times New Roman"/>
          <w:b/>
          <w:bCs/>
          <w:sz w:val="28"/>
          <w:szCs w:val="28"/>
        </w:rPr>
        <w:t>（此格式仅供参考，以双方最终签订合同为准）</w:t>
      </w:r>
    </w:p>
    <w:p w14:paraId="05FFE60D">
      <w:pPr>
        <w:spacing w:line="50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甲方：</w:t>
      </w:r>
    </w:p>
    <w:p w14:paraId="3DF245D0">
      <w:pPr>
        <w:spacing w:line="500" w:lineRule="exact"/>
        <w:ind w:firstLine="638" w:firstLineChars="228"/>
        <w:rPr>
          <w:rFonts w:ascii="仿宋" w:hAnsi="仿宋" w:eastAsia="宋体" w:cs="Times New Roman"/>
          <w:color w:val="000000"/>
          <w:sz w:val="28"/>
          <w:szCs w:val="28"/>
        </w:rPr>
      </w:pPr>
      <w:r>
        <w:rPr>
          <w:rFonts w:hint="eastAsia" w:ascii="仿宋" w:hAnsi="仿宋" w:eastAsia="仿宋" w:cs="Times New Roman"/>
          <w:color w:val="000000"/>
          <w:sz w:val="28"/>
          <w:szCs w:val="28"/>
        </w:rPr>
        <w:t>乙方:</w:t>
      </w:r>
    </w:p>
    <w:p w14:paraId="1E7D1D06">
      <w:pPr>
        <w:spacing w:line="480" w:lineRule="exact"/>
        <w:ind w:firstLine="750" w:firstLineChars="250"/>
        <w:rPr>
          <w:rFonts w:ascii="仿宋" w:hAnsi="仿宋" w:eastAsia="仿宋" w:cs="Times New Roman"/>
          <w:sz w:val="30"/>
          <w:szCs w:val="30"/>
        </w:rPr>
      </w:pPr>
      <w:r>
        <w:rPr>
          <w:rFonts w:hint="eastAsia" w:ascii="仿宋" w:hAnsi="仿宋" w:eastAsia="仿宋" w:cs="Times New Roman"/>
          <w:sz w:val="30"/>
          <w:szCs w:val="30"/>
        </w:rPr>
        <w:t>依据《中华人民共和国民法典》的相关规定，现依照相关法律法规及竞争性磋商文件内容，经双方协商一致，签订本合同。</w:t>
      </w:r>
    </w:p>
    <w:p w14:paraId="3F97AA6A">
      <w:pPr>
        <w:spacing w:line="50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第一条　1.货物的名称、产地、品牌规格、数量、配置及单价</w:t>
      </w:r>
    </w:p>
    <w:tbl>
      <w:tblPr>
        <w:tblStyle w:val="21"/>
        <w:tblW w:w="5076" w:type="pct"/>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1088"/>
        <w:gridCol w:w="2183"/>
        <w:gridCol w:w="2334"/>
        <w:gridCol w:w="2023"/>
      </w:tblGrid>
      <w:tr w14:paraId="1BF4E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003" w:type="pct"/>
            <w:noWrap/>
            <w:vAlign w:val="center"/>
          </w:tcPr>
          <w:p w14:paraId="1E6AE503">
            <w:pPr>
              <w:spacing w:line="500" w:lineRule="exact"/>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名  称</w:t>
            </w:r>
          </w:p>
        </w:tc>
        <w:tc>
          <w:tcPr>
            <w:tcW w:w="570" w:type="pct"/>
            <w:noWrap/>
            <w:vAlign w:val="center"/>
          </w:tcPr>
          <w:p w14:paraId="65CE172D">
            <w:pPr>
              <w:spacing w:line="500" w:lineRule="exact"/>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品牌</w:t>
            </w:r>
          </w:p>
        </w:tc>
        <w:tc>
          <w:tcPr>
            <w:tcW w:w="1144" w:type="pct"/>
            <w:noWrap/>
            <w:vAlign w:val="center"/>
          </w:tcPr>
          <w:p w14:paraId="774CEDDB">
            <w:pPr>
              <w:spacing w:line="500" w:lineRule="exact"/>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规格型号</w:t>
            </w:r>
          </w:p>
        </w:tc>
        <w:tc>
          <w:tcPr>
            <w:tcW w:w="1223" w:type="pct"/>
            <w:noWrap/>
            <w:vAlign w:val="center"/>
          </w:tcPr>
          <w:p w14:paraId="5FE994BB">
            <w:pPr>
              <w:spacing w:line="500" w:lineRule="exact"/>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数 量</w:t>
            </w:r>
          </w:p>
        </w:tc>
        <w:tc>
          <w:tcPr>
            <w:tcW w:w="1059" w:type="pct"/>
            <w:noWrap/>
            <w:vAlign w:val="center"/>
          </w:tcPr>
          <w:p w14:paraId="4499662D">
            <w:pPr>
              <w:spacing w:line="500" w:lineRule="exact"/>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金额</w:t>
            </w:r>
          </w:p>
        </w:tc>
      </w:tr>
      <w:tr w14:paraId="120E3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003" w:type="pct"/>
            <w:noWrap/>
            <w:vAlign w:val="center"/>
          </w:tcPr>
          <w:p w14:paraId="42CC03C2">
            <w:pPr>
              <w:spacing w:line="500" w:lineRule="exact"/>
              <w:jc w:val="center"/>
              <w:rPr>
                <w:rFonts w:ascii="仿宋" w:hAnsi="仿宋" w:eastAsia="仿宋" w:cs="Times New Roman"/>
                <w:color w:val="000000"/>
                <w:sz w:val="24"/>
                <w:szCs w:val="24"/>
              </w:rPr>
            </w:pPr>
          </w:p>
        </w:tc>
        <w:tc>
          <w:tcPr>
            <w:tcW w:w="570" w:type="pct"/>
            <w:noWrap/>
            <w:vAlign w:val="center"/>
          </w:tcPr>
          <w:p w14:paraId="0076FB05">
            <w:pPr>
              <w:spacing w:line="500" w:lineRule="exact"/>
              <w:jc w:val="center"/>
              <w:rPr>
                <w:rFonts w:ascii="楷体" w:hAnsi="楷体" w:eastAsia="楷体" w:cs="Times New Roman"/>
                <w:color w:val="000000"/>
                <w:sz w:val="24"/>
                <w:szCs w:val="24"/>
              </w:rPr>
            </w:pPr>
          </w:p>
        </w:tc>
        <w:tc>
          <w:tcPr>
            <w:tcW w:w="1144" w:type="pct"/>
            <w:noWrap/>
            <w:vAlign w:val="center"/>
          </w:tcPr>
          <w:p w14:paraId="661B52B0">
            <w:pPr>
              <w:spacing w:line="500" w:lineRule="exact"/>
              <w:jc w:val="center"/>
              <w:rPr>
                <w:rFonts w:ascii="仿宋" w:hAnsi="仿宋" w:eastAsia="仿宋" w:cs="Times New Roman"/>
                <w:color w:val="000000"/>
                <w:sz w:val="24"/>
                <w:szCs w:val="24"/>
              </w:rPr>
            </w:pPr>
          </w:p>
        </w:tc>
        <w:tc>
          <w:tcPr>
            <w:tcW w:w="1223" w:type="pct"/>
            <w:noWrap/>
            <w:vAlign w:val="center"/>
          </w:tcPr>
          <w:p w14:paraId="61E4381D">
            <w:pPr>
              <w:spacing w:line="500" w:lineRule="exact"/>
              <w:jc w:val="center"/>
              <w:rPr>
                <w:rFonts w:ascii="仿宋" w:hAnsi="仿宋" w:eastAsia="仿宋" w:cs="Times New Roman"/>
                <w:color w:val="000000"/>
                <w:sz w:val="24"/>
                <w:szCs w:val="24"/>
              </w:rPr>
            </w:pPr>
          </w:p>
        </w:tc>
        <w:tc>
          <w:tcPr>
            <w:tcW w:w="1059" w:type="pct"/>
            <w:noWrap/>
            <w:vAlign w:val="center"/>
          </w:tcPr>
          <w:p w14:paraId="54CAF6FC">
            <w:pPr>
              <w:spacing w:line="500" w:lineRule="exact"/>
              <w:jc w:val="center"/>
              <w:rPr>
                <w:rFonts w:ascii="仿宋" w:hAnsi="仿宋" w:eastAsia="仿宋" w:cs="Times New Roman"/>
                <w:color w:val="000000"/>
                <w:sz w:val="24"/>
                <w:szCs w:val="24"/>
              </w:rPr>
            </w:pPr>
          </w:p>
        </w:tc>
      </w:tr>
      <w:tr w14:paraId="15437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03" w:type="pct"/>
            <w:noWrap/>
            <w:vAlign w:val="center"/>
          </w:tcPr>
          <w:p w14:paraId="48D988E5">
            <w:pPr>
              <w:spacing w:line="500" w:lineRule="exact"/>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合计：</w:t>
            </w:r>
          </w:p>
        </w:tc>
        <w:tc>
          <w:tcPr>
            <w:tcW w:w="3997" w:type="pct"/>
            <w:gridSpan w:val="4"/>
            <w:noWrap/>
            <w:vAlign w:val="center"/>
          </w:tcPr>
          <w:p w14:paraId="67231BFE">
            <w:pPr>
              <w:widowControl/>
              <w:jc w:val="left"/>
              <w:textAlignment w:val="center"/>
              <w:rPr>
                <w:rFonts w:ascii="宋体" w:hAnsi="宋体" w:eastAsia="宋体" w:cs="宋体"/>
                <w:color w:val="000000"/>
                <w:sz w:val="22"/>
              </w:rPr>
            </w:pPr>
          </w:p>
        </w:tc>
      </w:tr>
    </w:tbl>
    <w:p w14:paraId="06C56424">
      <w:pPr>
        <w:spacing w:line="50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以上金额包括项目实施所需的人工费、服务费、运输费、安装调试费、设备价款、备品备件费、检验费、包装费、装卸费、税金（含关税、增值税）、施工费、检测验收费、培训费等各项与此项目有关的一切费用。</w:t>
      </w:r>
    </w:p>
    <w:p w14:paraId="203B9F8C">
      <w:pPr>
        <w:spacing w:line="50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第二条　产品的交货单位、交货时间、包装与运输、到货地点。</w:t>
      </w:r>
    </w:p>
    <w:p w14:paraId="7A3A0E87">
      <w:pPr>
        <w:spacing w:line="50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 xml:space="preserve">1．产品的交货地点：。 </w:t>
      </w:r>
    </w:p>
    <w:p w14:paraId="056436AB">
      <w:pPr>
        <w:spacing w:line="50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2．交货时间：乙方于年月日前完成交货、安装、调试合格并交付甲方使用。</w:t>
      </w:r>
    </w:p>
    <w:p w14:paraId="11233B18">
      <w:pPr>
        <w:spacing w:line="50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3．质量保证期：整套设备免费质保年。质保期计算：自设备验收合格第三日计算；保修期内所有故障及维修费用由乙方承担（人为因素除外）。</w:t>
      </w:r>
    </w:p>
    <w:p w14:paraId="387886BD">
      <w:pPr>
        <w:spacing w:line="50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一个月内出现质量问题可换新货，质保期内出现故障三次且影响正常使用的,应免费为甲方更换同款新设备，质保期相应顺延。</w:t>
      </w:r>
    </w:p>
    <w:p w14:paraId="72DEB6C2">
      <w:pPr>
        <w:spacing w:line="50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4. 包装与运输</w:t>
      </w:r>
    </w:p>
    <w:p w14:paraId="2670C63B">
      <w:pPr>
        <w:spacing w:line="50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4.1  除合同另有规定外，乙方供应的设备，均应按标准保护措施进行包装，须确保货物完好无损抵达指定现场，由于乙方包装不良及在运输过程中所造成的任何损失，由乙方负责。</w:t>
      </w:r>
    </w:p>
    <w:p w14:paraId="18849F23">
      <w:pPr>
        <w:spacing w:line="50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4.2  每一包装箱内应附一份详细的装箱单和质量合格证书。</w:t>
      </w:r>
    </w:p>
    <w:p w14:paraId="0D37C419">
      <w:pPr>
        <w:spacing w:line="50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4.3  乙方可选择合适的运输方式，并负责设备的发运、保险、装卸以及货到后未验收前的保管工作。</w:t>
      </w:r>
    </w:p>
    <w:p w14:paraId="47B8172D">
      <w:pPr>
        <w:spacing w:line="50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4.4  交货要求：国产设备生产日期不超过3个月；进口设备生产日期不超过6个月。</w:t>
      </w:r>
    </w:p>
    <w:p w14:paraId="6B3860CB">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 xml:space="preserve">第三条　货款结算 </w:t>
      </w:r>
    </w:p>
    <w:p w14:paraId="5A5EA218">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双方协商。</w:t>
      </w:r>
    </w:p>
    <w:p w14:paraId="6CCCC7F4">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第四条  培训、维修及服务</w:t>
      </w:r>
    </w:p>
    <w:p w14:paraId="283B6C16">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1、质保期内：接到甲方电话报故障后，维修响应时间为30分钟内，通过电话不能解决问题的，维修人员到达现场为24小时。</w:t>
      </w:r>
    </w:p>
    <w:p w14:paraId="1BC484F2">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2、外出培训：现场培训：免费为使用科室及维修人员进行培训，直至熟练操作所有设备及常见故障问题能维修。</w:t>
      </w:r>
    </w:p>
    <w:p w14:paraId="487B08EC">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第五条  违约责任</w:t>
      </w:r>
    </w:p>
    <w:p w14:paraId="19BD80C2">
      <w:pPr>
        <w:spacing w:line="560" w:lineRule="exact"/>
        <w:rPr>
          <w:rFonts w:ascii="仿宋" w:hAnsi="仿宋" w:eastAsia="仿宋" w:cs="Times New Roman"/>
          <w:color w:val="000000"/>
          <w:sz w:val="28"/>
          <w:szCs w:val="28"/>
        </w:rPr>
      </w:pPr>
      <w:r>
        <w:rPr>
          <w:rFonts w:hint="eastAsia" w:ascii="仿宋" w:hAnsi="仿宋" w:eastAsia="仿宋" w:cs="Times New Roman"/>
          <w:color w:val="000000"/>
          <w:sz w:val="28"/>
          <w:szCs w:val="28"/>
        </w:rPr>
        <w:t xml:space="preserve">    １.乙方不能交货的，应向甲方偿付合同总价款5％的违约金；</w:t>
      </w:r>
    </w:p>
    <w:p w14:paraId="6FB17B0A">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2．乙方不能按时交货的，每逾期一天，向甲方偿付合同总价款的5</w:t>
      </w:r>
      <w:r>
        <w:rPr>
          <w:rFonts w:ascii="仿宋" w:hAnsi="仿宋" w:eastAsia="仿宋" w:cs="Times New Roman"/>
          <w:color w:val="000000"/>
          <w:sz w:val="28"/>
          <w:szCs w:val="28"/>
        </w:rPr>
        <w:t>‰</w:t>
      </w:r>
      <w:r>
        <w:rPr>
          <w:rFonts w:hint="eastAsia" w:ascii="仿宋" w:hAnsi="仿宋" w:eastAsia="仿宋" w:cs="Times New Roman"/>
          <w:color w:val="000000"/>
          <w:sz w:val="28"/>
          <w:szCs w:val="28"/>
        </w:rPr>
        <w:t>的违约金；不能按照合同约定时间服务的，每延误一小时赔偿甲方违约金1000元整。</w:t>
      </w:r>
    </w:p>
    <w:p w14:paraId="00791DD0">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3．如果乙方不能按照合同规定的时间交货和提供服务的，甲方有权从货款中扣除误期赔偿费而不影响合同项下其他补救办法；不能按承诺内容履行的，甲方有权将其列入黑名单，医院任何经济活动不得参加。</w:t>
      </w:r>
    </w:p>
    <w:p w14:paraId="24CFDCEC">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4．乙方应保证甲方和使用单位在使用该器械或其任何一部分时不存在任何权利上的瑕疵，免受第三方提出侵犯其专利权、商标权或工业产权等起诉。</w:t>
      </w:r>
    </w:p>
    <w:p w14:paraId="6A68BC89">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5.甲方中途无理由退货，应向乙方赔付退货部分货款5％的违约金；</w:t>
      </w:r>
    </w:p>
    <w:p w14:paraId="49F21310">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6.甲方逾期付款的，应按中国人民银行同业拆借市场利率的规定向乙方赔付逾期付款的违约金。</w:t>
      </w:r>
    </w:p>
    <w:p w14:paraId="0F82E0E8">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第六条　瑕疵问题</w:t>
      </w:r>
    </w:p>
    <w:p w14:paraId="6F0788A4">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如经国家检验机构确认乙方所供货物存在瑕疵或不符合本合同的约定，甲方有权选择下列方式之一要求乙方进行补救:</w:t>
      </w:r>
    </w:p>
    <w:p w14:paraId="7DEF1F73">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1.乙方同意甲方退货，并将全额货款于7个日历日内退还甲方，并承担因退货而发生的一切直接损失和费用。</w:t>
      </w:r>
    </w:p>
    <w:p w14:paraId="697F9571">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2.按照货物的疵劣程度、损坏的范围和甲方所遭受的损失，将货物贬值。</w:t>
      </w:r>
    </w:p>
    <w:p w14:paraId="6584D06E">
      <w:pPr>
        <w:spacing w:line="560" w:lineRule="exact"/>
        <w:ind w:firstLine="560" w:firstLineChars="200"/>
        <w:rPr>
          <w:rFonts w:ascii="仿宋" w:hAnsi="仿宋" w:eastAsia="仿宋" w:cs="Times New Roman"/>
          <w:color w:val="000000"/>
          <w:sz w:val="28"/>
          <w:szCs w:val="28"/>
        </w:rPr>
      </w:pPr>
      <w:r>
        <w:rPr>
          <w:rFonts w:hint="eastAsia" w:ascii="仿宋" w:hAnsi="仿宋" w:eastAsia="仿宋" w:cs="Times New Roman"/>
          <w:color w:val="000000"/>
          <w:sz w:val="28"/>
          <w:szCs w:val="28"/>
        </w:rPr>
        <w:t>3.调换有瑕疵的货物，换货必须全新并符合本合同规定的规格、质量和性能，乙方并负责因此而产生的一切费用和甲方的一切直接损失。</w:t>
      </w:r>
    </w:p>
    <w:p w14:paraId="226963BE">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 xml:space="preserve">第七条 不可抗力 </w:t>
      </w:r>
    </w:p>
    <w:p w14:paraId="221C0F30">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甲乙双方的任何一方由于不可抗力的原因（如水灾、旱灾、暴风雪、地震战争、罢工、政府禁令等。）不能履行合同时，应及时向对方通报不能履行或不能完全履行的理由，以减轻可能给对方造成的损失。</w:t>
      </w:r>
    </w:p>
    <w:p w14:paraId="00A1CDE4">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第八条 乙方投标文件为本合同附加条款，与本合同具有同等法律效力。</w:t>
      </w:r>
    </w:p>
    <w:p w14:paraId="11585232">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第九条  本合同如发生纠纷，当事人双方应当及时协商解决，协商不成时，任何一方均可请业务主管机关调解或者向仲裁委员会申请仲裁，也可以直接向甲方人民法院起诉。</w:t>
      </w:r>
    </w:p>
    <w:p w14:paraId="054CFE45">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第十条  合同如有未尽事宜，须经双方共同协商，作出补充规定，补充规定与合同具有同等法律效力。</w:t>
      </w:r>
    </w:p>
    <w:p w14:paraId="33A8B959">
      <w:pPr>
        <w:spacing w:line="560" w:lineRule="exact"/>
        <w:ind w:firstLine="638" w:firstLineChars="228"/>
        <w:rPr>
          <w:rFonts w:ascii="仿宋" w:hAnsi="仿宋" w:eastAsia="仿宋" w:cs="Times New Roman"/>
          <w:color w:val="000000"/>
          <w:sz w:val="28"/>
          <w:szCs w:val="28"/>
        </w:rPr>
      </w:pPr>
      <w:r>
        <w:rPr>
          <w:rFonts w:hint="eastAsia" w:ascii="仿宋" w:hAnsi="仿宋" w:eastAsia="仿宋" w:cs="Times New Roman"/>
          <w:color w:val="000000"/>
          <w:sz w:val="28"/>
          <w:szCs w:val="28"/>
        </w:rPr>
        <w:t xml:space="preserve"> 第十一条 本合同一式份，甲方执份，乙方执份。自双方签字盖章之日起生效。</w:t>
      </w:r>
    </w:p>
    <w:p w14:paraId="0E01B8ED">
      <w:pPr>
        <w:spacing w:line="560" w:lineRule="exact"/>
        <w:ind w:left="7280" w:hanging="7280" w:hangingChars="2600"/>
        <w:rPr>
          <w:rFonts w:ascii="仿宋" w:hAnsi="仿宋" w:eastAsia="仿宋" w:cs="Times New Roman"/>
          <w:color w:val="000000"/>
          <w:sz w:val="28"/>
          <w:szCs w:val="28"/>
        </w:rPr>
      </w:pPr>
      <w:r>
        <w:rPr>
          <w:rFonts w:hint="eastAsia" w:ascii="仿宋" w:hAnsi="仿宋" w:eastAsia="仿宋" w:cs="Times New Roman"/>
          <w:color w:val="000000"/>
          <w:sz w:val="28"/>
          <w:szCs w:val="28"/>
        </w:rPr>
        <w:t xml:space="preserve">  甲 方：    乙 方：</w:t>
      </w:r>
    </w:p>
    <w:p w14:paraId="3B0A222B">
      <w:pPr>
        <w:spacing w:line="560" w:lineRule="exact"/>
        <w:rPr>
          <w:rFonts w:ascii="仿宋" w:hAnsi="仿宋" w:eastAsia="仿宋" w:cs="Times New Roman"/>
          <w:color w:val="000000"/>
          <w:sz w:val="28"/>
          <w:szCs w:val="28"/>
        </w:rPr>
      </w:pPr>
      <w:r>
        <w:rPr>
          <w:rFonts w:hint="eastAsia" w:ascii="仿宋" w:hAnsi="仿宋" w:eastAsia="仿宋" w:cs="Times New Roman"/>
          <w:color w:val="000000"/>
          <w:sz w:val="28"/>
          <w:szCs w:val="28"/>
        </w:rPr>
        <w:t xml:space="preserve">  地  址：      地  址：</w:t>
      </w:r>
    </w:p>
    <w:p w14:paraId="4DD2BD1A">
      <w:pPr>
        <w:spacing w:line="560" w:lineRule="exact"/>
        <w:rPr>
          <w:rFonts w:ascii="仿宋" w:hAnsi="仿宋" w:eastAsia="仿宋" w:cs="Times New Roman"/>
          <w:color w:val="000000"/>
          <w:sz w:val="28"/>
          <w:szCs w:val="28"/>
        </w:rPr>
      </w:pPr>
      <w:r>
        <w:rPr>
          <w:rFonts w:hint="eastAsia" w:ascii="仿宋" w:hAnsi="仿宋" w:eastAsia="仿宋" w:cs="Times New Roman"/>
          <w:color w:val="000000"/>
          <w:sz w:val="28"/>
          <w:szCs w:val="28"/>
        </w:rPr>
        <w:t xml:space="preserve">  电  话：            电  话：</w:t>
      </w:r>
    </w:p>
    <w:p w14:paraId="0FE98F6A">
      <w:pPr>
        <w:spacing w:line="560" w:lineRule="exact"/>
        <w:ind w:left="5880" w:hanging="5880" w:hangingChars="2100"/>
        <w:rPr>
          <w:rFonts w:ascii="仿宋" w:hAnsi="仿宋" w:eastAsia="仿宋" w:cs="Times New Roman"/>
          <w:color w:val="000000"/>
          <w:sz w:val="28"/>
          <w:szCs w:val="28"/>
        </w:rPr>
      </w:pPr>
      <w:r>
        <w:rPr>
          <w:rFonts w:hint="eastAsia" w:ascii="仿宋" w:hAnsi="仿宋" w:eastAsia="仿宋" w:cs="Times New Roman"/>
          <w:color w:val="000000"/>
          <w:sz w:val="28"/>
          <w:szCs w:val="28"/>
        </w:rPr>
        <w:t xml:space="preserve">  开户行：                        开户行：</w:t>
      </w:r>
    </w:p>
    <w:p w14:paraId="48D39B28">
      <w:pPr>
        <w:spacing w:line="560" w:lineRule="exact"/>
        <w:rPr>
          <w:rFonts w:ascii="仿宋" w:hAnsi="仿宋" w:eastAsia="仿宋" w:cs="Times New Roman"/>
          <w:color w:val="000000"/>
          <w:sz w:val="28"/>
          <w:szCs w:val="28"/>
        </w:rPr>
      </w:pPr>
      <w:r>
        <w:rPr>
          <w:rFonts w:hint="eastAsia" w:ascii="仿宋" w:hAnsi="仿宋" w:eastAsia="仿宋" w:cs="Times New Roman"/>
          <w:color w:val="000000"/>
          <w:sz w:val="28"/>
          <w:szCs w:val="28"/>
        </w:rPr>
        <w:t xml:space="preserve">  帐  号：                        帐  号：  </w:t>
      </w:r>
    </w:p>
    <w:p w14:paraId="243FD828">
      <w:pPr>
        <w:spacing w:line="560" w:lineRule="exact"/>
        <w:rPr>
          <w:rFonts w:ascii="仿宋" w:hAnsi="仿宋" w:eastAsia="仿宋" w:cs="Times New Roman"/>
          <w:color w:val="000000"/>
          <w:sz w:val="28"/>
          <w:szCs w:val="28"/>
        </w:rPr>
      </w:pPr>
      <w:r>
        <w:rPr>
          <w:rFonts w:hint="eastAsia" w:ascii="仿宋" w:hAnsi="仿宋" w:eastAsia="仿宋" w:cs="Times New Roman"/>
          <w:color w:val="000000"/>
          <w:sz w:val="28"/>
          <w:szCs w:val="28"/>
        </w:rPr>
        <w:t>委托人签字：                    委托人签字：</w:t>
      </w:r>
    </w:p>
    <w:p w14:paraId="3479BF26">
      <w:pPr>
        <w:spacing w:line="560" w:lineRule="exact"/>
        <w:rPr>
          <w:rFonts w:ascii="仿宋" w:hAnsi="仿宋" w:eastAsia="仿宋" w:cs="Times New Roman"/>
          <w:color w:val="000000"/>
          <w:sz w:val="28"/>
          <w:szCs w:val="28"/>
        </w:rPr>
      </w:pPr>
    </w:p>
    <w:p w14:paraId="623DE24A">
      <w:pPr>
        <w:spacing w:line="560" w:lineRule="exact"/>
        <w:rPr>
          <w:rFonts w:ascii="仿宋" w:hAnsi="仿宋" w:eastAsia="仿宋" w:cs="Times New Roman"/>
          <w:color w:val="000000"/>
          <w:sz w:val="28"/>
          <w:szCs w:val="28"/>
        </w:rPr>
      </w:pPr>
      <w:r>
        <w:rPr>
          <w:rFonts w:hint="eastAsia" w:ascii="仿宋" w:hAnsi="仿宋" w:eastAsia="仿宋" w:cs="Times New Roman"/>
          <w:color w:val="000000"/>
          <w:sz w:val="28"/>
          <w:szCs w:val="28"/>
        </w:rPr>
        <w:t>签订时间：     年   月   日</w:t>
      </w:r>
    </w:p>
    <w:p w14:paraId="0F14868A">
      <w:pPr>
        <w:spacing w:line="560" w:lineRule="exact"/>
        <w:ind w:firstLine="638" w:firstLineChars="228"/>
        <w:rPr>
          <w:rFonts w:ascii="仿宋_GB2312" w:hAnsi="仿宋_GB2312" w:eastAsia="仿宋_GB2312" w:cs="仿宋_GB2312"/>
          <w:sz w:val="28"/>
          <w:szCs w:val="28"/>
        </w:rPr>
      </w:pPr>
    </w:p>
    <w:p w14:paraId="62027FD8">
      <w:pPr>
        <w:spacing w:line="560" w:lineRule="exact"/>
        <w:ind w:firstLine="638" w:firstLineChars="228"/>
        <w:rPr>
          <w:rFonts w:ascii="仿宋_GB2312" w:hAnsi="仿宋_GB2312" w:eastAsia="仿宋_GB2312" w:cs="仿宋_GB2312"/>
          <w:sz w:val="28"/>
          <w:szCs w:val="28"/>
        </w:rPr>
      </w:pPr>
    </w:p>
    <w:p w14:paraId="35571BD0">
      <w:pPr>
        <w:spacing w:line="560" w:lineRule="exact"/>
        <w:ind w:firstLine="638" w:firstLineChars="228"/>
        <w:rPr>
          <w:rFonts w:ascii="仿宋_GB2312" w:hAnsi="仿宋_GB2312" w:eastAsia="仿宋_GB2312" w:cs="仿宋_GB2312"/>
          <w:sz w:val="28"/>
          <w:szCs w:val="28"/>
        </w:rPr>
      </w:pPr>
    </w:p>
    <w:p w14:paraId="3976D923">
      <w:pPr>
        <w:rPr>
          <w:rFonts w:ascii="宋体" w:hAnsi="宋体" w:eastAsia="宋体" w:cs="Times New Roman"/>
          <w:b/>
          <w:bCs/>
          <w:kern w:val="0"/>
          <w:sz w:val="32"/>
          <w:szCs w:val="32"/>
          <w:shd w:val="clear" w:color="auto" w:fill="FFFFFF"/>
        </w:rPr>
      </w:pPr>
      <w:r>
        <w:rPr>
          <w:rFonts w:hint="eastAsia" w:ascii="宋体" w:hAnsi="宋体" w:eastAsia="宋体" w:cs="Times New Roman"/>
          <w:b/>
          <w:bCs/>
          <w:kern w:val="0"/>
          <w:sz w:val="32"/>
          <w:szCs w:val="32"/>
          <w:shd w:val="clear" w:color="auto" w:fill="FFFFFF"/>
        </w:rPr>
        <w:br w:type="page"/>
      </w:r>
    </w:p>
    <w:p w14:paraId="408E9221">
      <w:pPr>
        <w:widowControl/>
        <w:shd w:val="clear" w:color="auto" w:fill="FFFFFF"/>
        <w:spacing w:line="360" w:lineRule="auto"/>
        <w:ind w:firstLine="1911" w:firstLineChars="595"/>
        <w:rPr>
          <w:rFonts w:ascii="宋体" w:hAnsi="宋体" w:eastAsia="宋体" w:cs="Times New Roman"/>
          <w:b/>
          <w:bCs/>
          <w:kern w:val="0"/>
          <w:sz w:val="32"/>
          <w:szCs w:val="32"/>
          <w:shd w:val="clear" w:color="auto" w:fill="FFFFFF"/>
        </w:rPr>
      </w:pPr>
      <w:r>
        <w:rPr>
          <w:rFonts w:hint="eastAsia" w:ascii="宋体" w:hAnsi="宋体" w:eastAsia="宋体" w:cs="Times New Roman"/>
          <w:b/>
          <w:bCs/>
          <w:kern w:val="0"/>
          <w:sz w:val="32"/>
          <w:szCs w:val="32"/>
          <w:shd w:val="clear" w:color="auto" w:fill="FFFFFF"/>
        </w:rPr>
        <w:t>第六章  电子化响应文件内容及格式</w:t>
      </w:r>
    </w:p>
    <w:p w14:paraId="2EEAE6D6">
      <w:pPr>
        <w:widowControl/>
        <w:shd w:val="clear" w:color="auto" w:fill="FFFFFF"/>
        <w:spacing w:line="360" w:lineRule="auto"/>
        <w:jc w:val="center"/>
        <w:rPr>
          <w:rFonts w:ascii="宋体" w:hAnsi="宋体" w:eastAsia="宋体" w:cs="Times New Roman"/>
          <w:b/>
          <w:bCs/>
          <w:kern w:val="0"/>
          <w:sz w:val="24"/>
          <w:szCs w:val="24"/>
          <w:shd w:val="clear" w:color="auto" w:fill="FFFFFF"/>
        </w:rPr>
      </w:pPr>
    </w:p>
    <w:p w14:paraId="3BB4ABD7">
      <w:pPr>
        <w:spacing w:line="360" w:lineRule="auto"/>
        <w:jc w:val="center"/>
        <w:rPr>
          <w:rFonts w:ascii="宋体" w:hAnsi="宋体" w:eastAsia="宋体" w:cs="Times New Roman"/>
          <w:sz w:val="44"/>
          <w:szCs w:val="44"/>
        </w:rPr>
      </w:pPr>
    </w:p>
    <w:p w14:paraId="62ED2CC9">
      <w:pPr>
        <w:jc w:val="center"/>
        <w:rPr>
          <w:rFonts w:hint="eastAsia" w:ascii="宋体" w:hAnsi="宋体" w:eastAsia="宋体" w:cs="Times New Roman"/>
          <w:b/>
          <w:bCs/>
          <w:sz w:val="40"/>
          <w:szCs w:val="44"/>
          <w:lang w:val="en-US" w:eastAsia="zh-CN"/>
        </w:rPr>
      </w:pPr>
      <w:r>
        <w:rPr>
          <w:rFonts w:hint="eastAsia" w:ascii="宋体" w:hAnsi="宋体" w:eastAsia="宋体" w:cs="Times New Roman"/>
          <w:b/>
          <w:bCs/>
          <w:sz w:val="40"/>
          <w:szCs w:val="44"/>
        </w:rPr>
        <w:t>项目</w:t>
      </w:r>
      <w:r>
        <w:rPr>
          <w:rFonts w:hint="eastAsia" w:ascii="宋体" w:hAnsi="宋体" w:eastAsia="宋体" w:cs="Times New Roman"/>
          <w:b/>
          <w:bCs/>
          <w:sz w:val="40"/>
          <w:szCs w:val="44"/>
          <w:lang w:val="en-US" w:eastAsia="zh-CN"/>
        </w:rPr>
        <w:t>名称</w:t>
      </w:r>
    </w:p>
    <w:p w14:paraId="7FD6BAE3">
      <w:pPr>
        <w:spacing w:line="480" w:lineRule="atLeast"/>
        <w:ind w:firstLine="567"/>
        <w:textAlignment w:val="baseline"/>
        <w:rPr>
          <w:rFonts w:ascii="宋体" w:hAnsi="宋体" w:eastAsia="宋体" w:cs="宋体"/>
          <w:sz w:val="28"/>
          <w:szCs w:val="28"/>
        </w:rPr>
      </w:pPr>
    </w:p>
    <w:p w14:paraId="0C2D71E4">
      <w:pPr>
        <w:spacing w:line="480" w:lineRule="atLeast"/>
        <w:ind w:firstLine="567"/>
        <w:textAlignment w:val="baseline"/>
        <w:rPr>
          <w:rFonts w:ascii="宋体" w:hAnsi="宋体" w:eastAsia="宋体" w:cs="宋体"/>
          <w:sz w:val="28"/>
          <w:szCs w:val="28"/>
        </w:rPr>
      </w:pPr>
    </w:p>
    <w:p w14:paraId="7074FB62">
      <w:pPr>
        <w:spacing w:line="360" w:lineRule="auto"/>
        <w:jc w:val="center"/>
        <w:rPr>
          <w:rFonts w:ascii="宋体" w:hAnsi="宋体" w:eastAsia="宋体" w:cs="Times New Roman"/>
          <w:b/>
          <w:bCs/>
          <w:sz w:val="72"/>
          <w:szCs w:val="72"/>
        </w:rPr>
      </w:pPr>
      <w:r>
        <w:rPr>
          <w:rFonts w:hint="eastAsia" w:ascii="宋体" w:hAnsi="宋体" w:eastAsia="宋体" w:cs="Times New Roman"/>
          <w:b/>
          <w:bCs/>
          <w:sz w:val="72"/>
          <w:szCs w:val="72"/>
        </w:rPr>
        <w:t>竞争性磋商响应文件</w:t>
      </w:r>
    </w:p>
    <w:p w14:paraId="5D35A449">
      <w:pPr>
        <w:widowControl/>
        <w:spacing w:line="360" w:lineRule="auto"/>
        <w:rPr>
          <w:rFonts w:ascii="宋体" w:hAnsi="宋体" w:eastAsia="宋体" w:cs="Times New Roman"/>
          <w:b/>
          <w:bCs/>
          <w:kern w:val="0"/>
          <w:sz w:val="30"/>
          <w:szCs w:val="30"/>
        </w:rPr>
      </w:pPr>
    </w:p>
    <w:p w14:paraId="40030627">
      <w:pPr>
        <w:jc w:val="center"/>
        <w:rPr>
          <w:rFonts w:ascii="宋体" w:hAnsi="宋体" w:eastAsia="宋体" w:cs="Times New Roman"/>
          <w:b/>
          <w:bCs/>
          <w:sz w:val="30"/>
          <w:szCs w:val="30"/>
        </w:rPr>
      </w:pPr>
      <w:r>
        <w:rPr>
          <w:rFonts w:hint="eastAsia" w:ascii="宋体" w:hAnsi="宋体" w:eastAsia="宋体" w:cs="Times New Roman"/>
          <w:b/>
          <w:bCs/>
          <w:kern w:val="0"/>
          <w:sz w:val="32"/>
          <w:szCs w:val="32"/>
        </w:rPr>
        <w:t>项目编号：</w:t>
      </w:r>
    </w:p>
    <w:p w14:paraId="24DED12F">
      <w:pPr>
        <w:widowControl/>
        <w:spacing w:line="360" w:lineRule="auto"/>
        <w:jc w:val="center"/>
        <w:rPr>
          <w:rFonts w:ascii="宋体" w:hAnsi="宋体" w:eastAsia="宋体" w:cs="Times New Roman"/>
          <w:b/>
          <w:bCs/>
          <w:sz w:val="28"/>
          <w:szCs w:val="28"/>
        </w:rPr>
      </w:pPr>
    </w:p>
    <w:p w14:paraId="2C8C9375">
      <w:pPr>
        <w:spacing w:line="480" w:lineRule="atLeast"/>
        <w:ind w:firstLine="567"/>
        <w:textAlignment w:val="baseline"/>
        <w:rPr>
          <w:rFonts w:ascii="宋体" w:hAnsi="宋体" w:eastAsia="宋体" w:cs="宋体"/>
          <w:sz w:val="28"/>
          <w:szCs w:val="28"/>
        </w:rPr>
      </w:pPr>
      <w:r>
        <w:rPr>
          <w:rFonts w:ascii="宋体" w:hAnsi="宋体" w:eastAsia="宋体" w:cs="宋体"/>
          <w:sz w:val="28"/>
          <w:szCs w:val="28"/>
        </w:rPr>
        <w:tab/>
      </w:r>
      <w:r>
        <w:rPr>
          <w:rFonts w:ascii="宋体" w:hAnsi="宋体" w:eastAsia="宋体" w:cs="宋体"/>
          <w:sz w:val="28"/>
          <w:szCs w:val="28"/>
        </w:rPr>
        <w:tab/>
      </w:r>
    </w:p>
    <w:p w14:paraId="1F920AC6">
      <w:pPr>
        <w:spacing w:line="360" w:lineRule="auto"/>
        <w:jc w:val="center"/>
        <w:rPr>
          <w:rFonts w:ascii="宋体" w:hAnsi="宋体" w:eastAsia="宋体" w:cs="Times New Roman"/>
          <w:sz w:val="32"/>
          <w:szCs w:val="32"/>
        </w:rPr>
      </w:pPr>
    </w:p>
    <w:p w14:paraId="3A4CC1A7">
      <w:pPr>
        <w:spacing w:after="120" w:line="360" w:lineRule="auto"/>
        <w:rPr>
          <w:rFonts w:ascii="宋体" w:hAnsi="宋体" w:eastAsia="宋体" w:cs="Times New Roman"/>
          <w:kern w:val="0"/>
          <w:sz w:val="28"/>
          <w:szCs w:val="28"/>
        </w:rPr>
      </w:pPr>
    </w:p>
    <w:p w14:paraId="3EA87F5D">
      <w:pPr>
        <w:spacing w:before="100" w:beforeAutospacing="1" w:after="120" w:line="360" w:lineRule="auto"/>
        <w:ind w:left="420" w:firstLine="420"/>
        <w:rPr>
          <w:rFonts w:ascii="宋体" w:hAnsi="宋体" w:eastAsia="宋体" w:cs="Times New Roman"/>
          <w:kern w:val="0"/>
          <w:sz w:val="20"/>
          <w:szCs w:val="21"/>
        </w:rPr>
      </w:pPr>
    </w:p>
    <w:p w14:paraId="55F3834F">
      <w:pPr>
        <w:spacing w:before="100" w:beforeAutospacing="1" w:after="120" w:line="360" w:lineRule="auto"/>
        <w:ind w:left="420" w:firstLine="420"/>
        <w:rPr>
          <w:rFonts w:ascii="宋体" w:hAnsi="宋体" w:eastAsia="宋体" w:cs="Times New Roman"/>
          <w:kern w:val="0"/>
          <w:sz w:val="20"/>
          <w:szCs w:val="21"/>
        </w:rPr>
      </w:pPr>
    </w:p>
    <w:p w14:paraId="115D95E8">
      <w:pPr>
        <w:spacing w:line="360" w:lineRule="auto"/>
        <w:rPr>
          <w:rFonts w:ascii="宋体" w:hAnsi="宋体" w:eastAsia="宋体" w:cs="Times New Roman"/>
          <w:kern w:val="0"/>
          <w:sz w:val="18"/>
          <w:szCs w:val="18"/>
          <w:shd w:val="clear" w:color="auto" w:fill="FFFFFF"/>
        </w:rPr>
      </w:pPr>
    </w:p>
    <w:p w14:paraId="329DA293">
      <w:pPr>
        <w:spacing w:line="360" w:lineRule="auto"/>
        <w:ind w:firstLine="420"/>
        <w:rPr>
          <w:rFonts w:ascii="宋体" w:hAnsi="宋体" w:eastAsia="宋体" w:cs="宋体"/>
          <w:b/>
          <w:kern w:val="1"/>
          <w:sz w:val="24"/>
          <w:szCs w:val="21"/>
        </w:rPr>
      </w:pPr>
    </w:p>
    <w:p w14:paraId="5B61DF13">
      <w:pPr>
        <w:widowControl/>
        <w:shd w:val="clear" w:color="auto" w:fill="FFFFFF"/>
        <w:spacing w:line="360" w:lineRule="auto"/>
        <w:ind w:firstLine="1701" w:firstLineChars="605"/>
        <w:jc w:val="left"/>
        <w:rPr>
          <w:rFonts w:ascii="宋体" w:hAnsi="宋体" w:eastAsia="宋体" w:cs="Times New Roman"/>
          <w:kern w:val="0"/>
          <w:sz w:val="28"/>
          <w:szCs w:val="28"/>
          <w:shd w:val="clear" w:color="auto" w:fill="FFFFFF"/>
        </w:rPr>
      </w:pPr>
      <w:r>
        <w:rPr>
          <w:rFonts w:hint="eastAsia" w:ascii="宋体" w:hAnsi="宋体" w:eastAsia="宋体" w:cs="Times New Roman"/>
          <w:b/>
          <w:bCs/>
          <w:kern w:val="0"/>
          <w:sz w:val="28"/>
          <w:szCs w:val="28"/>
          <w:shd w:val="clear" w:color="auto" w:fill="FFFFFF"/>
        </w:rPr>
        <w:t>磋商响应供应商名称：（盖单位公章）</w:t>
      </w:r>
    </w:p>
    <w:p w14:paraId="1ABDC4E5">
      <w:pPr>
        <w:widowControl/>
        <w:shd w:val="clear" w:color="auto" w:fill="FFFFFF"/>
        <w:spacing w:line="360" w:lineRule="auto"/>
        <w:ind w:firstLine="1701" w:firstLineChars="605"/>
        <w:jc w:val="left"/>
        <w:rPr>
          <w:rFonts w:ascii="宋体" w:hAnsi="宋体" w:eastAsia="宋体" w:cs="Times New Roman"/>
          <w:b/>
          <w:bCs/>
          <w:kern w:val="0"/>
          <w:sz w:val="28"/>
          <w:szCs w:val="28"/>
          <w:shd w:val="clear" w:color="auto" w:fill="FFFFFF"/>
        </w:rPr>
      </w:pPr>
      <w:r>
        <w:rPr>
          <w:rFonts w:hint="eastAsia" w:ascii="宋体" w:hAnsi="宋体" w:eastAsia="宋体" w:cs="Times New Roman"/>
          <w:b/>
          <w:bCs/>
          <w:kern w:val="0"/>
          <w:sz w:val="28"/>
          <w:szCs w:val="28"/>
          <w:shd w:val="clear" w:color="auto" w:fill="FFFFFF"/>
        </w:rPr>
        <w:t>法定代表人：（签字或盖章）</w:t>
      </w:r>
    </w:p>
    <w:p w14:paraId="59D8FF3E">
      <w:pPr>
        <w:widowControl/>
        <w:shd w:val="clear" w:color="auto" w:fill="FFFFFF"/>
        <w:spacing w:line="360" w:lineRule="auto"/>
        <w:ind w:firstLine="1701" w:firstLineChars="605"/>
        <w:jc w:val="left"/>
        <w:rPr>
          <w:rFonts w:ascii="宋体" w:hAnsi="宋体" w:eastAsia="宋体" w:cs="Times New Roman"/>
          <w:b/>
          <w:bCs/>
          <w:kern w:val="0"/>
          <w:sz w:val="28"/>
          <w:szCs w:val="28"/>
          <w:shd w:val="clear" w:color="auto" w:fill="FFFFFF"/>
        </w:rPr>
      </w:pPr>
      <w:r>
        <w:rPr>
          <w:rFonts w:hint="eastAsia" w:ascii="宋体" w:hAnsi="宋体" w:eastAsia="宋体" w:cs="Times New Roman"/>
          <w:b/>
          <w:bCs/>
          <w:kern w:val="0"/>
          <w:sz w:val="28"/>
          <w:szCs w:val="28"/>
          <w:shd w:val="clear" w:color="auto" w:fill="FFFFFF"/>
        </w:rPr>
        <w:t>日      期：</w:t>
      </w:r>
      <w:bookmarkStart w:id="6" w:name="_Toc169921409"/>
      <w:bookmarkEnd w:id="6"/>
      <w:bookmarkStart w:id="7" w:name="_Toc171073044"/>
      <w:bookmarkEnd w:id="7"/>
      <w:bookmarkStart w:id="8" w:name="_Toc171073209"/>
      <w:bookmarkEnd w:id="8"/>
      <w:bookmarkStart w:id="9" w:name="_Toc223432389"/>
      <w:bookmarkEnd w:id="9"/>
    </w:p>
    <w:p w14:paraId="7CF359B0">
      <w:pPr>
        <w:spacing w:line="480" w:lineRule="atLeast"/>
        <w:ind w:firstLine="567"/>
        <w:textAlignment w:val="baseline"/>
        <w:rPr>
          <w:rFonts w:ascii="宋体" w:hAnsi="宋体" w:eastAsia="宋体" w:cs="宋体"/>
          <w:sz w:val="28"/>
          <w:szCs w:val="28"/>
        </w:rPr>
      </w:pPr>
    </w:p>
    <w:p w14:paraId="7742BED5">
      <w:pPr>
        <w:widowControl/>
        <w:spacing w:line="360" w:lineRule="auto"/>
        <w:ind w:firstLine="480"/>
        <w:jc w:val="center"/>
        <w:rPr>
          <w:rFonts w:hint="eastAsia" w:ascii="宋体" w:hAnsi="宋体" w:eastAsia="宋体" w:cs="Times New Roman"/>
          <w:kern w:val="0"/>
          <w:sz w:val="48"/>
          <w:szCs w:val="48"/>
        </w:rPr>
      </w:pPr>
    </w:p>
    <w:p w14:paraId="34C6BFBC">
      <w:pPr>
        <w:widowControl/>
        <w:spacing w:line="360" w:lineRule="auto"/>
        <w:ind w:firstLine="480"/>
        <w:jc w:val="center"/>
        <w:rPr>
          <w:rFonts w:ascii="宋体" w:hAnsi="宋体" w:eastAsia="宋体" w:cs="Times New Roman"/>
          <w:kern w:val="0"/>
          <w:sz w:val="48"/>
          <w:szCs w:val="48"/>
        </w:rPr>
      </w:pPr>
      <w:r>
        <w:rPr>
          <w:rFonts w:hint="eastAsia" w:ascii="宋体" w:hAnsi="宋体" w:eastAsia="宋体" w:cs="Times New Roman"/>
          <w:kern w:val="0"/>
          <w:sz w:val="48"/>
          <w:szCs w:val="48"/>
        </w:rPr>
        <w:t>目录</w:t>
      </w:r>
    </w:p>
    <w:p w14:paraId="3AA2F4C0">
      <w:pPr>
        <w:widowControl/>
        <w:spacing w:line="360" w:lineRule="auto"/>
        <w:jc w:val="left"/>
        <w:rPr>
          <w:rFonts w:ascii="宋体" w:hAnsi="宋体" w:eastAsia="宋体" w:cs="Times New Roman"/>
          <w:kern w:val="0"/>
          <w:sz w:val="24"/>
          <w:szCs w:val="24"/>
        </w:rPr>
      </w:pPr>
    </w:p>
    <w:p w14:paraId="32E3E1DF">
      <w:pPr>
        <w:spacing w:line="360" w:lineRule="auto"/>
        <w:ind w:firstLine="424" w:firstLineChars="177"/>
        <w:rPr>
          <w:rFonts w:ascii="宋体" w:hAnsi="宋体" w:eastAsia="宋体" w:cs="Times New Roman"/>
          <w:sz w:val="24"/>
          <w:szCs w:val="24"/>
        </w:rPr>
      </w:pPr>
      <w:r>
        <w:rPr>
          <w:rFonts w:hint="eastAsia" w:ascii="宋体" w:hAnsi="宋体" w:eastAsia="宋体" w:cs="Times New Roman"/>
          <w:sz w:val="24"/>
          <w:szCs w:val="24"/>
        </w:rPr>
        <w:t>一、综合标</w:t>
      </w:r>
    </w:p>
    <w:p w14:paraId="1956CE9D">
      <w:pPr>
        <w:spacing w:line="360" w:lineRule="auto"/>
        <w:ind w:firstLine="424" w:firstLineChars="177"/>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、法定代表人身份证明书</w:t>
      </w:r>
    </w:p>
    <w:p w14:paraId="0DD3877B">
      <w:pPr>
        <w:spacing w:line="360" w:lineRule="auto"/>
        <w:ind w:firstLine="424" w:firstLineChars="177"/>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、磋商响应函</w:t>
      </w:r>
    </w:p>
    <w:p w14:paraId="35242CA9">
      <w:pPr>
        <w:spacing w:line="360" w:lineRule="auto"/>
        <w:ind w:firstLine="424" w:firstLineChars="177"/>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、首次报价一览表</w:t>
      </w:r>
    </w:p>
    <w:p w14:paraId="24BAB948">
      <w:pPr>
        <w:spacing w:line="360" w:lineRule="auto"/>
        <w:ind w:firstLine="424" w:firstLineChars="177"/>
        <w:rPr>
          <w:rFonts w:ascii="宋体" w:hAnsi="宋体" w:eastAsia="宋体" w:cs="Times New Roman"/>
          <w:sz w:val="24"/>
          <w:szCs w:val="24"/>
        </w:rPr>
      </w:pPr>
      <w:r>
        <w:rPr>
          <w:rFonts w:hint="eastAsia" w:ascii="宋体" w:hAnsi="宋体" w:eastAsia="宋体" w:cs="Times New Roman"/>
          <w:sz w:val="24"/>
          <w:szCs w:val="24"/>
        </w:rPr>
        <w:t>4、资格审查资料</w:t>
      </w:r>
    </w:p>
    <w:p w14:paraId="31BBFB0A">
      <w:pPr>
        <w:spacing w:line="360" w:lineRule="auto"/>
        <w:ind w:firstLine="424" w:firstLineChars="177"/>
        <w:rPr>
          <w:rFonts w:ascii="宋体" w:hAnsi="宋体" w:eastAsia="宋体" w:cs="Times New Roman"/>
          <w:sz w:val="24"/>
          <w:szCs w:val="24"/>
        </w:rPr>
      </w:pPr>
      <w:r>
        <w:rPr>
          <w:rFonts w:hint="eastAsia" w:ascii="宋体" w:hAnsi="宋体" w:eastAsia="宋体" w:cs="Times New Roman"/>
          <w:sz w:val="24"/>
          <w:szCs w:val="24"/>
        </w:rPr>
        <w:t>5、中小企业声明函</w:t>
      </w:r>
    </w:p>
    <w:p w14:paraId="7B99B0CD">
      <w:pPr>
        <w:spacing w:line="360" w:lineRule="auto"/>
        <w:ind w:firstLine="424" w:firstLineChars="177"/>
        <w:rPr>
          <w:rFonts w:ascii="宋体" w:hAnsi="宋体" w:eastAsia="宋体" w:cs="Times New Roman"/>
          <w:sz w:val="24"/>
          <w:szCs w:val="24"/>
        </w:rPr>
      </w:pPr>
      <w:r>
        <w:rPr>
          <w:rFonts w:hint="eastAsia" w:ascii="宋体" w:hAnsi="宋体" w:eastAsia="宋体" w:cs="Times New Roman"/>
          <w:sz w:val="24"/>
          <w:szCs w:val="24"/>
        </w:rPr>
        <w:t>6、残疾人福利性单位声明函</w:t>
      </w:r>
    </w:p>
    <w:p w14:paraId="581113F4">
      <w:pPr>
        <w:spacing w:line="360" w:lineRule="auto"/>
        <w:ind w:firstLine="424" w:firstLineChars="177"/>
        <w:rPr>
          <w:rFonts w:ascii="宋体" w:hAnsi="宋体" w:eastAsia="宋体" w:cs="Times New Roman"/>
          <w:sz w:val="24"/>
          <w:szCs w:val="24"/>
        </w:rPr>
      </w:pPr>
      <w:r>
        <w:rPr>
          <w:rFonts w:ascii="宋体" w:hAnsi="宋体" w:eastAsia="宋体" w:cs="Times New Roman"/>
          <w:sz w:val="24"/>
          <w:szCs w:val="24"/>
        </w:rPr>
        <w:t>7</w:t>
      </w:r>
      <w:r>
        <w:rPr>
          <w:rFonts w:hint="eastAsia" w:ascii="宋体" w:hAnsi="宋体" w:eastAsia="宋体" w:cs="Times New Roman"/>
          <w:sz w:val="24"/>
          <w:szCs w:val="24"/>
        </w:rPr>
        <w:t>、监狱企业证明文件</w:t>
      </w:r>
    </w:p>
    <w:p w14:paraId="39A31BEB">
      <w:pPr>
        <w:spacing w:line="360" w:lineRule="auto"/>
        <w:ind w:firstLine="424" w:firstLineChars="177"/>
        <w:rPr>
          <w:rFonts w:ascii="宋体" w:hAnsi="宋体" w:eastAsia="宋体" w:cs="Times New Roman"/>
          <w:sz w:val="24"/>
          <w:szCs w:val="24"/>
        </w:rPr>
      </w:pPr>
      <w:r>
        <w:rPr>
          <w:rFonts w:ascii="宋体" w:hAnsi="宋体" w:eastAsia="宋体" w:cs="Times New Roman"/>
          <w:sz w:val="24"/>
          <w:szCs w:val="24"/>
        </w:rPr>
        <w:t>8</w:t>
      </w:r>
      <w:r>
        <w:rPr>
          <w:rFonts w:hint="eastAsia" w:ascii="宋体" w:hAnsi="宋体" w:eastAsia="宋体" w:cs="Times New Roman"/>
          <w:sz w:val="24"/>
          <w:szCs w:val="24"/>
        </w:rPr>
        <w:t>、人员培训及售后服务承诺</w:t>
      </w:r>
    </w:p>
    <w:p w14:paraId="061ABC97">
      <w:pPr>
        <w:spacing w:line="360" w:lineRule="auto"/>
        <w:ind w:firstLine="424" w:firstLineChars="177"/>
        <w:rPr>
          <w:rFonts w:ascii="宋体" w:hAnsi="宋体" w:eastAsia="宋体" w:cs="Times New Roman"/>
          <w:sz w:val="24"/>
          <w:szCs w:val="24"/>
        </w:rPr>
      </w:pPr>
      <w:r>
        <w:rPr>
          <w:rFonts w:hint="eastAsia" w:ascii="宋体" w:hAnsi="宋体" w:eastAsia="宋体" w:cs="Times New Roman"/>
          <w:sz w:val="24"/>
          <w:szCs w:val="24"/>
        </w:rPr>
        <w:t>二、技术标</w:t>
      </w:r>
    </w:p>
    <w:p w14:paraId="2753D4F7">
      <w:pPr>
        <w:spacing w:line="360" w:lineRule="auto"/>
        <w:ind w:firstLine="424" w:firstLineChars="177"/>
        <w:rPr>
          <w:rFonts w:ascii="宋体" w:hAnsi="宋体" w:eastAsia="宋体" w:cs="Times New Roman"/>
          <w:sz w:val="24"/>
          <w:szCs w:val="24"/>
        </w:rPr>
      </w:pPr>
      <w:r>
        <w:rPr>
          <w:rFonts w:ascii="宋体" w:hAnsi="宋体" w:eastAsia="宋体" w:cs="Times New Roman"/>
          <w:sz w:val="24"/>
          <w:szCs w:val="24"/>
        </w:rPr>
        <w:t>9</w:t>
      </w:r>
      <w:r>
        <w:rPr>
          <w:rFonts w:hint="eastAsia" w:ascii="宋体" w:hAnsi="宋体" w:eastAsia="宋体" w:cs="Times New Roman"/>
          <w:sz w:val="24"/>
          <w:szCs w:val="24"/>
        </w:rPr>
        <w:t>、磋商设备合格文件</w:t>
      </w:r>
    </w:p>
    <w:p w14:paraId="545902B3">
      <w:pPr>
        <w:spacing w:line="360" w:lineRule="auto"/>
        <w:ind w:firstLine="424" w:firstLineChars="177"/>
        <w:rPr>
          <w:rFonts w:ascii="宋体" w:hAnsi="宋体" w:eastAsia="宋体" w:cs="Times New Roman"/>
          <w:sz w:val="24"/>
          <w:szCs w:val="24"/>
        </w:rPr>
      </w:pPr>
      <w:r>
        <w:rPr>
          <w:rFonts w:ascii="宋体" w:hAnsi="宋体" w:eastAsia="宋体" w:cs="Times New Roman"/>
          <w:sz w:val="24"/>
          <w:szCs w:val="24"/>
        </w:rPr>
        <w:t>10</w:t>
      </w:r>
      <w:r>
        <w:rPr>
          <w:rFonts w:hint="eastAsia" w:ascii="宋体" w:hAnsi="宋体" w:eastAsia="宋体" w:cs="Times New Roman"/>
          <w:sz w:val="24"/>
          <w:szCs w:val="24"/>
        </w:rPr>
        <w:t>、磋商报价表：</w:t>
      </w:r>
    </w:p>
    <w:p w14:paraId="01D2A419">
      <w:pPr>
        <w:spacing w:line="360" w:lineRule="auto"/>
        <w:ind w:firstLine="424" w:firstLineChars="177"/>
        <w:rPr>
          <w:rFonts w:ascii="宋体" w:hAnsi="宋体" w:eastAsia="宋体" w:cs="Times New Roman"/>
          <w:sz w:val="24"/>
          <w:szCs w:val="24"/>
        </w:rPr>
      </w:pPr>
      <w:r>
        <w:rPr>
          <w:rFonts w:hint="eastAsia" w:ascii="宋体" w:hAnsi="宋体" w:eastAsia="宋体" w:cs="Times New Roman"/>
          <w:sz w:val="24"/>
          <w:szCs w:val="24"/>
        </w:rPr>
        <w:t>1）磋商报价明细表；</w:t>
      </w:r>
    </w:p>
    <w:p w14:paraId="197F6AAD">
      <w:pPr>
        <w:spacing w:line="360" w:lineRule="auto"/>
        <w:ind w:firstLine="424" w:firstLineChars="177"/>
        <w:rPr>
          <w:rFonts w:ascii="宋体" w:hAnsi="宋体" w:eastAsia="宋体" w:cs="Times New Roman"/>
          <w:sz w:val="24"/>
          <w:szCs w:val="24"/>
        </w:rPr>
      </w:pPr>
      <w:r>
        <w:rPr>
          <w:rFonts w:hint="eastAsia" w:ascii="宋体" w:hAnsi="宋体" w:eastAsia="宋体" w:cs="Times New Roman"/>
          <w:sz w:val="24"/>
          <w:szCs w:val="24"/>
        </w:rPr>
        <w:t>2）技术参数偏离表；</w:t>
      </w:r>
    </w:p>
    <w:p w14:paraId="718CA2BB">
      <w:pPr>
        <w:spacing w:line="360" w:lineRule="auto"/>
        <w:ind w:firstLine="424" w:firstLineChars="177"/>
        <w:rPr>
          <w:rFonts w:ascii="宋体" w:hAnsi="宋体" w:eastAsia="宋体" w:cs="Times New Roman"/>
          <w:sz w:val="24"/>
          <w:szCs w:val="24"/>
        </w:rPr>
      </w:pPr>
      <w:r>
        <w:rPr>
          <w:rFonts w:hint="eastAsia" w:ascii="宋体" w:hAnsi="宋体" w:eastAsia="宋体" w:cs="Times New Roman"/>
          <w:sz w:val="24"/>
          <w:szCs w:val="24"/>
        </w:rPr>
        <w:t>3）商务响应表；</w:t>
      </w:r>
    </w:p>
    <w:p w14:paraId="6B458A0F">
      <w:pPr>
        <w:spacing w:line="360" w:lineRule="auto"/>
        <w:ind w:firstLine="424" w:firstLineChars="177"/>
        <w:rPr>
          <w:rFonts w:ascii="宋体" w:hAnsi="宋体" w:eastAsia="宋体" w:cs="Times New Roman"/>
          <w:sz w:val="24"/>
          <w:szCs w:val="24"/>
        </w:rPr>
      </w:pPr>
      <w:r>
        <w:rPr>
          <w:rFonts w:ascii="宋体" w:hAnsi="宋体" w:eastAsia="宋体" w:cs="Times New Roman"/>
          <w:sz w:val="24"/>
          <w:szCs w:val="24"/>
        </w:rPr>
        <w:t>11</w:t>
      </w:r>
      <w:r>
        <w:rPr>
          <w:rFonts w:hint="eastAsia" w:ascii="宋体" w:hAnsi="宋体" w:eastAsia="宋体" w:cs="Times New Roman"/>
          <w:sz w:val="24"/>
          <w:szCs w:val="24"/>
        </w:rPr>
        <w:t>、磋商响应供应商可提交的其他磋商资料</w:t>
      </w:r>
    </w:p>
    <w:p w14:paraId="11F57ACE">
      <w:pPr>
        <w:spacing w:line="360" w:lineRule="auto"/>
        <w:jc w:val="center"/>
        <w:rPr>
          <w:rFonts w:ascii="宋体" w:hAnsi="宋体" w:eastAsia="宋体" w:cs="Times New Roman"/>
          <w:sz w:val="24"/>
          <w:szCs w:val="24"/>
        </w:rPr>
      </w:pPr>
      <w:r>
        <w:rPr>
          <w:rFonts w:ascii="宋体" w:hAnsi="宋体" w:eastAsia="宋体" w:cs="Times New Roman"/>
          <w:b/>
          <w:bCs/>
          <w:sz w:val="32"/>
          <w:szCs w:val="32"/>
        </w:rPr>
        <w:br w:type="page"/>
      </w:r>
      <w:r>
        <w:rPr>
          <w:rFonts w:ascii="宋体" w:hAnsi="宋体" w:eastAsia="宋体" w:cs="Times New Roman"/>
          <w:b/>
          <w:bCs/>
          <w:sz w:val="32"/>
          <w:szCs w:val="32"/>
        </w:rPr>
        <w:t>1</w:t>
      </w:r>
      <w:r>
        <w:rPr>
          <w:rFonts w:hint="eastAsia" w:ascii="宋体" w:hAnsi="宋体" w:eastAsia="宋体" w:cs="Times New Roman"/>
          <w:b/>
          <w:bCs/>
          <w:sz w:val="32"/>
          <w:szCs w:val="32"/>
        </w:rPr>
        <w:t>、法定代表人身份证明书</w:t>
      </w:r>
    </w:p>
    <w:p w14:paraId="0D9AB727">
      <w:pPr>
        <w:spacing w:line="440" w:lineRule="exact"/>
        <w:rPr>
          <w:rFonts w:ascii="宋体" w:hAnsi="宋体" w:eastAsia="宋体" w:cs="Times New Roman"/>
          <w:b/>
          <w:bCs/>
          <w:szCs w:val="21"/>
        </w:rPr>
      </w:pPr>
    </w:p>
    <w:p w14:paraId="16417393">
      <w:pPr>
        <w:spacing w:line="480" w:lineRule="auto"/>
        <w:ind w:firstLine="612"/>
        <w:rPr>
          <w:rFonts w:ascii="宋体" w:hAnsi="宋体" w:eastAsia="宋体" w:cs="Times New Roman"/>
          <w:sz w:val="24"/>
          <w:szCs w:val="24"/>
        </w:rPr>
      </w:pPr>
      <w:r>
        <w:rPr>
          <w:rFonts w:hint="eastAsia" w:ascii="宋体" w:hAnsi="宋体" w:eastAsia="宋体" w:cs="Times New Roman"/>
          <w:sz w:val="24"/>
          <w:szCs w:val="24"/>
        </w:rPr>
        <w:t>单位名称：</w:t>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p>
    <w:p w14:paraId="7D125FA7">
      <w:pPr>
        <w:spacing w:line="480" w:lineRule="auto"/>
        <w:ind w:firstLine="610"/>
        <w:rPr>
          <w:rFonts w:ascii="宋体" w:hAnsi="宋体" w:eastAsia="宋体" w:cs="Times New Roman"/>
          <w:sz w:val="24"/>
          <w:szCs w:val="24"/>
          <w:u w:val="single"/>
        </w:rPr>
      </w:pPr>
      <w:r>
        <w:rPr>
          <w:rFonts w:hint="eastAsia" w:ascii="宋体" w:hAnsi="宋体" w:eastAsia="宋体" w:cs="Times New Roman"/>
          <w:sz w:val="24"/>
          <w:szCs w:val="24"/>
        </w:rPr>
        <w:t>单位性质：</w:t>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p>
    <w:p w14:paraId="2B905436">
      <w:pPr>
        <w:spacing w:line="480" w:lineRule="auto"/>
        <w:ind w:firstLine="610"/>
        <w:rPr>
          <w:rFonts w:ascii="宋体" w:hAnsi="宋体" w:eastAsia="宋体" w:cs="Times New Roman"/>
          <w:sz w:val="24"/>
          <w:szCs w:val="24"/>
          <w:u w:val="single"/>
        </w:rPr>
      </w:pPr>
      <w:r>
        <w:rPr>
          <w:rFonts w:hint="eastAsia" w:ascii="宋体" w:hAnsi="宋体" w:eastAsia="宋体" w:cs="Times New Roman"/>
          <w:sz w:val="24"/>
          <w:szCs w:val="24"/>
        </w:rPr>
        <w:t>地址：</w:t>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r>
        <w:rPr>
          <w:rFonts w:ascii="宋体" w:hAnsi="宋体" w:eastAsia="宋体" w:cs="Times New Roman"/>
          <w:sz w:val="24"/>
          <w:szCs w:val="24"/>
          <w:u w:val="single"/>
        </w:rPr>
        <w:tab/>
      </w:r>
    </w:p>
    <w:p w14:paraId="29BA54CC">
      <w:pPr>
        <w:spacing w:line="480" w:lineRule="auto"/>
        <w:ind w:firstLine="610"/>
        <w:rPr>
          <w:rFonts w:ascii="宋体" w:hAnsi="宋体" w:eastAsia="宋体" w:cs="Times New Roman"/>
          <w:sz w:val="24"/>
          <w:szCs w:val="24"/>
        </w:rPr>
      </w:pPr>
      <w:r>
        <w:rPr>
          <w:rFonts w:hint="eastAsia" w:ascii="宋体" w:hAnsi="宋体" w:eastAsia="宋体" w:cs="Times New Roman"/>
          <w:sz w:val="24"/>
          <w:szCs w:val="24"/>
        </w:rPr>
        <w:t>成立时间：     年    月    日</w:t>
      </w:r>
    </w:p>
    <w:p w14:paraId="4CAB90F5">
      <w:pPr>
        <w:spacing w:line="480" w:lineRule="auto"/>
        <w:ind w:firstLine="610"/>
        <w:rPr>
          <w:rFonts w:ascii="宋体" w:hAnsi="宋体" w:eastAsia="宋体" w:cs="Times New Roman"/>
          <w:sz w:val="24"/>
          <w:szCs w:val="24"/>
          <w:u w:val="single"/>
        </w:rPr>
      </w:pPr>
      <w:r>
        <w:rPr>
          <w:rFonts w:hint="eastAsia" w:ascii="宋体" w:hAnsi="宋体" w:eastAsia="宋体" w:cs="Times New Roman"/>
          <w:sz w:val="24"/>
          <w:szCs w:val="24"/>
        </w:rPr>
        <w:t>经营期限：</w:t>
      </w:r>
      <w:r>
        <w:rPr>
          <w:rFonts w:ascii="宋体" w:hAnsi="宋体" w:eastAsia="宋体" w:cs="Times New Roman"/>
          <w:sz w:val="24"/>
          <w:szCs w:val="24"/>
          <w:u w:val="single"/>
        </w:rPr>
        <w:tab/>
      </w:r>
      <w:r>
        <w:rPr>
          <w:rFonts w:ascii="宋体" w:hAnsi="宋体" w:eastAsia="宋体" w:cs="Times New Roman"/>
          <w:sz w:val="24"/>
          <w:szCs w:val="24"/>
          <w:u w:val="single"/>
        </w:rPr>
        <w:tab/>
      </w:r>
    </w:p>
    <w:p w14:paraId="69D00AD3">
      <w:pPr>
        <w:spacing w:line="480" w:lineRule="auto"/>
        <w:ind w:firstLine="610"/>
        <w:rPr>
          <w:rFonts w:ascii="宋体" w:hAnsi="宋体" w:eastAsia="宋体" w:cs="Times New Roman"/>
          <w:sz w:val="24"/>
          <w:szCs w:val="24"/>
          <w:u w:val="single"/>
        </w:rPr>
      </w:pPr>
      <w:r>
        <w:rPr>
          <w:rFonts w:hint="eastAsia" w:ascii="宋体" w:hAnsi="宋体" w:eastAsia="宋体" w:cs="Times New Roman"/>
          <w:sz w:val="24"/>
          <w:szCs w:val="24"/>
        </w:rPr>
        <w:t>姓名：</w:t>
      </w:r>
      <w:r>
        <w:rPr>
          <w:rFonts w:ascii="宋体" w:hAnsi="宋体" w:eastAsia="宋体" w:cs="Times New Roman"/>
          <w:sz w:val="24"/>
          <w:szCs w:val="24"/>
          <w:u w:val="single"/>
        </w:rPr>
        <w:tab/>
      </w:r>
      <w:r>
        <w:rPr>
          <w:rFonts w:ascii="宋体" w:hAnsi="宋体" w:eastAsia="宋体" w:cs="Times New Roman"/>
          <w:sz w:val="24"/>
          <w:szCs w:val="24"/>
          <w:u w:val="single"/>
        </w:rPr>
        <w:tab/>
      </w:r>
      <w:r>
        <w:rPr>
          <w:rFonts w:hint="eastAsia" w:ascii="宋体" w:hAnsi="宋体" w:eastAsia="宋体" w:cs="Times New Roman"/>
          <w:sz w:val="24"/>
          <w:szCs w:val="24"/>
        </w:rPr>
        <w:t>性别：</w:t>
      </w:r>
      <w:r>
        <w:rPr>
          <w:rFonts w:ascii="宋体" w:hAnsi="宋体" w:eastAsia="宋体" w:cs="Times New Roman"/>
          <w:sz w:val="24"/>
          <w:szCs w:val="24"/>
          <w:u w:val="single"/>
        </w:rPr>
        <w:tab/>
      </w:r>
      <w:r>
        <w:rPr>
          <w:rFonts w:ascii="宋体" w:hAnsi="宋体" w:eastAsia="宋体" w:cs="Times New Roman"/>
          <w:sz w:val="24"/>
          <w:szCs w:val="24"/>
          <w:u w:val="single"/>
        </w:rPr>
        <w:tab/>
      </w:r>
      <w:r>
        <w:rPr>
          <w:rFonts w:hint="eastAsia" w:ascii="宋体" w:hAnsi="宋体" w:eastAsia="宋体" w:cs="Times New Roman"/>
          <w:sz w:val="24"/>
          <w:szCs w:val="24"/>
        </w:rPr>
        <w:t>年龄：</w:t>
      </w:r>
      <w:r>
        <w:rPr>
          <w:rFonts w:ascii="宋体" w:hAnsi="宋体" w:eastAsia="宋体" w:cs="Times New Roman"/>
          <w:sz w:val="24"/>
          <w:szCs w:val="24"/>
          <w:u w:val="single"/>
        </w:rPr>
        <w:tab/>
      </w:r>
      <w:r>
        <w:rPr>
          <w:rFonts w:ascii="宋体" w:hAnsi="宋体" w:eastAsia="宋体" w:cs="Times New Roman"/>
          <w:sz w:val="24"/>
          <w:szCs w:val="24"/>
          <w:u w:val="single"/>
        </w:rPr>
        <w:tab/>
      </w:r>
      <w:r>
        <w:rPr>
          <w:rFonts w:hint="eastAsia" w:ascii="宋体" w:hAnsi="宋体" w:eastAsia="宋体" w:cs="Times New Roman"/>
          <w:sz w:val="24"/>
          <w:szCs w:val="24"/>
        </w:rPr>
        <w:t>职务：</w:t>
      </w:r>
      <w:r>
        <w:rPr>
          <w:rFonts w:ascii="宋体" w:hAnsi="宋体" w:eastAsia="宋体" w:cs="Times New Roman"/>
          <w:sz w:val="24"/>
          <w:szCs w:val="24"/>
          <w:u w:val="single"/>
        </w:rPr>
        <w:tab/>
      </w:r>
      <w:r>
        <w:rPr>
          <w:rFonts w:ascii="宋体" w:hAnsi="宋体" w:eastAsia="宋体" w:cs="Times New Roman"/>
          <w:sz w:val="24"/>
          <w:szCs w:val="24"/>
          <w:u w:val="single"/>
        </w:rPr>
        <w:tab/>
      </w:r>
    </w:p>
    <w:p w14:paraId="2E2C5321">
      <w:pPr>
        <w:spacing w:line="480" w:lineRule="auto"/>
        <w:ind w:firstLine="610"/>
        <w:rPr>
          <w:rFonts w:ascii="宋体" w:hAnsi="宋体" w:eastAsia="宋体" w:cs="Times New Roman"/>
          <w:sz w:val="24"/>
          <w:szCs w:val="24"/>
        </w:rPr>
      </w:pPr>
      <w:r>
        <w:rPr>
          <w:rFonts w:hint="eastAsia" w:ascii="宋体" w:hAnsi="宋体" w:eastAsia="宋体" w:cs="Times New Roman"/>
          <w:sz w:val="24"/>
          <w:szCs w:val="24"/>
        </w:rPr>
        <w:t>系</w:t>
      </w:r>
      <w:r>
        <w:rPr>
          <w:rFonts w:hint="eastAsia" w:ascii="宋体" w:hAnsi="宋体" w:eastAsia="宋体" w:cs="Times New Roman"/>
          <w:sz w:val="24"/>
          <w:szCs w:val="24"/>
          <w:u w:val="single"/>
        </w:rPr>
        <w:t>（磋商响应供应商单位名称）</w:t>
      </w:r>
      <w:r>
        <w:rPr>
          <w:rFonts w:hint="eastAsia" w:ascii="宋体" w:hAnsi="宋体" w:eastAsia="宋体" w:cs="Times New Roman"/>
          <w:sz w:val="24"/>
          <w:szCs w:val="24"/>
        </w:rPr>
        <w:t>的法定代表人。</w:t>
      </w:r>
    </w:p>
    <w:p w14:paraId="572F43FD">
      <w:pPr>
        <w:spacing w:line="480" w:lineRule="auto"/>
        <w:ind w:firstLine="610"/>
        <w:rPr>
          <w:rFonts w:ascii="宋体" w:hAnsi="宋体" w:eastAsia="宋体" w:cs="Times New Roman"/>
          <w:sz w:val="24"/>
          <w:szCs w:val="24"/>
        </w:rPr>
      </w:pPr>
    </w:p>
    <w:p w14:paraId="58383338">
      <w:pPr>
        <w:spacing w:line="480" w:lineRule="auto"/>
        <w:ind w:firstLine="1089" w:firstLineChars="454"/>
        <w:rPr>
          <w:rFonts w:ascii="宋体" w:hAnsi="宋体" w:eastAsia="宋体" w:cs="Times New Roman"/>
          <w:sz w:val="24"/>
          <w:szCs w:val="24"/>
        </w:rPr>
      </w:pPr>
      <w:r>
        <w:rPr>
          <w:rFonts w:hint="eastAsia" w:ascii="宋体" w:hAnsi="宋体" w:eastAsia="宋体" w:cs="Times New Roman"/>
          <w:sz w:val="24"/>
          <w:szCs w:val="24"/>
        </w:rPr>
        <w:t>特此证明。</w:t>
      </w:r>
    </w:p>
    <w:p w14:paraId="4F2494D8">
      <w:pPr>
        <w:spacing w:line="480" w:lineRule="auto"/>
        <w:ind w:firstLine="5040" w:firstLineChars="2100"/>
        <w:rPr>
          <w:rFonts w:ascii="宋体" w:hAnsi="宋体" w:eastAsia="宋体" w:cs="Times New Roman"/>
          <w:sz w:val="24"/>
          <w:szCs w:val="24"/>
        </w:rPr>
      </w:pPr>
    </w:p>
    <w:p w14:paraId="18B6C972">
      <w:pPr>
        <w:spacing w:line="480" w:lineRule="auto"/>
        <w:ind w:firstLine="5040" w:firstLineChars="2100"/>
        <w:rPr>
          <w:rFonts w:ascii="宋体" w:hAnsi="宋体" w:eastAsia="宋体" w:cs="Times New Roman"/>
          <w:sz w:val="24"/>
          <w:szCs w:val="24"/>
        </w:rPr>
      </w:pPr>
    </w:p>
    <w:p w14:paraId="739D1588">
      <w:pPr>
        <w:spacing w:line="480" w:lineRule="auto"/>
        <w:ind w:firstLine="5040" w:firstLineChars="2100"/>
        <w:rPr>
          <w:rFonts w:ascii="宋体" w:hAnsi="宋体" w:eastAsia="宋体" w:cs="Times New Roman"/>
          <w:sz w:val="24"/>
          <w:szCs w:val="24"/>
        </w:rPr>
      </w:pPr>
    </w:p>
    <w:p w14:paraId="3E37DCA5">
      <w:pPr>
        <w:spacing w:line="360" w:lineRule="auto"/>
        <w:ind w:firstLine="3967" w:firstLineChars="1653"/>
        <w:jc w:val="left"/>
        <w:rPr>
          <w:rFonts w:ascii="宋体" w:hAnsi="宋体" w:eastAsia="宋体" w:cs="Times New Roman"/>
          <w:sz w:val="24"/>
          <w:szCs w:val="24"/>
          <w:u w:val="single"/>
        </w:rPr>
      </w:pPr>
      <w:r>
        <w:rPr>
          <w:rFonts w:hint="eastAsia" w:ascii="宋体" w:hAnsi="宋体" w:eastAsia="宋体" w:cs="Times New Roman"/>
          <w:sz w:val="24"/>
          <w:szCs w:val="24"/>
        </w:rPr>
        <w:t>磋商响应供应商</w:t>
      </w:r>
      <w:r>
        <w:rPr>
          <w:rFonts w:ascii="宋体" w:hAnsi="宋体" w:eastAsia="宋体" w:cs="Times New Roman"/>
          <w:sz w:val="24"/>
          <w:szCs w:val="24"/>
        </w:rPr>
        <w:t>(</w:t>
      </w:r>
      <w:r>
        <w:rPr>
          <w:rFonts w:hint="eastAsia" w:ascii="宋体" w:hAnsi="宋体" w:eastAsia="宋体" w:cs="Times New Roman"/>
          <w:sz w:val="24"/>
          <w:szCs w:val="24"/>
        </w:rPr>
        <w:t>盖章</w:t>
      </w:r>
      <w:r>
        <w:rPr>
          <w:rFonts w:ascii="宋体" w:hAnsi="宋体" w:eastAsia="宋体" w:cs="Times New Roman"/>
          <w:sz w:val="24"/>
          <w:szCs w:val="24"/>
        </w:rPr>
        <w:t>)</w:t>
      </w:r>
      <w:r>
        <w:rPr>
          <w:rFonts w:hint="eastAsia" w:ascii="宋体" w:hAnsi="宋体" w:eastAsia="宋体" w:cs="Times New Roman"/>
          <w:sz w:val="24"/>
          <w:szCs w:val="24"/>
        </w:rPr>
        <w:t>：</w:t>
      </w:r>
    </w:p>
    <w:p w14:paraId="7C4428A9">
      <w:pPr>
        <w:spacing w:line="360" w:lineRule="auto"/>
        <w:ind w:firstLine="3967" w:firstLineChars="1653"/>
        <w:jc w:val="left"/>
        <w:rPr>
          <w:rFonts w:ascii="宋体" w:hAnsi="宋体" w:eastAsia="宋体" w:cs="Times New Roman"/>
          <w:sz w:val="24"/>
          <w:szCs w:val="24"/>
        </w:rPr>
      </w:pPr>
    </w:p>
    <w:p w14:paraId="71FEC756">
      <w:pPr>
        <w:spacing w:line="360" w:lineRule="auto"/>
        <w:ind w:firstLine="3967" w:firstLineChars="1653"/>
        <w:jc w:val="left"/>
        <w:rPr>
          <w:rFonts w:ascii="宋体" w:hAnsi="宋体" w:eastAsia="宋体" w:cs="Times New Roman"/>
          <w:sz w:val="24"/>
          <w:szCs w:val="24"/>
        </w:rPr>
      </w:pPr>
      <w:r>
        <w:rPr>
          <w:rFonts w:hint="eastAsia" w:ascii="宋体" w:hAnsi="宋体" w:eastAsia="宋体" w:cs="Times New Roman"/>
          <w:sz w:val="24"/>
          <w:szCs w:val="24"/>
        </w:rPr>
        <w:t>日期： 年  月  日</w:t>
      </w:r>
    </w:p>
    <w:p w14:paraId="342B21C1">
      <w:pPr>
        <w:spacing w:line="480" w:lineRule="auto"/>
        <w:ind w:right="480"/>
        <w:jc w:val="center"/>
        <w:rPr>
          <w:rFonts w:ascii="宋体" w:hAnsi="宋体" w:eastAsia="宋体" w:cs="Times New Roman"/>
          <w:b/>
          <w:bCs/>
          <w:sz w:val="24"/>
          <w:szCs w:val="24"/>
        </w:rPr>
      </w:pPr>
    </w:p>
    <w:p w14:paraId="24C4735B">
      <w:pPr>
        <w:spacing w:line="480" w:lineRule="auto"/>
        <w:ind w:right="480"/>
        <w:jc w:val="center"/>
        <w:rPr>
          <w:rFonts w:ascii="宋体" w:hAnsi="宋体" w:eastAsia="宋体" w:cs="Times New Roman"/>
          <w:b/>
          <w:bCs/>
          <w:sz w:val="24"/>
          <w:szCs w:val="24"/>
        </w:rPr>
      </w:pPr>
      <w:r>
        <w:rPr>
          <w:rFonts w:hint="eastAsia" w:ascii="宋体" w:hAnsi="宋体" w:eastAsia="宋体" w:cs="Times New Roman"/>
          <w:b/>
          <w:bCs/>
          <w:sz w:val="24"/>
          <w:szCs w:val="24"/>
        </w:rPr>
        <w:t>（后附法定代表人身份证正反面扫描件）</w:t>
      </w:r>
    </w:p>
    <w:p w14:paraId="2F09D284">
      <w:pPr>
        <w:jc w:val="center"/>
        <w:rPr>
          <w:rFonts w:ascii="宋体" w:hAnsi="宋体" w:eastAsia="宋体" w:cs="Times New Roman"/>
          <w:b/>
          <w:bCs/>
          <w:sz w:val="32"/>
          <w:szCs w:val="32"/>
        </w:rPr>
      </w:pPr>
      <w:bookmarkStart w:id="10" w:name="_Toc171073046"/>
      <w:bookmarkEnd w:id="10"/>
      <w:bookmarkStart w:id="11" w:name="_Toc223432391"/>
      <w:bookmarkEnd w:id="11"/>
      <w:bookmarkStart w:id="12" w:name="_Toc171073211"/>
      <w:bookmarkEnd w:id="12"/>
      <w:bookmarkStart w:id="13" w:name="_Toc169921411"/>
      <w:bookmarkEnd w:id="13"/>
      <w:r>
        <w:rPr>
          <w:rFonts w:ascii="宋体" w:hAnsi="宋体" w:eastAsia="宋体" w:cs="Times New Roman"/>
          <w:b/>
          <w:bCs/>
          <w:sz w:val="32"/>
          <w:szCs w:val="32"/>
        </w:rPr>
        <w:br w:type="page"/>
      </w:r>
      <w:r>
        <w:rPr>
          <w:rFonts w:ascii="宋体" w:hAnsi="宋体" w:eastAsia="宋体" w:cs="Times New Roman"/>
          <w:b/>
          <w:bCs/>
          <w:sz w:val="32"/>
          <w:szCs w:val="32"/>
        </w:rPr>
        <w:t>2</w:t>
      </w:r>
      <w:r>
        <w:rPr>
          <w:rFonts w:hint="eastAsia" w:ascii="宋体" w:hAnsi="宋体" w:eastAsia="宋体" w:cs="Times New Roman"/>
          <w:b/>
          <w:bCs/>
          <w:sz w:val="32"/>
          <w:szCs w:val="32"/>
        </w:rPr>
        <w:t>、磋商响应函</w:t>
      </w:r>
    </w:p>
    <w:p w14:paraId="0DF0C318">
      <w:pPr>
        <w:spacing w:line="360" w:lineRule="auto"/>
        <w:jc w:val="left"/>
        <w:rPr>
          <w:rFonts w:ascii="宋体" w:hAnsi="宋体" w:eastAsia="宋体" w:cs="Times New Roman"/>
          <w:spacing w:val="24"/>
          <w:sz w:val="24"/>
          <w:szCs w:val="24"/>
        </w:rPr>
      </w:pPr>
      <w:r>
        <w:rPr>
          <w:rFonts w:hint="eastAsia" w:ascii="宋体" w:hAnsi="宋体" w:eastAsia="宋体" w:cs="Times New Roman"/>
          <w:spacing w:val="24"/>
          <w:sz w:val="24"/>
          <w:szCs w:val="24"/>
        </w:rPr>
        <w:t>致</w:t>
      </w:r>
      <w:r>
        <w:rPr>
          <w:rFonts w:hint="eastAsia" w:ascii="宋体" w:hAnsi="宋体" w:eastAsia="宋体" w:cs="Times New Roman"/>
          <w:spacing w:val="24"/>
          <w:sz w:val="24"/>
          <w:szCs w:val="24"/>
          <w:u w:val="single"/>
        </w:rPr>
        <w:t>（采购人）</w:t>
      </w:r>
      <w:r>
        <w:rPr>
          <w:rFonts w:hint="eastAsia" w:ascii="宋体" w:hAnsi="宋体" w:eastAsia="宋体" w:cs="Times New Roman"/>
          <w:spacing w:val="24"/>
          <w:sz w:val="24"/>
          <w:szCs w:val="24"/>
        </w:rPr>
        <w:t>：</w:t>
      </w:r>
    </w:p>
    <w:p w14:paraId="2715A302">
      <w:pPr>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根据已收到贵方的（项目名称）（项目编号）的竞争性磋商文件，遵照《中华人民共和国政府采购法》等有关规定，我单位经研究上述竞争性磋商文件的磋商须知、合同条款、</w:t>
      </w:r>
      <w:r>
        <w:rPr>
          <w:rFonts w:hint="eastAsia" w:ascii="宋体" w:hAnsi="宋体" w:eastAsia="宋体" w:cs="Times New Roman"/>
          <w:sz w:val="24"/>
          <w:szCs w:val="21"/>
        </w:rPr>
        <w:t>技术参数</w:t>
      </w:r>
      <w:r>
        <w:rPr>
          <w:rFonts w:hint="eastAsia" w:ascii="宋体" w:hAnsi="宋体" w:eastAsia="宋体" w:cs="Times New Roman"/>
          <w:sz w:val="24"/>
          <w:szCs w:val="24"/>
        </w:rPr>
        <w:t>及其它有关文件后，我方愿以人民币（大写）：元（小写：元）的磋商报价，交货期：日历天,质保期：，</w:t>
      </w:r>
      <w:r>
        <w:rPr>
          <w:rFonts w:hint="eastAsia" w:ascii="宋体" w:hAnsi="宋体" w:eastAsia="宋体" w:cs="Times New Roman"/>
          <w:sz w:val="24"/>
          <w:szCs w:val="21"/>
        </w:rPr>
        <w:t>承包上述项目的</w:t>
      </w:r>
      <w:r>
        <w:rPr>
          <w:rFonts w:hint="eastAsia" w:ascii="宋体" w:hAnsi="宋体" w:eastAsia="宋体" w:cs="宋体"/>
          <w:sz w:val="24"/>
          <w:szCs w:val="21"/>
        </w:rPr>
        <w:t>采购及安装</w:t>
      </w:r>
      <w:r>
        <w:rPr>
          <w:rFonts w:ascii="宋体" w:hAnsi="宋体" w:eastAsia="宋体" w:cs="宋体"/>
          <w:sz w:val="24"/>
          <w:szCs w:val="21"/>
        </w:rPr>
        <w:t>、</w:t>
      </w:r>
      <w:r>
        <w:rPr>
          <w:rFonts w:hint="eastAsia" w:ascii="宋体" w:hAnsi="宋体" w:eastAsia="宋体" w:cs="Times New Roman"/>
          <w:sz w:val="24"/>
          <w:szCs w:val="21"/>
        </w:rPr>
        <w:t>调试、</w:t>
      </w:r>
      <w:r>
        <w:rPr>
          <w:rFonts w:hint="eastAsia" w:ascii="宋体" w:hAnsi="宋体" w:eastAsia="宋体" w:cs="宋体"/>
          <w:sz w:val="24"/>
          <w:szCs w:val="21"/>
        </w:rPr>
        <w:t>验收、质保期服务，与货物有关的运输和保险及其他伴随服务</w:t>
      </w:r>
      <w:r>
        <w:rPr>
          <w:rFonts w:hint="eastAsia" w:ascii="宋体" w:hAnsi="宋体" w:eastAsia="宋体" w:cs="Arial"/>
          <w:sz w:val="24"/>
          <w:szCs w:val="21"/>
          <w:shd w:val="clear" w:color="auto" w:fill="FFFFFF"/>
        </w:rPr>
        <w:t>。</w:t>
      </w:r>
    </w:p>
    <w:p w14:paraId="14D1C2D1">
      <w:pPr>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我方已详细审核全部竞争性磋商文件，包括修改文件（如有）及有关附件，已充分理解并掌握了本磋商项目的全部有关情况，认为竞争性磋商文件符合法律、法规的要求，充分体现了公开、公平、公正和诚实信用原则，我方对竞争性磋商文件没有任何异议。同意接受竞争性磋商文件的全部内容和条件。</w:t>
      </w:r>
    </w:p>
    <w:p w14:paraId="482F72BC">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如我方确定为成交供应商，我方承诺在收到成交通知书后，在成交通知书规定的期限内，根据竞争性磋商文件、我方的磋商响应文件及有关澄清承诺书的要求，与采购人订立书面合同，并按照合同约定承担完成合同的责任和义务。</w:t>
      </w:r>
    </w:p>
    <w:p w14:paraId="3F6626BF">
      <w:pPr>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、我方愿在成交后按照竞争性磋商文件规定的时间和金额向采购人交纳履约保证金。</w:t>
      </w:r>
    </w:p>
    <w:p w14:paraId="63BD686F">
      <w:pPr>
        <w:spacing w:line="360" w:lineRule="auto"/>
        <w:ind w:firstLine="480" w:firstLineChars="200"/>
        <w:rPr>
          <w:rFonts w:ascii="宋体" w:hAnsi="宋体" w:eastAsia="宋体" w:cs="Times New Roman"/>
          <w:kern w:val="0"/>
          <w:sz w:val="24"/>
          <w:szCs w:val="24"/>
        </w:rPr>
      </w:pPr>
      <w:r>
        <w:rPr>
          <w:rFonts w:ascii="宋体" w:hAnsi="宋体" w:eastAsia="宋体" w:cs="Times New Roman"/>
          <w:sz w:val="24"/>
          <w:szCs w:val="24"/>
        </w:rPr>
        <w:t>4</w:t>
      </w:r>
      <w:r>
        <w:rPr>
          <w:rFonts w:hint="eastAsia" w:ascii="宋体" w:hAnsi="宋体" w:eastAsia="宋体" w:cs="Times New Roman"/>
          <w:sz w:val="24"/>
          <w:szCs w:val="24"/>
        </w:rPr>
        <w:t>、</w:t>
      </w:r>
      <w:r>
        <w:rPr>
          <w:rFonts w:hint="eastAsia" w:ascii="宋体" w:hAnsi="宋体" w:eastAsia="宋体" w:cs="Times New Roman"/>
          <w:kern w:val="0"/>
          <w:sz w:val="24"/>
          <w:szCs w:val="24"/>
        </w:rPr>
        <w:t>我方同意自本项目</w:t>
      </w:r>
      <w:r>
        <w:rPr>
          <w:rFonts w:hint="eastAsia" w:ascii="宋体" w:hAnsi="宋体" w:eastAsia="宋体" w:cs="Times New Roman"/>
          <w:sz w:val="24"/>
          <w:szCs w:val="24"/>
        </w:rPr>
        <w:t>竞争性磋商</w:t>
      </w:r>
      <w:r>
        <w:rPr>
          <w:rFonts w:hint="eastAsia" w:ascii="宋体" w:hAnsi="宋体" w:eastAsia="宋体" w:cs="Times New Roman"/>
          <w:kern w:val="0"/>
          <w:sz w:val="24"/>
          <w:szCs w:val="24"/>
        </w:rPr>
        <w:t>文件中规定的磋商有效期内有效，并承诺在磋商有效期内不修改、撤回磋商响应文件。</w:t>
      </w:r>
    </w:p>
    <w:p w14:paraId="23AC6A71">
      <w:pPr>
        <w:spacing w:line="360" w:lineRule="auto"/>
        <w:ind w:firstLine="480" w:firstLineChars="200"/>
        <w:rPr>
          <w:rFonts w:ascii="宋体" w:hAnsi="宋体" w:eastAsia="宋体" w:cs="Times New Roman"/>
          <w:kern w:val="0"/>
          <w:sz w:val="24"/>
          <w:szCs w:val="24"/>
        </w:rPr>
      </w:pPr>
      <w:r>
        <w:rPr>
          <w:rFonts w:ascii="宋体" w:hAnsi="宋体" w:eastAsia="宋体" w:cs="Times New Roman"/>
          <w:sz w:val="24"/>
          <w:szCs w:val="24"/>
        </w:rPr>
        <w:t>5</w:t>
      </w:r>
      <w:r>
        <w:rPr>
          <w:rFonts w:hint="eastAsia" w:ascii="宋体" w:hAnsi="宋体" w:eastAsia="宋体" w:cs="Times New Roman"/>
          <w:sz w:val="24"/>
          <w:szCs w:val="24"/>
        </w:rPr>
        <w:t>、</w:t>
      </w:r>
      <w:r>
        <w:rPr>
          <w:rFonts w:hint="eastAsia" w:ascii="宋体" w:hAnsi="宋体" w:eastAsia="宋体" w:cs="Times New Roman"/>
          <w:kern w:val="0"/>
          <w:sz w:val="24"/>
          <w:szCs w:val="24"/>
        </w:rPr>
        <w:t>我方完全理解贵方不一定接受磋商报价最低的供应商为成交供应商的行为。</w:t>
      </w:r>
    </w:p>
    <w:p w14:paraId="1F6806E7">
      <w:pPr>
        <w:spacing w:line="360" w:lineRule="auto"/>
        <w:ind w:firstLine="480" w:firstLineChars="200"/>
        <w:rPr>
          <w:rFonts w:ascii="宋体" w:hAnsi="宋体" w:eastAsia="宋体" w:cs="Times New Roman"/>
          <w:kern w:val="0"/>
          <w:sz w:val="24"/>
          <w:szCs w:val="24"/>
        </w:rPr>
      </w:pPr>
      <w:r>
        <w:rPr>
          <w:rFonts w:ascii="宋体" w:hAnsi="宋体" w:eastAsia="宋体" w:cs="Times New Roman"/>
          <w:sz w:val="24"/>
          <w:szCs w:val="24"/>
        </w:rPr>
        <w:t>6</w:t>
      </w:r>
      <w:r>
        <w:rPr>
          <w:rFonts w:hint="eastAsia" w:ascii="宋体" w:hAnsi="宋体" w:eastAsia="宋体" w:cs="Times New Roman"/>
          <w:sz w:val="24"/>
          <w:szCs w:val="24"/>
        </w:rPr>
        <w:t>、</w:t>
      </w:r>
      <w:r>
        <w:rPr>
          <w:rFonts w:hint="eastAsia" w:ascii="宋体" w:hAnsi="宋体" w:eastAsia="宋体" w:cs="Times New Roman"/>
          <w:kern w:val="0"/>
          <w:sz w:val="24"/>
          <w:szCs w:val="24"/>
        </w:rPr>
        <w:t>我方在此声明，所递交的磋商响应文件及有关资料内容完整、真实和准确。</w:t>
      </w:r>
    </w:p>
    <w:p w14:paraId="1FA7AB4A">
      <w:pPr>
        <w:spacing w:line="360" w:lineRule="auto"/>
        <w:ind w:firstLine="240" w:firstLineChars="100"/>
        <w:jc w:val="left"/>
        <w:rPr>
          <w:rFonts w:ascii="宋体" w:hAnsi="宋体" w:eastAsia="宋体" w:cs="Times New Roman"/>
          <w:sz w:val="24"/>
          <w:szCs w:val="24"/>
        </w:rPr>
      </w:pPr>
    </w:p>
    <w:p w14:paraId="73966401">
      <w:pPr>
        <w:spacing w:line="480" w:lineRule="auto"/>
        <w:ind w:firstLine="3967" w:firstLineChars="1653"/>
        <w:jc w:val="left"/>
        <w:rPr>
          <w:rFonts w:ascii="宋体" w:hAnsi="宋体" w:eastAsia="宋体" w:cs="Times New Roman"/>
          <w:sz w:val="24"/>
          <w:szCs w:val="24"/>
          <w:u w:val="single"/>
        </w:rPr>
      </w:pPr>
      <w:r>
        <w:rPr>
          <w:rFonts w:hint="eastAsia" w:ascii="宋体" w:hAnsi="宋体" w:eastAsia="宋体" w:cs="Times New Roman"/>
          <w:sz w:val="24"/>
          <w:szCs w:val="24"/>
        </w:rPr>
        <w:t>磋商响应供应商</w:t>
      </w:r>
      <w:r>
        <w:rPr>
          <w:rFonts w:ascii="宋体" w:hAnsi="宋体" w:eastAsia="宋体" w:cs="Times New Roman"/>
          <w:sz w:val="24"/>
          <w:szCs w:val="24"/>
        </w:rPr>
        <w:t>(</w:t>
      </w:r>
      <w:r>
        <w:rPr>
          <w:rFonts w:hint="eastAsia" w:ascii="宋体" w:hAnsi="宋体" w:eastAsia="宋体" w:cs="Times New Roman"/>
          <w:sz w:val="24"/>
          <w:szCs w:val="24"/>
        </w:rPr>
        <w:t>盖章</w:t>
      </w:r>
      <w:r>
        <w:rPr>
          <w:rFonts w:ascii="宋体" w:hAnsi="宋体" w:eastAsia="宋体" w:cs="Times New Roman"/>
          <w:sz w:val="24"/>
          <w:szCs w:val="24"/>
        </w:rPr>
        <w:t>)</w:t>
      </w:r>
      <w:r>
        <w:rPr>
          <w:rFonts w:hint="eastAsia" w:ascii="宋体" w:hAnsi="宋体" w:eastAsia="宋体" w:cs="Times New Roman"/>
          <w:sz w:val="24"/>
          <w:szCs w:val="24"/>
        </w:rPr>
        <w:t>：</w:t>
      </w:r>
    </w:p>
    <w:p w14:paraId="65910516">
      <w:pPr>
        <w:spacing w:line="480" w:lineRule="auto"/>
        <w:ind w:firstLine="3967" w:firstLineChars="1653"/>
        <w:jc w:val="left"/>
        <w:rPr>
          <w:rFonts w:ascii="宋体" w:hAnsi="宋体" w:eastAsia="宋体" w:cs="Times New Roman"/>
          <w:sz w:val="24"/>
          <w:szCs w:val="24"/>
          <w:u w:val="single"/>
        </w:rPr>
      </w:pPr>
      <w:r>
        <w:rPr>
          <w:rFonts w:hint="eastAsia" w:ascii="宋体" w:hAnsi="宋体" w:eastAsia="宋体" w:cs="Times New Roman"/>
          <w:sz w:val="24"/>
          <w:szCs w:val="24"/>
        </w:rPr>
        <w:t>法定代表人</w:t>
      </w:r>
      <w:r>
        <w:rPr>
          <w:rFonts w:ascii="宋体" w:hAnsi="宋体" w:eastAsia="宋体" w:cs="Times New Roman"/>
          <w:sz w:val="24"/>
          <w:szCs w:val="24"/>
        </w:rPr>
        <w:t xml:space="preserve"> (</w:t>
      </w:r>
      <w:r>
        <w:rPr>
          <w:rFonts w:hint="eastAsia" w:ascii="宋体" w:hAnsi="宋体" w:eastAsia="宋体" w:cs="Times New Roman"/>
          <w:sz w:val="24"/>
          <w:szCs w:val="24"/>
        </w:rPr>
        <w:t>签字或盖章</w:t>
      </w:r>
      <w:r>
        <w:rPr>
          <w:rFonts w:ascii="宋体" w:hAnsi="宋体" w:eastAsia="宋体" w:cs="Times New Roman"/>
          <w:sz w:val="24"/>
          <w:szCs w:val="24"/>
        </w:rPr>
        <w:t>)</w:t>
      </w:r>
      <w:r>
        <w:rPr>
          <w:rFonts w:hint="eastAsia" w:ascii="宋体" w:hAnsi="宋体" w:eastAsia="宋体" w:cs="Times New Roman"/>
          <w:sz w:val="24"/>
          <w:szCs w:val="24"/>
        </w:rPr>
        <w:t>：</w:t>
      </w:r>
    </w:p>
    <w:p w14:paraId="76372F75">
      <w:pPr>
        <w:spacing w:line="480" w:lineRule="auto"/>
        <w:ind w:firstLine="3967" w:firstLineChars="1653"/>
        <w:jc w:val="left"/>
        <w:rPr>
          <w:rFonts w:ascii="宋体" w:hAnsi="宋体" w:eastAsia="宋体" w:cs="Times New Roman"/>
          <w:sz w:val="24"/>
          <w:szCs w:val="24"/>
        </w:rPr>
      </w:pPr>
      <w:r>
        <w:rPr>
          <w:rFonts w:hint="eastAsia" w:ascii="宋体" w:hAnsi="宋体" w:eastAsia="宋体" w:cs="Times New Roman"/>
          <w:sz w:val="24"/>
          <w:szCs w:val="24"/>
        </w:rPr>
        <w:t>日期：  年  月   日</w:t>
      </w:r>
    </w:p>
    <w:p w14:paraId="17C6AE2D">
      <w:pPr>
        <w:jc w:val="center"/>
        <w:rPr>
          <w:rFonts w:ascii="宋体" w:hAnsi="宋体" w:eastAsia="宋体" w:cs="Times New Roman"/>
          <w:b/>
          <w:bCs/>
          <w:kern w:val="0"/>
          <w:sz w:val="32"/>
          <w:szCs w:val="32"/>
        </w:rPr>
      </w:pPr>
      <w:r>
        <w:rPr>
          <w:rFonts w:ascii="宋体" w:hAnsi="宋体" w:eastAsia="宋体" w:cs="Times New Roman"/>
          <w:b/>
          <w:bCs/>
          <w:kern w:val="0"/>
          <w:sz w:val="32"/>
          <w:szCs w:val="32"/>
        </w:rPr>
        <w:br w:type="page"/>
      </w:r>
      <w:r>
        <w:rPr>
          <w:rFonts w:ascii="宋体" w:hAnsi="宋体" w:eastAsia="宋体" w:cs="Times New Roman"/>
          <w:b/>
          <w:bCs/>
          <w:kern w:val="0"/>
          <w:sz w:val="32"/>
          <w:szCs w:val="32"/>
        </w:rPr>
        <w:t>3</w:t>
      </w:r>
      <w:r>
        <w:rPr>
          <w:rFonts w:hint="eastAsia" w:ascii="宋体" w:hAnsi="宋体" w:eastAsia="宋体" w:cs="Times New Roman"/>
          <w:b/>
          <w:bCs/>
          <w:kern w:val="0"/>
          <w:sz w:val="32"/>
          <w:szCs w:val="32"/>
        </w:rPr>
        <w:t>、首次报价一览表</w:t>
      </w:r>
    </w:p>
    <w:p w14:paraId="76C0259F">
      <w:pPr>
        <w:tabs>
          <w:tab w:val="left" w:pos="5078"/>
        </w:tabs>
        <w:spacing w:line="500" w:lineRule="exact"/>
        <w:jc w:val="left"/>
        <w:rPr>
          <w:rFonts w:ascii="宋体" w:hAnsi="宋体" w:eastAsia="宋体" w:cs="Times New Roman"/>
          <w:b/>
          <w:bCs/>
          <w:kern w:val="0"/>
          <w:sz w:val="32"/>
          <w:szCs w:val="32"/>
        </w:rPr>
      </w:pPr>
      <w:r>
        <w:rPr>
          <w:rFonts w:ascii="宋体" w:hAnsi="宋体" w:eastAsia="宋体" w:cs="Times New Roman"/>
          <w:b/>
          <w:bCs/>
          <w:kern w:val="0"/>
          <w:sz w:val="32"/>
          <w:szCs w:val="32"/>
        </w:rPr>
        <w:tab/>
      </w:r>
    </w:p>
    <w:tbl>
      <w:tblPr>
        <w:tblStyle w:val="21"/>
        <w:tblW w:w="0" w:type="auto"/>
        <w:jc w:val="center"/>
        <w:tblLayout w:type="fixed"/>
        <w:tblCellMar>
          <w:top w:w="0" w:type="dxa"/>
          <w:left w:w="0" w:type="dxa"/>
          <w:bottom w:w="0" w:type="dxa"/>
          <w:right w:w="0" w:type="dxa"/>
        </w:tblCellMar>
      </w:tblPr>
      <w:tblGrid>
        <w:gridCol w:w="2265"/>
        <w:gridCol w:w="6600"/>
      </w:tblGrid>
      <w:tr w14:paraId="457F8A6E">
        <w:tblPrEx>
          <w:tblCellMar>
            <w:top w:w="0" w:type="dxa"/>
            <w:left w:w="0" w:type="dxa"/>
            <w:bottom w:w="0" w:type="dxa"/>
            <w:right w:w="0" w:type="dxa"/>
          </w:tblCellMar>
        </w:tblPrEx>
        <w:trPr>
          <w:trHeight w:val="1134" w:hRule="atLeast"/>
          <w:jc w:val="center"/>
        </w:trPr>
        <w:tc>
          <w:tcPr>
            <w:tcW w:w="2265" w:type="dxa"/>
            <w:tcBorders>
              <w:top w:val="single" w:color="auto" w:sz="4" w:space="0"/>
              <w:left w:val="single" w:color="auto" w:sz="4" w:space="0"/>
              <w:bottom w:val="single" w:color="auto" w:sz="4" w:space="0"/>
              <w:right w:val="single" w:color="auto" w:sz="4" w:space="0"/>
            </w:tcBorders>
            <w:noWrap/>
            <w:vAlign w:val="center"/>
          </w:tcPr>
          <w:p w14:paraId="7A6AA209">
            <w:pPr>
              <w:autoSpaceDE w:val="0"/>
              <w:autoSpaceDN w:val="0"/>
              <w:spacing w:line="500" w:lineRule="exact"/>
              <w:jc w:val="center"/>
              <w:rPr>
                <w:rFonts w:ascii="宋体" w:hAnsi="宋体" w:eastAsia="宋体" w:cs="Times New Roman"/>
                <w:kern w:val="0"/>
                <w:sz w:val="24"/>
                <w:szCs w:val="24"/>
              </w:rPr>
            </w:pPr>
            <w:bookmarkStart w:id="14" w:name="_Toc365647229"/>
            <w:r>
              <w:rPr>
                <w:rFonts w:hint="eastAsia" w:ascii="宋体" w:hAnsi="宋体" w:eastAsia="宋体" w:cs="Times New Roman"/>
                <w:kern w:val="0"/>
                <w:sz w:val="24"/>
                <w:szCs w:val="24"/>
              </w:rPr>
              <w:t>项目名称</w:t>
            </w:r>
            <w:bookmarkEnd w:id="14"/>
          </w:p>
        </w:tc>
        <w:tc>
          <w:tcPr>
            <w:tcW w:w="6600" w:type="dxa"/>
            <w:tcBorders>
              <w:top w:val="single" w:color="auto" w:sz="4" w:space="0"/>
              <w:left w:val="nil"/>
              <w:bottom w:val="single" w:color="auto" w:sz="4" w:space="0"/>
              <w:right w:val="single" w:color="auto" w:sz="4" w:space="0"/>
            </w:tcBorders>
            <w:noWrap/>
            <w:vAlign w:val="center"/>
          </w:tcPr>
          <w:p w14:paraId="2AB3D6E3">
            <w:pPr>
              <w:autoSpaceDE w:val="0"/>
              <w:autoSpaceDN w:val="0"/>
              <w:spacing w:line="500" w:lineRule="exact"/>
              <w:jc w:val="center"/>
              <w:rPr>
                <w:rFonts w:ascii="宋体" w:hAnsi="宋体" w:eastAsia="宋体" w:cs="Times New Roman"/>
                <w:kern w:val="0"/>
                <w:sz w:val="24"/>
                <w:szCs w:val="24"/>
              </w:rPr>
            </w:pPr>
          </w:p>
        </w:tc>
      </w:tr>
      <w:tr w14:paraId="28BE62CB">
        <w:tblPrEx>
          <w:tblCellMar>
            <w:top w:w="0" w:type="dxa"/>
            <w:left w:w="0" w:type="dxa"/>
            <w:bottom w:w="0" w:type="dxa"/>
            <w:right w:w="0" w:type="dxa"/>
          </w:tblCellMar>
        </w:tblPrEx>
        <w:trPr>
          <w:trHeight w:val="1134" w:hRule="atLeast"/>
          <w:jc w:val="center"/>
        </w:trPr>
        <w:tc>
          <w:tcPr>
            <w:tcW w:w="2265" w:type="dxa"/>
            <w:tcBorders>
              <w:top w:val="single" w:color="auto" w:sz="4" w:space="0"/>
              <w:left w:val="single" w:color="auto" w:sz="4" w:space="0"/>
              <w:bottom w:val="single" w:color="auto" w:sz="4" w:space="0"/>
              <w:right w:val="single" w:color="auto" w:sz="4" w:space="0"/>
            </w:tcBorders>
            <w:noWrap/>
            <w:vAlign w:val="center"/>
          </w:tcPr>
          <w:p w14:paraId="38602EE1">
            <w:pPr>
              <w:autoSpaceDE w:val="0"/>
              <w:autoSpaceDN w:val="0"/>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磋商响应供应商</w:t>
            </w:r>
          </w:p>
        </w:tc>
        <w:tc>
          <w:tcPr>
            <w:tcW w:w="6600" w:type="dxa"/>
            <w:tcBorders>
              <w:top w:val="single" w:color="auto" w:sz="4" w:space="0"/>
              <w:left w:val="nil"/>
              <w:bottom w:val="single" w:color="auto" w:sz="4" w:space="0"/>
              <w:right w:val="single" w:color="auto" w:sz="4" w:space="0"/>
            </w:tcBorders>
            <w:noWrap/>
            <w:vAlign w:val="center"/>
          </w:tcPr>
          <w:p w14:paraId="362FFA8D">
            <w:pPr>
              <w:autoSpaceDE w:val="0"/>
              <w:autoSpaceDN w:val="0"/>
              <w:spacing w:line="500" w:lineRule="exact"/>
              <w:jc w:val="center"/>
              <w:rPr>
                <w:rFonts w:ascii="宋体" w:hAnsi="宋体" w:eastAsia="宋体" w:cs="Times New Roman"/>
                <w:kern w:val="0"/>
                <w:sz w:val="24"/>
                <w:szCs w:val="24"/>
              </w:rPr>
            </w:pPr>
          </w:p>
        </w:tc>
      </w:tr>
      <w:tr w14:paraId="4B066D21">
        <w:tblPrEx>
          <w:tblCellMar>
            <w:top w:w="0" w:type="dxa"/>
            <w:left w:w="0" w:type="dxa"/>
            <w:bottom w:w="0" w:type="dxa"/>
            <w:right w:w="0" w:type="dxa"/>
          </w:tblCellMar>
        </w:tblPrEx>
        <w:trPr>
          <w:trHeight w:val="1134" w:hRule="atLeast"/>
          <w:jc w:val="center"/>
        </w:trPr>
        <w:tc>
          <w:tcPr>
            <w:tcW w:w="2265" w:type="dxa"/>
            <w:tcBorders>
              <w:top w:val="single" w:color="auto" w:sz="4" w:space="0"/>
              <w:left w:val="single" w:color="auto" w:sz="4" w:space="0"/>
              <w:bottom w:val="single" w:color="auto" w:sz="4" w:space="0"/>
              <w:right w:val="single" w:color="auto" w:sz="4" w:space="0"/>
            </w:tcBorders>
            <w:noWrap/>
            <w:vAlign w:val="center"/>
          </w:tcPr>
          <w:p w14:paraId="763E8656">
            <w:pPr>
              <w:autoSpaceDE w:val="0"/>
              <w:autoSpaceDN w:val="0"/>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磋商报价</w:t>
            </w:r>
          </w:p>
        </w:tc>
        <w:tc>
          <w:tcPr>
            <w:tcW w:w="6600" w:type="dxa"/>
            <w:tcBorders>
              <w:top w:val="single" w:color="auto" w:sz="4" w:space="0"/>
              <w:left w:val="nil"/>
              <w:bottom w:val="single" w:color="auto" w:sz="4" w:space="0"/>
              <w:right w:val="single" w:color="auto" w:sz="4" w:space="0"/>
            </w:tcBorders>
            <w:noWrap/>
            <w:vAlign w:val="center"/>
          </w:tcPr>
          <w:p w14:paraId="12037C60">
            <w:pPr>
              <w:autoSpaceDE w:val="0"/>
              <w:autoSpaceDN w:val="0"/>
              <w:spacing w:line="500" w:lineRule="exact"/>
              <w:ind w:firstLine="120" w:firstLineChars="50"/>
              <w:rPr>
                <w:rFonts w:ascii="宋体" w:hAnsi="宋体" w:eastAsia="宋体" w:cs="Times New Roman"/>
                <w:kern w:val="0"/>
                <w:sz w:val="24"/>
                <w:szCs w:val="24"/>
                <w:u w:val="single"/>
              </w:rPr>
            </w:pPr>
            <w:r>
              <w:rPr>
                <w:rFonts w:hint="eastAsia" w:ascii="宋体" w:hAnsi="宋体" w:eastAsia="宋体" w:cs="Times New Roman"/>
                <w:kern w:val="0"/>
                <w:sz w:val="24"/>
                <w:szCs w:val="24"/>
              </w:rPr>
              <w:t>人民币（大写）：</w:t>
            </w:r>
          </w:p>
          <w:p w14:paraId="0101606C">
            <w:pPr>
              <w:autoSpaceDE w:val="0"/>
              <w:autoSpaceDN w:val="0"/>
              <w:spacing w:line="500" w:lineRule="exact"/>
              <w:ind w:firstLine="840" w:firstLineChars="350"/>
              <w:rPr>
                <w:rFonts w:ascii="宋体" w:hAnsi="宋体" w:eastAsia="宋体" w:cs="Times New Roman"/>
                <w:kern w:val="0"/>
                <w:sz w:val="24"/>
                <w:szCs w:val="24"/>
              </w:rPr>
            </w:pPr>
            <w:r>
              <w:rPr>
                <w:rFonts w:hint="eastAsia" w:ascii="宋体" w:hAnsi="宋体" w:eastAsia="宋体" w:cs="Times New Roman"/>
                <w:kern w:val="0"/>
                <w:sz w:val="24"/>
                <w:szCs w:val="24"/>
              </w:rPr>
              <w:t>（小写）：￥</w:t>
            </w:r>
          </w:p>
        </w:tc>
      </w:tr>
      <w:tr w14:paraId="604EE04F">
        <w:tblPrEx>
          <w:tblCellMar>
            <w:top w:w="0" w:type="dxa"/>
            <w:left w:w="0" w:type="dxa"/>
            <w:bottom w:w="0" w:type="dxa"/>
            <w:right w:w="0" w:type="dxa"/>
          </w:tblCellMar>
        </w:tblPrEx>
        <w:trPr>
          <w:trHeight w:val="1134" w:hRule="atLeast"/>
          <w:jc w:val="center"/>
        </w:trPr>
        <w:tc>
          <w:tcPr>
            <w:tcW w:w="2265" w:type="dxa"/>
            <w:tcBorders>
              <w:top w:val="single" w:color="auto" w:sz="4" w:space="0"/>
              <w:left w:val="single" w:color="auto" w:sz="4" w:space="0"/>
              <w:bottom w:val="single" w:color="auto" w:sz="4" w:space="0"/>
              <w:right w:val="single" w:color="auto" w:sz="4" w:space="0"/>
            </w:tcBorders>
            <w:noWrap/>
            <w:vAlign w:val="center"/>
          </w:tcPr>
          <w:p w14:paraId="0D3F4256">
            <w:pPr>
              <w:autoSpaceDE w:val="0"/>
              <w:autoSpaceDN w:val="0"/>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质量要求</w:t>
            </w:r>
          </w:p>
        </w:tc>
        <w:tc>
          <w:tcPr>
            <w:tcW w:w="6600" w:type="dxa"/>
            <w:tcBorders>
              <w:top w:val="single" w:color="auto" w:sz="4" w:space="0"/>
              <w:left w:val="nil"/>
              <w:bottom w:val="single" w:color="auto" w:sz="4" w:space="0"/>
              <w:right w:val="single" w:color="auto" w:sz="4" w:space="0"/>
            </w:tcBorders>
            <w:noWrap/>
            <w:vAlign w:val="center"/>
          </w:tcPr>
          <w:p w14:paraId="2D6A6FCB">
            <w:pPr>
              <w:autoSpaceDE w:val="0"/>
              <w:autoSpaceDN w:val="0"/>
              <w:spacing w:line="500" w:lineRule="exact"/>
              <w:ind w:firstLine="120" w:firstLineChars="50"/>
              <w:rPr>
                <w:rFonts w:ascii="宋体" w:hAnsi="宋体" w:eastAsia="宋体" w:cs="Times New Roman"/>
                <w:kern w:val="0"/>
                <w:sz w:val="24"/>
                <w:szCs w:val="24"/>
              </w:rPr>
            </w:pPr>
          </w:p>
        </w:tc>
      </w:tr>
      <w:tr w14:paraId="7A50EA95">
        <w:tblPrEx>
          <w:tblCellMar>
            <w:top w:w="0" w:type="dxa"/>
            <w:left w:w="0" w:type="dxa"/>
            <w:bottom w:w="0" w:type="dxa"/>
            <w:right w:w="0" w:type="dxa"/>
          </w:tblCellMar>
        </w:tblPrEx>
        <w:trPr>
          <w:trHeight w:val="997" w:hRule="atLeast"/>
          <w:jc w:val="center"/>
        </w:trPr>
        <w:tc>
          <w:tcPr>
            <w:tcW w:w="2265" w:type="dxa"/>
            <w:tcBorders>
              <w:top w:val="single" w:color="auto" w:sz="4" w:space="0"/>
              <w:left w:val="single" w:color="auto" w:sz="4" w:space="0"/>
              <w:bottom w:val="single" w:color="auto" w:sz="4" w:space="0"/>
              <w:right w:val="single" w:color="auto" w:sz="4" w:space="0"/>
            </w:tcBorders>
            <w:noWrap/>
            <w:vAlign w:val="center"/>
          </w:tcPr>
          <w:p w14:paraId="45EE205C">
            <w:pPr>
              <w:autoSpaceDE w:val="0"/>
              <w:autoSpaceDN w:val="0"/>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交 货 期</w:t>
            </w:r>
          </w:p>
        </w:tc>
        <w:tc>
          <w:tcPr>
            <w:tcW w:w="6600" w:type="dxa"/>
            <w:tcBorders>
              <w:top w:val="single" w:color="auto" w:sz="4" w:space="0"/>
              <w:left w:val="nil"/>
              <w:bottom w:val="single" w:color="auto" w:sz="4" w:space="0"/>
              <w:right w:val="single" w:color="auto" w:sz="4" w:space="0"/>
            </w:tcBorders>
            <w:noWrap/>
            <w:vAlign w:val="center"/>
          </w:tcPr>
          <w:p w14:paraId="6264E496">
            <w:pPr>
              <w:autoSpaceDE w:val="0"/>
              <w:autoSpaceDN w:val="0"/>
              <w:spacing w:line="500" w:lineRule="exact"/>
              <w:jc w:val="center"/>
              <w:rPr>
                <w:rFonts w:ascii="宋体" w:hAnsi="宋体" w:eastAsia="宋体" w:cs="Times New Roman"/>
                <w:kern w:val="0"/>
                <w:sz w:val="24"/>
                <w:szCs w:val="24"/>
              </w:rPr>
            </w:pPr>
          </w:p>
        </w:tc>
      </w:tr>
      <w:tr w14:paraId="20AADC48">
        <w:tblPrEx>
          <w:tblCellMar>
            <w:top w:w="0" w:type="dxa"/>
            <w:left w:w="0" w:type="dxa"/>
            <w:bottom w:w="0" w:type="dxa"/>
            <w:right w:w="0" w:type="dxa"/>
          </w:tblCellMar>
        </w:tblPrEx>
        <w:trPr>
          <w:trHeight w:val="997" w:hRule="atLeast"/>
          <w:jc w:val="center"/>
        </w:trPr>
        <w:tc>
          <w:tcPr>
            <w:tcW w:w="2265" w:type="dxa"/>
            <w:tcBorders>
              <w:top w:val="single" w:color="auto" w:sz="4" w:space="0"/>
              <w:left w:val="single" w:color="auto" w:sz="4" w:space="0"/>
              <w:bottom w:val="single" w:color="auto" w:sz="4" w:space="0"/>
              <w:right w:val="single" w:color="auto" w:sz="4" w:space="0"/>
            </w:tcBorders>
            <w:noWrap/>
            <w:vAlign w:val="center"/>
          </w:tcPr>
          <w:p w14:paraId="55A49670">
            <w:pPr>
              <w:autoSpaceDE w:val="0"/>
              <w:autoSpaceDN w:val="0"/>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质 保 期</w:t>
            </w:r>
          </w:p>
        </w:tc>
        <w:tc>
          <w:tcPr>
            <w:tcW w:w="6600" w:type="dxa"/>
            <w:tcBorders>
              <w:top w:val="single" w:color="auto" w:sz="4" w:space="0"/>
              <w:left w:val="nil"/>
              <w:bottom w:val="single" w:color="auto" w:sz="4" w:space="0"/>
              <w:right w:val="single" w:color="auto" w:sz="4" w:space="0"/>
            </w:tcBorders>
            <w:noWrap/>
            <w:vAlign w:val="center"/>
          </w:tcPr>
          <w:p w14:paraId="188FEE48">
            <w:pPr>
              <w:autoSpaceDE w:val="0"/>
              <w:autoSpaceDN w:val="0"/>
              <w:spacing w:line="500" w:lineRule="exact"/>
              <w:jc w:val="center"/>
              <w:rPr>
                <w:rFonts w:ascii="宋体" w:hAnsi="宋体" w:eastAsia="宋体" w:cs="Times New Roman"/>
                <w:kern w:val="0"/>
                <w:sz w:val="24"/>
                <w:szCs w:val="24"/>
              </w:rPr>
            </w:pPr>
          </w:p>
        </w:tc>
      </w:tr>
      <w:tr w14:paraId="73AD1CC9">
        <w:tblPrEx>
          <w:tblCellMar>
            <w:top w:w="0" w:type="dxa"/>
            <w:left w:w="0" w:type="dxa"/>
            <w:bottom w:w="0" w:type="dxa"/>
            <w:right w:w="0" w:type="dxa"/>
          </w:tblCellMar>
        </w:tblPrEx>
        <w:trPr>
          <w:trHeight w:val="997" w:hRule="atLeast"/>
          <w:jc w:val="center"/>
        </w:trPr>
        <w:tc>
          <w:tcPr>
            <w:tcW w:w="2265" w:type="dxa"/>
            <w:tcBorders>
              <w:top w:val="single" w:color="auto" w:sz="4" w:space="0"/>
              <w:left w:val="single" w:color="auto" w:sz="4" w:space="0"/>
              <w:bottom w:val="single" w:color="auto" w:sz="4" w:space="0"/>
              <w:right w:val="single" w:color="auto" w:sz="4" w:space="0"/>
            </w:tcBorders>
            <w:noWrap/>
            <w:vAlign w:val="center"/>
          </w:tcPr>
          <w:p w14:paraId="0A4600AD">
            <w:pPr>
              <w:autoSpaceDE w:val="0"/>
              <w:autoSpaceDN w:val="0"/>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磋商有效期</w:t>
            </w:r>
          </w:p>
        </w:tc>
        <w:tc>
          <w:tcPr>
            <w:tcW w:w="6600" w:type="dxa"/>
            <w:tcBorders>
              <w:top w:val="single" w:color="auto" w:sz="4" w:space="0"/>
              <w:left w:val="nil"/>
              <w:bottom w:val="single" w:color="auto" w:sz="4" w:space="0"/>
              <w:right w:val="single" w:color="auto" w:sz="4" w:space="0"/>
            </w:tcBorders>
            <w:noWrap/>
            <w:vAlign w:val="center"/>
          </w:tcPr>
          <w:p w14:paraId="4D88FDE4">
            <w:pPr>
              <w:autoSpaceDE w:val="0"/>
              <w:autoSpaceDN w:val="0"/>
              <w:spacing w:line="500" w:lineRule="exact"/>
              <w:jc w:val="center"/>
              <w:rPr>
                <w:rFonts w:ascii="宋体" w:hAnsi="宋体" w:eastAsia="宋体" w:cs="Times New Roman"/>
                <w:kern w:val="0"/>
                <w:sz w:val="24"/>
                <w:szCs w:val="24"/>
              </w:rPr>
            </w:pPr>
          </w:p>
        </w:tc>
      </w:tr>
      <w:tr w14:paraId="7F03DA17">
        <w:tblPrEx>
          <w:tblCellMar>
            <w:top w:w="0" w:type="dxa"/>
            <w:left w:w="0" w:type="dxa"/>
            <w:bottom w:w="0" w:type="dxa"/>
            <w:right w:w="0" w:type="dxa"/>
          </w:tblCellMar>
        </w:tblPrEx>
        <w:trPr>
          <w:trHeight w:val="997" w:hRule="atLeast"/>
          <w:jc w:val="center"/>
        </w:trPr>
        <w:tc>
          <w:tcPr>
            <w:tcW w:w="2265" w:type="dxa"/>
            <w:tcBorders>
              <w:top w:val="single" w:color="auto" w:sz="4" w:space="0"/>
              <w:left w:val="single" w:color="auto" w:sz="4" w:space="0"/>
              <w:bottom w:val="single" w:color="auto" w:sz="4" w:space="0"/>
              <w:right w:val="single" w:color="auto" w:sz="4" w:space="0"/>
            </w:tcBorders>
            <w:noWrap/>
            <w:vAlign w:val="center"/>
          </w:tcPr>
          <w:p w14:paraId="4E9A07B0">
            <w:pPr>
              <w:autoSpaceDE w:val="0"/>
              <w:autoSpaceDN w:val="0"/>
              <w:spacing w:line="500" w:lineRule="exact"/>
              <w:jc w:val="center"/>
              <w:rPr>
                <w:rFonts w:hint="default"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联系人姓名及电话</w:t>
            </w:r>
          </w:p>
        </w:tc>
        <w:tc>
          <w:tcPr>
            <w:tcW w:w="6600" w:type="dxa"/>
            <w:tcBorders>
              <w:top w:val="single" w:color="auto" w:sz="4" w:space="0"/>
              <w:left w:val="nil"/>
              <w:bottom w:val="single" w:color="auto" w:sz="4" w:space="0"/>
              <w:right w:val="single" w:color="auto" w:sz="4" w:space="0"/>
            </w:tcBorders>
            <w:noWrap/>
            <w:vAlign w:val="center"/>
          </w:tcPr>
          <w:p w14:paraId="3FB0CAFF">
            <w:pPr>
              <w:autoSpaceDE w:val="0"/>
              <w:autoSpaceDN w:val="0"/>
              <w:spacing w:line="500" w:lineRule="exact"/>
              <w:jc w:val="center"/>
              <w:rPr>
                <w:rFonts w:ascii="宋体" w:hAnsi="宋体" w:eastAsia="宋体" w:cs="Times New Roman"/>
                <w:kern w:val="0"/>
                <w:sz w:val="24"/>
                <w:szCs w:val="24"/>
              </w:rPr>
            </w:pPr>
          </w:p>
        </w:tc>
      </w:tr>
      <w:tr w14:paraId="4CE81A1E">
        <w:tblPrEx>
          <w:tblCellMar>
            <w:top w:w="0" w:type="dxa"/>
            <w:left w:w="0" w:type="dxa"/>
            <w:bottom w:w="0" w:type="dxa"/>
            <w:right w:w="0" w:type="dxa"/>
          </w:tblCellMar>
        </w:tblPrEx>
        <w:trPr>
          <w:trHeight w:val="997" w:hRule="atLeast"/>
          <w:jc w:val="center"/>
        </w:trPr>
        <w:tc>
          <w:tcPr>
            <w:tcW w:w="2265" w:type="dxa"/>
            <w:tcBorders>
              <w:top w:val="single" w:color="auto" w:sz="4" w:space="0"/>
              <w:left w:val="single" w:color="auto" w:sz="4" w:space="0"/>
              <w:bottom w:val="single" w:color="auto" w:sz="4" w:space="0"/>
              <w:right w:val="single" w:color="auto" w:sz="4" w:space="0"/>
            </w:tcBorders>
            <w:noWrap/>
            <w:vAlign w:val="center"/>
          </w:tcPr>
          <w:p w14:paraId="0D263ACB">
            <w:pPr>
              <w:autoSpaceDE w:val="0"/>
              <w:autoSpaceDN w:val="0"/>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  注</w:t>
            </w:r>
          </w:p>
        </w:tc>
        <w:tc>
          <w:tcPr>
            <w:tcW w:w="6600" w:type="dxa"/>
            <w:tcBorders>
              <w:top w:val="single" w:color="auto" w:sz="4" w:space="0"/>
              <w:left w:val="nil"/>
              <w:bottom w:val="single" w:color="auto" w:sz="4" w:space="0"/>
              <w:right w:val="single" w:color="auto" w:sz="4" w:space="0"/>
            </w:tcBorders>
            <w:noWrap/>
            <w:vAlign w:val="center"/>
          </w:tcPr>
          <w:p w14:paraId="192F0E20">
            <w:pPr>
              <w:autoSpaceDE w:val="0"/>
              <w:autoSpaceDN w:val="0"/>
              <w:spacing w:line="500" w:lineRule="exact"/>
              <w:jc w:val="center"/>
              <w:rPr>
                <w:rFonts w:ascii="宋体" w:hAnsi="宋体" w:eastAsia="宋体" w:cs="Times New Roman"/>
                <w:kern w:val="0"/>
                <w:sz w:val="24"/>
                <w:szCs w:val="24"/>
              </w:rPr>
            </w:pPr>
          </w:p>
        </w:tc>
      </w:tr>
    </w:tbl>
    <w:p w14:paraId="4C8E43DF">
      <w:pPr>
        <w:autoSpaceDE w:val="0"/>
        <w:autoSpaceDN w:val="0"/>
        <w:adjustRightInd w:val="0"/>
        <w:spacing w:line="500" w:lineRule="exact"/>
        <w:rPr>
          <w:rFonts w:ascii="宋体" w:hAnsi="宋体" w:eastAsia="宋体" w:cs="Times New Roman"/>
          <w:kern w:val="0"/>
          <w:sz w:val="24"/>
          <w:szCs w:val="24"/>
        </w:rPr>
      </w:pPr>
    </w:p>
    <w:p w14:paraId="45A0C461">
      <w:pPr>
        <w:autoSpaceDE w:val="0"/>
        <w:autoSpaceDN w:val="0"/>
        <w:adjustRightInd w:val="0"/>
        <w:spacing w:line="500" w:lineRule="exact"/>
        <w:rPr>
          <w:rFonts w:ascii="宋体" w:hAnsi="宋体" w:eastAsia="宋体" w:cs="Times New Roman"/>
          <w:kern w:val="0"/>
          <w:sz w:val="24"/>
          <w:szCs w:val="24"/>
        </w:rPr>
      </w:pPr>
    </w:p>
    <w:p w14:paraId="408DA5B2">
      <w:pPr>
        <w:spacing w:line="480" w:lineRule="auto"/>
        <w:ind w:firstLine="3967" w:firstLineChars="1653"/>
        <w:jc w:val="left"/>
        <w:rPr>
          <w:rFonts w:ascii="宋体" w:hAnsi="宋体" w:eastAsia="宋体" w:cs="Times New Roman"/>
          <w:sz w:val="24"/>
          <w:szCs w:val="24"/>
          <w:u w:val="single"/>
        </w:rPr>
      </w:pPr>
      <w:r>
        <w:rPr>
          <w:rFonts w:hint="eastAsia" w:ascii="宋体" w:hAnsi="宋体" w:eastAsia="宋体" w:cs="Times New Roman"/>
          <w:sz w:val="24"/>
          <w:szCs w:val="24"/>
        </w:rPr>
        <w:t>响应供应商</w:t>
      </w:r>
      <w:r>
        <w:rPr>
          <w:rFonts w:ascii="宋体" w:hAnsi="宋体" w:eastAsia="宋体" w:cs="Times New Roman"/>
          <w:sz w:val="24"/>
          <w:szCs w:val="24"/>
        </w:rPr>
        <w:t>(</w:t>
      </w:r>
      <w:r>
        <w:rPr>
          <w:rFonts w:hint="eastAsia" w:ascii="宋体" w:hAnsi="宋体" w:eastAsia="宋体" w:cs="Times New Roman"/>
          <w:sz w:val="24"/>
          <w:szCs w:val="24"/>
        </w:rPr>
        <w:t>盖章</w:t>
      </w:r>
      <w:r>
        <w:rPr>
          <w:rFonts w:ascii="宋体" w:hAnsi="宋体" w:eastAsia="宋体" w:cs="Times New Roman"/>
          <w:sz w:val="24"/>
          <w:szCs w:val="24"/>
        </w:rPr>
        <w:t>)</w:t>
      </w:r>
      <w:r>
        <w:rPr>
          <w:rFonts w:hint="eastAsia" w:ascii="宋体" w:hAnsi="宋体" w:eastAsia="宋体" w:cs="Times New Roman"/>
          <w:sz w:val="24"/>
          <w:szCs w:val="24"/>
        </w:rPr>
        <w:t>：</w:t>
      </w:r>
    </w:p>
    <w:p w14:paraId="3D5FDB58">
      <w:pPr>
        <w:spacing w:line="480" w:lineRule="auto"/>
        <w:ind w:firstLine="3967" w:firstLineChars="1653"/>
        <w:jc w:val="left"/>
        <w:rPr>
          <w:rFonts w:ascii="宋体" w:hAnsi="宋体" w:eastAsia="宋体" w:cs="Times New Roman"/>
          <w:sz w:val="24"/>
          <w:szCs w:val="24"/>
          <w:u w:val="single"/>
        </w:rPr>
      </w:pPr>
      <w:r>
        <w:rPr>
          <w:rFonts w:hint="eastAsia" w:ascii="宋体" w:hAnsi="宋体" w:eastAsia="宋体" w:cs="Times New Roman"/>
          <w:sz w:val="24"/>
          <w:szCs w:val="24"/>
        </w:rPr>
        <w:t>法定代表人</w:t>
      </w:r>
      <w:r>
        <w:rPr>
          <w:rFonts w:ascii="宋体" w:hAnsi="宋体" w:eastAsia="宋体" w:cs="Times New Roman"/>
          <w:sz w:val="24"/>
          <w:szCs w:val="24"/>
        </w:rPr>
        <w:t xml:space="preserve"> (</w:t>
      </w:r>
      <w:r>
        <w:rPr>
          <w:rFonts w:hint="eastAsia" w:ascii="宋体" w:hAnsi="宋体" w:eastAsia="宋体" w:cs="Times New Roman"/>
          <w:sz w:val="24"/>
          <w:szCs w:val="24"/>
        </w:rPr>
        <w:t>签字或盖章</w:t>
      </w:r>
      <w:r>
        <w:rPr>
          <w:rFonts w:ascii="宋体" w:hAnsi="宋体" w:eastAsia="宋体" w:cs="Times New Roman"/>
          <w:sz w:val="24"/>
          <w:szCs w:val="24"/>
        </w:rPr>
        <w:t>)</w:t>
      </w:r>
      <w:r>
        <w:rPr>
          <w:rFonts w:hint="eastAsia" w:ascii="宋体" w:hAnsi="宋体" w:eastAsia="宋体" w:cs="Times New Roman"/>
          <w:sz w:val="24"/>
          <w:szCs w:val="24"/>
        </w:rPr>
        <w:t>：</w:t>
      </w:r>
    </w:p>
    <w:p w14:paraId="713CF4CC">
      <w:pPr>
        <w:spacing w:line="480" w:lineRule="auto"/>
        <w:ind w:firstLine="3967" w:firstLineChars="1653"/>
        <w:jc w:val="left"/>
        <w:rPr>
          <w:rFonts w:ascii="宋体" w:hAnsi="宋体" w:eastAsia="宋体" w:cs="Times New Roman"/>
          <w:sz w:val="24"/>
          <w:szCs w:val="24"/>
        </w:rPr>
      </w:pPr>
      <w:r>
        <w:rPr>
          <w:rFonts w:hint="eastAsia" w:ascii="宋体" w:hAnsi="宋体" w:eastAsia="宋体" w:cs="Times New Roman"/>
          <w:sz w:val="24"/>
          <w:szCs w:val="24"/>
        </w:rPr>
        <w:t>日期：  年  月   日</w:t>
      </w:r>
    </w:p>
    <w:p w14:paraId="05F8EBF7">
      <w:pPr>
        <w:keepNext/>
        <w:spacing w:line="500" w:lineRule="exact"/>
        <w:ind w:hanging="284"/>
        <w:jc w:val="center"/>
        <w:textAlignment w:val="baseline"/>
        <w:outlineLvl w:val="1"/>
        <w:rPr>
          <w:rFonts w:ascii="宋体" w:hAnsi="宋体" w:eastAsia="宋体" w:cs="Times New Roman"/>
          <w:b/>
          <w:bCs/>
          <w:kern w:val="0"/>
          <w:sz w:val="32"/>
          <w:szCs w:val="32"/>
        </w:rPr>
      </w:pPr>
      <w:r>
        <w:rPr>
          <w:rFonts w:ascii="宋体" w:hAnsi="宋体" w:eastAsia="宋体" w:cs="Times New Roman"/>
          <w:b/>
          <w:bCs/>
          <w:kern w:val="0"/>
          <w:sz w:val="32"/>
          <w:szCs w:val="32"/>
        </w:rPr>
        <w:br w:type="page"/>
      </w:r>
      <w:r>
        <w:rPr>
          <w:rFonts w:hint="eastAsia" w:ascii="宋体" w:hAnsi="宋体" w:eastAsia="宋体" w:cs="Times New Roman"/>
          <w:b/>
          <w:bCs/>
          <w:kern w:val="0"/>
          <w:sz w:val="32"/>
          <w:szCs w:val="32"/>
        </w:rPr>
        <w:t>4、资格审查资料</w:t>
      </w:r>
    </w:p>
    <w:p w14:paraId="0AA8593B">
      <w:pPr>
        <w:snapToGrid w:val="0"/>
        <w:spacing w:line="500" w:lineRule="exact"/>
        <w:ind w:right="44" w:rightChars="21"/>
        <w:rPr>
          <w:rFonts w:ascii="宋体" w:hAnsi="宋体" w:eastAsia="宋体" w:cs="Times New Roman"/>
          <w:b/>
          <w:bCs/>
          <w:sz w:val="24"/>
          <w:szCs w:val="24"/>
        </w:rPr>
      </w:pPr>
    </w:p>
    <w:p w14:paraId="0781D3E5">
      <w:pPr>
        <w:snapToGrid w:val="0"/>
        <w:spacing w:line="500" w:lineRule="exact"/>
        <w:ind w:right="-1" w:firstLine="241" w:firstLineChars="100"/>
        <w:rPr>
          <w:rFonts w:ascii="宋体" w:hAnsi="宋体" w:eastAsia="宋体" w:cs="Times New Roman"/>
          <w:sz w:val="24"/>
          <w:szCs w:val="24"/>
        </w:rPr>
      </w:pPr>
      <w:r>
        <w:rPr>
          <w:rFonts w:hint="eastAsia" w:ascii="宋体" w:hAnsi="宋体" w:eastAsia="宋体" w:cs="Times New Roman"/>
          <w:b/>
          <w:bCs/>
          <w:sz w:val="24"/>
          <w:szCs w:val="24"/>
        </w:rPr>
        <w:t>附件一：</w:t>
      </w:r>
      <w:r>
        <w:rPr>
          <w:rFonts w:hint="eastAsia" w:ascii="Times New Roman" w:hAnsi="Times New Roman" w:eastAsia="宋体" w:cs="Times New Roman"/>
          <w:bCs/>
          <w:szCs w:val="24"/>
        </w:rPr>
        <w:t>满足《中华人民共和国政府采购法》第二十二条规定；</w:t>
      </w:r>
    </w:p>
    <w:p w14:paraId="0D27693F">
      <w:pPr>
        <w:snapToGrid w:val="0"/>
        <w:spacing w:line="500" w:lineRule="exact"/>
        <w:ind w:right="-1" w:firstLine="241" w:firstLineChars="100"/>
        <w:rPr>
          <w:rFonts w:ascii="宋体" w:hAnsi="宋体" w:eastAsia="宋体" w:cs="宋体"/>
          <w:b/>
          <w:sz w:val="24"/>
          <w:szCs w:val="24"/>
        </w:rPr>
      </w:pPr>
      <w:r>
        <w:rPr>
          <w:rFonts w:hint="eastAsia" w:ascii="宋体" w:hAnsi="宋体" w:eastAsia="宋体" w:cs="宋体"/>
          <w:b/>
          <w:sz w:val="24"/>
          <w:szCs w:val="24"/>
        </w:rPr>
        <w:t>附件二：</w:t>
      </w:r>
      <w:r>
        <w:rPr>
          <w:rFonts w:hint="eastAsia" w:ascii="Times New Roman" w:hAnsi="Times New Roman" w:eastAsia="宋体" w:cs="Times New Roman"/>
          <w:bCs/>
          <w:szCs w:val="24"/>
        </w:rPr>
        <w:t>供应商具有合格有效的</w:t>
      </w:r>
      <w:r>
        <w:rPr>
          <w:rFonts w:hint="eastAsia" w:ascii="Times New Roman" w:hAnsi="Times New Roman" w:eastAsia="宋体" w:cs="Times New Roman"/>
          <w:bCs/>
          <w:szCs w:val="24"/>
          <w:lang w:eastAsia="zh-CN"/>
        </w:rPr>
        <w:t>营业执照；提供具有履行合同所必需的设备和专业技术能力（自行作出承诺，格式自拟）</w:t>
      </w:r>
      <w:r>
        <w:rPr>
          <w:rFonts w:hint="eastAsia" w:ascii="宋体" w:hAnsi="宋体" w:eastAsia="宋体" w:cs="宋体"/>
          <w:sz w:val="24"/>
          <w:szCs w:val="24"/>
        </w:rPr>
        <w:t>；</w:t>
      </w:r>
    </w:p>
    <w:p w14:paraId="056BE4EC">
      <w:pPr>
        <w:snapToGrid w:val="0"/>
        <w:spacing w:line="500" w:lineRule="exact"/>
        <w:ind w:right="-1" w:firstLine="241" w:firstLineChars="100"/>
        <w:rPr>
          <w:rFonts w:ascii="Times New Roman" w:hAnsi="Times New Roman" w:eastAsia="宋体" w:cs="Times New Roman"/>
          <w:bCs/>
          <w:szCs w:val="24"/>
        </w:rPr>
      </w:pPr>
      <w:r>
        <w:rPr>
          <w:rFonts w:hint="eastAsia" w:ascii="宋体" w:hAnsi="宋体" w:eastAsia="宋体" w:cs="Times New Roman"/>
          <w:b/>
          <w:bCs/>
          <w:sz w:val="24"/>
          <w:szCs w:val="24"/>
        </w:rPr>
        <w:t>附件</w:t>
      </w:r>
      <w:r>
        <w:rPr>
          <w:rFonts w:hint="eastAsia" w:ascii="宋体" w:hAnsi="宋体" w:eastAsia="宋体" w:cs="Times New Roman"/>
          <w:b/>
          <w:bCs/>
          <w:sz w:val="24"/>
          <w:szCs w:val="24"/>
          <w:lang w:val="en-US" w:eastAsia="zh-CN"/>
        </w:rPr>
        <w:t>三</w:t>
      </w:r>
      <w:r>
        <w:rPr>
          <w:rFonts w:hint="eastAsia" w:ascii="宋体" w:hAnsi="宋体" w:eastAsia="宋体" w:cs="Times New Roman"/>
          <w:b/>
          <w:bCs/>
          <w:sz w:val="24"/>
          <w:szCs w:val="24"/>
        </w:rPr>
        <w:t>：</w:t>
      </w:r>
      <w:r>
        <w:rPr>
          <w:rFonts w:hint="eastAsia" w:ascii="Times New Roman" w:hAnsi="Times New Roman" w:eastAsia="宋体" w:cs="Times New Roman"/>
          <w:bCs/>
          <w:szCs w:val="24"/>
          <w:lang w:eastAsia="zh-CN"/>
        </w:rPr>
        <w:t>供应商</w:t>
      </w:r>
      <w:r>
        <w:rPr>
          <w:rFonts w:hint="eastAsia" w:ascii="Times New Roman" w:hAnsi="Times New Roman" w:eastAsia="宋体" w:cs="Times New Roman"/>
          <w:bCs/>
          <w:szCs w:val="24"/>
          <w:lang w:val="en-US" w:eastAsia="zh-CN"/>
        </w:rPr>
        <w:t>出具无行贿记录在中国裁判文书网自行查询或自行承诺（查询对象：企业、法定代表人）及企业自行承诺无商业贿赂和不正当竞争行为</w:t>
      </w:r>
      <w:r>
        <w:rPr>
          <w:rFonts w:hint="eastAsia" w:ascii="Times New Roman" w:hAnsi="Times New Roman" w:eastAsia="宋体" w:cs="Times New Roman"/>
          <w:bCs/>
          <w:szCs w:val="24"/>
        </w:rPr>
        <w:t>；</w:t>
      </w:r>
    </w:p>
    <w:p w14:paraId="480EE7BE">
      <w:pPr>
        <w:snapToGrid w:val="0"/>
        <w:spacing w:line="500" w:lineRule="exact"/>
        <w:ind w:right="-1" w:firstLine="241" w:firstLineChars="100"/>
        <w:rPr>
          <w:rFonts w:hint="eastAsia" w:ascii="Times New Roman" w:hAnsi="Times New Roman" w:eastAsia="宋体" w:cs="Times New Roman"/>
          <w:bCs/>
          <w:szCs w:val="24"/>
        </w:rPr>
      </w:pPr>
      <w:r>
        <w:rPr>
          <w:rFonts w:hint="eastAsia" w:ascii="宋体" w:hAnsi="宋体" w:eastAsia="宋体" w:cs="Times New Roman"/>
          <w:b/>
          <w:bCs/>
          <w:sz w:val="24"/>
          <w:szCs w:val="24"/>
        </w:rPr>
        <w:t>附件</w:t>
      </w:r>
      <w:r>
        <w:rPr>
          <w:rFonts w:hint="eastAsia" w:ascii="宋体" w:hAnsi="宋体" w:eastAsia="宋体" w:cs="Times New Roman"/>
          <w:b/>
          <w:bCs/>
          <w:sz w:val="24"/>
          <w:szCs w:val="24"/>
          <w:lang w:val="en-US" w:eastAsia="zh-CN"/>
        </w:rPr>
        <w:t>四</w:t>
      </w:r>
      <w:r>
        <w:rPr>
          <w:rFonts w:hint="eastAsia" w:ascii="宋体" w:hAnsi="宋体" w:eastAsia="宋体" w:cs="Times New Roman"/>
          <w:b/>
          <w:bCs/>
          <w:sz w:val="24"/>
          <w:szCs w:val="24"/>
        </w:rPr>
        <w:t>：</w:t>
      </w:r>
      <w:r>
        <w:rPr>
          <w:rFonts w:hint="eastAsia" w:ascii="Times New Roman" w:hAnsi="Times New Roman" w:eastAsia="宋体" w:cs="Times New Roman"/>
          <w:bCs/>
          <w:szCs w:val="24"/>
          <w:lang w:val="en-US" w:eastAsia="zh-CN"/>
        </w:rPr>
        <w:t>根据《关于在政府采购活动中查询及使用信用记录有关问题的通知》(财库[2016]125号)和豫财购【2016】15号的规定，企业没有被列入“信用中国”网站的“失信被执行人”、“重大税收违法失信主体”及“中国政府采购网站”的“政府采购严重违法失信行为记录名单”的供应商。【查询渠道：“信用中国”网站（www.creditchina.gov.cn）、中国政府采购网（www.ccgp.gov.cn）】（提供“信用中国”和“中国政府采购网”网站的查询信息截图，查询时间自公告发布之日起)</w:t>
      </w:r>
      <w:r>
        <w:rPr>
          <w:rFonts w:hint="eastAsia" w:ascii="Times New Roman" w:hAnsi="Times New Roman" w:eastAsia="宋体" w:cs="Times New Roman"/>
          <w:bCs/>
          <w:szCs w:val="24"/>
        </w:rPr>
        <w:t>。</w:t>
      </w:r>
    </w:p>
    <w:p w14:paraId="34FEFD76">
      <w:pPr>
        <w:snapToGrid w:val="0"/>
        <w:spacing w:line="500" w:lineRule="exact"/>
        <w:ind w:right="-1" w:firstLine="241" w:firstLineChars="100"/>
        <w:rPr>
          <w:rFonts w:ascii="宋体" w:hAnsi="宋体" w:eastAsia="宋体" w:cs="Times New Roman"/>
          <w:sz w:val="24"/>
          <w:szCs w:val="24"/>
        </w:rPr>
      </w:pPr>
      <w:r>
        <w:rPr>
          <w:rFonts w:hint="eastAsia" w:ascii="宋体" w:hAnsi="宋体" w:eastAsia="宋体" w:cs="Times New Roman"/>
          <w:b/>
          <w:bCs/>
          <w:sz w:val="24"/>
          <w:szCs w:val="24"/>
        </w:rPr>
        <w:t>附件</w:t>
      </w:r>
      <w:r>
        <w:rPr>
          <w:rFonts w:hint="eastAsia" w:ascii="宋体" w:hAnsi="宋体" w:eastAsia="宋体" w:cs="Times New Roman"/>
          <w:b/>
          <w:bCs/>
          <w:sz w:val="24"/>
          <w:szCs w:val="24"/>
          <w:lang w:val="en-US" w:eastAsia="zh-CN"/>
        </w:rPr>
        <w:t>五</w:t>
      </w:r>
      <w:r>
        <w:rPr>
          <w:rFonts w:hint="eastAsia" w:ascii="宋体" w:hAnsi="宋体" w:eastAsia="宋体" w:cs="Times New Roman"/>
          <w:b/>
          <w:bCs/>
          <w:sz w:val="24"/>
          <w:szCs w:val="24"/>
        </w:rPr>
        <w:t>：</w:t>
      </w:r>
      <w:r>
        <w:rPr>
          <w:rFonts w:hint="eastAsia" w:ascii="Times New Roman" w:hAnsi="Times New Roman" w:eastAsia="宋体" w:cs="Times New Roman"/>
          <w:bCs/>
          <w:szCs w:val="24"/>
          <w:lang w:val="en-US" w:eastAsia="zh-CN"/>
        </w:rPr>
        <w:t>本项目不接受联合体投标，供应商提供承诺书；</w:t>
      </w:r>
    </w:p>
    <w:p w14:paraId="4480944B">
      <w:pPr>
        <w:spacing w:line="360" w:lineRule="auto"/>
        <w:ind w:firstLine="210" w:firstLineChars="100"/>
        <w:rPr>
          <w:rFonts w:ascii="Times New Roman" w:hAnsi="Times New Roman" w:eastAsia="宋体" w:cs="Times New Roman"/>
          <w:bCs/>
          <w:szCs w:val="24"/>
        </w:rPr>
      </w:pPr>
    </w:p>
    <w:p w14:paraId="7A229436">
      <w:pPr>
        <w:snapToGrid w:val="0"/>
        <w:spacing w:line="500" w:lineRule="exact"/>
        <w:ind w:right="-1" w:firstLine="241" w:firstLineChars="100"/>
        <w:rPr>
          <w:rFonts w:ascii="宋体" w:hAnsi="宋体" w:eastAsia="宋体" w:cs="Times New Roman"/>
          <w:b/>
          <w:sz w:val="24"/>
          <w:szCs w:val="24"/>
        </w:rPr>
      </w:pPr>
      <w:r>
        <w:rPr>
          <w:rFonts w:hint="eastAsia" w:ascii="宋体" w:hAnsi="宋体" w:eastAsia="宋体" w:cs="Times New Roman"/>
          <w:b/>
          <w:sz w:val="24"/>
          <w:szCs w:val="24"/>
        </w:rPr>
        <w:t>注：以上为磋商响应供应商资格审查必备资料，需按竞争性磋商文件要求提供。</w:t>
      </w:r>
    </w:p>
    <w:p w14:paraId="62304AF0">
      <w:pPr>
        <w:spacing w:line="360" w:lineRule="auto"/>
        <w:jc w:val="center"/>
        <w:rPr>
          <w:rFonts w:ascii="宋体" w:hAnsi="宋体" w:eastAsia="宋体" w:cs="Times New Roman"/>
          <w:b/>
          <w:sz w:val="32"/>
          <w:szCs w:val="32"/>
        </w:rPr>
      </w:pPr>
      <w:r>
        <w:rPr>
          <w:rFonts w:ascii="宋体" w:hAnsi="宋体" w:eastAsia="宋体" w:cs="Times New Roman"/>
          <w:b/>
          <w:bCs/>
          <w:sz w:val="28"/>
          <w:szCs w:val="28"/>
        </w:rPr>
        <w:br w:type="page"/>
      </w:r>
    </w:p>
    <w:p w14:paraId="66CA93BA">
      <w:pPr>
        <w:spacing w:line="360" w:lineRule="auto"/>
        <w:jc w:val="center"/>
        <w:rPr>
          <w:rFonts w:ascii="宋体" w:hAnsi="宋体" w:eastAsia="宋体" w:cs="Times New Roman"/>
          <w:b/>
          <w:sz w:val="32"/>
          <w:szCs w:val="32"/>
        </w:rPr>
      </w:pPr>
      <w:r>
        <w:rPr>
          <w:rFonts w:hint="eastAsia" w:ascii="宋体" w:hAnsi="宋体" w:eastAsia="宋体" w:cs="Times New Roman"/>
          <w:b/>
          <w:sz w:val="32"/>
          <w:szCs w:val="32"/>
        </w:rPr>
        <w:t>5、中小企业声明函</w:t>
      </w:r>
    </w:p>
    <w:p w14:paraId="69843F46">
      <w:pPr>
        <w:jc w:val="center"/>
        <w:rPr>
          <w:rFonts w:ascii="宋体" w:hAnsi="宋体" w:eastAsia="宋体" w:cs="宋体"/>
          <w:b/>
          <w:bCs/>
          <w:iCs/>
          <w:sz w:val="24"/>
          <w:szCs w:val="24"/>
        </w:rPr>
      </w:pPr>
      <w:r>
        <w:rPr>
          <w:rFonts w:hint="eastAsia" w:ascii="宋体" w:hAnsi="宋体" w:eastAsia="宋体" w:cs="宋体"/>
          <w:b/>
          <w:bCs/>
          <w:iCs/>
          <w:sz w:val="24"/>
          <w:szCs w:val="24"/>
        </w:rPr>
        <w:t>（属于中小微企业的填写，不属于的无需填写此项内容）</w:t>
      </w:r>
    </w:p>
    <w:p w14:paraId="37B7C102">
      <w:pPr>
        <w:spacing w:line="360" w:lineRule="auto"/>
        <w:ind w:firstLine="480" w:firstLineChars="200"/>
        <w:rPr>
          <w:rFonts w:ascii="宋体" w:hAnsi="宋体" w:eastAsia="宋体" w:cs="Times New Roman"/>
          <w:sz w:val="24"/>
          <w:szCs w:val="24"/>
        </w:rPr>
      </w:pPr>
    </w:p>
    <w:p w14:paraId="1C9847CB">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本公司（联合体） 郑重声明， 根据《政府采购促进中小企业发展管理办法》（财库﹝ 2020﹞ 46 号） 的规定， 本公司（联合体） 参加</w:t>
      </w:r>
      <w:r>
        <w:rPr>
          <w:rFonts w:ascii="宋体" w:hAnsi="宋体" w:eastAsia="宋体" w:cs="Times New Roman"/>
          <w:sz w:val="24"/>
          <w:szCs w:val="24"/>
          <w:u w:val="single"/>
        </w:rPr>
        <w:t>（单位名称）</w:t>
      </w:r>
      <w:r>
        <w:rPr>
          <w:rFonts w:ascii="宋体" w:hAnsi="宋体" w:eastAsia="宋体" w:cs="Times New Roman"/>
          <w:sz w:val="24"/>
          <w:szCs w:val="24"/>
        </w:rPr>
        <w:t xml:space="preserve"> 的</w:t>
      </w:r>
      <w:r>
        <w:rPr>
          <w:rFonts w:ascii="宋体" w:hAnsi="宋体" w:eastAsia="宋体" w:cs="Times New Roman"/>
          <w:sz w:val="24"/>
          <w:szCs w:val="24"/>
          <w:u w:val="single"/>
        </w:rPr>
        <w:t>（项目名称）</w:t>
      </w:r>
      <w:r>
        <w:rPr>
          <w:rFonts w:ascii="宋体" w:hAnsi="宋体" w:eastAsia="宋体" w:cs="Times New Roman"/>
          <w:sz w:val="24"/>
          <w:szCs w:val="24"/>
        </w:rPr>
        <w:t xml:space="preserve"> 采购活动，</w:t>
      </w:r>
      <w:r>
        <w:rPr>
          <w:rFonts w:hint="eastAsia" w:ascii="宋体" w:hAnsi="宋体" w:eastAsia="宋体" w:cs="Times New Roman"/>
          <w:sz w:val="24"/>
          <w:szCs w:val="24"/>
        </w:rPr>
        <w:t>提供的货物全部由符合政策要求的中小企业制造，</w:t>
      </w:r>
      <w:r>
        <w:rPr>
          <w:rFonts w:ascii="宋体" w:hAnsi="宋体" w:eastAsia="宋体" w:cs="Times New Roman"/>
          <w:sz w:val="24"/>
          <w:szCs w:val="24"/>
        </w:rPr>
        <w:t>具体情况如下：</w:t>
      </w:r>
    </w:p>
    <w:p w14:paraId="76A163F1">
      <w:pPr>
        <w:spacing w:line="360" w:lineRule="auto"/>
        <w:ind w:firstLine="480" w:firstLineChars="200"/>
        <w:rPr>
          <w:rFonts w:ascii="宋体" w:hAnsi="宋体" w:eastAsia="宋体" w:cs="Times New Roman"/>
          <w:sz w:val="24"/>
          <w:szCs w:val="24"/>
          <w:u w:val="single"/>
        </w:rPr>
      </w:pPr>
      <w:r>
        <w:rPr>
          <w:rFonts w:ascii="宋体" w:hAnsi="宋体" w:eastAsia="宋体" w:cs="Times New Roman"/>
          <w:sz w:val="24"/>
          <w:szCs w:val="24"/>
          <w:u w:val="single"/>
        </w:rPr>
        <w:t>（标的名称）</w:t>
      </w:r>
      <w:r>
        <w:rPr>
          <w:rFonts w:ascii="宋体" w:hAnsi="宋体" w:eastAsia="宋体" w:cs="Times New Roman"/>
          <w:sz w:val="24"/>
          <w:szCs w:val="24"/>
        </w:rPr>
        <w:t xml:space="preserve"> ， 属于</w:t>
      </w:r>
      <w:r>
        <w:rPr>
          <w:rFonts w:ascii="宋体" w:hAnsi="宋体" w:eastAsia="宋体" w:cs="Times New Roman"/>
          <w:sz w:val="24"/>
          <w:szCs w:val="24"/>
          <w:u w:val="single"/>
        </w:rPr>
        <w:t>（采购文件中明确的所属行业）</w:t>
      </w:r>
      <w:r>
        <w:rPr>
          <w:rFonts w:ascii="宋体" w:hAnsi="宋体" w:eastAsia="宋体" w:cs="Times New Roman"/>
          <w:sz w:val="24"/>
          <w:szCs w:val="24"/>
        </w:rPr>
        <w:t>；</w:t>
      </w:r>
      <w:r>
        <w:rPr>
          <w:rFonts w:hint="eastAsia" w:ascii="宋体" w:hAnsi="宋体" w:eastAsia="宋体" w:cs="Times New Roman"/>
          <w:sz w:val="24"/>
          <w:szCs w:val="24"/>
        </w:rPr>
        <w:t>制造商</w:t>
      </w:r>
      <w:r>
        <w:rPr>
          <w:rFonts w:ascii="宋体" w:hAnsi="宋体" w:eastAsia="宋体" w:cs="Times New Roman"/>
          <w:sz w:val="24"/>
          <w:szCs w:val="24"/>
        </w:rPr>
        <w:t>为</w:t>
      </w:r>
      <w:r>
        <w:rPr>
          <w:rFonts w:ascii="宋体" w:hAnsi="宋体" w:eastAsia="宋体" w:cs="Times New Roman"/>
          <w:sz w:val="24"/>
          <w:szCs w:val="24"/>
          <w:u w:val="single"/>
        </w:rPr>
        <w:t>（ 企业名称）</w:t>
      </w:r>
      <w:r>
        <w:rPr>
          <w:rFonts w:ascii="宋体" w:hAnsi="宋体" w:eastAsia="宋体" w:cs="Times New Roman"/>
          <w:sz w:val="24"/>
          <w:szCs w:val="24"/>
        </w:rPr>
        <w:t>， 从业人员人， 营业收入为万元， 资产总额为万元， 属于</w:t>
      </w:r>
      <w:r>
        <w:rPr>
          <w:rFonts w:ascii="宋体" w:hAnsi="宋体" w:eastAsia="宋体" w:cs="Times New Roman"/>
          <w:sz w:val="24"/>
          <w:szCs w:val="24"/>
          <w:u w:val="single"/>
        </w:rPr>
        <w:t>（中型企业、 小型企业、 微型企业）</w:t>
      </w:r>
      <w:r>
        <w:rPr>
          <w:rFonts w:ascii="宋体" w:hAnsi="宋体" w:eastAsia="宋体" w:cs="Times New Roman"/>
          <w:sz w:val="24"/>
          <w:szCs w:val="24"/>
        </w:rPr>
        <w:t>；</w:t>
      </w:r>
    </w:p>
    <w:p w14:paraId="7150D1F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w:t>
      </w:r>
      <w:r>
        <w:rPr>
          <w:rFonts w:ascii="宋体" w:hAnsi="宋体" w:eastAsia="宋体" w:cs="Times New Roman"/>
          <w:sz w:val="24"/>
          <w:szCs w:val="24"/>
        </w:rPr>
        <w:t>企业不属于大企业的分支机构， 不存在控股股东为大企业的情形， 也不存在与大企业的负责人为同一人的情形。</w:t>
      </w:r>
    </w:p>
    <w:p w14:paraId="604C72AD">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本企业对上述声明内容的真实性负责。 如有虚假， 将依法承担相应责任。</w:t>
      </w:r>
    </w:p>
    <w:p w14:paraId="134607BF">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企业名称（盖章）：</w:t>
      </w:r>
    </w:p>
    <w:p w14:paraId="36942272">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日 期：</w:t>
      </w:r>
    </w:p>
    <w:p w14:paraId="271C4D5D">
      <w:pPr>
        <w:spacing w:line="360" w:lineRule="auto"/>
        <w:ind w:firstLine="480" w:firstLineChars="200"/>
        <w:rPr>
          <w:rFonts w:ascii="宋体" w:hAnsi="宋体" w:eastAsia="宋体" w:cs="宋体"/>
          <w:iCs/>
          <w:sz w:val="24"/>
          <w:szCs w:val="24"/>
        </w:rPr>
      </w:pPr>
      <w:r>
        <w:rPr>
          <w:rFonts w:hint="eastAsia" w:ascii="宋体" w:hAnsi="宋体" w:eastAsia="宋体" w:cs="Times New Roman"/>
          <w:sz w:val="24"/>
          <w:szCs w:val="24"/>
        </w:rPr>
        <w:t>注：</w:t>
      </w:r>
      <w:r>
        <w:rPr>
          <w:rFonts w:ascii="宋体" w:hAnsi="宋体" w:eastAsia="宋体" w:cs="Times New Roman"/>
          <w:sz w:val="24"/>
          <w:szCs w:val="24"/>
        </w:rPr>
        <w:t>从业人员、 营业收入、 资产总额填报上一年度数据， 无上一年度数据的新成立企业可不填报。</w:t>
      </w:r>
    </w:p>
    <w:p w14:paraId="409A98DA">
      <w:pPr>
        <w:spacing w:line="360" w:lineRule="auto"/>
        <w:jc w:val="center"/>
        <w:rPr>
          <w:rFonts w:ascii="宋体" w:hAnsi="宋体" w:eastAsia="宋体" w:cs="Times New Roman"/>
          <w:b/>
          <w:bCs/>
          <w:sz w:val="32"/>
          <w:szCs w:val="32"/>
        </w:rPr>
      </w:pPr>
      <w:r>
        <w:rPr>
          <w:rFonts w:ascii="宋体" w:hAnsi="宋体" w:eastAsia="宋体" w:cs="Times New Roman"/>
          <w:b/>
          <w:bCs/>
          <w:sz w:val="32"/>
          <w:szCs w:val="32"/>
        </w:rPr>
        <w:br w:type="page"/>
      </w:r>
    </w:p>
    <w:p w14:paraId="049BFB2A">
      <w:pPr>
        <w:spacing w:line="360" w:lineRule="auto"/>
        <w:jc w:val="center"/>
        <w:rPr>
          <w:rFonts w:ascii="宋体" w:hAnsi="宋体" w:eastAsia="宋体" w:cs="宋体"/>
          <w:b/>
          <w:bCs/>
          <w:sz w:val="32"/>
          <w:szCs w:val="32"/>
        </w:rPr>
      </w:pPr>
      <w:r>
        <w:rPr>
          <w:rFonts w:hint="eastAsia" w:ascii="宋体" w:hAnsi="宋体" w:eastAsia="宋体" w:cs="Times New Roman"/>
          <w:b/>
          <w:bCs/>
          <w:sz w:val="32"/>
          <w:szCs w:val="32"/>
        </w:rPr>
        <w:t>6、</w:t>
      </w:r>
      <w:r>
        <w:rPr>
          <w:rFonts w:ascii="宋体" w:hAnsi="宋体" w:eastAsia="宋体" w:cs="宋体"/>
          <w:b/>
          <w:bCs/>
          <w:sz w:val="32"/>
          <w:szCs w:val="32"/>
        </w:rPr>
        <w:t>残疾人福利性单位声明函</w:t>
      </w:r>
    </w:p>
    <w:p w14:paraId="4539B1A8">
      <w:pPr>
        <w:jc w:val="center"/>
        <w:rPr>
          <w:rFonts w:ascii="宋体" w:hAnsi="宋体" w:eastAsia="宋体" w:cs="宋体"/>
          <w:b/>
          <w:bCs/>
          <w:iCs/>
          <w:sz w:val="24"/>
          <w:szCs w:val="24"/>
        </w:rPr>
      </w:pPr>
      <w:r>
        <w:rPr>
          <w:rFonts w:hint="eastAsia" w:ascii="宋体" w:hAnsi="宋体" w:eastAsia="宋体" w:cs="宋体"/>
          <w:b/>
          <w:bCs/>
          <w:iCs/>
          <w:sz w:val="24"/>
          <w:szCs w:val="24"/>
        </w:rPr>
        <w:t>（属于残疾人福利性单位的填写，不属于的无需填写此项内容）</w:t>
      </w:r>
    </w:p>
    <w:p w14:paraId="064185C0">
      <w:pPr>
        <w:spacing w:line="360" w:lineRule="auto"/>
        <w:jc w:val="center"/>
        <w:rPr>
          <w:rFonts w:ascii="宋体" w:hAnsi="宋体" w:eastAsia="宋体" w:cs="宋体"/>
          <w:b/>
          <w:bCs/>
          <w:sz w:val="32"/>
          <w:szCs w:val="32"/>
        </w:rPr>
      </w:pPr>
    </w:p>
    <w:p w14:paraId="6C424ACA">
      <w:pPr>
        <w:snapToGrid w:val="0"/>
        <w:spacing w:line="520" w:lineRule="exact"/>
        <w:ind w:left="1177" w:leftChars="-72" w:right="84" w:rightChars="40" w:hanging="1328" w:hangingChars="415"/>
        <w:jc w:val="center"/>
        <w:rPr>
          <w:rFonts w:ascii="宋体" w:hAnsi="宋体" w:eastAsia="宋体" w:cs="宋体"/>
          <w:sz w:val="32"/>
          <w:szCs w:val="32"/>
        </w:rPr>
      </w:pPr>
    </w:p>
    <w:p w14:paraId="6596000F">
      <w:pPr>
        <w:spacing w:line="360" w:lineRule="auto"/>
        <w:ind w:firstLine="480" w:firstLineChars="200"/>
        <w:rPr>
          <w:rFonts w:ascii="Calibri" w:hAnsi="Calibri" w:eastAsia="宋体" w:cs="宋体"/>
          <w:sz w:val="24"/>
          <w:szCs w:val="24"/>
        </w:rPr>
      </w:pPr>
      <w:r>
        <w:rPr>
          <w:rFonts w:ascii="Calibri" w:hAnsi="Calibri" w:eastAsia="宋体" w:cs="宋体"/>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w:t>
      </w:r>
      <w:r>
        <w:rPr>
          <w:rFonts w:hint="eastAsia" w:ascii="Calibri" w:hAnsi="Calibri" w:eastAsia="宋体" w:cs="宋体"/>
          <w:sz w:val="24"/>
          <w:szCs w:val="24"/>
        </w:rPr>
        <w:t>提供本</w:t>
      </w:r>
      <w:r>
        <w:rPr>
          <w:rFonts w:ascii="Calibri" w:hAnsi="Calibri" w:eastAsia="宋体" w:cs="宋体"/>
          <w:sz w:val="24"/>
          <w:szCs w:val="24"/>
        </w:rPr>
        <w:t>单位制造的货物</w:t>
      </w:r>
      <w:r>
        <w:rPr>
          <w:rFonts w:hint="eastAsia" w:ascii="Calibri" w:hAnsi="Calibri" w:eastAsia="宋体" w:cs="宋体"/>
          <w:sz w:val="24"/>
          <w:szCs w:val="24"/>
        </w:rPr>
        <w:t>，</w:t>
      </w:r>
      <w:r>
        <w:rPr>
          <w:rFonts w:ascii="Calibri" w:hAnsi="Calibri" w:eastAsia="宋体" w:cs="宋体"/>
          <w:sz w:val="24"/>
          <w:szCs w:val="24"/>
        </w:rPr>
        <w:t>或者提供其他残疾人福利性单位制造的货物（</w:t>
      </w:r>
      <w:r>
        <w:rPr>
          <w:rFonts w:hint="eastAsia" w:ascii="Calibri" w:hAnsi="Calibri" w:eastAsia="宋体" w:cs="宋体"/>
          <w:sz w:val="24"/>
          <w:szCs w:val="24"/>
        </w:rPr>
        <w:t>不</w:t>
      </w:r>
      <w:r>
        <w:rPr>
          <w:rFonts w:ascii="Calibri" w:hAnsi="Calibri" w:eastAsia="宋体" w:cs="宋体"/>
          <w:sz w:val="24"/>
          <w:szCs w:val="24"/>
        </w:rPr>
        <w:t>包括使用非残疾人福利性单位注册商标的货物）。</w:t>
      </w:r>
    </w:p>
    <w:p w14:paraId="5D2B48B2">
      <w:pPr>
        <w:spacing w:line="360" w:lineRule="auto"/>
        <w:ind w:firstLine="480" w:firstLineChars="200"/>
        <w:rPr>
          <w:rFonts w:ascii="宋体" w:hAnsi="宋体" w:eastAsia="宋体" w:cs="宋体"/>
          <w:b/>
          <w:bCs/>
          <w:sz w:val="32"/>
          <w:szCs w:val="32"/>
        </w:rPr>
      </w:pPr>
      <w:r>
        <w:rPr>
          <w:rFonts w:ascii="Calibri" w:hAnsi="Calibri" w:eastAsia="宋体" w:cs="宋体"/>
          <w:sz w:val="24"/>
          <w:szCs w:val="24"/>
        </w:rPr>
        <w:t>本单位对上述声明的真实性负责。如有虚假，将依法承担相应责任。</w:t>
      </w:r>
    </w:p>
    <w:p w14:paraId="11BBE6A7">
      <w:pPr>
        <w:spacing w:line="360" w:lineRule="auto"/>
        <w:jc w:val="center"/>
        <w:rPr>
          <w:rFonts w:ascii="宋体" w:hAnsi="宋体" w:eastAsia="宋体" w:cs="宋体"/>
          <w:b/>
          <w:bCs/>
          <w:sz w:val="32"/>
          <w:szCs w:val="32"/>
        </w:rPr>
      </w:pPr>
    </w:p>
    <w:p w14:paraId="5755215D">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企业名称（盖章）：</w:t>
      </w:r>
    </w:p>
    <w:p w14:paraId="0C6D1BC5">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日 期：</w:t>
      </w:r>
    </w:p>
    <w:p w14:paraId="222B1CFC">
      <w:pPr>
        <w:spacing w:line="360" w:lineRule="auto"/>
        <w:jc w:val="center"/>
        <w:rPr>
          <w:rFonts w:ascii="宋体" w:hAnsi="宋体" w:eastAsia="宋体" w:cs="宋体"/>
          <w:b/>
          <w:bCs/>
          <w:sz w:val="32"/>
          <w:szCs w:val="32"/>
        </w:rPr>
      </w:pPr>
    </w:p>
    <w:p w14:paraId="6EA3D102">
      <w:pPr>
        <w:spacing w:line="360" w:lineRule="auto"/>
        <w:rPr>
          <w:rFonts w:ascii="宋体" w:hAnsi="宋体" w:eastAsia="宋体" w:cs="宋体"/>
          <w:b/>
          <w:bCs/>
          <w:sz w:val="32"/>
          <w:szCs w:val="32"/>
        </w:rPr>
      </w:pPr>
      <w:r>
        <w:rPr>
          <w:rFonts w:ascii="宋体" w:hAnsi="宋体" w:eastAsia="宋体" w:cs="宋体"/>
          <w:b/>
          <w:bCs/>
          <w:sz w:val="32"/>
          <w:szCs w:val="32"/>
        </w:rPr>
        <w:br w:type="page"/>
      </w:r>
    </w:p>
    <w:p w14:paraId="54A78075">
      <w:pPr>
        <w:spacing w:line="360" w:lineRule="auto"/>
        <w:jc w:val="center"/>
        <w:rPr>
          <w:rFonts w:ascii="宋体" w:hAnsi="宋体" w:eastAsia="宋体" w:cs="宋体"/>
          <w:b/>
          <w:bCs/>
          <w:sz w:val="32"/>
          <w:szCs w:val="32"/>
        </w:rPr>
      </w:pPr>
      <w:r>
        <w:rPr>
          <w:rFonts w:ascii="宋体" w:hAnsi="宋体" w:eastAsia="宋体" w:cs="宋体"/>
          <w:b/>
          <w:bCs/>
          <w:sz w:val="32"/>
          <w:szCs w:val="32"/>
        </w:rPr>
        <w:t>7</w:t>
      </w:r>
      <w:r>
        <w:rPr>
          <w:rFonts w:hint="eastAsia" w:ascii="宋体" w:hAnsi="宋体" w:eastAsia="宋体" w:cs="宋体"/>
          <w:b/>
          <w:bCs/>
          <w:sz w:val="32"/>
          <w:szCs w:val="32"/>
        </w:rPr>
        <w:t>、</w:t>
      </w:r>
      <w:r>
        <w:rPr>
          <w:rFonts w:ascii="宋体" w:hAnsi="宋体" w:eastAsia="宋体" w:cs="宋体"/>
          <w:b/>
          <w:bCs/>
          <w:sz w:val="32"/>
          <w:szCs w:val="32"/>
        </w:rPr>
        <w:t>监狱企业证明文件</w:t>
      </w:r>
    </w:p>
    <w:p w14:paraId="24FEDC36">
      <w:pPr>
        <w:jc w:val="center"/>
        <w:rPr>
          <w:rFonts w:ascii="宋体" w:hAnsi="宋体" w:eastAsia="宋体" w:cs="宋体"/>
          <w:b/>
          <w:bCs/>
          <w:iCs/>
          <w:sz w:val="24"/>
          <w:szCs w:val="24"/>
        </w:rPr>
      </w:pPr>
      <w:r>
        <w:rPr>
          <w:rFonts w:hint="eastAsia" w:ascii="宋体" w:hAnsi="宋体" w:eastAsia="宋体" w:cs="宋体"/>
          <w:b/>
          <w:bCs/>
          <w:iCs/>
          <w:sz w:val="24"/>
          <w:szCs w:val="24"/>
        </w:rPr>
        <w:t>（属于监狱企业的提供，不属于的无需提供此项内容）</w:t>
      </w:r>
    </w:p>
    <w:p w14:paraId="1EDB0D54">
      <w:pPr>
        <w:spacing w:line="360" w:lineRule="auto"/>
        <w:rPr>
          <w:rFonts w:ascii="宋体" w:hAnsi="宋体" w:eastAsia="宋体" w:cs="宋体"/>
          <w:b/>
          <w:bCs/>
          <w:sz w:val="32"/>
          <w:szCs w:val="32"/>
        </w:rPr>
      </w:pPr>
    </w:p>
    <w:p w14:paraId="2722DACC">
      <w:pPr>
        <w:spacing w:line="360" w:lineRule="auto"/>
        <w:ind w:firstLine="480" w:firstLineChars="200"/>
        <w:jc w:val="left"/>
        <w:rPr>
          <w:rFonts w:ascii="宋体" w:hAnsi="宋体" w:eastAsia="宋体" w:cs="宋体"/>
          <w:bCs/>
          <w:sz w:val="24"/>
          <w:szCs w:val="24"/>
        </w:rPr>
      </w:pPr>
      <w:r>
        <w:rPr>
          <w:rFonts w:ascii="宋体" w:hAnsi="宋体" w:eastAsia="宋体" w:cs="宋体"/>
          <w:bCs/>
          <w:sz w:val="24"/>
          <w:szCs w:val="24"/>
        </w:rPr>
        <w:t>（监狱企业参加政府采购活动时，应当提供由省级以上监狱管理局、戒毒管理局(含新疆生产建设兵团)出具的属于监狱企业的证明文件。</w:t>
      </w:r>
    </w:p>
    <w:p w14:paraId="0B14BD5E">
      <w:pPr>
        <w:spacing w:line="360" w:lineRule="auto"/>
        <w:ind w:firstLine="720" w:firstLineChars="300"/>
        <w:jc w:val="left"/>
        <w:rPr>
          <w:rFonts w:ascii="宋体" w:hAnsi="宋体" w:eastAsia="宋体" w:cs="宋体"/>
          <w:bCs/>
          <w:sz w:val="24"/>
          <w:szCs w:val="24"/>
        </w:rPr>
      </w:pPr>
    </w:p>
    <w:p w14:paraId="7EB31129">
      <w:pPr>
        <w:spacing w:line="360" w:lineRule="auto"/>
        <w:ind w:firstLine="720" w:firstLineChars="300"/>
        <w:jc w:val="left"/>
        <w:rPr>
          <w:rFonts w:ascii="宋体" w:hAnsi="宋体" w:eastAsia="宋体" w:cs="宋体"/>
          <w:bCs/>
          <w:sz w:val="24"/>
          <w:szCs w:val="24"/>
        </w:rPr>
      </w:pPr>
      <w:r>
        <w:rPr>
          <w:rFonts w:ascii="宋体" w:hAnsi="宋体" w:eastAsia="宋体" w:cs="宋体"/>
          <w:bCs/>
          <w:sz w:val="24"/>
          <w:szCs w:val="24"/>
        </w:rPr>
        <w:t>注：在</w:t>
      </w:r>
      <w:r>
        <w:rPr>
          <w:rFonts w:hint="eastAsia" w:ascii="宋体" w:hAnsi="宋体" w:eastAsia="宋体" w:cs="宋体"/>
          <w:bCs/>
          <w:sz w:val="24"/>
          <w:szCs w:val="24"/>
        </w:rPr>
        <w:t>磋商响应</w:t>
      </w:r>
      <w:r>
        <w:rPr>
          <w:rFonts w:ascii="宋体" w:hAnsi="宋体" w:eastAsia="宋体" w:cs="宋体"/>
          <w:bCs/>
          <w:sz w:val="24"/>
          <w:szCs w:val="24"/>
        </w:rPr>
        <w:t>文件中附扫描件</w:t>
      </w:r>
      <w:r>
        <w:rPr>
          <w:rFonts w:hint="eastAsia" w:ascii="宋体" w:hAnsi="宋体" w:eastAsia="宋体" w:cs="宋体"/>
          <w:bCs/>
          <w:sz w:val="24"/>
          <w:szCs w:val="24"/>
        </w:rPr>
        <w:t>。</w:t>
      </w:r>
    </w:p>
    <w:p w14:paraId="7BF2EC7D">
      <w:pPr>
        <w:spacing w:line="360" w:lineRule="auto"/>
        <w:jc w:val="center"/>
        <w:rPr>
          <w:rFonts w:ascii="宋体" w:hAnsi="宋体" w:eastAsia="宋体" w:cs="Times New Roman"/>
          <w:b/>
          <w:sz w:val="32"/>
          <w:szCs w:val="32"/>
        </w:rPr>
      </w:pPr>
      <w:r>
        <w:rPr>
          <w:rFonts w:ascii="宋体" w:hAnsi="宋体" w:eastAsia="宋体" w:cs="Times New Roman"/>
          <w:b/>
          <w:sz w:val="32"/>
          <w:szCs w:val="32"/>
        </w:rPr>
        <w:br w:type="page"/>
      </w:r>
    </w:p>
    <w:p w14:paraId="59A1DE20">
      <w:pPr>
        <w:spacing w:line="360" w:lineRule="auto"/>
        <w:jc w:val="center"/>
        <w:rPr>
          <w:rFonts w:ascii="宋体" w:hAnsi="宋体" w:eastAsia="宋体" w:cs="Times New Roman"/>
          <w:b/>
          <w:sz w:val="32"/>
          <w:szCs w:val="32"/>
        </w:rPr>
      </w:pPr>
      <w:r>
        <w:rPr>
          <w:rFonts w:hint="eastAsia" w:ascii="宋体" w:hAnsi="宋体" w:eastAsia="宋体" w:cs="Times New Roman"/>
          <w:b/>
          <w:sz w:val="32"/>
          <w:szCs w:val="32"/>
        </w:rPr>
        <w:t>8、人员培训及售后服务承诺</w:t>
      </w:r>
    </w:p>
    <w:p w14:paraId="6954367D">
      <w:pPr>
        <w:snapToGrid w:val="0"/>
        <w:spacing w:line="520" w:lineRule="exact"/>
        <w:ind w:left="48" w:leftChars="-72" w:right="-817" w:rightChars="-389" w:hanging="199" w:hangingChars="62"/>
        <w:rPr>
          <w:rFonts w:ascii="宋体" w:hAnsi="宋体" w:eastAsia="宋体" w:cs="Times New Roman"/>
          <w:b/>
          <w:sz w:val="32"/>
          <w:szCs w:val="32"/>
        </w:rPr>
      </w:pPr>
    </w:p>
    <w:p w14:paraId="68E4E4A1">
      <w:pPr>
        <w:snapToGrid w:val="0"/>
        <w:spacing w:line="520" w:lineRule="exact"/>
        <w:ind w:left="48" w:leftChars="-72" w:right="-817" w:rightChars="-389" w:hanging="199" w:hangingChars="62"/>
        <w:rPr>
          <w:rFonts w:ascii="宋体" w:hAnsi="宋体" w:eastAsia="宋体" w:cs="Times New Roman"/>
          <w:b/>
          <w:sz w:val="32"/>
          <w:szCs w:val="32"/>
        </w:rPr>
      </w:pPr>
    </w:p>
    <w:p w14:paraId="6FC28B04">
      <w:pPr>
        <w:snapToGrid w:val="0"/>
        <w:spacing w:line="520" w:lineRule="exact"/>
        <w:ind w:left="-2" w:leftChars="-72" w:right="-817" w:rightChars="-389" w:hanging="149" w:hangingChars="62"/>
        <w:jc w:val="center"/>
        <w:rPr>
          <w:rFonts w:ascii="宋体" w:hAnsi="宋体" w:eastAsia="宋体" w:cs="Times New Roman"/>
          <w:b/>
          <w:sz w:val="24"/>
          <w:szCs w:val="24"/>
        </w:rPr>
      </w:pPr>
      <w:r>
        <w:rPr>
          <w:rFonts w:hint="eastAsia" w:ascii="宋体" w:hAnsi="宋体" w:eastAsia="宋体" w:cs="Times New Roman"/>
          <w:b/>
          <w:sz w:val="24"/>
          <w:szCs w:val="24"/>
        </w:rPr>
        <w:t>（根据项目需要设定。格式自拟，</w:t>
      </w:r>
      <w:r>
        <w:rPr>
          <w:rFonts w:hint="eastAsia" w:ascii="宋体" w:hAnsi="宋体" w:eastAsia="宋体" w:cs="Times New Roman"/>
          <w:b/>
          <w:sz w:val="24"/>
          <w:szCs w:val="21"/>
        </w:rPr>
        <w:t>落款处需供应商盖章或法定代表人签字或盖章</w:t>
      </w:r>
      <w:r>
        <w:rPr>
          <w:rFonts w:hint="eastAsia" w:ascii="宋体" w:hAnsi="宋体" w:eastAsia="宋体" w:cs="Times New Roman"/>
          <w:b/>
          <w:sz w:val="24"/>
          <w:szCs w:val="24"/>
        </w:rPr>
        <w:t>）</w:t>
      </w:r>
    </w:p>
    <w:p w14:paraId="03CA6851">
      <w:pPr>
        <w:spacing w:afterLines="50" w:line="520" w:lineRule="exact"/>
        <w:jc w:val="center"/>
        <w:rPr>
          <w:rFonts w:ascii="宋体" w:hAnsi="宋体" w:eastAsia="宋体" w:cs="Times New Roman"/>
          <w:sz w:val="32"/>
          <w:szCs w:val="32"/>
        </w:rPr>
      </w:pPr>
      <w:r>
        <w:rPr>
          <w:rFonts w:ascii="宋体" w:hAnsi="宋体" w:eastAsia="宋体" w:cs="Times New Roman"/>
          <w:b/>
          <w:bCs/>
          <w:sz w:val="32"/>
          <w:szCs w:val="32"/>
        </w:rPr>
        <w:br w:type="page"/>
      </w:r>
      <w:r>
        <w:rPr>
          <w:rFonts w:ascii="宋体" w:hAnsi="宋体" w:eastAsia="宋体" w:cs="Times New Roman"/>
          <w:b/>
          <w:bCs/>
          <w:sz w:val="32"/>
          <w:szCs w:val="32"/>
        </w:rPr>
        <w:t>9</w:t>
      </w:r>
      <w:r>
        <w:rPr>
          <w:rFonts w:hint="eastAsia" w:ascii="宋体" w:hAnsi="宋体" w:eastAsia="宋体" w:cs="Times New Roman"/>
          <w:b/>
          <w:bCs/>
          <w:sz w:val="32"/>
          <w:szCs w:val="32"/>
        </w:rPr>
        <w:t>、</w:t>
      </w:r>
      <w:r>
        <w:rPr>
          <w:rFonts w:hint="eastAsia" w:ascii="宋体" w:hAnsi="宋体" w:eastAsia="宋体" w:cs="Lucida Sans Unicode"/>
          <w:b/>
          <w:sz w:val="32"/>
          <w:szCs w:val="32"/>
        </w:rPr>
        <w:t>磋商货物合格文件</w:t>
      </w:r>
    </w:p>
    <w:p w14:paraId="7B4CA3D4">
      <w:pPr>
        <w:snapToGrid w:val="0"/>
        <w:spacing w:line="520" w:lineRule="exact"/>
        <w:ind w:left="-2" w:leftChars="-72" w:right="-817" w:rightChars="-389" w:hanging="149" w:hangingChars="62"/>
        <w:jc w:val="center"/>
        <w:rPr>
          <w:rFonts w:ascii="宋体" w:hAnsi="宋体" w:eastAsia="宋体" w:cs="Times New Roman"/>
          <w:b/>
          <w:sz w:val="24"/>
          <w:szCs w:val="24"/>
        </w:rPr>
      </w:pPr>
    </w:p>
    <w:p w14:paraId="7169BA58">
      <w:pPr>
        <w:spacing w:line="360" w:lineRule="auto"/>
        <w:ind w:firstLine="420"/>
        <w:jc w:val="left"/>
        <w:rPr>
          <w:rFonts w:ascii="微软雅黑" w:hAnsi="微软雅黑" w:eastAsia="微软雅黑" w:cs="微软雅黑"/>
          <w:b/>
          <w:sz w:val="24"/>
          <w:szCs w:val="24"/>
          <w:u w:color="000000"/>
        </w:rPr>
      </w:pPr>
    </w:p>
    <w:p w14:paraId="599A0D2A">
      <w:pPr>
        <w:spacing w:line="360" w:lineRule="auto"/>
        <w:ind w:firstLine="420"/>
        <w:jc w:val="left"/>
        <w:rPr>
          <w:rFonts w:ascii="微软雅黑" w:hAnsi="微软雅黑" w:eastAsia="微软雅黑" w:cs="微软雅黑"/>
          <w:b/>
          <w:sz w:val="24"/>
          <w:szCs w:val="24"/>
          <w:u w:color="000000"/>
        </w:rPr>
      </w:pPr>
      <w:r>
        <w:rPr>
          <w:rFonts w:ascii="微软雅黑" w:hAnsi="微软雅黑" w:eastAsia="微软雅黑" w:cs="微软雅黑"/>
          <w:b/>
          <w:sz w:val="24"/>
          <w:szCs w:val="24"/>
          <w:u w:color="000000"/>
        </w:rPr>
        <w:br w:type="page"/>
      </w:r>
    </w:p>
    <w:p w14:paraId="563D30BA">
      <w:pPr>
        <w:spacing w:line="360" w:lineRule="auto"/>
        <w:ind w:firstLine="420"/>
        <w:jc w:val="center"/>
        <w:rPr>
          <w:rFonts w:ascii="宋体" w:hAnsi="宋体" w:eastAsia="宋体" w:cs="Times New Roman"/>
          <w:sz w:val="32"/>
          <w:szCs w:val="32"/>
        </w:rPr>
      </w:pPr>
      <w:r>
        <w:rPr>
          <w:rFonts w:ascii="宋体" w:hAnsi="宋体" w:eastAsia="宋体" w:cs="Times New Roman"/>
          <w:b/>
          <w:bCs/>
          <w:sz w:val="32"/>
          <w:szCs w:val="32"/>
        </w:rPr>
        <w:t>10</w:t>
      </w:r>
      <w:r>
        <w:rPr>
          <w:rFonts w:hint="eastAsia" w:ascii="宋体" w:hAnsi="宋体" w:eastAsia="宋体" w:cs="Times New Roman"/>
          <w:b/>
          <w:bCs/>
          <w:sz w:val="32"/>
          <w:szCs w:val="32"/>
        </w:rPr>
        <w:t>、磋商</w:t>
      </w:r>
      <w:r>
        <w:rPr>
          <w:rFonts w:hint="eastAsia" w:ascii="宋体" w:hAnsi="宋体" w:eastAsia="宋体" w:cs="Lucida Sans Unicode"/>
          <w:b/>
          <w:sz w:val="32"/>
          <w:szCs w:val="32"/>
        </w:rPr>
        <w:t>报价表</w:t>
      </w:r>
    </w:p>
    <w:p w14:paraId="63E7D411">
      <w:pPr>
        <w:snapToGrid w:val="0"/>
        <w:spacing w:line="520" w:lineRule="exact"/>
        <w:ind w:left="-20" w:leftChars="-72" w:right="-817" w:rightChars="-389" w:hanging="131" w:hangingChars="62"/>
        <w:rPr>
          <w:rFonts w:ascii="宋体" w:hAnsi="宋体" w:eastAsia="宋体" w:cs="Times New Roman"/>
          <w:b/>
          <w:szCs w:val="21"/>
        </w:rPr>
      </w:pPr>
      <w:r>
        <w:rPr>
          <w:rFonts w:hint="eastAsia" w:ascii="宋体" w:hAnsi="宋体" w:eastAsia="宋体" w:cs="Times New Roman"/>
          <w:b/>
          <w:szCs w:val="21"/>
        </w:rPr>
        <w:t xml:space="preserve">附件1：                </w:t>
      </w:r>
    </w:p>
    <w:p w14:paraId="0D959ECF">
      <w:pPr>
        <w:snapToGrid w:val="0"/>
        <w:spacing w:line="520" w:lineRule="exact"/>
        <w:ind w:left="-2" w:leftChars="-72" w:right="-817" w:rightChars="-389" w:hanging="149" w:hangingChars="62"/>
        <w:jc w:val="center"/>
        <w:rPr>
          <w:rFonts w:ascii="宋体" w:hAnsi="宋体" w:eastAsia="宋体" w:cs="Times New Roman"/>
          <w:sz w:val="24"/>
          <w:szCs w:val="21"/>
        </w:rPr>
      </w:pPr>
      <w:r>
        <w:rPr>
          <w:rFonts w:hint="eastAsia" w:ascii="宋体" w:hAnsi="宋体" w:eastAsia="宋体" w:cs="Times New Roman"/>
          <w:b/>
          <w:sz w:val="24"/>
          <w:szCs w:val="21"/>
        </w:rPr>
        <w:t>磋商报价明细表</w:t>
      </w:r>
      <w:r>
        <w:rPr>
          <w:rFonts w:hint="eastAsia" w:ascii="宋体" w:hAnsi="宋体" w:eastAsia="宋体" w:cs="Times New Roman"/>
          <w:sz w:val="24"/>
          <w:szCs w:val="21"/>
        </w:rPr>
        <w:t>（格式）</w:t>
      </w:r>
    </w:p>
    <w:p w14:paraId="7F3B74DD">
      <w:pPr>
        <w:spacing w:line="520" w:lineRule="exact"/>
        <w:rPr>
          <w:rFonts w:ascii="宋体" w:hAnsi="宋体" w:eastAsia="宋体" w:cs="Times New Roman"/>
          <w:sz w:val="24"/>
          <w:szCs w:val="28"/>
        </w:rPr>
      </w:pPr>
      <w:r>
        <w:rPr>
          <w:rFonts w:hint="eastAsia" w:ascii="宋体" w:hAnsi="宋体" w:eastAsia="宋体" w:cs="Times New Roman"/>
          <w:sz w:val="24"/>
          <w:szCs w:val="24"/>
        </w:rPr>
        <w:t>磋商响应</w:t>
      </w:r>
      <w:r>
        <w:rPr>
          <w:rFonts w:ascii="宋体" w:hAnsi="宋体" w:eastAsia="宋体" w:cs="Times New Roman"/>
          <w:sz w:val="24"/>
          <w:szCs w:val="28"/>
        </w:rPr>
        <w:t>供应商名称：</w:t>
      </w:r>
    </w:p>
    <w:p w14:paraId="1EC20472">
      <w:pPr>
        <w:spacing w:line="520" w:lineRule="exact"/>
        <w:rPr>
          <w:rFonts w:ascii="宋体" w:hAnsi="宋体" w:eastAsia="宋体" w:cs="Times New Roman"/>
          <w:sz w:val="24"/>
          <w:szCs w:val="28"/>
        </w:rPr>
      </w:pPr>
      <w:r>
        <w:rPr>
          <w:rFonts w:hint="eastAsia" w:ascii="宋体" w:hAnsi="宋体" w:eastAsia="宋体" w:cs="Times New Roman"/>
          <w:sz w:val="24"/>
          <w:szCs w:val="28"/>
        </w:rPr>
        <w:t>项目</w:t>
      </w:r>
      <w:r>
        <w:rPr>
          <w:rFonts w:ascii="宋体" w:hAnsi="宋体" w:eastAsia="宋体" w:cs="Times New Roman"/>
          <w:sz w:val="24"/>
          <w:szCs w:val="28"/>
        </w:rPr>
        <w:t>编号：</w:t>
      </w:r>
    </w:p>
    <w:p w14:paraId="7C1BD6A0">
      <w:pPr>
        <w:spacing w:line="520" w:lineRule="exact"/>
        <w:rPr>
          <w:rFonts w:ascii="宋体" w:hAnsi="宋体" w:eastAsia="宋体" w:cs="Times New Roman"/>
          <w:sz w:val="24"/>
          <w:szCs w:val="28"/>
        </w:rPr>
      </w:pPr>
      <w:r>
        <w:rPr>
          <w:rFonts w:ascii="宋体" w:hAnsi="宋体" w:eastAsia="宋体" w:cs="Times New Roman"/>
          <w:sz w:val="24"/>
          <w:szCs w:val="28"/>
        </w:rPr>
        <w:t>货币单位：元</w:t>
      </w:r>
    </w:p>
    <w:tbl>
      <w:tblPr>
        <w:tblStyle w:val="2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8"/>
        <w:gridCol w:w="1260"/>
        <w:gridCol w:w="720"/>
        <w:gridCol w:w="1260"/>
        <w:gridCol w:w="1152"/>
        <w:gridCol w:w="720"/>
        <w:gridCol w:w="720"/>
        <w:gridCol w:w="900"/>
        <w:gridCol w:w="1440"/>
      </w:tblGrid>
      <w:tr w14:paraId="3B7363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828" w:type="dxa"/>
            <w:tcBorders>
              <w:top w:val="single" w:color="auto" w:sz="4" w:space="0"/>
              <w:left w:val="single" w:color="auto" w:sz="4" w:space="0"/>
              <w:bottom w:val="nil"/>
              <w:right w:val="single" w:color="auto" w:sz="4" w:space="0"/>
            </w:tcBorders>
            <w:noWrap/>
            <w:vAlign w:val="center"/>
          </w:tcPr>
          <w:p w14:paraId="2E1C211E">
            <w:pPr>
              <w:tabs>
                <w:tab w:val="left" w:pos="1418"/>
              </w:tabs>
              <w:snapToGrid w:val="0"/>
              <w:spacing w:line="440" w:lineRule="exact"/>
              <w:jc w:val="center"/>
              <w:rPr>
                <w:rFonts w:ascii="宋体" w:hAnsi="宋体" w:eastAsia="宋体" w:cs="宋体"/>
                <w:sz w:val="22"/>
              </w:rPr>
            </w:pPr>
            <w:r>
              <w:rPr>
                <w:rFonts w:hint="eastAsia" w:ascii="宋体" w:hAnsi="宋体" w:eastAsia="宋体" w:cs="Times New Roman"/>
                <w:sz w:val="22"/>
              </w:rPr>
              <w:t>序号</w:t>
            </w:r>
          </w:p>
        </w:tc>
        <w:tc>
          <w:tcPr>
            <w:tcW w:w="1260" w:type="dxa"/>
            <w:tcBorders>
              <w:top w:val="single" w:color="auto" w:sz="4" w:space="0"/>
              <w:left w:val="single" w:color="auto" w:sz="4" w:space="0"/>
              <w:bottom w:val="nil"/>
              <w:right w:val="single" w:color="auto" w:sz="4" w:space="0"/>
            </w:tcBorders>
            <w:noWrap/>
            <w:vAlign w:val="center"/>
          </w:tcPr>
          <w:p w14:paraId="4AE1447E">
            <w:pPr>
              <w:tabs>
                <w:tab w:val="left" w:pos="1418"/>
              </w:tabs>
              <w:snapToGrid w:val="0"/>
              <w:spacing w:line="440" w:lineRule="exact"/>
              <w:jc w:val="center"/>
              <w:rPr>
                <w:rFonts w:ascii="宋体" w:hAnsi="宋体" w:eastAsia="宋体" w:cs="宋体"/>
                <w:sz w:val="22"/>
              </w:rPr>
            </w:pPr>
            <w:r>
              <w:rPr>
                <w:rFonts w:hint="eastAsia" w:ascii="宋体" w:hAnsi="宋体" w:eastAsia="宋体" w:cs="Times New Roman"/>
                <w:sz w:val="22"/>
              </w:rPr>
              <w:t>设备名称</w:t>
            </w:r>
          </w:p>
        </w:tc>
        <w:tc>
          <w:tcPr>
            <w:tcW w:w="720" w:type="dxa"/>
            <w:tcBorders>
              <w:top w:val="single" w:color="auto" w:sz="4" w:space="0"/>
              <w:left w:val="single" w:color="auto" w:sz="4" w:space="0"/>
              <w:bottom w:val="nil"/>
              <w:right w:val="single" w:color="auto" w:sz="4" w:space="0"/>
            </w:tcBorders>
            <w:noWrap/>
            <w:vAlign w:val="center"/>
          </w:tcPr>
          <w:p w14:paraId="4A29F04E">
            <w:pPr>
              <w:widowControl/>
              <w:snapToGrid w:val="0"/>
              <w:spacing w:line="440" w:lineRule="exact"/>
              <w:jc w:val="left"/>
              <w:rPr>
                <w:rFonts w:ascii="宋体" w:hAnsi="宋体" w:eastAsia="宋体" w:cs="宋体"/>
                <w:kern w:val="0"/>
                <w:sz w:val="22"/>
              </w:rPr>
            </w:pPr>
            <w:r>
              <w:rPr>
                <w:rFonts w:hint="eastAsia" w:ascii="宋体" w:hAnsi="宋体" w:eastAsia="宋体" w:cs="宋体"/>
                <w:kern w:val="0"/>
                <w:sz w:val="22"/>
              </w:rPr>
              <w:t>品牌</w:t>
            </w:r>
          </w:p>
        </w:tc>
        <w:tc>
          <w:tcPr>
            <w:tcW w:w="1260" w:type="dxa"/>
            <w:tcBorders>
              <w:top w:val="single" w:color="auto" w:sz="4" w:space="0"/>
              <w:left w:val="single" w:color="auto" w:sz="4" w:space="0"/>
              <w:bottom w:val="nil"/>
              <w:right w:val="single" w:color="auto" w:sz="4" w:space="0"/>
            </w:tcBorders>
            <w:noWrap/>
            <w:vAlign w:val="center"/>
          </w:tcPr>
          <w:p w14:paraId="0151E37B">
            <w:pPr>
              <w:tabs>
                <w:tab w:val="left" w:pos="1418"/>
              </w:tabs>
              <w:snapToGrid w:val="0"/>
              <w:spacing w:line="440" w:lineRule="exact"/>
              <w:jc w:val="center"/>
              <w:rPr>
                <w:rFonts w:ascii="宋体" w:hAnsi="宋体" w:eastAsia="宋体" w:cs="宋体"/>
                <w:sz w:val="22"/>
              </w:rPr>
            </w:pPr>
            <w:r>
              <w:rPr>
                <w:rFonts w:hint="eastAsia" w:ascii="宋体" w:hAnsi="宋体" w:eastAsia="宋体" w:cs="Times New Roman"/>
                <w:sz w:val="22"/>
              </w:rPr>
              <w:t>规格型号</w:t>
            </w:r>
          </w:p>
        </w:tc>
        <w:tc>
          <w:tcPr>
            <w:tcW w:w="1152" w:type="dxa"/>
            <w:tcBorders>
              <w:top w:val="single" w:color="auto" w:sz="4" w:space="0"/>
              <w:left w:val="single" w:color="auto" w:sz="4" w:space="0"/>
              <w:bottom w:val="nil"/>
              <w:right w:val="single" w:color="auto" w:sz="4" w:space="0"/>
            </w:tcBorders>
            <w:noWrap/>
            <w:vAlign w:val="center"/>
          </w:tcPr>
          <w:p w14:paraId="4C4996F6">
            <w:pPr>
              <w:tabs>
                <w:tab w:val="left" w:pos="1418"/>
              </w:tabs>
              <w:snapToGrid w:val="0"/>
              <w:spacing w:line="440" w:lineRule="exact"/>
              <w:jc w:val="center"/>
              <w:rPr>
                <w:rFonts w:ascii="宋体" w:hAnsi="宋体" w:eastAsia="宋体" w:cs="宋体"/>
                <w:sz w:val="22"/>
              </w:rPr>
            </w:pPr>
            <w:r>
              <w:rPr>
                <w:rFonts w:hint="eastAsia" w:ascii="宋体" w:hAnsi="宋体" w:eastAsia="宋体" w:cs="Times New Roman"/>
                <w:spacing w:val="20"/>
                <w:sz w:val="22"/>
              </w:rPr>
              <w:t>原产地</w:t>
            </w:r>
          </w:p>
        </w:tc>
        <w:tc>
          <w:tcPr>
            <w:tcW w:w="720" w:type="dxa"/>
            <w:tcBorders>
              <w:top w:val="single" w:color="auto" w:sz="4" w:space="0"/>
              <w:left w:val="single" w:color="auto" w:sz="4" w:space="0"/>
              <w:bottom w:val="nil"/>
              <w:right w:val="single" w:color="auto" w:sz="4" w:space="0"/>
            </w:tcBorders>
            <w:noWrap/>
            <w:vAlign w:val="center"/>
          </w:tcPr>
          <w:p w14:paraId="23783834">
            <w:pPr>
              <w:tabs>
                <w:tab w:val="left" w:pos="1418"/>
              </w:tabs>
              <w:snapToGrid w:val="0"/>
              <w:spacing w:line="440" w:lineRule="exact"/>
              <w:jc w:val="center"/>
              <w:rPr>
                <w:rFonts w:ascii="宋体" w:hAnsi="宋体" w:eastAsia="宋体" w:cs="宋体"/>
                <w:sz w:val="22"/>
              </w:rPr>
            </w:pPr>
            <w:r>
              <w:rPr>
                <w:rFonts w:hint="eastAsia" w:ascii="宋体" w:hAnsi="宋体" w:eastAsia="宋体" w:cs="Times New Roman"/>
                <w:sz w:val="22"/>
              </w:rPr>
              <w:t>单位</w:t>
            </w:r>
          </w:p>
        </w:tc>
        <w:tc>
          <w:tcPr>
            <w:tcW w:w="720" w:type="dxa"/>
            <w:tcBorders>
              <w:top w:val="single" w:color="auto" w:sz="4" w:space="0"/>
              <w:left w:val="single" w:color="auto" w:sz="4" w:space="0"/>
              <w:bottom w:val="nil"/>
              <w:right w:val="single" w:color="auto" w:sz="4" w:space="0"/>
            </w:tcBorders>
            <w:noWrap/>
            <w:vAlign w:val="center"/>
          </w:tcPr>
          <w:p w14:paraId="77ABA866">
            <w:pPr>
              <w:tabs>
                <w:tab w:val="left" w:pos="1418"/>
              </w:tabs>
              <w:snapToGrid w:val="0"/>
              <w:spacing w:line="440" w:lineRule="exact"/>
              <w:jc w:val="center"/>
              <w:rPr>
                <w:rFonts w:ascii="宋体" w:hAnsi="宋体" w:eastAsia="宋体" w:cs="宋体"/>
                <w:sz w:val="22"/>
              </w:rPr>
            </w:pPr>
            <w:r>
              <w:rPr>
                <w:rFonts w:hint="eastAsia" w:ascii="宋体" w:hAnsi="宋体" w:eastAsia="宋体" w:cs="Times New Roman"/>
                <w:sz w:val="22"/>
              </w:rPr>
              <w:t>数量</w:t>
            </w:r>
          </w:p>
        </w:tc>
        <w:tc>
          <w:tcPr>
            <w:tcW w:w="900" w:type="dxa"/>
            <w:tcBorders>
              <w:top w:val="single" w:color="auto" w:sz="4" w:space="0"/>
              <w:left w:val="single" w:color="auto" w:sz="4" w:space="0"/>
              <w:bottom w:val="nil"/>
              <w:right w:val="single" w:color="auto" w:sz="4" w:space="0"/>
            </w:tcBorders>
            <w:noWrap/>
            <w:vAlign w:val="center"/>
          </w:tcPr>
          <w:p w14:paraId="697C7025">
            <w:pPr>
              <w:tabs>
                <w:tab w:val="left" w:pos="1418"/>
              </w:tabs>
              <w:snapToGrid w:val="0"/>
              <w:spacing w:line="440" w:lineRule="exact"/>
              <w:jc w:val="center"/>
              <w:rPr>
                <w:rFonts w:ascii="宋体" w:hAnsi="宋体" w:eastAsia="宋体" w:cs="宋体"/>
                <w:sz w:val="22"/>
              </w:rPr>
            </w:pPr>
            <w:r>
              <w:rPr>
                <w:rFonts w:hint="eastAsia" w:ascii="宋体" w:hAnsi="宋体" w:eastAsia="宋体" w:cs="Times New Roman"/>
                <w:sz w:val="22"/>
              </w:rPr>
              <w:t>单价</w:t>
            </w:r>
          </w:p>
        </w:tc>
        <w:tc>
          <w:tcPr>
            <w:tcW w:w="1440" w:type="dxa"/>
            <w:tcBorders>
              <w:top w:val="single" w:color="auto" w:sz="4" w:space="0"/>
              <w:left w:val="single" w:color="auto" w:sz="4" w:space="0"/>
              <w:bottom w:val="nil"/>
              <w:right w:val="single" w:color="auto" w:sz="4" w:space="0"/>
            </w:tcBorders>
            <w:noWrap/>
            <w:vAlign w:val="center"/>
          </w:tcPr>
          <w:p w14:paraId="5CEF52AA">
            <w:pPr>
              <w:tabs>
                <w:tab w:val="left" w:pos="1418"/>
              </w:tabs>
              <w:snapToGrid w:val="0"/>
              <w:spacing w:line="440" w:lineRule="exact"/>
              <w:jc w:val="center"/>
              <w:rPr>
                <w:rFonts w:ascii="宋体" w:hAnsi="宋体" w:eastAsia="宋体" w:cs="宋体"/>
                <w:sz w:val="22"/>
              </w:rPr>
            </w:pPr>
            <w:r>
              <w:rPr>
                <w:rFonts w:hint="eastAsia" w:ascii="宋体" w:hAnsi="宋体" w:eastAsia="宋体" w:cs="Times New Roman"/>
                <w:sz w:val="22"/>
              </w:rPr>
              <w:t>总价</w:t>
            </w:r>
          </w:p>
        </w:tc>
      </w:tr>
      <w:tr w14:paraId="479966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tcPr>
          <w:p w14:paraId="5C2D0B7A">
            <w:pPr>
              <w:spacing w:line="44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6A9DD0CB">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3A4D40BA">
            <w:pPr>
              <w:spacing w:line="44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763F1AE6">
            <w:pPr>
              <w:spacing w:line="440" w:lineRule="exact"/>
              <w:rPr>
                <w:rFonts w:ascii="宋体" w:hAnsi="宋体" w:eastAsia="宋体" w:cs="宋体"/>
                <w:sz w:val="22"/>
              </w:rPr>
            </w:pPr>
          </w:p>
        </w:tc>
        <w:tc>
          <w:tcPr>
            <w:tcW w:w="1152" w:type="dxa"/>
            <w:tcBorders>
              <w:top w:val="single" w:color="auto" w:sz="4" w:space="0"/>
              <w:left w:val="single" w:color="auto" w:sz="4" w:space="0"/>
              <w:bottom w:val="single" w:color="auto" w:sz="4" w:space="0"/>
              <w:right w:val="single" w:color="auto" w:sz="4" w:space="0"/>
            </w:tcBorders>
            <w:noWrap/>
          </w:tcPr>
          <w:p w14:paraId="4DFC5159">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72976A9F">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24BD17D8">
            <w:pPr>
              <w:spacing w:line="440" w:lineRule="exact"/>
              <w:rPr>
                <w:rFonts w:ascii="宋体" w:hAnsi="宋体" w:eastAsia="宋体" w:cs="宋体"/>
                <w:sz w:val="22"/>
              </w:rPr>
            </w:pPr>
          </w:p>
        </w:tc>
        <w:tc>
          <w:tcPr>
            <w:tcW w:w="900" w:type="dxa"/>
            <w:tcBorders>
              <w:top w:val="single" w:color="auto" w:sz="4" w:space="0"/>
              <w:left w:val="single" w:color="auto" w:sz="4" w:space="0"/>
              <w:bottom w:val="single" w:color="auto" w:sz="4" w:space="0"/>
              <w:right w:val="single" w:color="auto" w:sz="4" w:space="0"/>
            </w:tcBorders>
            <w:noWrap/>
          </w:tcPr>
          <w:p w14:paraId="48FE7011">
            <w:pPr>
              <w:spacing w:line="440" w:lineRule="exact"/>
              <w:rPr>
                <w:rFonts w:ascii="宋体" w:hAnsi="宋体" w:eastAsia="宋体" w:cs="宋体"/>
                <w:sz w:val="22"/>
              </w:rPr>
            </w:pPr>
          </w:p>
        </w:tc>
        <w:tc>
          <w:tcPr>
            <w:tcW w:w="1440" w:type="dxa"/>
            <w:tcBorders>
              <w:top w:val="single" w:color="auto" w:sz="4" w:space="0"/>
              <w:left w:val="single" w:color="auto" w:sz="4" w:space="0"/>
              <w:bottom w:val="single" w:color="auto" w:sz="4" w:space="0"/>
              <w:right w:val="single" w:color="auto" w:sz="4" w:space="0"/>
            </w:tcBorders>
            <w:noWrap/>
          </w:tcPr>
          <w:p w14:paraId="392EC835">
            <w:pPr>
              <w:spacing w:line="440" w:lineRule="exact"/>
              <w:rPr>
                <w:rFonts w:ascii="宋体" w:hAnsi="宋体" w:eastAsia="宋体" w:cs="宋体"/>
                <w:sz w:val="22"/>
              </w:rPr>
            </w:pPr>
          </w:p>
        </w:tc>
      </w:tr>
      <w:tr w14:paraId="100C0C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tcPr>
          <w:p w14:paraId="5624A1D6">
            <w:pPr>
              <w:spacing w:line="44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453AADA3">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247E0750">
            <w:pPr>
              <w:spacing w:line="44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0EDA6647">
            <w:pPr>
              <w:spacing w:line="440" w:lineRule="exact"/>
              <w:rPr>
                <w:rFonts w:ascii="宋体" w:hAnsi="宋体" w:eastAsia="宋体" w:cs="宋体"/>
                <w:sz w:val="22"/>
              </w:rPr>
            </w:pPr>
          </w:p>
        </w:tc>
        <w:tc>
          <w:tcPr>
            <w:tcW w:w="1152" w:type="dxa"/>
            <w:tcBorders>
              <w:top w:val="single" w:color="auto" w:sz="4" w:space="0"/>
              <w:left w:val="single" w:color="auto" w:sz="4" w:space="0"/>
              <w:bottom w:val="single" w:color="auto" w:sz="4" w:space="0"/>
              <w:right w:val="single" w:color="auto" w:sz="4" w:space="0"/>
            </w:tcBorders>
            <w:noWrap/>
          </w:tcPr>
          <w:p w14:paraId="3779C970">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0EB47619">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6DE5D7DC">
            <w:pPr>
              <w:spacing w:line="440" w:lineRule="exact"/>
              <w:rPr>
                <w:rFonts w:ascii="宋体" w:hAnsi="宋体" w:eastAsia="宋体" w:cs="宋体"/>
                <w:sz w:val="22"/>
              </w:rPr>
            </w:pPr>
          </w:p>
        </w:tc>
        <w:tc>
          <w:tcPr>
            <w:tcW w:w="900" w:type="dxa"/>
            <w:tcBorders>
              <w:top w:val="single" w:color="auto" w:sz="4" w:space="0"/>
              <w:left w:val="single" w:color="auto" w:sz="4" w:space="0"/>
              <w:bottom w:val="single" w:color="auto" w:sz="4" w:space="0"/>
              <w:right w:val="single" w:color="auto" w:sz="4" w:space="0"/>
            </w:tcBorders>
            <w:noWrap/>
          </w:tcPr>
          <w:p w14:paraId="226BE7C5">
            <w:pPr>
              <w:spacing w:line="440" w:lineRule="exact"/>
              <w:rPr>
                <w:rFonts w:ascii="宋体" w:hAnsi="宋体" w:eastAsia="宋体" w:cs="宋体"/>
                <w:sz w:val="22"/>
              </w:rPr>
            </w:pPr>
          </w:p>
        </w:tc>
        <w:tc>
          <w:tcPr>
            <w:tcW w:w="1440" w:type="dxa"/>
            <w:tcBorders>
              <w:top w:val="single" w:color="auto" w:sz="4" w:space="0"/>
              <w:left w:val="single" w:color="auto" w:sz="4" w:space="0"/>
              <w:bottom w:val="single" w:color="auto" w:sz="4" w:space="0"/>
              <w:right w:val="single" w:color="auto" w:sz="4" w:space="0"/>
            </w:tcBorders>
            <w:noWrap/>
          </w:tcPr>
          <w:p w14:paraId="4361AE63">
            <w:pPr>
              <w:spacing w:line="440" w:lineRule="exact"/>
              <w:rPr>
                <w:rFonts w:ascii="宋体" w:hAnsi="宋体" w:eastAsia="宋体" w:cs="宋体"/>
                <w:sz w:val="22"/>
              </w:rPr>
            </w:pPr>
          </w:p>
        </w:tc>
      </w:tr>
      <w:tr w14:paraId="1D8433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tcPr>
          <w:p w14:paraId="2FE6A460">
            <w:pPr>
              <w:spacing w:line="44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0E2AF228">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776378C2">
            <w:pPr>
              <w:spacing w:line="44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7490AAA2">
            <w:pPr>
              <w:spacing w:line="440" w:lineRule="exact"/>
              <w:rPr>
                <w:rFonts w:ascii="宋体" w:hAnsi="宋体" w:eastAsia="宋体" w:cs="宋体"/>
                <w:sz w:val="22"/>
              </w:rPr>
            </w:pPr>
          </w:p>
        </w:tc>
        <w:tc>
          <w:tcPr>
            <w:tcW w:w="1152" w:type="dxa"/>
            <w:tcBorders>
              <w:top w:val="single" w:color="auto" w:sz="4" w:space="0"/>
              <w:left w:val="single" w:color="auto" w:sz="4" w:space="0"/>
              <w:bottom w:val="single" w:color="auto" w:sz="4" w:space="0"/>
              <w:right w:val="single" w:color="auto" w:sz="4" w:space="0"/>
            </w:tcBorders>
            <w:noWrap/>
          </w:tcPr>
          <w:p w14:paraId="750A4C90">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498B82D9">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70D8625B">
            <w:pPr>
              <w:spacing w:line="440" w:lineRule="exact"/>
              <w:rPr>
                <w:rFonts w:ascii="宋体" w:hAnsi="宋体" w:eastAsia="宋体" w:cs="宋体"/>
                <w:sz w:val="22"/>
              </w:rPr>
            </w:pPr>
          </w:p>
        </w:tc>
        <w:tc>
          <w:tcPr>
            <w:tcW w:w="900" w:type="dxa"/>
            <w:tcBorders>
              <w:top w:val="single" w:color="auto" w:sz="4" w:space="0"/>
              <w:left w:val="single" w:color="auto" w:sz="4" w:space="0"/>
              <w:bottom w:val="single" w:color="auto" w:sz="4" w:space="0"/>
              <w:right w:val="single" w:color="auto" w:sz="4" w:space="0"/>
            </w:tcBorders>
            <w:noWrap/>
          </w:tcPr>
          <w:p w14:paraId="467C8ED0">
            <w:pPr>
              <w:spacing w:line="440" w:lineRule="exact"/>
              <w:rPr>
                <w:rFonts w:ascii="宋体" w:hAnsi="宋体" w:eastAsia="宋体" w:cs="宋体"/>
                <w:sz w:val="22"/>
              </w:rPr>
            </w:pPr>
          </w:p>
        </w:tc>
        <w:tc>
          <w:tcPr>
            <w:tcW w:w="1440" w:type="dxa"/>
            <w:tcBorders>
              <w:top w:val="single" w:color="auto" w:sz="4" w:space="0"/>
              <w:left w:val="single" w:color="auto" w:sz="4" w:space="0"/>
              <w:bottom w:val="single" w:color="auto" w:sz="4" w:space="0"/>
              <w:right w:val="single" w:color="auto" w:sz="4" w:space="0"/>
            </w:tcBorders>
            <w:noWrap/>
          </w:tcPr>
          <w:p w14:paraId="61A9CC89">
            <w:pPr>
              <w:spacing w:line="440" w:lineRule="exact"/>
              <w:rPr>
                <w:rFonts w:ascii="宋体" w:hAnsi="宋体" w:eastAsia="宋体" w:cs="宋体"/>
                <w:sz w:val="22"/>
              </w:rPr>
            </w:pPr>
          </w:p>
        </w:tc>
      </w:tr>
      <w:tr w14:paraId="65298B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tcPr>
          <w:p w14:paraId="388EBBAB">
            <w:pPr>
              <w:spacing w:line="44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65164D54">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0798DBEA">
            <w:pPr>
              <w:spacing w:line="44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4C224A65">
            <w:pPr>
              <w:spacing w:line="440" w:lineRule="exact"/>
              <w:rPr>
                <w:rFonts w:ascii="宋体" w:hAnsi="宋体" w:eastAsia="宋体" w:cs="宋体"/>
                <w:sz w:val="22"/>
              </w:rPr>
            </w:pPr>
          </w:p>
        </w:tc>
        <w:tc>
          <w:tcPr>
            <w:tcW w:w="1152" w:type="dxa"/>
            <w:tcBorders>
              <w:top w:val="single" w:color="auto" w:sz="4" w:space="0"/>
              <w:left w:val="single" w:color="auto" w:sz="4" w:space="0"/>
              <w:bottom w:val="single" w:color="auto" w:sz="4" w:space="0"/>
              <w:right w:val="single" w:color="auto" w:sz="4" w:space="0"/>
            </w:tcBorders>
            <w:noWrap/>
          </w:tcPr>
          <w:p w14:paraId="1738DCA6">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6B40E533">
            <w:pPr>
              <w:spacing w:line="440" w:lineRule="exact"/>
              <w:rPr>
                <w:rFonts w:ascii="宋体" w:hAnsi="宋体" w:eastAsia="宋体" w:cs="宋体"/>
                <w:sz w:val="22"/>
              </w:rPr>
            </w:pPr>
          </w:p>
        </w:tc>
        <w:tc>
          <w:tcPr>
            <w:tcW w:w="720" w:type="dxa"/>
            <w:tcBorders>
              <w:top w:val="single" w:color="auto" w:sz="4" w:space="0"/>
              <w:left w:val="single" w:color="auto" w:sz="4" w:space="0"/>
              <w:bottom w:val="single" w:color="auto" w:sz="4" w:space="0"/>
              <w:right w:val="single" w:color="auto" w:sz="4" w:space="0"/>
            </w:tcBorders>
            <w:noWrap/>
          </w:tcPr>
          <w:p w14:paraId="1FBC7212">
            <w:pPr>
              <w:spacing w:line="440" w:lineRule="exact"/>
              <w:rPr>
                <w:rFonts w:ascii="宋体" w:hAnsi="宋体" w:eastAsia="宋体" w:cs="宋体"/>
                <w:sz w:val="22"/>
              </w:rPr>
            </w:pPr>
          </w:p>
        </w:tc>
        <w:tc>
          <w:tcPr>
            <w:tcW w:w="900" w:type="dxa"/>
            <w:tcBorders>
              <w:top w:val="single" w:color="auto" w:sz="4" w:space="0"/>
              <w:left w:val="single" w:color="auto" w:sz="4" w:space="0"/>
              <w:bottom w:val="single" w:color="auto" w:sz="4" w:space="0"/>
              <w:right w:val="single" w:color="auto" w:sz="4" w:space="0"/>
            </w:tcBorders>
            <w:noWrap/>
          </w:tcPr>
          <w:p w14:paraId="67082138">
            <w:pPr>
              <w:spacing w:line="440" w:lineRule="exact"/>
              <w:rPr>
                <w:rFonts w:ascii="宋体" w:hAnsi="宋体" w:eastAsia="宋体" w:cs="宋体"/>
                <w:sz w:val="22"/>
              </w:rPr>
            </w:pPr>
          </w:p>
        </w:tc>
        <w:tc>
          <w:tcPr>
            <w:tcW w:w="1440" w:type="dxa"/>
            <w:tcBorders>
              <w:top w:val="single" w:color="auto" w:sz="4" w:space="0"/>
              <w:left w:val="single" w:color="auto" w:sz="4" w:space="0"/>
              <w:bottom w:val="single" w:color="auto" w:sz="4" w:space="0"/>
              <w:right w:val="single" w:color="auto" w:sz="4" w:space="0"/>
            </w:tcBorders>
            <w:noWrap/>
          </w:tcPr>
          <w:p w14:paraId="74CF685F">
            <w:pPr>
              <w:spacing w:line="440" w:lineRule="exact"/>
              <w:rPr>
                <w:rFonts w:ascii="宋体" w:hAnsi="宋体" w:eastAsia="宋体" w:cs="宋体"/>
                <w:sz w:val="22"/>
              </w:rPr>
            </w:pPr>
          </w:p>
        </w:tc>
      </w:tr>
      <w:tr w14:paraId="44C6BC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828" w:type="dxa"/>
            <w:tcBorders>
              <w:top w:val="single" w:color="auto" w:sz="4" w:space="0"/>
              <w:left w:val="single" w:color="auto" w:sz="4" w:space="0"/>
              <w:bottom w:val="single" w:color="auto" w:sz="4" w:space="0"/>
              <w:right w:val="single" w:color="auto" w:sz="4" w:space="0"/>
            </w:tcBorders>
            <w:noWrap/>
          </w:tcPr>
          <w:p w14:paraId="1603D78C">
            <w:pPr>
              <w:spacing w:line="440" w:lineRule="exact"/>
              <w:rPr>
                <w:rFonts w:ascii="宋体" w:hAnsi="宋体" w:eastAsia="宋体" w:cs="宋体"/>
                <w:sz w:val="22"/>
              </w:rPr>
            </w:pPr>
          </w:p>
        </w:tc>
        <w:tc>
          <w:tcPr>
            <w:tcW w:w="6732" w:type="dxa"/>
            <w:gridSpan w:val="7"/>
            <w:tcBorders>
              <w:top w:val="single" w:color="auto" w:sz="4" w:space="0"/>
              <w:left w:val="single" w:color="auto" w:sz="4" w:space="0"/>
              <w:bottom w:val="single" w:color="auto" w:sz="4" w:space="0"/>
              <w:right w:val="single" w:color="auto" w:sz="4" w:space="0"/>
            </w:tcBorders>
            <w:noWrap/>
          </w:tcPr>
          <w:p w14:paraId="0CF84C71">
            <w:pPr>
              <w:spacing w:line="440" w:lineRule="exact"/>
              <w:jc w:val="left"/>
              <w:outlineLvl w:val="0"/>
              <w:rPr>
                <w:rFonts w:ascii="宋体" w:hAnsi="宋体" w:eastAsia="宋体" w:cs="宋体"/>
                <w:kern w:val="0"/>
                <w:sz w:val="22"/>
              </w:rPr>
            </w:pPr>
            <w:r>
              <w:rPr>
                <w:rFonts w:hint="eastAsia" w:ascii="宋体" w:hAnsi="宋体" w:eastAsia="宋体" w:cs="宋体"/>
                <w:kern w:val="0"/>
                <w:sz w:val="22"/>
              </w:rPr>
              <w:t>技术服务费(含培训费等)</w:t>
            </w:r>
          </w:p>
        </w:tc>
        <w:tc>
          <w:tcPr>
            <w:tcW w:w="1440" w:type="dxa"/>
            <w:tcBorders>
              <w:top w:val="single" w:color="auto" w:sz="4" w:space="0"/>
              <w:left w:val="single" w:color="auto" w:sz="4" w:space="0"/>
              <w:bottom w:val="single" w:color="auto" w:sz="4" w:space="0"/>
              <w:right w:val="single" w:color="auto" w:sz="4" w:space="0"/>
            </w:tcBorders>
            <w:noWrap/>
          </w:tcPr>
          <w:p w14:paraId="1912295F">
            <w:pPr>
              <w:spacing w:line="440" w:lineRule="exact"/>
              <w:rPr>
                <w:rFonts w:ascii="宋体" w:hAnsi="宋体" w:eastAsia="宋体" w:cs="宋体"/>
                <w:sz w:val="22"/>
              </w:rPr>
            </w:pPr>
          </w:p>
        </w:tc>
      </w:tr>
      <w:tr w14:paraId="37DEE3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828" w:type="dxa"/>
            <w:tcBorders>
              <w:top w:val="single" w:color="auto" w:sz="4" w:space="0"/>
              <w:left w:val="single" w:color="auto" w:sz="4" w:space="0"/>
              <w:bottom w:val="single" w:color="auto" w:sz="4" w:space="0"/>
              <w:right w:val="single" w:color="auto" w:sz="4" w:space="0"/>
            </w:tcBorders>
            <w:noWrap/>
          </w:tcPr>
          <w:p w14:paraId="0CF5F666">
            <w:pPr>
              <w:spacing w:line="440" w:lineRule="exact"/>
              <w:rPr>
                <w:rFonts w:ascii="宋体" w:hAnsi="宋体" w:eastAsia="宋体" w:cs="宋体"/>
                <w:sz w:val="22"/>
              </w:rPr>
            </w:pPr>
          </w:p>
        </w:tc>
        <w:tc>
          <w:tcPr>
            <w:tcW w:w="6732" w:type="dxa"/>
            <w:gridSpan w:val="7"/>
            <w:tcBorders>
              <w:top w:val="single" w:color="auto" w:sz="4" w:space="0"/>
              <w:left w:val="single" w:color="auto" w:sz="4" w:space="0"/>
              <w:bottom w:val="single" w:color="auto" w:sz="4" w:space="0"/>
              <w:right w:val="single" w:color="auto" w:sz="4" w:space="0"/>
            </w:tcBorders>
            <w:noWrap/>
          </w:tcPr>
          <w:p w14:paraId="32D70399">
            <w:pPr>
              <w:spacing w:line="440" w:lineRule="exact"/>
              <w:jc w:val="left"/>
              <w:outlineLvl w:val="0"/>
              <w:rPr>
                <w:rFonts w:ascii="宋体" w:hAnsi="宋体" w:eastAsia="宋体" w:cs="宋体"/>
                <w:kern w:val="0"/>
                <w:sz w:val="22"/>
              </w:rPr>
            </w:pPr>
            <w:r>
              <w:rPr>
                <w:rFonts w:hint="eastAsia" w:ascii="宋体" w:hAnsi="宋体" w:eastAsia="宋体" w:cs="宋体"/>
                <w:kern w:val="0"/>
                <w:sz w:val="22"/>
              </w:rPr>
              <w:t>安装调试费</w:t>
            </w:r>
          </w:p>
        </w:tc>
        <w:tc>
          <w:tcPr>
            <w:tcW w:w="1440" w:type="dxa"/>
            <w:tcBorders>
              <w:top w:val="single" w:color="auto" w:sz="4" w:space="0"/>
              <w:left w:val="single" w:color="auto" w:sz="4" w:space="0"/>
              <w:bottom w:val="single" w:color="auto" w:sz="4" w:space="0"/>
              <w:right w:val="single" w:color="auto" w:sz="4" w:space="0"/>
            </w:tcBorders>
            <w:noWrap/>
          </w:tcPr>
          <w:p w14:paraId="58139719">
            <w:pPr>
              <w:spacing w:line="440" w:lineRule="exact"/>
              <w:rPr>
                <w:rFonts w:ascii="宋体" w:hAnsi="宋体" w:eastAsia="宋体" w:cs="宋体"/>
                <w:sz w:val="22"/>
              </w:rPr>
            </w:pPr>
          </w:p>
        </w:tc>
      </w:tr>
      <w:tr w14:paraId="043955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828" w:type="dxa"/>
            <w:tcBorders>
              <w:top w:val="single" w:color="auto" w:sz="4" w:space="0"/>
              <w:left w:val="single" w:color="auto" w:sz="4" w:space="0"/>
              <w:bottom w:val="single" w:color="auto" w:sz="4" w:space="0"/>
              <w:right w:val="single" w:color="auto" w:sz="4" w:space="0"/>
            </w:tcBorders>
            <w:noWrap/>
          </w:tcPr>
          <w:p w14:paraId="1624B22D">
            <w:pPr>
              <w:spacing w:line="440" w:lineRule="exact"/>
              <w:rPr>
                <w:rFonts w:ascii="宋体" w:hAnsi="宋体" w:eastAsia="宋体" w:cs="宋体"/>
                <w:sz w:val="22"/>
              </w:rPr>
            </w:pPr>
          </w:p>
        </w:tc>
        <w:tc>
          <w:tcPr>
            <w:tcW w:w="6732" w:type="dxa"/>
            <w:gridSpan w:val="7"/>
            <w:tcBorders>
              <w:top w:val="single" w:color="auto" w:sz="4" w:space="0"/>
              <w:left w:val="single" w:color="auto" w:sz="4" w:space="0"/>
              <w:bottom w:val="single" w:color="auto" w:sz="4" w:space="0"/>
              <w:right w:val="single" w:color="auto" w:sz="4" w:space="0"/>
            </w:tcBorders>
            <w:noWrap/>
          </w:tcPr>
          <w:p w14:paraId="16DF3681">
            <w:pPr>
              <w:spacing w:line="440" w:lineRule="exact"/>
              <w:jc w:val="left"/>
              <w:outlineLvl w:val="0"/>
              <w:rPr>
                <w:rFonts w:ascii="宋体" w:hAnsi="宋体" w:eastAsia="宋体" w:cs="宋体"/>
                <w:kern w:val="0"/>
                <w:sz w:val="22"/>
              </w:rPr>
            </w:pPr>
            <w:r>
              <w:rPr>
                <w:rFonts w:hint="eastAsia" w:ascii="宋体" w:hAnsi="宋体" w:eastAsia="宋体" w:cs="宋体"/>
                <w:kern w:val="0"/>
                <w:sz w:val="22"/>
              </w:rPr>
              <w:t>税费</w:t>
            </w:r>
          </w:p>
        </w:tc>
        <w:tc>
          <w:tcPr>
            <w:tcW w:w="1440" w:type="dxa"/>
            <w:tcBorders>
              <w:top w:val="single" w:color="auto" w:sz="4" w:space="0"/>
              <w:left w:val="single" w:color="auto" w:sz="4" w:space="0"/>
              <w:bottom w:val="single" w:color="auto" w:sz="4" w:space="0"/>
              <w:right w:val="single" w:color="auto" w:sz="4" w:space="0"/>
            </w:tcBorders>
            <w:noWrap/>
          </w:tcPr>
          <w:p w14:paraId="1B91E4B3">
            <w:pPr>
              <w:spacing w:line="440" w:lineRule="exact"/>
              <w:rPr>
                <w:rFonts w:ascii="宋体" w:hAnsi="宋体" w:eastAsia="宋体" w:cs="宋体"/>
                <w:sz w:val="22"/>
              </w:rPr>
            </w:pPr>
          </w:p>
        </w:tc>
      </w:tr>
      <w:tr w14:paraId="611C8F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828" w:type="dxa"/>
            <w:tcBorders>
              <w:top w:val="single" w:color="auto" w:sz="4" w:space="0"/>
              <w:left w:val="single" w:color="auto" w:sz="4" w:space="0"/>
              <w:bottom w:val="single" w:color="auto" w:sz="4" w:space="0"/>
              <w:right w:val="single" w:color="auto" w:sz="4" w:space="0"/>
            </w:tcBorders>
            <w:noWrap/>
          </w:tcPr>
          <w:p w14:paraId="1D2F8F59">
            <w:pPr>
              <w:spacing w:line="440" w:lineRule="exact"/>
              <w:rPr>
                <w:rFonts w:ascii="宋体" w:hAnsi="宋体" w:eastAsia="宋体" w:cs="宋体"/>
                <w:sz w:val="22"/>
              </w:rPr>
            </w:pPr>
          </w:p>
        </w:tc>
        <w:tc>
          <w:tcPr>
            <w:tcW w:w="6732" w:type="dxa"/>
            <w:gridSpan w:val="7"/>
            <w:tcBorders>
              <w:top w:val="single" w:color="auto" w:sz="4" w:space="0"/>
              <w:left w:val="single" w:color="auto" w:sz="4" w:space="0"/>
              <w:bottom w:val="single" w:color="auto" w:sz="4" w:space="0"/>
              <w:right w:val="single" w:color="auto" w:sz="4" w:space="0"/>
            </w:tcBorders>
            <w:noWrap/>
          </w:tcPr>
          <w:p w14:paraId="77A9F711">
            <w:pPr>
              <w:spacing w:line="440" w:lineRule="exact"/>
              <w:jc w:val="left"/>
              <w:outlineLvl w:val="0"/>
              <w:rPr>
                <w:rFonts w:ascii="宋体" w:hAnsi="宋体" w:eastAsia="宋体" w:cs="宋体"/>
                <w:kern w:val="0"/>
                <w:sz w:val="22"/>
              </w:rPr>
            </w:pPr>
            <w:r>
              <w:rPr>
                <w:rFonts w:hint="eastAsia" w:ascii="宋体" w:hAnsi="宋体" w:eastAsia="宋体" w:cs="宋体"/>
                <w:kern w:val="0"/>
                <w:sz w:val="22"/>
              </w:rPr>
              <w:t>运输至最终目的运费及保险费等</w:t>
            </w:r>
          </w:p>
        </w:tc>
        <w:tc>
          <w:tcPr>
            <w:tcW w:w="1440" w:type="dxa"/>
            <w:tcBorders>
              <w:top w:val="single" w:color="auto" w:sz="4" w:space="0"/>
              <w:left w:val="single" w:color="auto" w:sz="4" w:space="0"/>
              <w:bottom w:val="single" w:color="auto" w:sz="4" w:space="0"/>
              <w:right w:val="single" w:color="auto" w:sz="4" w:space="0"/>
            </w:tcBorders>
            <w:noWrap/>
          </w:tcPr>
          <w:p w14:paraId="56B137B8">
            <w:pPr>
              <w:spacing w:line="440" w:lineRule="exact"/>
              <w:rPr>
                <w:rFonts w:ascii="宋体" w:hAnsi="宋体" w:eastAsia="宋体" w:cs="宋体"/>
                <w:sz w:val="22"/>
              </w:rPr>
            </w:pPr>
          </w:p>
        </w:tc>
      </w:tr>
      <w:tr w14:paraId="162088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828" w:type="dxa"/>
            <w:tcBorders>
              <w:top w:val="single" w:color="auto" w:sz="4" w:space="0"/>
              <w:left w:val="single" w:color="auto" w:sz="4" w:space="0"/>
              <w:bottom w:val="single" w:color="auto" w:sz="4" w:space="0"/>
              <w:right w:val="single" w:color="auto" w:sz="4" w:space="0"/>
            </w:tcBorders>
            <w:noWrap/>
          </w:tcPr>
          <w:p w14:paraId="393A3616">
            <w:pPr>
              <w:spacing w:line="440" w:lineRule="exact"/>
              <w:rPr>
                <w:rFonts w:ascii="宋体" w:hAnsi="宋体" w:eastAsia="宋体" w:cs="宋体"/>
                <w:sz w:val="22"/>
              </w:rPr>
            </w:pPr>
          </w:p>
        </w:tc>
        <w:tc>
          <w:tcPr>
            <w:tcW w:w="6732" w:type="dxa"/>
            <w:gridSpan w:val="7"/>
            <w:tcBorders>
              <w:top w:val="single" w:color="auto" w:sz="4" w:space="0"/>
              <w:left w:val="single" w:color="auto" w:sz="4" w:space="0"/>
              <w:bottom w:val="single" w:color="auto" w:sz="4" w:space="0"/>
              <w:right w:val="single" w:color="auto" w:sz="4" w:space="0"/>
            </w:tcBorders>
            <w:noWrap/>
          </w:tcPr>
          <w:p w14:paraId="3A7DE7CE">
            <w:pPr>
              <w:spacing w:line="440" w:lineRule="exact"/>
              <w:jc w:val="left"/>
              <w:outlineLvl w:val="0"/>
              <w:rPr>
                <w:rFonts w:ascii="宋体" w:hAnsi="宋体" w:eastAsia="宋体" w:cs="宋体"/>
                <w:kern w:val="0"/>
                <w:sz w:val="22"/>
              </w:rPr>
            </w:pPr>
            <w:r>
              <w:rPr>
                <w:rFonts w:hint="eastAsia" w:ascii="宋体" w:hAnsi="宋体" w:eastAsia="宋体" w:cs="宋体"/>
                <w:kern w:val="0"/>
                <w:sz w:val="22"/>
              </w:rPr>
              <w:t>其它</w:t>
            </w:r>
          </w:p>
        </w:tc>
        <w:tc>
          <w:tcPr>
            <w:tcW w:w="1440" w:type="dxa"/>
            <w:tcBorders>
              <w:top w:val="single" w:color="auto" w:sz="4" w:space="0"/>
              <w:left w:val="single" w:color="auto" w:sz="4" w:space="0"/>
              <w:bottom w:val="single" w:color="auto" w:sz="4" w:space="0"/>
              <w:right w:val="single" w:color="auto" w:sz="4" w:space="0"/>
            </w:tcBorders>
            <w:noWrap/>
          </w:tcPr>
          <w:p w14:paraId="56FADCB1">
            <w:pPr>
              <w:spacing w:line="440" w:lineRule="exact"/>
              <w:rPr>
                <w:rFonts w:ascii="宋体" w:hAnsi="宋体" w:eastAsia="宋体" w:cs="宋体"/>
                <w:sz w:val="22"/>
              </w:rPr>
            </w:pPr>
          </w:p>
        </w:tc>
      </w:tr>
      <w:tr w14:paraId="25079A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000" w:type="dxa"/>
            <w:gridSpan w:val="9"/>
            <w:tcBorders>
              <w:top w:val="single" w:color="auto" w:sz="4" w:space="0"/>
              <w:left w:val="single" w:color="auto" w:sz="4" w:space="0"/>
              <w:bottom w:val="single" w:color="auto" w:sz="4" w:space="0"/>
              <w:right w:val="single" w:color="auto" w:sz="4" w:space="0"/>
            </w:tcBorders>
            <w:noWrap/>
          </w:tcPr>
          <w:p w14:paraId="03F1178B">
            <w:pPr>
              <w:spacing w:line="440" w:lineRule="exact"/>
              <w:jc w:val="left"/>
              <w:outlineLvl w:val="0"/>
              <w:rPr>
                <w:rFonts w:ascii="宋体" w:hAnsi="宋体" w:eastAsia="宋体" w:cs="宋体"/>
                <w:kern w:val="0"/>
                <w:sz w:val="22"/>
              </w:rPr>
            </w:pPr>
            <w:r>
              <w:rPr>
                <w:rFonts w:hint="eastAsia" w:ascii="宋体" w:hAnsi="宋体" w:eastAsia="宋体" w:cs="宋体"/>
                <w:kern w:val="0"/>
                <w:sz w:val="22"/>
              </w:rPr>
              <w:t>总价(人民币大写)：                             ￥         元</w:t>
            </w:r>
          </w:p>
        </w:tc>
      </w:tr>
      <w:tr w14:paraId="75EDA9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0" w:type="dxa"/>
            <w:gridSpan w:val="9"/>
            <w:tcBorders>
              <w:top w:val="single" w:color="auto" w:sz="4" w:space="0"/>
              <w:left w:val="single" w:color="auto" w:sz="4" w:space="0"/>
              <w:bottom w:val="single" w:color="auto" w:sz="4" w:space="0"/>
              <w:right w:val="single" w:color="auto" w:sz="4" w:space="0"/>
            </w:tcBorders>
            <w:noWrap/>
          </w:tcPr>
          <w:p w14:paraId="6DF6C306">
            <w:pPr>
              <w:spacing w:line="440" w:lineRule="exact"/>
              <w:jc w:val="left"/>
              <w:outlineLvl w:val="0"/>
              <w:rPr>
                <w:rFonts w:ascii="宋体" w:hAnsi="宋体" w:eastAsia="宋体" w:cs="宋体"/>
                <w:kern w:val="0"/>
                <w:sz w:val="22"/>
              </w:rPr>
            </w:pPr>
            <w:r>
              <w:rPr>
                <w:rFonts w:hint="eastAsia" w:ascii="宋体" w:hAnsi="宋体" w:eastAsia="宋体" w:cs="宋体"/>
                <w:kern w:val="0"/>
                <w:sz w:val="22"/>
              </w:rPr>
              <w:t>磋商响应报价：                           ￥         元</w:t>
            </w:r>
          </w:p>
        </w:tc>
      </w:tr>
    </w:tbl>
    <w:p w14:paraId="013E3A4B">
      <w:pPr>
        <w:spacing w:line="520" w:lineRule="exact"/>
        <w:jc w:val="left"/>
        <w:outlineLvl w:val="0"/>
        <w:rPr>
          <w:rFonts w:ascii="宋体" w:hAnsi="宋体" w:eastAsia="宋体" w:cs="Times New Roman"/>
          <w:kern w:val="0"/>
          <w:sz w:val="24"/>
          <w:szCs w:val="24"/>
        </w:rPr>
      </w:pPr>
      <w:r>
        <w:rPr>
          <w:rFonts w:hint="eastAsia" w:ascii="宋体" w:hAnsi="宋体" w:eastAsia="宋体" w:cs="Times New Roman"/>
          <w:kern w:val="0"/>
          <w:sz w:val="24"/>
          <w:szCs w:val="24"/>
        </w:rPr>
        <w:t>注：1.所有价格以人民币表示。2.若总价与单价不符，以单价为准。3.选配/购项目不包括在本报价表内，应另附表说明（如有）。</w:t>
      </w:r>
    </w:p>
    <w:p w14:paraId="2772976C">
      <w:pPr>
        <w:rPr>
          <w:rFonts w:ascii="宋体" w:hAnsi="宋体" w:eastAsia="宋体" w:cs="Times New Roman"/>
          <w:szCs w:val="21"/>
        </w:rPr>
      </w:pPr>
    </w:p>
    <w:p w14:paraId="6D89205B">
      <w:pPr>
        <w:spacing w:line="480" w:lineRule="auto"/>
        <w:jc w:val="center"/>
        <w:rPr>
          <w:rFonts w:ascii="宋体" w:hAnsi="宋体" w:eastAsia="宋体" w:cs="Times New Roman"/>
          <w:sz w:val="24"/>
          <w:szCs w:val="21"/>
          <w:u w:val="single"/>
        </w:rPr>
      </w:pPr>
      <w:bookmarkStart w:id="15" w:name="_Toc395626672"/>
      <w:bookmarkStart w:id="16" w:name="_Toc10959"/>
      <w:bookmarkStart w:id="17" w:name="_Toc312141145"/>
      <w:r>
        <w:rPr>
          <w:rFonts w:hint="eastAsia" w:ascii="宋体" w:hAnsi="宋体" w:eastAsia="宋体" w:cs="Times New Roman"/>
          <w:sz w:val="24"/>
          <w:szCs w:val="24"/>
        </w:rPr>
        <w:t xml:space="preserve">   磋商响应</w:t>
      </w:r>
      <w:r>
        <w:rPr>
          <w:rFonts w:hint="eastAsia" w:ascii="宋体" w:hAnsi="宋体" w:eastAsia="宋体" w:cs="Times New Roman"/>
          <w:sz w:val="24"/>
          <w:szCs w:val="21"/>
        </w:rPr>
        <w:t>供应商</w:t>
      </w:r>
      <w:r>
        <w:rPr>
          <w:rFonts w:ascii="宋体" w:hAnsi="宋体" w:eastAsia="宋体" w:cs="Times New Roman"/>
          <w:sz w:val="24"/>
          <w:szCs w:val="21"/>
        </w:rPr>
        <w:t>(盖章)：</w:t>
      </w:r>
    </w:p>
    <w:p w14:paraId="65044447">
      <w:pPr>
        <w:spacing w:line="480" w:lineRule="auto"/>
        <w:jc w:val="center"/>
        <w:rPr>
          <w:rFonts w:ascii="宋体" w:hAnsi="宋体" w:eastAsia="宋体" w:cs="Times New Roman"/>
          <w:sz w:val="24"/>
          <w:szCs w:val="21"/>
          <w:u w:val="single"/>
        </w:rPr>
      </w:pPr>
      <w:r>
        <w:rPr>
          <w:rFonts w:ascii="宋体" w:hAnsi="宋体" w:eastAsia="宋体" w:cs="Times New Roman"/>
          <w:sz w:val="24"/>
          <w:szCs w:val="21"/>
        </w:rPr>
        <w:t>法定代表人 (</w:t>
      </w:r>
      <w:r>
        <w:rPr>
          <w:rFonts w:hint="eastAsia" w:ascii="宋体" w:hAnsi="宋体" w:eastAsia="宋体" w:cs="Times New Roman"/>
          <w:sz w:val="24"/>
          <w:szCs w:val="21"/>
        </w:rPr>
        <w:t>签字或盖章</w:t>
      </w:r>
      <w:r>
        <w:rPr>
          <w:rFonts w:ascii="宋体" w:hAnsi="宋体" w:eastAsia="宋体" w:cs="Times New Roman"/>
          <w:sz w:val="24"/>
          <w:szCs w:val="21"/>
        </w:rPr>
        <w:t>)：</w:t>
      </w:r>
    </w:p>
    <w:p w14:paraId="5210EEE6">
      <w:pPr>
        <w:spacing w:line="480" w:lineRule="auto"/>
        <w:jc w:val="center"/>
        <w:rPr>
          <w:rFonts w:ascii="宋体" w:hAnsi="宋体" w:eastAsia="宋体" w:cs="Times New Roman"/>
          <w:sz w:val="24"/>
          <w:szCs w:val="21"/>
        </w:rPr>
      </w:pPr>
      <w:r>
        <w:rPr>
          <w:rFonts w:hint="eastAsia" w:ascii="宋体" w:hAnsi="宋体" w:eastAsia="宋体" w:cs="Times New Roman"/>
          <w:sz w:val="24"/>
          <w:szCs w:val="21"/>
        </w:rPr>
        <w:t xml:space="preserve">   日   期：  </w:t>
      </w:r>
      <w:r>
        <w:rPr>
          <w:rFonts w:ascii="宋体" w:hAnsi="宋体" w:eastAsia="宋体" w:cs="Times New Roman"/>
          <w:sz w:val="24"/>
          <w:szCs w:val="21"/>
        </w:rPr>
        <w:t>年月</w:t>
      </w:r>
      <w:r>
        <w:rPr>
          <w:rFonts w:hint="eastAsia" w:ascii="宋体" w:hAnsi="宋体" w:eastAsia="宋体" w:cs="Times New Roman"/>
          <w:sz w:val="24"/>
          <w:szCs w:val="21"/>
        </w:rPr>
        <w:t xml:space="preserve">  日</w:t>
      </w:r>
    </w:p>
    <w:p w14:paraId="34B47893">
      <w:pPr>
        <w:spacing w:line="480" w:lineRule="auto"/>
        <w:jc w:val="center"/>
        <w:rPr>
          <w:rFonts w:ascii="宋体" w:hAnsi="宋体" w:eastAsia="宋体" w:cs="Times New Roman"/>
          <w:sz w:val="24"/>
          <w:szCs w:val="21"/>
        </w:rPr>
      </w:pPr>
    </w:p>
    <w:p w14:paraId="0657B156">
      <w:pPr>
        <w:keepNext/>
        <w:keepLines/>
        <w:spacing w:before="260" w:after="260" w:line="415" w:lineRule="auto"/>
        <w:jc w:val="left"/>
        <w:outlineLvl w:val="2"/>
        <w:rPr>
          <w:rFonts w:ascii="宋体" w:hAnsi="宋体" w:eastAsia="宋体" w:cs="宋体"/>
          <w:b/>
          <w:bCs/>
          <w:kern w:val="0"/>
          <w:szCs w:val="21"/>
        </w:rPr>
      </w:pPr>
      <w:r>
        <w:rPr>
          <w:rFonts w:hint="eastAsia" w:ascii="宋体" w:hAnsi="宋体" w:eastAsia="宋体" w:cs="宋体"/>
          <w:b/>
          <w:bCs/>
          <w:kern w:val="0"/>
          <w:szCs w:val="21"/>
        </w:rPr>
        <w:t>附件2：</w:t>
      </w:r>
    </w:p>
    <w:bookmarkEnd w:id="15"/>
    <w:bookmarkEnd w:id="16"/>
    <w:bookmarkEnd w:id="17"/>
    <w:p w14:paraId="6D17D205">
      <w:pPr>
        <w:spacing w:afterLines="100" w:line="520" w:lineRule="exact"/>
        <w:jc w:val="center"/>
        <w:rPr>
          <w:rFonts w:ascii="宋体" w:hAnsi="宋体" w:eastAsia="宋体" w:cs="Times New Roman"/>
          <w:b/>
          <w:sz w:val="24"/>
          <w:szCs w:val="21"/>
        </w:rPr>
      </w:pPr>
      <w:r>
        <w:rPr>
          <w:rFonts w:hint="eastAsia" w:ascii="宋体" w:hAnsi="宋体" w:eastAsia="宋体" w:cs="Times New Roman"/>
          <w:b/>
          <w:bCs/>
          <w:sz w:val="24"/>
          <w:szCs w:val="21"/>
        </w:rPr>
        <w:t>技术参数偏离表</w:t>
      </w:r>
      <w:r>
        <w:rPr>
          <w:rFonts w:hint="eastAsia" w:ascii="宋体" w:hAnsi="宋体" w:eastAsia="宋体" w:cs="Times New Roman"/>
          <w:sz w:val="24"/>
          <w:szCs w:val="21"/>
        </w:rPr>
        <w:t>（格式）</w:t>
      </w:r>
    </w:p>
    <w:p w14:paraId="11E24CF3">
      <w:pPr>
        <w:snapToGrid w:val="0"/>
        <w:spacing w:line="520" w:lineRule="exact"/>
        <w:rPr>
          <w:rFonts w:ascii="宋体" w:hAnsi="宋体" w:eastAsia="宋体" w:cs="Times New Roman"/>
          <w:sz w:val="24"/>
          <w:szCs w:val="24"/>
        </w:rPr>
      </w:pPr>
      <w:r>
        <w:rPr>
          <w:rFonts w:hint="eastAsia" w:ascii="宋体" w:hAnsi="宋体" w:eastAsia="宋体" w:cs="Times New Roman"/>
          <w:sz w:val="24"/>
          <w:szCs w:val="24"/>
        </w:rPr>
        <w:t>磋商响应供应商名称：</w:t>
      </w:r>
    </w:p>
    <w:p w14:paraId="3844705A">
      <w:pPr>
        <w:snapToGrid w:val="0"/>
        <w:spacing w:line="520" w:lineRule="exact"/>
        <w:rPr>
          <w:rFonts w:ascii="宋体" w:hAnsi="宋体" w:eastAsia="宋体" w:cs="Times New Roman"/>
          <w:sz w:val="24"/>
          <w:szCs w:val="24"/>
          <w:u w:val="single"/>
        </w:rPr>
      </w:pPr>
      <w:r>
        <w:rPr>
          <w:rFonts w:hint="eastAsia" w:ascii="宋体" w:hAnsi="宋体" w:eastAsia="宋体" w:cs="Times New Roman"/>
          <w:sz w:val="24"/>
          <w:szCs w:val="24"/>
        </w:rPr>
        <w:t>项目编号：</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282"/>
        <w:gridCol w:w="2078"/>
        <w:gridCol w:w="1891"/>
        <w:gridCol w:w="1973"/>
        <w:gridCol w:w="1252"/>
      </w:tblGrid>
      <w:tr w14:paraId="4A8E9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tcPr>
          <w:p w14:paraId="7086E08D">
            <w:pPr>
              <w:spacing w:line="480" w:lineRule="exact"/>
              <w:jc w:val="center"/>
              <w:rPr>
                <w:rFonts w:ascii="宋体" w:hAnsi="宋体" w:eastAsia="宋体" w:cs="Times New Roman"/>
                <w:bCs/>
                <w:sz w:val="22"/>
              </w:rPr>
            </w:pPr>
            <w:r>
              <w:rPr>
                <w:rFonts w:hint="eastAsia" w:ascii="宋体" w:hAnsi="宋体" w:eastAsia="宋体" w:cs="Times New Roman"/>
                <w:bCs/>
                <w:sz w:val="22"/>
              </w:rPr>
              <w:t>序号</w:t>
            </w:r>
          </w:p>
        </w:tc>
        <w:tc>
          <w:tcPr>
            <w:tcW w:w="1282" w:type="dxa"/>
            <w:noWrap/>
          </w:tcPr>
          <w:p w14:paraId="3EC83F88">
            <w:pPr>
              <w:spacing w:line="480" w:lineRule="exact"/>
              <w:jc w:val="center"/>
              <w:rPr>
                <w:rFonts w:ascii="宋体" w:hAnsi="宋体" w:eastAsia="宋体" w:cs="Times New Roman"/>
                <w:bCs/>
                <w:sz w:val="22"/>
              </w:rPr>
            </w:pPr>
            <w:r>
              <w:rPr>
                <w:rFonts w:hint="eastAsia" w:ascii="宋体" w:hAnsi="宋体" w:eastAsia="宋体" w:cs="Times New Roman"/>
                <w:bCs/>
                <w:sz w:val="22"/>
              </w:rPr>
              <w:t>货物名称</w:t>
            </w:r>
          </w:p>
        </w:tc>
        <w:tc>
          <w:tcPr>
            <w:tcW w:w="2078" w:type="dxa"/>
            <w:noWrap/>
          </w:tcPr>
          <w:p w14:paraId="017CC871">
            <w:pPr>
              <w:spacing w:line="480" w:lineRule="exact"/>
              <w:jc w:val="center"/>
              <w:rPr>
                <w:rFonts w:ascii="宋体" w:hAnsi="宋体" w:eastAsia="宋体" w:cs="Times New Roman"/>
                <w:bCs/>
                <w:sz w:val="22"/>
              </w:rPr>
            </w:pPr>
            <w:r>
              <w:rPr>
                <w:rFonts w:hint="eastAsia" w:ascii="宋体" w:hAnsi="宋体" w:eastAsia="宋体" w:cs="Times New Roman"/>
                <w:bCs/>
                <w:sz w:val="22"/>
              </w:rPr>
              <w:t>磋商技术参数</w:t>
            </w:r>
          </w:p>
          <w:p w14:paraId="4B2B9DD3">
            <w:pPr>
              <w:spacing w:line="480" w:lineRule="exact"/>
              <w:jc w:val="center"/>
              <w:rPr>
                <w:rFonts w:ascii="宋体" w:hAnsi="宋体" w:eastAsia="宋体" w:cs="Times New Roman"/>
                <w:bCs/>
                <w:sz w:val="22"/>
              </w:rPr>
            </w:pPr>
            <w:r>
              <w:rPr>
                <w:rFonts w:hint="eastAsia" w:ascii="宋体" w:hAnsi="宋体" w:eastAsia="宋体" w:cs="Times New Roman"/>
                <w:bCs/>
                <w:sz w:val="22"/>
              </w:rPr>
              <w:t>要求</w:t>
            </w:r>
          </w:p>
        </w:tc>
        <w:tc>
          <w:tcPr>
            <w:tcW w:w="1891" w:type="dxa"/>
            <w:noWrap/>
          </w:tcPr>
          <w:p w14:paraId="56023F4A">
            <w:pPr>
              <w:spacing w:line="480" w:lineRule="exact"/>
              <w:jc w:val="center"/>
              <w:rPr>
                <w:rFonts w:ascii="宋体" w:hAnsi="宋体" w:eastAsia="宋体" w:cs="Times New Roman"/>
                <w:bCs/>
                <w:sz w:val="22"/>
              </w:rPr>
            </w:pPr>
            <w:r>
              <w:rPr>
                <w:rFonts w:hint="eastAsia" w:ascii="宋体" w:hAnsi="宋体" w:eastAsia="宋体" w:cs="Times New Roman"/>
                <w:bCs/>
                <w:sz w:val="22"/>
              </w:rPr>
              <w:t>磋商响应品牌和型号</w:t>
            </w:r>
          </w:p>
        </w:tc>
        <w:tc>
          <w:tcPr>
            <w:tcW w:w="1973" w:type="dxa"/>
            <w:noWrap/>
          </w:tcPr>
          <w:p w14:paraId="4B6C71E5">
            <w:pPr>
              <w:spacing w:line="480" w:lineRule="exact"/>
              <w:jc w:val="center"/>
              <w:rPr>
                <w:rFonts w:ascii="宋体" w:hAnsi="宋体" w:eastAsia="宋体" w:cs="Times New Roman"/>
                <w:bCs/>
                <w:sz w:val="22"/>
              </w:rPr>
            </w:pPr>
            <w:r>
              <w:rPr>
                <w:rFonts w:hint="eastAsia" w:ascii="宋体" w:hAnsi="宋体" w:eastAsia="宋体" w:cs="Times New Roman"/>
                <w:bCs/>
                <w:sz w:val="22"/>
              </w:rPr>
              <w:t>磋商响应产品</w:t>
            </w:r>
          </w:p>
          <w:p w14:paraId="3BAA3B72">
            <w:pPr>
              <w:spacing w:line="480" w:lineRule="exact"/>
              <w:jc w:val="center"/>
              <w:rPr>
                <w:rFonts w:ascii="宋体" w:hAnsi="宋体" w:eastAsia="宋体" w:cs="Times New Roman"/>
                <w:bCs/>
                <w:sz w:val="22"/>
              </w:rPr>
            </w:pPr>
            <w:r>
              <w:rPr>
                <w:rFonts w:hint="eastAsia" w:ascii="宋体" w:hAnsi="宋体" w:eastAsia="宋体" w:cs="Times New Roman"/>
                <w:bCs/>
                <w:sz w:val="22"/>
              </w:rPr>
              <w:t>技术参数</w:t>
            </w:r>
          </w:p>
        </w:tc>
        <w:tc>
          <w:tcPr>
            <w:tcW w:w="1252" w:type="dxa"/>
            <w:noWrap/>
          </w:tcPr>
          <w:p w14:paraId="0626486F">
            <w:pPr>
              <w:spacing w:line="480" w:lineRule="exact"/>
              <w:jc w:val="center"/>
              <w:rPr>
                <w:rFonts w:ascii="宋体" w:hAnsi="宋体" w:eastAsia="宋体" w:cs="Times New Roman"/>
                <w:bCs/>
                <w:sz w:val="22"/>
              </w:rPr>
            </w:pPr>
            <w:r>
              <w:rPr>
                <w:rFonts w:hint="eastAsia" w:ascii="宋体" w:hAnsi="宋体" w:eastAsia="宋体" w:cs="Times New Roman"/>
                <w:bCs/>
                <w:sz w:val="22"/>
              </w:rPr>
              <w:t>偏离说明</w:t>
            </w:r>
          </w:p>
        </w:tc>
      </w:tr>
      <w:tr w14:paraId="2ABF3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tcPr>
          <w:p w14:paraId="0FEDB80C">
            <w:pPr>
              <w:spacing w:line="480" w:lineRule="exact"/>
              <w:rPr>
                <w:rFonts w:ascii="宋体" w:hAnsi="宋体" w:eastAsia="宋体" w:cs="Times New Roman"/>
                <w:bCs/>
                <w:sz w:val="22"/>
              </w:rPr>
            </w:pPr>
          </w:p>
        </w:tc>
        <w:tc>
          <w:tcPr>
            <w:tcW w:w="1282" w:type="dxa"/>
            <w:noWrap/>
          </w:tcPr>
          <w:p w14:paraId="7F0D8AD7">
            <w:pPr>
              <w:spacing w:line="480" w:lineRule="exact"/>
              <w:rPr>
                <w:rFonts w:ascii="宋体" w:hAnsi="宋体" w:eastAsia="宋体" w:cs="Times New Roman"/>
                <w:bCs/>
                <w:sz w:val="22"/>
              </w:rPr>
            </w:pPr>
          </w:p>
        </w:tc>
        <w:tc>
          <w:tcPr>
            <w:tcW w:w="2078" w:type="dxa"/>
            <w:noWrap/>
          </w:tcPr>
          <w:p w14:paraId="3AB54FBC">
            <w:pPr>
              <w:spacing w:line="480" w:lineRule="exact"/>
              <w:rPr>
                <w:rFonts w:ascii="宋体" w:hAnsi="宋体" w:eastAsia="宋体" w:cs="Times New Roman"/>
                <w:bCs/>
                <w:sz w:val="22"/>
              </w:rPr>
            </w:pPr>
          </w:p>
        </w:tc>
        <w:tc>
          <w:tcPr>
            <w:tcW w:w="1891" w:type="dxa"/>
            <w:noWrap/>
          </w:tcPr>
          <w:p w14:paraId="280576B3">
            <w:pPr>
              <w:spacing w:line="480" w:lineRule="exact"/>
              <w:rPr>
                <w:rFonts w:ascii="宋体" w:hAnsi="宋体" w:eastAsia="宋体" w:cs="Times New Roman"/>
                <w:bCs/>
                <w:sz w:val="22"/>
              </w:rPr>
            </w:pPr>
          </w:p>
        </w:tc>
        <w:tc>
          <w:tcPr>
            <w:tcW w:w="1973" w:type="dxa"/>
            <w:noWrap/>
          </w:tcPr>
          <w:p w14:paraId="488A86D5">
            <w:pPr>
              <w:spacing w:line="480" w:lineRule="exact"/>
              <w:rPr>
                <w:rFonts w:ascii="宋体" w:hAnsi="宋体" w:eastAsia="宋体" w:cs="Times New Roman"/>
                <w:bCs/>
                <w:sz w:val="22"/>
              </w:rPr>
            </w:pPr>
          </w:p>
        </w:tc>
        <w:tc>
          <w:tcPr>
            <w:tcW w:w="1252" w:type="dxa"/>
            <w:noWrap/>
          </w:tcPr>
          <w:p w14:paraId="2F89E13A">
            <w:pPr>
              <w:spacing w:line="480" w:lineRule="exact"/>
              <w:rPr>
                <w:rFonts w:ascii="宋体" w:hAnsi="宋体" w:eastAsia="宋体" w:cs="Times New Roman"/>
                <w:bCs/>
                <w:sz w:val="22"/>
              </w:rPr>
            </w:pPr>
          </w:p>
        </w:tc>
      </w:tr>
      <w:tr w14:paraId="5A0A9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tcPr>
          <w:p w14:paraId="0FCE1EBC">
            <w:pPr>
              <w:spacing w:line="480" w:lineRule="exact"/>
              <w:rPr>
                <w:rFonts w:ascii="宋体" w:hAnsi="宋体" w:eastAsia="宋体" w:cs="Times New Roman"/>
                <w:bCs/>
                <w:sz w:val="22"/>
              </w:rPr>
            </w:pPr>
          </w:p>
        </w:tc>
        <w:tc>
          <w:tcPr>
            <w:tcW w:w="1282" w:type="dxa"/>
            <w:noWrap/>
          </w:tcPr>
          <w:p w14:paraId="1F35B082">
            <w:pPr>
              <w:spacing w:line="480" w:lineRule="exact"/>
              <w:rPr>
                <w:rFonts w:ascii="宋体" w:hAnsi="宋体" w:eastAsia="宋体" w:cs="Times New Roman"/>
                <w:bCs/>
                <w:sz w:val="22"/>
              </w:rPr>
            </w:pPr>
          </w:p>
        </w:tc>
        <w:tc>
          <w:tcPr>
            <w:tcW w:w="2078" w:type="dxa"/>
            <w:noWrap/>
          </w:tcPr>
          <w:p w14:paraId="3B55BC76">
            <w:pPr>
              <w:spacing w:line="480" w:lineRule="exact"/>
              <w:rPr>
                <w:rFonts w:ascii="宋体" w:hAnsi="宋体" w:eastAsia="宋体" w:cs="Times New Roman"/>
                <w:bCs/>
                <w:sz w:val="22"/>
              </w:rPr>
            </w:pPr>
          </w:p>
        </w:tc>
        <w:tc>
          <w:tcPr>
            <w:tcW w:w="1891" w:type="dxa"/>
            <w:noWrap/>
          </w:tcPr>
          <w:p w14:paraId="3D900ECC">
            <w:pPr>
              <w:spacing w:line="480" w:lineRule="exact"/>
              <w:rPr>
                <w:rFonts w:ascii="宋体" w:hAnsi="宋体" w:eastAsia="宋体" w:cs="Times New Roman"/>
                <w:bCs/>
                <w:sz w:val="22"/>
              </w:rPr>
            </w:pPr>
          </w:p>
        </w:tc>
        <w:tc>
          <w:tcPr>
            <w:tcW w:w="1973" w:type="dxa"/>
            <w:noWrap/>
          </w:tcPr>
          <w:p w14:paraId="03209EC8">
            <w:pPr>
              <w:spacing w:line="480" w:lineRule="exact"/>
              <w:rPr>
                <w:rFonts w:ascii="宋体" w:hAnsi="宋体" w:eastAsia="宋体" w:cs="Times New Roman"/>
                <w:bCs/>
                <w:sz w:val="22"/>
              </w:rPr>
            </w:pPr>
          </w:p>
        </w:tc>
        <w:tc>
          <w:tcPr>
            <w:tcW w:w="1252" w:type="dxa"/>
            <w:noWrap/>
          </w:tcPr>
          <w:p w14:paraId="1D1BDA19">
            <w:pPr>
              <w:spacing w:line="480" w:lineRule="exact"/>
              <w:rPr>
                <w:rFonts w:ascii="宋体" w:hAnsi="宋体" w:eastAsia="宋体" w:cs="Times New Roman"/>
                <w:bCs/>
                <w:sz w:val="22"/>
              </w:rPr>
            </w:pPr>
          </w:p>
        </w:tc>
      </w:tr>
      <w:tr w14:paraId="7B87D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tcPr>
          <w:p w14:paraId="2D590FE7">
            <w:pPr>
              <w:spacing w:line="480" w:lineRule="exact"/>
              <w:rPr>
                <w:rFonts w:ascii="宋体" w:hAnsi="宋体" w:eastAsia="宋体" w:cs="Times New Roman"/>
                <w:bCs/>
                <w:sz w:val="22"/>
              </w:rPr>
            </w:pPr>
          </w:p>
        </w:tc>
        <w:tc>
          <w:tcPr>
            <w:tcW w:w="1282" w:type="dxa"/>
            <w:noWrap/>
          </w:tcPr>
          <w:p w14:paraId="7870A803">
            <w:pPr>
              <w:spacing w:line="480" w:lineRule="exact"/>
              <w:rPr>
                <w:rFonts w:ascii="宋体" w:hAnsi="宋体" w:eastAsia="宋体" w:cs="Times New Roman"/>
                <w:bCs/>
                <w:sz w:val="22"/>
              </w:rPr>
            </w:pPr>
          </w:p>
        </w:tc>
        <w:tc>
          <w:tcPr>
            <w:tcW w:w="2078" w:type="dxa"/>
            <w:noWrap/>
          </w:tcPr>
          <w:p w14:paraId="25E96A94">
            <w:pPr>
              <w:spacing w:line="480" w:lineRule="exact"/>
              <w:rPr>
                <w:rFonts w:ascii="宋体" w:hAnsi="宋体" w:eastAsia="宋体" w:cs="Times New Roman"/>
                <w:bCs/>
                <w:sz w:val="22"/>
              </w:rPr>
            </w:pPr>
          </w:p>
        </w:tc>
        <w:tc>
          <w:tcPr>
            <w:tcW w:w="1891" w:type="dxa"/>
            <w:noWrap/>
          </w:tcPr>
          <w:p w14:paraId="1E802AE5">
            <w:pPr>
              <w:spacing w:line="480" w:lineRule="exact"/>
              <w:rPr>
                <w:rFonts w:ascii="宋体" w:hAnsi="宋体" w:eastAsia="宋体" w:cs="Times New Roman"/>
                <w:bCs/>
                <w:sz w:val="22"/>
              </w:rPr>
            </w:pPr>
          </w:p>
        </w:tc>
        <w:tc>
          <w:tcPr>
            <w:tcW w:w="1973" w:type="dxa"/>
            <w:noWrap/>
          </w:tcPr>
          <w:p w14:paraId="2FBEF8F2">
            <w:pPr>
              <w:spacing w:line="480" w:lineRule="exact"/>
              <w:rPr>
                <w:rFonts w:ascii="宋体" w:hAnsi="宋体" w:eastAsia="宋体" w:cs="Times New Roman"/>
                <w:bCs/>
                <w:sz w:val="22"/>
              </w:rPr>
            </w:pPr>
          </w:p>
        </w:tc>
        <w:tc>
          <w:tcPr>
            <w:tcW w:w="1252" w:type="dxa"/>
            <w:noWrap/>
          </w:tcPr>
          <w:p w14:paraId="62A8543F">
            <w:pPr>
              <w:spacing w:line="480" w:lineRule="exact"/>
              <w:rPr>
                <w:rFonts w:ascii="宋体" w:hAnsi="宋体" w:eastAsia="宋体" w:cs="Times New Roman"/>
                <w:bCs/>
                <w:sz w:val="22"/>
              </w:rPr>
            </w:pPr>
          </w:p>
        </w:tc>
      </w:tr>
      <w:tr w14:paraId="4703B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tcPr>
          <w:p w14:paraId="1A36D259">
            <w:pPr>
              <w:spacing w:line="480" w:lineRule="exact"/>
              <w:rPr>
                <w:rFonts w:ascii="宋体" w:hAnsi="宋体" w:eastAsia="宋体" w:cs="Times New Roman"/>
                <w:bCs/>
                <w:sz w:val="22"/>
              </w:rPr>
            </w:pPr>
          </w:p>
        </w:tc>
        <w:tc>
          <w:tcPr>
            <w:tcW w:w="1282" w:type="dxa"/>
            <w:noWrap/>
          </w:tcPr>
          <w:p w14:paraId="0E572970">
            <w:pPr>
              <w:spacing w:line="480" w:lineRule="exact"/>
              <w:rPr>
                <w:rFonts w:ascii="宋体" w:hAnsi="宋体" w:eastAsia="宋体" w:cs="Times New Roman"/>
                <w:bCs/>
                <w:sz w:val="22"/>
              </w:rPr>
            </w:pPr>
          </w:p>
        </w:tc>
        <w:tc>
          <w:tcPr>
            <w:tcW w:w="2078" w:type="dxa"/>
            <w:noWrap/>
          </w:tcPr>
          <w:p w14:paraId="14A8BAEE">
            <w:pPr>
              <w:spacing w:line="480" w:lineRule="exact"/>
              <w:rPr>
                <w:rFonts w:ascii="宋体" w:hAnsi="宋体" w:eastAsia="宋体" w:cs="Times New Roman"/>
                <w:bCs/>
                <w:sz w:val="22"/>
              </w:rPr>
            </w:pPr>
          </w:p>
        </w:tc>
        <w:tc>
          <w:tcPr>
            <w:tcW w:w="1891" w:type="dxa"/>
            <w:noWrap/>
          </w:tcPr>
          <w:p w14:paraId="4FB083DF">
            <w:pPr>
              <w:spacing w:line="480" w:lineRule="exact"/>
              <w:rPr>
                <w:rFonts w:ascii="宋体" w:hAnsi="宋体" w:eastAsia="宋体" w:cs="Times New Roman"/>
                <w:bCs/>
                <w:sz w:val="22"/>
              </w:rPr>
            </w:pPr>
          </w:p>
        </w:tc>
        <w:tc>
          <w:tcPr>
            <w:tcW w:w="1973" w:type="dxa"/>
            <w:noWrap/>
          </w:tcPr>
          <w:p w14:paraId="70B08250">
            <w:pPr>
              <w:spacing w:line="480" w:lineRule="exact"/>
              <w:rPr>
                <w:rFonts w:ascii="宋体" w:hAnsi="宋体" w:eastAsia="宋体" w:cs="Times New Roman"/>
                <w:bCs/>
                <w:sz w:val="22"/>
              </w:rPr>
            </w:pPr>
          </w:p>
        </w:tc>
        <w:tc>
          <w:tcPr>
            <w:tcW w:w="1252" w:type="dxa"/>
            <w:noWrap/>
          </w:tcPr>
          <w:p w14:paraId="55475820">
            <w:pPr>
              <w:spacing w:line="480" w:lineRule="exact"/>
              <w:rPr>
                <w:rFonts w:ascii="宋体" w:hAnsi="宋体" w:eastAsia="宋体" w:cs="Times New Roman"/>
                <w:bCs/>
                <w:sz w:val="22"/>
              </w:rPr>
            </w:pPr>
          </w:p>
        </w:tc>
      </w:tr>
      <w:tr w14:paraId="301FA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tcPr>
          <w:p w14:paraId="466BDC94">
            <w:pPr>
              <w:spacing w:line="480" w:lineRule="exact"/>
              <w:rPr>
                <w:rFonts w:ascii="宋体" w:hAnsi="宋体" w:eastAsia="宋体" w:cs="Times New Roman"/>
                <w:bCs/>
                <w:sz w:val="22"/>
              </w:rPr>
            </w:pPr>
          </w:p>
        </w:tc>
        <w:tc>
          <w:tcPr>
            <w:tcW w:w="1282" w:type="dxa"/>
            <w:noWrap/>
          </w:tcPr>
          <w:p w14:paraId="5C732C4E">
            <w:pPr>
              <w:spacing w:line="480" w:lineRule="exact"/>
              <w:rPr>
                <w:rFonts w:ascii="宋体" w:hAnsi="宋体" w:eastAsia="宋体" w:cs="Times New Roman"/>
                <w:bCs/>
                <w:sz w:val="22"/>
              </w:rPr>
            </w:pPr>
          </w:p>
        </w:tc>
        <w:tc>
          <w:tcPr>
            <w:tcW w:w="2078" w:type="dxa"/>
            <w:noWrap/>
          </w:tcPr>
          <w:p w14:paraId="27625A58">
            <w:pPr>
              <w:spacing w:line="480" w:lineRule="exact"/>
              <w:rPr>
                <w:rFonts w:ascii="宋体" w:hAnsi="宋体" w:eastAsia="宋体" w:cs="Times New Roman"/>
                <w:bCs/>
                <w:sz w:val="22"/>
              </w:rPr>
            </w:pPr>
          </w:p>
        </w:tc>
        <w:tc>
          <w:tcPr>
            <w:tcW w:w="1891" w:type="dxa"/>
            <w:noWrap/>
          </w:tcPr>
          <w:p w14:paraId="5935477F">
            <w:pPr>
              <w:spacing w:line="480" w:lineRule="exact"/>
              <w:rPr>
                <w:rFonts w:ascii="宋体" w:hAnsi="宋体" w:eastAsia="宋体" w:cs="Times New Roman"/>
                <w:bCs/>
                <w:sz w:val="22"/>
              </w:rPr>
            </w:pPr>
          </w:p>
        </w:tc>
        <w:tc>
          <w:tcPr>
            <w:tcW w:w="1973" w:type="dxa"/>
            <w:noWrap/>
          </w:tcPr>
          <w:p w14:paraId="1CB44058">
            <w:pPr>
              <w:spacing w:line="480" w:lineRule="exact"/>
              <w:rPr>
                <w:rFonts w:ascii="宋体" w:hAnsi="宋体" w:eastAsia="宋体" w:cs="Times New Roman"/>
                <w:bCs/>
                <w:sz w:val="22"/>
              </w:rPr>
            </w:pPr>
          </w:p>
        </w:tc>
        <w:tc>
          <w:tcPr>
            <w:tcW w:w="1252" w:type="dxa"/>
            <w:noWrap/>
          </w:tcPr>
          <w:p w14:paraId="26DB5B81">
            <w:pPr>
              <w:spacing w:line="480" w:lineRule="exact"/>
              <w:rPr>
                <w:rFonts w:ascii="宋体" w:hAnsi="宋体" w:eastAsia="宋体" w:cs="Times New Roman"/>
                <w:bCs/>
                <w:sz w:val="22"/>
              </w:rPr>
            </w:pPr>
          </w:p>
        </w:tc>
      </w:tr>
      <w:tr w14:paraId="48E4C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tcPr>
          <w:p w14:paraId="0926A2DE">
            <w:pPr>
              <w:spacing w:line="480" w:lineRule="exact"/>
              <w:rPr>
                <w:rFonts w:ascii="宋体" w:hAnsi="宋体" w:eastAsia="宋体" w:cs="Times New Roman"/>
                <w:bCs/>
                <w:sz w:val="22"/>
              </w:rPr>
            </w:pPr>
          </w:p>
        </w:tc>
        <w:tc>
          <w:tcPr>
            <w:tcW w:w="1282" w:type="dxa"/>
            <w:noWrap/>
          </w:tcPr>
          <w:p w14:paraId="29C676FF">
            <w:pPr>
              <w:spacing w:line="480" w:lineRule="exact"/>
              <w:rPr>
                <w:rFonts w:ascii="宋体" w:hAnsi="宋体" w:eastAsia="宋体" w:cs="Times New Roman"/>
                <w:bCs/>
                <w:sz w:val="22"/>
              </w:rPr>
            </w:pPr>
          </w:p>
        </w:tc>
        <w:tc>
          <w:tcPr>
            <w:tcW w:w="2078" w:type="dxa"/>
            <w:noWrap/>
          </w:tcPr>
          <w:p w14:paraId="6E366428">
            <w:pPr>
              <w:spacing w:line="480" w:lineRule="exact"/>
              <w:rPr>
                <w:rFonts w:ascii="宋体" w:hAnsi="宋体" w:eastAsia="宋体" w:cs="Times New Roman"/>
                <w:bCs/>
                <w:sz w:val="22"/>
              </w:rPr>
            </w:pPr>
          </w:p>
        </w:tc>
        <w:tc>
          <w:tcPr>
            <w:tcW w:w="1891" w:type="dxa"/>
            <w:noWrap/>
          </w:tcPr>
          <w:p w14:paraId="6448D2DD">
            <w:pPr>
              <w:spacing w:line="480" w:lineRule="exact"/>
              <w:rPr>
                <w:rFonts w:ascii="宋体" w:hAnsi="宋体" w:eastAsia="宋体" w:cs="Times New Roman"/>
                <w:bCs/>
                <w:sz w:val="22"/>
              </w:rPr>
            </w:pPr>
          </w:p>
        </w:tc>
        <w:tc>
          <w:tcPr>
            <w:tcW w:w="1973" w:type="dxa"/>
            <w:noWrap/>
          </w:tcPr>
          <w:p w14:paraId="2840E804">
            <w:pPr>
              <w:spacing w:line="480" w:lineRule="exact"/>
              <w:rPr>
                <w:rFonts w:ascii="宋体" w:hAnsi="宋体" w:eastAsia="宋体" w:cs="Times New Roman"/>
                <w:bCs/>
                <w:sz w:val="22"/>
              </w:rPr>
            </w:pPr>
          </w:p>
        </w:tc>
        <w:tc>
          <w:tcPr>
            <w:tcW w:w="1252" w:type="dxa"/>
            <w:noWrap/>
          </w:tcPr>
          <w:p w14:paraId="708978CA">
            <w:pPr>
              <w:spacing w:line="480" w:lineRule="exact"/>
              <w:rPr>
                <w:rFonts w:ascii="宋体" w:hAnsi="宋体" w:eastAsia="宋体" w:cs="Times New Roman"/>
                <w:bCs/>
                <w:sz w:val="22"/>
              </w:rPr>
            </w:pPr>
          </w:p>
        </w:tc>
      </w:tr>
      <w:tr w14:paraId="4DC43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tcPr>
          <w:p w14:paraId="7E6FC8D7">
            <w:pPr>
              <w:spacing w:line="480" w:lineRule="exact"/>
              <w:rPr>
                <w:rFonts w:ascii="宋体" w:hAnsi="宋体" w:eastAsia="宋体" w:cs="Times New Roman"/>
                <w:bCs/>
                <w:sz w:val="22"/>
              </w:rPr>
            </w:pPr>
          </w:p>
        </w:tc>
        <w:tc>
          <w:tcPr>
            <w:tcW w:w="1282" w:type="dxa"/>
            <w:noWrap/>
          </w:tcPr>
          <w:p w14:paraId="7E56274C">
            <w:pPr>
              <w:spacing w:line="480" w:lineRule="exact"/>
              <w:rPr>
                <w:rFonts w:ascii="宋体" w:hAnsi="宋体" w:eastAsia="宋体" w:cs="Times New Roman"/>
                <w:bCs/>
                <w:sz w:val="22"/>
              </w:rPr>
            </w:pPr>
          </w:p>
        </w:tc>
        <w:tc>
          <w:tcPr>
            <w:tcW w:w="2078" w:type="dxa"/>
            <w:noWrap/>
          </w:tcPr>
          <w:p w14:paraId="10996EBD">
            <w:pPr>
              <w:spacing w:line="480" w:lineRule="exact"/>
              <w:rPr>
                <w:rFonts w:ascii="宋体" w:hAnsi="宋体" w:eastAsia="宋体" w:cs="Times New Roman"/>
                <w:bCs/>
                <w:sz w:val="22"/>
              </w:rPr>
            </w:pPr>
          </w:p>
        </w:tc>
        <w:tc>
          <w:tcPr>
            <w:tcW w:w="1891" w:type="dxa"/>
            <w:noWrap/>
          </w:tcPr>
          <w:p w14:paraId="1ABF0EAC">
            <w:pPr>
              <w:spacing w:line="480" w:lineRule="exact"/>
              <w:rPr>
                <w:rFonts w:ascii="宋体" w:hAnsi="宋体" w:eastAsia="宋体" w:cs="Times New Roman"/>
                <w:bCs/>
                <w:sz w:val="22"/>
              </w:rPr>
            </w:pPr>
          </w:p>
        </w:tc>
        <w:tc>
          <w:tcPr>
            <w:tcW w:w="1973" w:type="dxa"/>
            <w:noWrap/>
          </w:tcPr>
          <w:p w14:paraId="16272E5B">
            <w:pPr>
              <w:spacing w:line="480" w:lineRule="exact"/>
              <w:rPr>
                <w:rFonts w:ascii="宋体" w:hAnsi="宋体" w:eastAsia="宋体" w:cs="Times New Roman"/>
                <w:bCs/>
                <w:sz w:val="22"/>
              </w:rPr>
            </w:pPr>
          </w:p>
        </w:tc>
        <w:tc>
          <w:tcPr>
            <w:tcW w:w="1252" w:type="dxa"/>
            <w:noWrap/>
          </w:tcPr>
          <w:p w14:paraId="59BD4674">
            <w:pPr>
              <w:spacing w:line="480" w:lineRule="exact"/>
              <w:rPr>
                <w:rFonts w:ascii="宋体" w:hAnsi="宋体" w:eastAsia="宋体" w:cs="Times New Roman"/>
                <w:bCs/>
                <w:sz w:val="22"/>
              </w:rPr>
            </w:pPr>
          </w:p>
        </w:tc>
      </w:tr>
      <w:tr w14:paraId="674C5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tcPr>
          <w:p w14:paraId="77507D1B">
            <w:pPr>
              <w:spacing w:line="480" w:lineRule="exact"/>
              <w:rPr>
                <w:rFonts w:ascii="宋体" w:hAnsi="宋体" w:eastAsia="宋体" w:cs="Times New Roman"/>
                <w:bCs/>
                <w:sz w:val="22"/>
              </w:rPr>
            </w:pPr>
          </w:p>
        </w:tc>
        <w:tc>
          <w:tcPr>
            <w:tcW w:w="1282" w:type="dxa"/>
            <w:noWrap/>
          </w:tcPr>
          <w:p w14:paraId="23A9A837">
            <w:pPr>
              <w:spacing w:line="480" w:lineRule="exact"/>
              <w:rPr>
                <w:rFonts w:ascii="宋体" w:hAnsi="宋体" w:eastAsia="宋体" w:cs="Times New Roman"/>
                <w:bCs/>
                <w:sz w:val="22"/>
              </w:rPr>
            </w:pPr>
          </w:p>
        </w:tc>
        <w:tc>
          <w:tcPr>
            <w:tcW w:w="2078" w:type="dxa"/>
            <w:noWrap/>
          </w:tcPr>
          <w:p w14:paraId="5BA7B93A">
            <w:pPr>
              <w:spacing w:line="480" w:lineRule="exact"/>
              <w:rPr>
                <w:rFonts w:ascii="宋体" w:hAnsi="宋体" w:eastAsia="宋体" w:cs="Times New Roman"/>
                <w:bCs/>
                <w:sz w:val="22"/>
              </w:rPr>
            </w:pPr>
          </w:p>
        </w:tc>
        <w:tc>
          <w:tcPr>
            <w:tcW w:w="1891" w:type="dxa"/>
            <w:noWrap/>
          </w:tcPr>
          <w:p w14:paraId="2DFC6B73">
            <w:pPr>
              <w:spacing w:line="480" w:lineRule="exact"/>
              <w:rPr>
                <w:rFonts w:ascii="宋体" w:hAnsi="宋体" w:eastAsia="宋体" w:cs="Times New Roman"/>
                <w:bCs/>
                <w:sz w:val="22"/>
              </w:rPr>
            </w:pPr>
          </w:p>
        </w:tc>
        <w:tc>
          <w:tcPr>
            <w:tcW w:w="1973" w:type="dxa"/>
            <w:noWrap/>
          </w:tcPr>
          <w:p w14:paraId="2D7FF4BD">
            <w:pPr>
              <w:spacing w:line="480" w:lineRule="exact"/>
              <w:rPr>
                <w:rFonts w:ascii="宋体" w:hAnsi="宋体" w:eastAsia="宋体" w:cs="Times New Roman"/>
                <w:bCs/>
                <w:sz w:val="22"/>
              </w:rPr>
            </w:pPr>
          </w:p>
        </w:tc>
        <w:tc>
          <w:tcPr>
            <w:tcW w:w="1252" w:type="dxa"/>
            <w:noWrap/>
          </w:tcPr>
          <w:p w14:paraId="72A83284">
            <w:pPr>
              <w:spacing w:line="480" w:lineRule="exact"/>
              <w:rPr>
                <w:rFonts w:ascii="宋体" w:hAnsi="宋体" w:eastAsia="宋体" w:cs="Times New Roman"/>
                <w:bCs/>
                <w:sz w:val="22"/>
              </w:rPr>
            </w:pPr>
          </w:p>
        </w:tc>
      </w:tr>
      <w:tr w14:paraId="0C9F5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tcPr>
          <w:p w14:paraId="35FBD473">
            <w:pPr>
              <w:spacing w:line="480" w:lineRule="exact"/>
              <w:rPr>
                <w:rFonts w:ascii="宋体" w:hAnsi="宋体" w:eastAsia="宋体" w:cs="Times New Roman"/>
                <w:bCs/>
                <w:sz w:val="22"/>
              </w:rPr>
            </w:pPr>
          </w:p>
        </w:tc>
        <w:tc>
          <w:tcPr>
            <w:tcW w:w="1282" w:type="dxa"/>
            <w:noWrap/>
          </w:tcPr>
          <w:p w14:paraId="525A3A3E">
            <w:pPr>
              <w:spacing w:line="480" w:lineRule="exact"/>
              <w:rPr>
                <w:rFonts w:ascii="宋体" w:hAnsi="宋体" w:eastAsia="宋体" w:cs="Times New Roman"/>
                <w:bCs/>
                <w:sz w:val="22"/>
              </w:rPr>
            </w:pPr>
          </w:p>
        </w:tc>
        <w:tc>
          <w:tcPr>
            <w:tcW w:w="2078" w:type="dxa"/>
            <w:noWrap/>
          </w:tcPr>
          <w:p w14:paraId="64969173">
            <w:pPr>
              <w:spacing w:line="480" w:lineRule="exact"/>
              <w:rPr>
                <w:rFonts w:ascii="宋体" w:hAnsi="宋体" w:eastAsia="宋体" w:cs="Times New Roman"/>
                <w:bCs/>
                <w:sz w:val="22"/>
              </w:rPr>
            </w:pPr>
          </w:p>
        </w:tc>
        <w:tc>
          <w:tcPr>
            <w:tcW w:w="1891" w:type="dxa"/>
            <w:noWrap/>
          </w:tcPr>
          <w:p w14:paraId="724721C4">
            <w:pPr>
              <w:spacing w:line="480" w:lineRule="exact"/>
              <w:rPr>
                <w:rFonts w:ascii="宋体" w:hAnsi="宋体" w:eastAsia="宋体" w:cs="Times New Roman"/>
                <w:bCs/>
                <w:sz w:val="22"/>
              </w:rPr>
            </w:pPr>
          </w:p>
        </w:tc>
        <w:tc>
          <w:tcPr>
            <w:tcW w:w="1973" w:type="dxa"/>
            <w:noWrap/>
          </w:tcPr>
          <w:p w14:paraId="1CF75E51">
            <w:pPr>
              <w:spacing w:line="480" w:lineRule="exact"/>
              <w:rPr>
                <w:rFonts w:ascii="宋体" w:hAnsi="宋体" w:eastAsia="宋体" w:cs="Times New Roman"/>
                <w:bCs/>
                <w:sz w:val="22"/>
              </w:rPr>
            </w:pPr>
          </w:p>
        </w:tc>
        <w:tc>
          <w:tcPr>
            <w:tcW w:w="1252" w:type="dxa"/>
            <w:noWrap/>
          </w:tcPr>
          <w:p w14:paraId="3AC06DE8">
            <w:pPr>
              <w:spacing w:line="480" w:lineRule="exact"/>
              <w:rPr>
                <w:rFonts w:ascii="宋体" w:hAnsi="宋体" w:eastAsia="宋体" w:cs="Times New Roman"/>
                <w:bCs/>
                <w:sz w:val="22"/>
              </w:rPr>
            </w:pPr>
          </w:p>
        </w:tc>
      </w:tr>
      <w:tr w14:paraId="0131A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tcPr>
          <w:p w14:paraId="0893749A">
            <w:pPr>
              <w:spacing w:line="480" w:lineRule="exact"/>
              <w:rPr>
                <w:rFonts w:ascii="宋体" w:hAnsi="宋体" w:eastAsia="宋体" w:cs="Times New Roman"/>
                <w:bCs/>
                <w:sz w:val="22"/>
              </w:rPr>
            </w:pPr>
          </w:p>
        </w:tc>
        <w:tc>
          <w:tcPr>
            <w:tcW w:w="1282" w:type="dxa"/>
            <w:noWrap/>
          </w:tcPr>
          <w:p w14:paraId="54A9D5E0">
            <w:pPr>
              <w:spacing w:line="480" w:lineRule="exact"/>
              <w:rPr>
                <w:rFonts w:ascii="宋体" w:hAnsi="宋体" w:eastAsia="宋体" w:cs="Times New Roman"/>
                <w:bCs/>
                <w:sz w:val="22"/>
              </w:rPr>
            </w:pPr>
          </w:p>
        </w:tc>
        <w:tc>
          <w:tcPr>
            <w:tcW w:w="2078" w:type="dxa"/>
            <w:noWrap/>
          </w:tcPr>
          <w:p w14:paraId="47A6C0FE">
            <w:pPr>
              <w:spacing w:line="480" w:lineRule="exact"/>
              <w:rPr>
                <w:rFonts w:ascii="宋体" w:hAnsi="宋体" w:eastAsia="宋体" w:cs="Times New Roman"/>
                <w:bCs/>
                <w:sz w:val="22"/>
              </w:rPr>
            </w:pPr>
          </w:p>
        </w:tc>
        <w:tc>
          <w:tcPr>
            <w:tcW w:w="1891" w:type="dxa"/>
            <w:noWrap/>
          </w:tcPr>
          <w:p w14:paraId="42E9ADD1">
            <w:pPr>
              <w:spacing w:line="480" w:lineRule="exact"/>
              <w:rPr>
                <w:rFonts w:ascii="宋体" w:hAnsi="宋体" w:eastAsia="宋体" w:cs="Times New Roman"/>
                <w:bCs/>
                <w:sz w:val="22"/>
              </w:rPr>
            </w:pPr>
          </w:p>
        </w:tc>
        <w:tc>
          <w:tcPr>
            <w:tcW w:w="1973" w:type="dxa"/>
            <w:noWrap/>
          </w:tcPr>
          <w:p w14:paraId="6AD1DB22">
            <w:pPr>
              <w:spacing w:line="480" w:lineRule="exact"/>
              <w:rPr>
                <w:rFonts w:ascii="宋体" w:hAnsi="宋体" w:eastAsia="宋体" w:cs="Times New Roman"/>
                <w:bCs/>
                <w:sz w:val="22"/>
              </w:rPr>
            </w:pPr>
          </w:p>
        </w:tc>
        <w:tc>
          <w:tcPr>
            <w:tcW w:w="1252" w:type="dxa"/>
            <w:noWrap/>
          </w:tcPr>
          <w:p w14:paraId="64CED95D">
            <w:pPr>
              <w:spacing w:line="480" w:lineRule="exact"/>
              <w:rPr>
                <w:rFonts w:ascii="宋体" w:hAnsi="宋体" w:eastAsia="宋体" w:cs="Times New Roman"/>
                <w:bCs/>
                <w:sz w:val="22"/>
              </w:rPr>
            </w:pPr>
          </w:p>
        </w:tc>
      </w:tr>
      <w:tr w14:paraId="453E7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tcPr>
          <w:p w14:paraId="617DC22F">
            <w:pPr>
              <w:spacing w:line="480" w:lineRule="exact"/>
              <w:rPr>
                <w:rFonts w:ascii="宋体" w:hAnsi="宋体" w:eastAsia="宋体" w:cs="Times New Roman"/>
                <w:bCs/>
                <w:sz w:val="22"/>
              </w:rPr>
            </w:pPr>
          </w:p>
        </w:tc>
        <w:tc>
          <w:tcPr>
            <w:tcW w:w="1282" w:type="dxa"/>
            <w:noWrap/>
          </w:tcPr>
          <w:p w14:paraId="54B294FD">
            <w:pPr>
              <w:spacing w:line="480" w:lineRule="exact"/>
              <w:rPr>
                <w:rFonts w:ascii="宋体" w:hAnsi="宋体" w:eastAsia="宋体" w:cs="Times New Roman"/>
                <w:bCs/>
                <w:sz w:val="22"/>
              </w:rPr>
            </w:pPr>
          </w:p>
        </w:tc>
        <w:tc>
          <w:tcPr>
            <w:tcW w:w="2078" w:type="dxa"/>
            <w:noWrap/>
          </w:tcPr>
          <w:p w14:paraId="18B2F17F">
            <w:pPr>
              <w:spacing w:line="480" w:lineRule="exact"/>
              <w:rPr>
                <w:rFonts w:ascii="宋体" w:hAnsi="宋体" w:eastAsia="宋体" w:cs="Times New Roman"/>
                <w:bCs/>
                <w:sz w:val="22"/>
              </w:rPr>
            </w:pPr>
          </w:p>
        </w:tc>
        <w:tc>
          <w:tcPr>
            <w:tcW w:w="1891" w:type="dxa"/>
            <w:noWrap/>
          </w:tcPr>
          <w:p w14:paraId="7DEBB4CC">
            <w:pPr>
              <w:spacing w:line="480" w:lineRule="exact"/>
              <w:rPr>
                <w:rFonts w:ascii="宋体" w:hAnsi="宋体" w:eastAsia="宋体" w:cs="Times New Roman"/>
                <w:bCs/>
                <w:sz w:val="22"/>
              </w:rPr>
            </w:pPr>
          </w:p>
        </w:tc>
        <w:tc>
          <w:tcPr>
            <w:tcW w:w="1973" w:type="dxa"/>
            <w:noWrap/>
          </w:tcPr>
          <w:p w14:paraId="074BAB65">
            <w:pPr>
              <w:spacing w:line="480" w:lineRule="exact"/>
              <w:rPr>
                <w:rFonts w:ascii="宋体" w:hAnsi="宋体" w:eastAsia="宋体" w:cs="Times New Roman"/>
                <w:bCs/>
                <w:sz w:val="22"/>
              </w:rPr>
            </w:pPr>
          </w:p>
        </w:tc>
        <w:tc>
          <w:tcPr>
            <w:tcW w:w="1252" w:type="dxa"/>
            <w:noWrap/>
          </w:tcPr>
          <w:p w14:paraId="2AB932C3">
            <w:pPr>
              <w:spacing w:line="480" w:lineRule="exact"/>
              <w:rPr>
                <w:rFonts w:ascii="宋体" w:hAnsi="宋体" w:eastAsia="宋体" w:cs="Times New Roman"/>
                <w:bCs/>
                <w:sz w:val="22"/>
              </w:rPr>
            </w:pPr>
          </w:p>
        </w:tc>
      </w:tr>
    </w:tbl>
    <w:p w14:paraId="34A3A048">
      <w:pPr>
        <w:spacing w:line="480" w:lineRule="exact"/>
        <w:rPr>
          <w:rFonts w:ascii="宋体" w:hAnsi="宋体" w:eastAsia="宋体" w:cs="Times New Roman"/>
          <w:bCs/>
          <w:sz w:val="24"/>
          <w:szCs w:val="24"/>
        </w:rPr>
      </w:pPr>
      <w:r>
        <w:rPr>
          <w:rFonts w:hint="eastAsia" w:ascii="宋体" w:hAnsi="宋体" w:eastAsia="宋体" w:cs="Times New Roman"/>
          <w:bCs/>
          <w:sz w:val="24"/>
          <w:szCs w:val="24"/>
        </w:rPr>
        <w:t>（注：磋商响应供应商应根据磋商响应设备的技术参数对照磋商文件要求对比偏离情况）</w:t>
      </w:r>
    </w:p>
    <w:p w14:paraId="7BE1A28F">
      <w:pPr>
        <w:spacing w:line="480" w:lineRule="exact"/>
        <w:rPr>
          <w:rFonts w:ascii="宋体" w:hAnsi="宋体" w:eastAsia="宋体" w:cs="Times New Roman"/>
          <w:bCs/>
          <w:sz w:val="24"/>
          <w:szCs w:val="24"/>
        </w:rPr>
      </w:pPr>
    </w:p>
    <w:p w14:paraId="6604F89D">
      <w:pPr>
        <w:spacing w:line="480" w:lineRule="exact"/>
        <w:ind w:firstLine="120" w:firstLineChars="50"/>
        <w:rPr>
          <w:rFonts w:ascii="宋体" w:hAnsi="宋体" w:eastAsia="宋体" w:cs="Times New Roman"/>
          <w:bCs/>
          <w:sz w:val="24"/>
          <w:szCs w:val="24"/>
        </w:rPr>
      </w:pPr>
      <w:r>
        <w:rPr>
          <w:rFonts w:hint="eastAsia" w:ascii="宋体" w:hAnsi="宋体" w:eastAsia="宋体" w:cs="Times New Roman"/>
          <w:bCs/>
          <w:sz w:val="24"/>
          <w:szCs w:val="24"/>
        </w:rPr>
        <w:t>注：此表格若不够用，可根据实际自行扩展表格。</w:t>
      </w:r>
    </w:p>
    <w:p w14:paraId="65BC6C73">
      <w:pPr>
        <w:spacing w:line="480" w:lineRule="exact"/>
        <w:ind w:firstLine="120" w:firstLineChars="50"/>
        <w:rPr>
          <w:rFonts w:ascii="宋体" w:hAnsi="宋体" w:eastAsia="宋体" w:cs="Times New Roman"/>
          <w:bCs/>
          <w:sz w:val="24"/>
          <w:szCs w:val="24"/>
        </w:rPr>
      </w:pPr>
    </w:p>
    <w:p w14:paraId="6E83819F">
      <w:pPr>
        <w:spacing w:line="480" w:lineRule="exact"/>
        <w:ind w:firstLine="105" w:firstLineChars="50"/>
        <w:rPr>
          <w:rFonts w:ascii="宋体" w:hAnsi="宋体" w:eastAsia="宋体" w:cs="Times New Roman"/>
          <w:bCs/>
          <w:szCs w:val="21"/>
        </w:rPr>
      </w:pPr>
    </w:p>
    <w:p w14:paraId="78BA0609">
      <w:pPr>
        <w:spacing w:line="480" w:lineRule="auto"/>
        <w:jc w:val="center"/>
        <w:rPr>
          <w:rFonts w:ascii="宋体" w:hAnsi="宋体" w:eastAsia="宋体" w:cs="Times New Roman"/>
          <w:sz w:val="24"/>
          <w:szCs w:val="21"/>
          <w:u w:val="single"/>
        </w:rPr>
      </w:pPr>
      <w:r>
        <w:rPr>
          <w:rFonts w:hint="eastAsia" w:ascii="宋体" w:hAnsi="宋体" w:eastAsia="宋体" w:cs="Times New Roman"/>
          <w:sz w:val="24"/>
          <w:szCs w:val="24"/>
        </w:rPr>
        <w:t xml:space="preserve">    磋商响应</w:t>
      </w:r>
      <w:r>
        <w:rPr>
          <w:rFonts w:hint="eastAsia" w:ascii="宋体" w:hAnsi="宋体" w:eastAsia="宋体" w:cs="Times New Roman"/>
          <w:sz w:val="24"/>
          <w:szCs w:val="21"/>
        </w:rPr>
        <w:t>供应商</w:t>
      </w:r>
      <w:r>
        <w:rPr>
          <w:rFonts w:ascii="宋体" w:hAnsi="宋体" w:eastAsia="宋体" w:cs="Times New Roman"/>
          <w:sz w:val="24"/>
          <w:szCs w:val="21"/>
        </w:rPr>
        <w:t>(盖章)：</w:t>
      </w:r>
    </w:p>
    <w:p w14:paraId="3425642F">
      <w:pPr>
        <w:spacing w:line="480" w:lineRule="auto"/>
        <w:jc w:val="center"/>
        <w:rPr>
          <w:rFonts w:ascii="宋体" w:hAnsi="宋体" w:eastAsia="宋体" w:cs="Times New Roman"/>
          <w:sz w:val="24"/>
          <w:szCs w:val="21"/>
          <w:u w:val="single"/>
        </w:rPr>
      </w:pPr>
      <w:r>
        <w:rPr>
          <w:rFonts w:ascii="宋体" w:hAnsi="宋体" w:eastAsia="宋体" w:cs="Times New Roman"/>
          <w:sz w:val="24"/>
          <w:szCs w:val="21"/>
        </w:rPr>
        <w:t>法定代表人 (</w:t>
      </w:r>
      <w:r>
        <w:rPr>
          <w:rFonts w:hint="eastAsia" w:ascii="宋体" w:hAnsi="宋体" w:eastAsia="宋体" w:cs="Times New Roman"/>
          <w:sz w:val="24"/>
          <w:szCs w:val="21"/>
        </w:rPr>
        <w:t>签字或盖章</w:t>
      </w:r>
      <w:r>
        <w:rPr>
          <w:rFonts w:ascii="宋体" w:hAnsi="宋体" w:eastAsia="宋体" w:cs="Times New Roman"/>
          <w:sz w:val="24"/>
          <w:szCs w:val="21"/>
        </w:rPr>
        <w:t>)：</w:t>
      </w:r>
    </w:p>
    <w:p w14:paraId="4C915FA3">
      <w:pPr>
        <w:spacing w:line="480" w:lineRule="auto"/>
        <w:jc w:val="center"/>
        <w:rPr>
          <w:rFonts w:ascii="宋体" w:hAnsi="宋体" w:eastAsia="宋体" w:cs="Times New Roman"/>
          <w:sz w:val="24"/>
          <w:szCs w:val="21"/>
          <w:u w:val="single"/>
        </w:rPr>
      </w:pPr>
      <w:r>
        <w:rPr>
          <w:rFonts w:hint="eastAsia" w:ascii="宋体" w:hAnsi="宋体" w:eastAsia="宋体" w:cs="Times New Roman"/>
          <w:sz w:val="24"/>
          <w:szCs w:val="21"/>
        </w:rPr>
        <w:t xml:space="preserve">  日  期： </w:t>
      </w:r>
      <w:r>
        <w:rPr>
          <w:rFonts w:ascii="宋体" w:hAnsi="宋体" w:eastAsia="宋体" w:cs="Times New Roman"/>
          <w:sz w:val="24"/>
          <w:szCs w:val="21"/>
        </w:rPr>
        <w:t>年月</w:t>
      </w:r>
      <w:r>
        <w:rPr>
          <w:rFonts w:hint="eastAsia" w:ascii="宋体" w:hAnsi="宋体" w:eastAsia="宋体" w:cs="Times New Roman"/>
          <w:sz w:val="24"/>
          <w:szCs w:val="21"/>
        </w:rPr>
        <w:t xml:space="preserve">   日</w:t>
      </w:r>
    </w:p>
    <w:p w14:paraId="6C07D4E0">
      <w:pPr>
        <w:snapToGrid w:val="0"/>
        <w:spacing w:line="480" w:lineRule="auto"/>
        <w:rPr>
          <w:rFonts w:ascii="宋体" w:hAnsi="宋体" w:eastAsia="宋体" w:cs="Times New Roman"/>
          <w:b/>
          <w:szCs w:val="21"/>
        </w:rPr>
      </w:pPr>
      <w:r>
        <w:rPr>
          <w:rFonts w:hint="eastAsia" w:ascii="宋体" w:hAnsi="宋体" w:eastAsia="宋体" w:cs="Times New Roman"/>
          <w:szCs w:val="21"/>
        </w:rPr>
        <w:br w:type="page"/>
      </w:r>
      <w:r>
        <w:rPr>
          <w:rFonts w:hint="eastAsia" w:ascii="宋体" w:hAnsi="宋体" w:eastAsia="宋体" w:cs="Times New Roman"/>
          <w:b/>
          <w:szCs w:val="21"/>
        </w:rPr>
        <w:t xml:space="preserve">附件3：              </w:t>
      </w:r>
    </w:p>
    <w:p w14:paraId="57B595BB">
      <w:pPr>
        <w:spacing w:line="520" w:lineRule="exact"/>
        <w:jc w:val="center"/>
        <w:rPr>
          <w:rFonts w:ascii="宋体" w:hAnsi="宋体" w:eastAsia="宋体" w:cs="Times New Roman"/>
          <w:b/>
          <w:sz w:val="24"/>
          <w:szCs w:val="21"/>
        </w:rPr>
      </w:pPr>
      <w:r>
        <w:rPr>
          <w:rFonts w:hint="eastAsia" w:ascii="宋体" w:hAnsi="宋体" w:eastAsia="宋体" w:cs="Times New Roman"/>
          <w:b/>
          <w:sz w:val="24"/>
          <w:szCs w:val="21"/>
        </w:rPr>
        <w:t>商务响应表</w:t>
      </w:r>
      <w:r>
        <w:rPr>
          <w:rFonts w:hint="eastAsia" w:ascii="宋体" w:hAnsi="宋体" w:eastAsia="宋体" w:cs="Times New Roman"/>
          <w:sz w:val="24"/>
          <w:szCs w:val="21"/>
        </w:rPr>
        <w:t>（格式）</w:t>
      </w:r>
    </w:p>
    <w:p w14:paraId="1A8DFD27">
      <w:pPr>
        <w:snapToGrid w:val="0"/>
        <w:spacing w:line="520" w:lineRule="exact"/>
        <w:rPr>
          <w:rFonts w:ascii="宋体" w:hAnsi="宋体" w:eastAsia="宋体" w:cs="Times New Roman"/>
          <w:szCs w:val="21"/>
          <w:u w:val="single"/>
        </w:rPr>
      </w:pPr>
      <w:r>
        <w:rPr>
          <w:rFonts w:hint="eastAsia" w:ascii="宋体" w:hAnsi="宋体" w:eastAsia="宋体" w:cs="Times New Roman"/>
          <w:sz w:val="24"/>
          <w:szCs w:val="24"/>
        </w:rPr>
        <w:t>磋商响应</w:t>
      </w:r>
      <w:r>
        <w:rPr>
          <w:rFonts w:hint="eastAsia" w:ascii="宋体" w:hAnsi="宋体" w:eastAsia="宋体" w:cs="Times New Roman"/>
          <w:sz w:val="22"/>
          <w:szCs w:val="21"/>
        </w:rPr>
        <w:t>供应商名称：</w:t>
      </w:r>
    </w:p>
    <w:p w14:paraId="5CD86868">
      <w:pPr>
        <w:snapToGrid w:val="0"/>
        <w:spacing w:line="520" w:lineRule="exact"/>
        <w:rPr>
          <w:rFonts w:ascii="宋体" w:hAnsi="宋体" w:eastAsia="宋体" w:cs="Times New Roman"/>
          <w:sz w:val="22"/>
        </w:rPr>
      </w:pPr>
      <w:r>
        <w:rPr>
          <w:rFonts w:hint="eastAsia" w:ascii="宋体" w:hAnsi="宋体" w:eastAsia="宋体" w:cs="Times New Roman"/>
          <w:sz w:val="22"/>
        </w:rPr>
        <w:t>项目编号：</w:t>
      </w:r>
    </w:p>
    <w:tbl>
      <w:tblPr>
        <w:tblStyle w:val="2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496"/>
        <w:gridCol w:w="2700"/>
        <w:gridCol w:w="1260"/>
        <w:gridCol w:w="2652"/>
      </w:tblGrid>
      <w:tr w14:paraId="6C3A1A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496" w:type="dxa"/>
            <w:tcBorders>
              <w:top w:val="single" w:color="auto" w:sz="4" w:space="0"/>
              <w:left w:val="single" w:color="auto" w:sz="4" w:space="0"/>
              <w:bottom w:val="single" w:color="auto" w:sz="4" w:space="0"/>
              <w:right w:val="single" w:color="auto" w:sz="4" w:space="0"/>
            </w:tcBorders>
            <w:noWrap/>
          </w:tcPr>
          <w:p w14:paraId="7A55AC38">
            <w:pPr>
              <w:snapToGrid w:val="0"/>
              <w:spacing w:line="520" w:lineRule="exact"/>
              <w:rPr>
                <w:rFonts w:ascii="宋体" w:hAnsi="宋体" w:eastAsia="宋体" w:cs="宋体"/>
                <w:sz w:val="22"/>
              </w:rPr>
            </w:pPr>
            <w:r>
              <w:rPr>
                <w:rFonts w:hint="eastAsia" w:ascii="宋体" w:hAnsi="宋体" w:eastAsia="宋体" w:cs="Times New Roman"/>
                <w:sz w:val="22"/>
              </w:rPr>
              <w:t>项目</w:t>
            </w:r>
          </w:p>
        </w:tc>
        <w:tc>
          <w:tcPr>
            <w:tcW w:w="2700" w:type="dxa"/>
            <w:tcBorders>
              <w:top w:val="single" w:color="auto" w:sz="4" w:space="0"/>
              <w:left w:val="single" w:color="auto" w:sz="4" w:space="0"/>
              <w:bottom w:val="single" w:color="auto" w:sz="4" w:space="0"/>
              <w:right w:val="single" w:color="auto" w:sz="4" w:space="0"/>
            </w:tcBorders>
            <w:noWrap/>
          </w:tcPr>
          <w:p w14:paraId="5F25877E">
            <w:pPr>
              <w:snapToGrid w:val="0"/>
              <w:spacing w:line="520" w:lineRule="exact"/>
              <w:rPr>
                <w:rFonts w:ascii="宋体" w:hAnsi="宋体" w:eastAsia="宋体" w:cs="宋体"/>
                <w:sz w:val="22"/>
              </w:rPr>
            </w:pPr>
            <w:r>
              <w:rPr>
                <w:rFonts w:hint="eastAsia" w:ascii="宋体" w:hAnsi="宋体" w:eastAsia="宋体" w:cs="Times New Roman"/>
                <w:sz w:val="22"/>
              </w:rPr>
              <w:t>磋商文件要求</w:t>
            </w:r>
          </w:p>
        </w:tc>
        <w:tc>
          <w:tcPr>
            <w:tcW w:w="1260" w:type="dxa"/>
            <w:tcBorders>
              <w:top w:val="single" w:color="auto" w:sz="4" w:space="0"/>
              <w:left w:val="single" w:color="auto" w:sz="4" w:space="0"/>
              <w:bottom w:val="single" w:color="auto" w:sz="4" w:space="0"/>
              <w:right w:val="single" w:color="auto" w:sz="4" w:space="0"/>
            </w:tcBorders>
            <w:noWrap/>
          </w:tcPr>
          <w:p w14:paraId="3C9DC675">
            <w:pPr>
              <w:snapToGrid w:val="0"/>
              <w:spacing w:line="520" w:lineRule="exact"/>
              <w:rPr>
                <w:rFonts w:ascii="宋体" w:hAnsi="宋体" w:eastAsia="宋体" w:cs="宋体"/>
                <w:sz w:val="22"/>
              </w:rPr>
            </w:pPr>
            <w:r>
              <w:rPr>
                <w:rFonts w:hint="eastAsia" w:ascii="宋体" w:hAnsi="宋体" w:eastAsia="宋体" w:cs="Times New Roman"/>
                <w:sz w:val="22"/>
              </w:rPr>
              <w:t>是否响应</w:t>
            </w:r>
          </w:p>
        </w:tc>
        <w:tc>
          <w:tcPr>
            <w:tcW w:w="2652" w:type="dxa"/>
            <w:tcBorders>
              <w:top w:val="single" w:color="auto" w:sz="4" w:space="0"/>
              <w:left w:val="single" w:color="auto" w:sz="4" w:space="0"/>
              <w:bottom w:val="single" w:color="auto" w:sz="4" w:space="0"/>
              <w:right w:val="single" w:color="auto" w:sz="4" w:space="0"/>
            </w:tcBorders>
            <w:noWrap/>
          </w:tcPr>
          <w:p w14:paraId="503AF2BC">
            <w:pPr>
              <w:snapToGrid w:val="0"/>
              <w:spacing w:line="520" w:lineRule="exact"/>
              <w:rPr>
                <w:rFonts w:ascii="宋体" w:hAnsi="宋体" w:eastAsia="宋体" w:cs="宋体"/>
                <w:sz w:val="22"/>
              </w:rPr>
            </w:pPr>
            <w:r>
              <w:rPr>
                <w:rFonts w:hint="eastAsia" w:ascii="宋体" w:hAnsi="宋体" w:eastAsia="宋体" w:cs="Times New Roman"/>
                <w:sz w:val="22"/>
              </w:rPr>
              <w:t>供应商的承诺或说明</w:t>
            </w:r>
          </w:p>
        </w:tc>
      </w:tr>
      <w:tr w14:paraId="32BAD1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2496" w:type="dxa"/>
            <w:tcBorders>
              <w:top w:val="single" w:color="auto" w:sz="4" w:space="0"/>
              <w:left w:val="single" w:color="auto" w:sz="4" w:space="0"/>
              <w:bottom w:val="single" w:color="auto" w:sz="4" w:space="0"/>
              <w:right w:val="single" w:color="auto" w:sz="4" w:space="0"/>
            </w:tcBorders>
            <w:noWrap/>
          </w:tcPr>
          <w:p w14:paraId="0E4F268F">
            <w:pPr>
              <w:snapToGrid w:val="0"/>
              <w:spacing w:line="520" w:lineRule="exact"/>
              <w:rPr>
                <w:rFonts w:ascii="宋体" w:hAnsi="宋体" w:eastAsia="宋体" w:cs="宋体"/>
                <w:sz w:val="22"/>
              </w:rPr>
            </w:pPr>
            <w:r>
              <w:rPr>
                <w:rFonts w:hint="eastAsia" w:ascii="宋体" w:hAnsi="宋体" w:eastAsia="宋体" w:cs="Times New Roman"/>
                <w:sz w:val="22"/>
              </w:rPr>
              <w:t>质保期</w:t>
            </w:r>
          </w:p>
        </w:tc>
        <w:tc>
          <w:tcPr>
            <w:tcW w:w="2700" w:type="dxa"/>
            <w:tcBorders>
              <w:top w:val="single" w:color="auto" w:sz="4" w:space="0"/>
              <w:left w:val="single" w:color="auto" w:sz="4" w:space="0"/>
              <w:bottom w:val="single" w:color="auto" w:sz="4" w:space="0"/>
              <w:right w:val="single" w:color="auto" w:sz="4" w:space="0"/>
            </w:tcBorders>
            <w:noWrap/>
          </w:tcPr>
          <w:p w14:paraId="625ADC93">
            <w:pPr>
              <w:spacing w:line="52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64270251">
            <w:pPr>
              <w:spacing w:line="520" w:lineRule="exact"/>
              <w:rPr>
                <w:rFonts w:ascii="宋体" w:hAnsi="宋体" w:eastAsia="宋体" w:cs="宋体"/>
                <w:sz w:val="22"/>
              </w:rPr>
            </w:pPr>
          </w:p>
        </w:tc>
        <w:tc>
          <w:tcPr>
            <w:tcW w:w="2652" w:type="dxa"/>
            <w:tcBorders>
              <w:top w:val="single" w:color="auto" w:sz="4" w:space="0"/>
              <w:left w:val="single" w:color="auto" w:sz="4" w:space="0"/>
              <w:bottom w:val="single" w:color="auto" w:sz="4" w:space="0"/>
              <w:right w:val="single" w:color="auto" w:sz="4" w:space="0"/>
            </w:tcBorders>
            <w:noWrap/>
          </w:tcPr>
          <w:p w14:paraId="23CBE716">
            <w:pPr>
              <w:spacing w:line="520" w:lineRule="exact"/>
              <w:rPr>
                <w:rFonts w:ascii="宋体" w:hAnsi="宋体" w:eastAsia="宋体" w:cs="宋体"/>
                <w:sz w:val="22"/>
              </w:rPr>
            </w:pPr>
          </w:p>
        </w:tc>
      </w:tr>
      <w:tr w14:paraId="12C187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2" w:hRule="atLeast"/>
        </w:trPr>
        <w:tc>
          <w:tcPr>
            <w:tcW w:w="2496" w:type="dxa"/>
            <w:tcBorders>
              <w:top w:val="single" w:color="auto" w:sz="4" w:space="0"/>
              <w:left w:val="single" w:color="auto" w:sz="4" w:space="0"/>
              <w:bottom w:val="single" w:color="auto" w:sz="4" w:space="0"/>
              <w:right w:val="single" w:color="auto" w:sz="4" w:space="0"/>
            </w:tcBorders>
            <w:noWrap/>
          </w:tcPr>
          <w:p w14:paraId="414F1A4E">
            <w:pPr>
              <w:snapToGrid w:val="0"/>
              <w:spacing w:line="520" w:lineRule="exact"/>
              <w:rPr>
                <w:rFonts w:ascii="宋体" w:hAnsi="宋体" w:eastAsia="宋体" w:cs="宋体"/>
                <w:sz w:val="22"/>
              </w:rPr>
            </w:pPr>
            <w:r>
              <w:rPr>
                <w:rFonts w:hint="eastAsia" w:ascii="宋体" w:hAnsi="宋体" w:eastAsia="宋体" w:cs="Times New Roman"/>
                <w:sz w:val="22"/>
              </w:rPr>
              <w:t>质量要求</w:t>
            </w:r>
          </w:p>
        </w:tc>
        <w:tc>
          <w:tcPr>
            <w:tcW w:w="2700" w:type="dxa"/>
            <w:tcBorders>
              <w:top w:val="single" w:color="auto" w:sz="4" w:space="0"/>
              <w:left w:val="single" w:color="auto" w:sz="4" w:space="0"/>
              <w:bottom w:val="single" w:color="auto" w:sz="4" w:space="0"/>
              <w:right w:val="single" w:color="auto" w:sz="4" w:space="0"/>
            </w:tcBorders>
            <w:noWrap/>
          </w:tcPr>
          <w:p w14:paraId="1D1CA4C9">
            <w:pPr>
              <w:spacing w:line="52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67D91BDD">
            <w:pPr>
              <w:spacing w:line="520" w:lineRule="exact"/>
              <w:rPr>
                <w:rFonts w:ascii="宋体" w:hAnsi="宋体" w:eastAsia="宋体" w:cs="宋体"/>
                <w:sz w:val="22"/>
              </w:rPr>
            </w:pPr>
          </w:p>
        </w:tc>
        <w:tc>
          <w:tcPr>
            <w:tcW w:w="2652" w:type="dxa"/>
            <w:tcBorders>
              <w:top w:val="single" w:color="auto" w:sz="4" w:space="0"/>
              <w:left w:val="single" w:color="auto" w:sz="4" w:space="0"/>
              <w:bottom w:val="single" w:color="auto" w:sz="4" w:space="0"/>
              <w:right w:val="single" w:color="auto" w:sz="4" w:space="0"/>
            </w:tcBorders>
            <w:noWrap/>
          </w:tcPr>
          <w:p w14:paraId="3DDAA2E2">
            <w:pPr>
              <w:spacing w:line="520" w:lineRule="exact"/>
              <w:ind w:right="-107" w:rightChars="-51"/>
              <w:rPr>
                <w:rFonts w:ascii="宋体" w:hAnsi="宋体" w:eastAsia="宋体" w:cs="宋体"/>
                <w:sz w:val="22"/>
              </w:rPr>
            </w:pPr>
          </w:p>
        </w:tc>
      </w:tr>
      <w:tr w14:paraId="16F517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496" w:type="dxa"/>
            <w:tcBorders>
              <w:top w:val="single" w:color="auto" w:sz="4" w:space="0"/>
              <w:left w:val="single" w:color="auto" w:sz="4" w:space="0"/>
              <w:bottom w:val="single" w:color="auto" w:sz="4" w:space="0"/>
              <w:right w:val="single" w:color="auto" w:sz="4" w:space="0"/>
            </w:tcBorders>
            <w:noWrap/>
          </w:tcPr>
          <w:p w14:paraId="3C46ACA7">
            <w:pPr>
              <w:snapToGrid w:val="0"/>
              <w:spacing w:line="520" w:lineRule="exact"/>
              <w:rPr>
                <w:rFonts w:ascii="宋体" w:hAnsi="宋体" w:eastAsia="宋体" w:cs="宋体"/>
                <w:sz w:val="22"/>
              </w:rPr>
            </w:pPr>
            <w:r>
              <w:rPr>
                <w:rFonts w:hint="eastAsia" w:ascii="宋体" w:hAnsi="宋体" w:eastAsia="宋体" w:cs="Times New Roman"/>
                <w:sz w:val="22"/>
              </w:rPr>
              <w:t>交货</w:t>
            </w:r>
            <w:r>
              <w:rPr>
                <w:rFonts w:hint="eastAsia" w:ascii="宋体" w:hAnsi="宋体" w:eastAsia="宋体" w:cs="Times New Roman"/>
                <w:sz w:val="22"/>
                <w:lang w:val="en-US" w:eastAsia="zh-CN"/>
              </w:rPr>
              <w:t>期</w:t>
            </w:r>
            <w:r>
              <w:rPr>
                <w:rFonts w:hint="eastAsia" w:ascii="宋体" w:hAnsi="宋体" w:eastAsia="宋体" w:cs="Times New Roman"/>
                <w:sz w:val="22"/>
              </w:rPr>
              <w:t>及地点</w:t>
            </w:r>
          </w:p>
        </w:tc>
        <w:tc>
          <w:tcPr>
            <w:tcW w:w="2700" w:type="dxa"/>
            <w:tcBorders>
              <w:top w:val="single" w:color="auto" w:sz="4" w:space="0"/>
              <w:left w:val="single" w:color="auto" w:sz="4" w:space="0"/>
              <w:bottom w:val="single" w:color="auto" w:sz="4" w:space="0"/>
              <w:right w:val="single" w:color="auto" w:sz="4" w:space="0"/>
            </w:tcBorders>
            <w:noWrap/>
          </w:tcPr>
          <w:p w14:paraId="229F8DD9">
            <w:pPr>
              <w:spacing w:line="52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74BA0FC6">
            <w:pPr>
              <w:spacing w:line="520" w:lineRule="exact"/>
              <w:rPr>
                <w:rFonts w:ascii="宋体" w:hAnsi="宋体" w:eastAsia="宋体" w:cs="宋体"/>
                <w:sz w:val="22"/>
              </w:rPr>
            </w:pPr>
          </w:p>
        </w:tc>
        <w:tc>
          <w:tcPr>
            <w:tcW w:w="2652" w:type="dxa"/>
            <w:tcBorders>
              <w:top w:val="single" w:color="auto" w:sz="4" w:space="0"/>
              <w:left w:val="single" w:color="auto" w:sz="4" w:space="0"/>
              <w:bottom w:val="single" w:color="auto" w:sz="4" w:space="0"/>
              <w:right w:val="single" w:color="auto" w:sz="4" w:space="0"/>
            </w:tcBorders>
            <w:noWrap/>
          </w:tcPr>
          <w:p w14:paraId="16462D11">
            <w:pPr>
              <w:spacing w:line="520" w:lineRule="exact"/>
              <w:rPr>
                <w:rFonts w:ascii="宋体" w:hAnsi="宋体" w:eastAsia="宋体" w:cs="宋体"/>
                <w:sz w:val="22"/>
              </w:rPr>
            </w:pPr>
          </w:p>
        </w:tc>
      </w:tr>
      <w:tr w14:paraId="46AC82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496" w:type="dxa"/>
            <w:tcBorders>
              <w:top w:val="single" w:color="auto" w:sz="4" w:space="0"/>
              <w:left w:val="single" w:color="auto" w:sz="4" w:space="0"/>
              <w:bottom w:val="single" w:color="auto" w:sz="4" w:space="0"/>
              <w:right w:val="single" w:color="auto" w:sz="4" w:space="0"/>
            </w:tcBorders>
            <w:noWrap/>
          </w:tcPr>
          <w:p w14:paraId="72D08688">
            <w:pPr>
              <w:snapToGrid w:val="0"/>
              <w:spacing w:line="520" w:lineRule="exact"/>
              <w:rPr>
                <w:rFonts w:hint="eastAsia" w:ascii="宋体" w:hAnsi="宋体" w:eastAsia="宋体" w:cs="宋体"/>
                <w:sz w:val="22"/>
                <w:lang w:eastAsia="zh-CN"/>
              </w:rPr>
            </w:pPr>
            <w:r>
              <w:rPr>
                <w:rFonts w:hint="eastAsia" w:ascii="宋体" w:hAnsi="宋体" w:eastAsia="宋体" w:cs="Times New Roman"/>
                <w:sz w:val="22"/>
                <w:lang w:val="en-US" w:eastAsia="zh-CN"/>
              </w:rPr>
              <w:t>磋商有效期</w:t>
            </w:r>
          </w:p>
        </w:tc>
        <w:tc>
          <w:tcPr>
            <w:tcW w:w="2700" w:type="dxa"/>
            <w:tcBorders>
              <w:top w:val="single" w:color="auto" w:sz="4" w:space="0"/>
              <w:left w:val="single" w:color="auto" w:sz="4" w:space="0"/>
              <w:bottom w:val="single" w:color="auto" w:sz="4" w:space="0"/>
              <w:right w:val="single" w:color="auto" w:sz="4" w:space="0"/>
            </w:tcBorders>
            <w:noWrap/>
          </w:tcPr>
          <w:p w14:paraId="2902C105">
            <w:pPr>
              <w:spacing w:line="52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550BBEB9">
            <w:pPr>
              <w:spacing w:line="520" w:lineRule="exact"/>
              <w:rPr>
                <w:rFonts w:ascii="宋体" w:hAnsi="宋体" w:eastAsia="宋体" w:cs="宋体"/>
                <w:sz w:val="22"/>
              </w:rPr>
            </w:pPr>
          </w:p>
        </w:tc>
        <w:tc>
          <w:tcPr>
            <w:tcW w:w="2652" w:type="dxa"/>
            <w:tcBorders>
              <w:top w:val="single" w:color="auto" w:sz="4" w:space="0"/>
              <w:left w:val="single" w:color="auto" w:sz="4" w:space="0"/>
              <w:bottom w:val="single" w:color="auto" w:sz="4" w:space="0"/>
              <w:right w:val="single" w:color="auto" w:sz="4" w:space="0"/>
            </w:tcBorders>
            <w:noWrap/>
          </w:tcPr>
          <w:p w14:paraId="3BAAE10E">
            <w:pPr>
              <w:spacing w:line="520" w:lineRule="exact"/>
              <w:rPr>
                <w:rFonts w:ascii="宋体" w:hAnsi="宋体" w:eastAsia="宋体" w:cs="宋体"/>
                <w:sz w:val="22"/>
              </w:rPr>
            </w:pPr>
          </w:p>
        </w:tc>
      </w:tr>
      <w:tr w14:paraId="101A60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2496" w:type="dxa"/>
            <w:tcBorders>
              <w:top w:val="single" w:color="auto" w:sz="4" w:space="0"/>
              <w:left w:val="single" w:color="auto" w:sz="4" w:space="0"/>
              <w:bottom w:val="single" w:color="auto" w:sz="4" w:space="0"/>
              <w:right w:val="single" w:color="auto" w:sz="4" w:space="0"/>
            </w:tcBorders>
            <w:noWrap/>
          </w:tcPr>
          <w:p w14:paraId="30D22418">
            <w:pPr>
              <w:snapToGrid w:val="0"/>
              <w:spacing w:line="520" w:lineRule="exact"/>
              <w:rPr>
                <w:rFonts w:ascii="宋体" w:hAnsi="宋体" w:eastAsia="宋体" w:cs="宋体"/>
                <w:sz w:val="22"/>
              </w:rPr>
            </w:pPr>
            <w:r>
              <w:rPr>
                <w:rFonts w:hint="eastAsia" w:ascii="宋体" w:hAnsi="宋体" w:eastAsia="宋体" w:cs="Times New Roman"/>
                <w:sz w:val="22"/>
              </w:rPr>
              <w:t>…</w:t>
            </w:r>
          </w:p>
        </w:tc>
        <w:tc>
          <w:tcPr>
            <w:tcW w:w="2700" w:type="dxa"/>
            <w:tcBorders>
              <w:top w:val="single" w:color="auto" w:sz="4" w:space="0"/>
              <w:left w:val="single" w:color="auto" w:sz="4" w:space="0"/>
              <w:bottom w:val="single" w:color="auto" w:sz="4" w:space="0"/>
              <w:right w:val="single" w:color="auto" w:sz="4" w:space="0"/>
            </w:tcBorders>
            <w:noWrap/>
          </w:tcPr>
          <w:p w14:paraId="0984E030">
            <w:pPr>
              <w:spacing w:line="52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1F66E5F8">
            <w:pPr>
              <w:spacing w:line="520" w:lineRule="exact"/>
              <w:rPr>
                <w:rFonts w:ascii="宋体" w:hAnsi="宋体" w:eastAsia="宋体" w:cs="宋体"/>
                <w:sz w:val="22"/>
              </w:rPr>
            </w:pPr>
          </w:p>
        </w:tc>
        <w:tc>
          <w:tcPr>
            <w:tcW w:w="2652" w:type="dxa"/>
            <w:tcBorders>
              <w:top w:val="single" w:color="auto" w:sz="4" w:space="0"/>
              <w:left w:val="single" w:color="auto" w:sz="4" w:space="0"/>
              <w:bottom w:val="single" w:color="auto" w:sz="4" w:space="0"/>
              <w:right w:val="single" w:color="auto" w:sz="4" w:space="0"/>
            </w:tcBorders>
            <w:noWrap/>
          </w:tcPr>
          <w:p w14:paraId="7FFE11AC">
            <w:pPr>
              <w:spacing w:line="520" w:lineRule="exact"/>
              <w:rPr>
                <w:rFonts w:ascii="宋体" w:hAnsi="宋体" w:eastAsia="宋体" w:cs="宋体"/>
                <w:sz w:val="22"/>
              </w:rPr>
            </w:pPr>
          </w:p>
        </w:tc>
      </w:tr>
      <w:tr w14:paraId="053E74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496" w:type="dxa"/>
            <w:tcBorders>
              <w:top w:val="single" w:color="auto" w:sz="4" w:space="0"/>
              <w:left w:val="single" w:color="auto" w:sz="4" w:space="0"/>
              <w:bottom w:val="single" w:color="auto" w:sz="4" w:space="0"/>
              <w:right w:val="single" w:color="auto" w:sz="4" w:space="0"/>
            </w:tcBorders>
            <w:noWrap/>
          </w:tcPr>
          <w:p w14:paraId="1FD0462A">
            <w:pPr>
              <w:snapToGrid w:val="0"/>
              <w:spacing w:line="520" w:lineRule="exact"/>
              <w:rPr>
                <w:rFonts w:ascii="宋体" w:hAnsi="宋体" w:eastAsia="宋体" w:cs="宋体"/>
                <w:sz w:val="22"/>
              </w:rPr>
            </w:pPr>
            <w:r>
              <w:rPr>
                <w:rFonts w:hint="eastAsia" w:ascii="宋体" w:hAnsi="宋体" w:eastAsia="宋体" w:cs="Times New Roman"/>
                <w:sz w:val="22"/>
              </w:rPr>
              <w:t>…</w:t>
            </w:r>
          </w:p>
        </w:tc>
        <w:tc>
          <w:tcPr>
            <w:tcW w:w="2700" w:type="dxa"/>
            <w:tcBorders>
              <w:top w:val="single" w:color="auto" w:sz="4" w:space="0"/>
              <w:left w:val="single" w:color="auto" w:sz="4" w:space="0"/>
              <w:bottom w:val="single" w:color="auto" w:sz="4" w:space="0"/>
              <w:right w:val="single" w:color="auto" w:sz="4" w:space="0"/>
            </w:tcBorders>
            <w:noWrap/>
          </w:tcPr>
          <w:p w14:paraId="5CEA26D9">
            <w:pPr>
              <w:spacing w:line="52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1EF80577">
            <w:pPr>
              <w:spacing w:line="520" w:lineRule="exact"/>
              <w:rPr>
                <w:rFonts w:ascii="宋体" w:hAnsi="宋体" w:eastAsia="宋体" w:cs="宋体"/>
                <w:sz w:val="22"/>
              </w:rPr>
            </w:pPr>
          </w:p>
        </w:tc>
        <w:tc>
          <w:tcPr>
            <w:tcW w:w="2652" w:type="dxa"/>
            <w:tcBorders>
              <w:top w:val="single" w:color="auto" w:sz="4" w:space="0"/>
              <w:left w:val="single" w:color="auto" w:sz="4" w:space="0"/>
              <w:bottom w:val="single" w:color="auto" w:sz="4" w:space="0"/>
              <w:right w:val="single" w:color="auto" w:sz="4" w:space="0"/>
            </w:tcBorders>
            <w:noWrap/>
          </w:tcPr>
          <w:p w14:paraId="45C1F149">
            <w:pPr>
              <w:spacing w:line="520" w:lineRule="exact"/>
              <w:rPr>
                <w:rFonts w:ascii="宋体" w:hAnsi="宋体" w:eastAsia="宋体" w:cs="宋体"/>
                <w:sz w:val="22"/>
              </w:rPr>
            </w:pPr>
          </w:p>
        </w:tc>
      </w:tr>
      <w:tr w14:paraId="693D1A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496" w:type="dxa"/>
            <w:tcBorders>
              <w:top w:val="single" w:color="auto" w:sz="4" w:space="0"/>
              <w:left w:val="single" w:color="auto" w:sz="4" w:space="0"/>
              <w:bottom w:val="single" w:color="auto" w:sz="4" w:space="0"/>
              <w:right w:val="single" w:color="auto" w:sz="4" w:space="0"/>
            </w:tcBorders>
            <w:noWrap/>
          </w:tcPr>
          <w:p w14:paraId="237A231D">
            <w:pPr>
              <w:snapToGrid w:val="0"/>
              <w:spacing w:line="520" w:lineRule="exact"/>
              <w:rPr>
                <w:rFonts w:ascii="宋体" w:hAnsi="宋体" w:eastAsia="宋体" w:cs="宋体"/>
                <w:sz w:val="22"/>
              </w:rPr>
            </w:pPr>
            <w:r>
              <w:rPr>
                <w:rFonts w:hint="eastAsia" w:ascii="宋体" w:hAnsi="宋体" w:eastAsia="宋体" w:cs="Times New Roman"/>
                <w:sz w:val="22"/>
              </w:rPr>
              <w:t>…</w:t>
            </w:r>
          </w:p>
        </w:tc>
        <w:tc>
          <w:tcPr>
            <w:tcW w:w="2700" w:type="dxa"/>
            <w:tcBorders>
              <w:top w:val="single" w:color="auto" w:sz="4" w:space="0"/>
              <w:left w:val="single" w:color="auto" w:sz="4" w:space="0"/>
              <w:bottom w:val="single" w:color="auto" w:sz="4" w:space="0"/>
              <w:right w:val="single" w:color="auto" w:sz="4" w:space="0"/>
            </w:tcBorders>
            <w:noWrap/>
          </w:tcPr>
          <w:p w14:paraId="47CDCEF6">
            <w:pPr>
              <w:spacing w:line="520" w:lineRule="exact"/>
              <w:rPr>
                <w:rFonts w:ascii="宋体" w:hAnsi="宋体" w:eastAsia="宋体" w:cs="宋体"/>
                <w:sz w:val="22"/>
              </w:rPr>
            </w:pPr>
          </w:p>
        </w:tc>
        <w:tc>
          <w:tcPr>
            <w:tcW w:w="1260" w:type="dxa"/>
            <w:tcBorders>
              <w:top w:val="single" w:color="auto" w:sz="4" w:space="0"/>
              <w:left w:val="single" w:color="auto" w:sz="4" w:space="0"/>
              <w:bottom w:val="single" w:color="auto" w:sz="4" w:space="0"/>
              <w:right w:val="single" w:color="auto" w:sz="4" w:space="0"/>
            </w:tcBorders>
            <w:noWrap/>
          </w:tcPr>
          <w:p w14:paraId="5997F73C">
            <w:pPr>
              <w:spacing w:line="520" w:lineRule="exact"/>
              <w:rPr>
                <w:rFonts w:ascii="宋体" w:hAnsi="宋体" w:eastAsia="宋体" w:cs="宋体"/>
                <w:sz w:val="22"/>
              </w:rPr>
            </w:pPr>
          </w:p>
        </w:tc>
        <w:tc>
          <w:tcPr>
            <w:tcW w:w="2652" w:type="dxa"/>
            <w:tcBorders>
              <w:top w:val="single" w:color="auto" w:sz="4" w:space="0"/>
              <w:left w:val="single" w:color="auto" w:sz="4" w:space="0"/>
              <w:bottom w:val="single" w:color="auto" w:sz="4" w:space="0"/>
              <w:right w:val="single" w:color="auto" w:sz="4" w:space="0"/>
            </w:tcBorders>
            <w:noWrap/>
          </w:tcPr>
          <w:p w14:paraId="0A789D7E">
            <w:pPr>
              <w:spacing w:line="520" w:lineRule="exact"/>
              <w:rPr>
                <w:rFonts w:ascii="宋体" w:hAnsi="宋体" w:eastAsia="宋体" w:cs="宋体"/>
                <w:sz w:val="22"/>
              </w:rPr>
            </w:pPr>
          </w:p>
        </w:tc>
      </w:tr>
    </w:tbl>
    <w:p w14:paraId="714BB262">
      <w:pPr>
        <w:spacing w:line="520" w:lineRule="exact"/>
        <w:ind w:firstLine="2400" w:firstLineChars="1000"/>
        <w:rPr>
          <w:rFonts w:ascii="宋体" w:hAnsi="宋体" w:eastAsia="宋体" w:cs="Times New Roman"/>
          <w:sz w:val="24"/>
          <w:szCs w:val="21"/>
        </w:rPr>
      </w:pPr>
    </w:p>
    <w:p w14:paraId="6F7AA78B">
      <w:pPr>
        <w:spacing w:line="520" w:lineRule="exact"/>
        <w:ind w:firstLine="2400" w:firstLineChars="1000"/>
        <w:rPr>
          <w:rFonts w:ascii="宋体" w:hAnsi="宋体" w:eastAsia="宋体" w:cs="Times New Roman"/>
          <w:sz w:val="24"/>
          <w:szCs w:val="21"/>
        </w:rPr>
      </w:pPr>
    </w:p>
    <w:p w14:paraId="4E05D5F3">
      <w:pPr>
        <w:spacing w:line="480" w:lineRule="auto"/>
        <w:jc w:val="center"/>
        <w:rPr>
          <w:rFonts w:ascii="宋体" w:hAnsi="宋体" w:eastAsia="宋体" w:cs="Times New Roman"/>
          <w:sz w:val="24"/>
          <w:szCs w:val="21"/>
          <w:u w:val="single"/>
        </w:rPr>
      </w:pPr>
      <w:r>
        <w:rPr>
          <w:rFonts w:hint="eastAsia" w:ascii="宋体" w:hAnsi="宋体" w:eastAsia="宋体" w:cs="Times New Roman"/>
          <w:sz w:val="24"/>
          <w:szCs w:val="24"/>
        </w:rPr>
        <w:t xml:space="preserve">       磋商响应</w:t>
      </w:r>
      <w:r>
        <w:rPr>
          <w:rFonts w:hint="eastAsia" w:ascii="宋体" w:hAnsi="宋体" w:eastAsia="宋体" w:cs="Times New Roman"/>
          <w:sz w:val="24"/>
          <w:szCs w:val="21"/>
        </w:rPr>
        <w:t>供应商</w:t>
      </w:r>
      <w:r>
        <w:rPr>
          <w:rFonts w:ascii="宋体" w:hAnsi="宋体" w:eastAsia="宋体" w:cs="Times New Roman"/>
          <w:sz w:val="24"/>
          <w:szCs w:val="21"/>
        </w:rPr>
        <w:t>(盖章)：</w:t>
      </w:r>
    </w:p>
    <w:p w14:paraId="4BB39F11">
      <w:pPr>
        <w:spacing w:line="480" w:lineRule="auto"/>
        <w:jc w:val="center"/>
        <w:rPr>
          <w:rFonts w:ascii="宋体" w:hAnsi="宋体" w:eastAsia="宋体" w:cs="Times New Roman"/>
          <w:sz w:val="24"/>
          <w:szCs w:val="21"/>
          <w:u w:val="single"/>
        </w:rPr>
      </w:pPr>
      <w:r>
        <w:rPr>
          <w:rFonts w:ascii="宋体" w:hAnsi="宋体" w:eastAsia="宋体" w:cs="Times New Roman"/>
          <w:sz w:val="24"/>
          <w:szCs w:val="21"/>
        </w:rPr>
        <w:t>法定代表人 (</w:t>
      </w:r>
      <w:r>
        <w:rPr>
          <w:rFonts w:hint="eastAsia" w:ascii="宋体" w:hAnsi="宋体" w:eastAsia="宋体" w:cs="Times New Roman"/>
          <w:sz w:val="24"/>
          <w:szCs w:val="21"/>
        </w:rPr>
        <w:t>签字或盖章</w:t>
      </w:r>
      <w:r>
        <w:rPr>
          <w:rFonts w:ascii="宋体" w:hAnsi="宋体" w:eastAsia="宋体" w:cs="Times New Roman"/>
          <w:sz w:val="24"/>
          <w:szCs w:val="21"/>
        </w:rPr>
        <w:t>)：</w:t>
      </w:r>
    </w:p>
    <w:p w14:paraId="7C69CD71">
      <w:pPr>
        <w:spacing w:line="480" w:lineRule="auto"/>
        <w:jc w:val="center"/>
        <w:rPr>
          <w:rFonts w:ascii="宋体" w:hAnsi="宋体" w:eastAsia="宋体" w:cs="Times New Roman"/>
          <w:sz w:val="24"/>
          <w:szCs w:val="21"/>
        </w:rPr>
      </w:pPr>
      <w:r>
        <w:rPr>
          <w:rFonts w:hint="eastAsia" w:ascii="宋体" w:hAnsi="宋体" w:eastAsia="宋体" w:cs="Times New Roman"/>
          <w:sz w:val="24"/>
          <w:szCs w:val="21"/>
        </w:rPr>
        <w:t xml:space="preserve">           日    期：   </w:t>
      </w:r>
      <w:r>
        <w:rPr>
          <w:rFonts w:ascii="宋体" w:hAnsi="宋体" w:eastAsia="宋体" w:cs="Times New Roman"/>
          <w:sz w:val="24"/>
          <w:szCs w:val="21"/>
        </w:rPr>
        <w:t>年月</w:t>
      </w:r>
      <w:r>
        <w:rPr>
          <w:rFonts w:hint="eastAsia" w:ascii="宋体" w:hAnsi="宋体" w:eastAsia="宋体" w:cs="Times New Roman"/>
          <w:sz w:val="24"/>
          <w:szCs w:val="21"/>
        </w:rPr>
        <w:t xml:space="preserve">    日</w:t>
      </w:r>
    </w:p>
    <w:p w14:paraId="2E491CA2">
      <w:pPr>
        <w:spacing w:line="500" w:lineRule="exact"/>
        <w:jc w:val="center"/>
        <w:textAlignment w:val="baseline"/>
        <w:rPr>
          <w:rFonts w:ascii="宋体" w:hAnsi="宋体" w:eastAsia="宋体" w:cs="Times New Roman"/>
          <w:b/>
          <w:bCs/>
          <w:sz w:val="32"/>
          <w:szCs w:val="32"/>
        </w:rPr>
      </w:pPr>
      <w:r>
        <w:rPr>
          <w:rFonts w:ascii="宋体" w:hAnsi="宋体" w:eastAsia="宋体" w:cs="Times New Roman"/>
          <w:b/>
          <w:bCs/>
          <w:sz w:val="32"/>
          <w:szCs w:val="32"/>
        </w:rPr>
        <w:br w:type="page"/>
      </w:r>
      <w:r>
        <w:rPr>
          <w:rFonts w:ascii="宋体" w:hAnsi="宋体" w:eastAsia="宋体" w:cs="Times New Roman"/>
          <w:b/>
          <w:bCs/>
          <w:sz w:val="32"/>
          <w:szCs w:val="32"/>
        </w:rPr>
        <w:t>11</w:t>
      </w:r>
      <w:r>
        <w:rPr>
          <w:rFonts w:hint="eastAsia" w:ascii="宋体" w:hAnsi="宋体" w:eastAsia="宋体" w:cs="Times New Roman"/>
          <w:b/>
          <w:bCs/>
          <w:sz w:val="32"/>
          <w:szCs w:val="32"/>
        </w:rPr>
        <w:t>、磋商响应供应商可提交的其他资料</w:t>
      </w:r>
    </w:p>
    <w:p w14:paraId="06484ED8">
      <w:pPr>
        <w:rPr>
          <w:rFonts w:ascii="Times New Roman" w:hAnsi="Times New Roman" w:eastAsia="宋体" w:cs="Times New Roman"/>
          <w:szCs w:val="21"/>
        </w:rPr>
      </w:pPr>
    </w:p>
    <w:p w14:paraId="7BB9C4C1"/>
    <w:sectPr>
      <w:pgSz w:w="11906" w:h="16838"/>
      <w:pgMar w:top="1361" w:right="1361" w:bottom="1361"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CD069">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9525">
                        <a:noFill/>
                      </a:ln>
                      <a:effectLst/>
                    </wps:spPr>
                    <wps:txbx>
                      <w:txbxContent>
                        <w:p w14:paraId="14FC9D36">
                          <w:pPr>
                            <w:pStyle w:val="15"/>
                          </w:pPr>
                          <w:r>
                            <w:fldChar w:fldCharType="begin"/>
                          </w:r>
                          <w:r>
                            <w:instrText xml:space="preserve"> PAGE  \* MERGEFORMAT </w:instrText>
                          </w:r>
                          <w:r>
                            <w:fldChar w:fldCharType="separate"/>
                          </w:r>
                          <w:r>
                            <w:t>19</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Bi6WFNAAAAADAQAADwAAAAAAAAABACAA&#10;AAAiAAAAZHJzL2Rvd25yZXYueG1sUEsBAhQAFAAAAAgAh07iQDpvBKTcAQAArgMAAA4AAAAAAAAA&#10;AQAgAAAAHwEAAGRycy9lMm9Eb2MueG1sUEsFBgAAAAAGAAYAWQEAAG0FAAAAAA==&#10;">
              <v:fill on="f" focussize="0,0"/>
              <v:stroke on="f"/>
              <v:imagedata o:title=""/>
              <o:lock v:ext="edit" aspectratio="f"/>
              <v:textbox inset="0mm,0mm,0mm,0mm" style="mso-fit-shape-to-text:t;">
                <w:txbxContent>
                  <w:p w14:paraId="14FC9D36">
                    <w:pPr>
                      <w:pStyle w:val="15"/>
                    </w:pPr>
                    <w:r>
                      <w:fldChar w:fldCharType="begin"/>
                    </w:r>
                    <w:r>
                      <w:instrText xml:space="preserve"> PAGE  \* MERGEFORMAT </w:instrText>
                    </w:r>
                    <w:r>
                      <w:fldChar w:fldCharType="separate"/>
                    </w:r>
                    <w:r>
                      <w:t>19</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kMzQ5Yjk2ZGI3MjFhZGM1NzkyOTg2MDVkN2IyYjMifQ=="/>
  </w:docVars>
  <w:rsids>
    <w:rsidRoot w:val="006C7D24"/>
    <w:rsid w:val="00031493"/>
    <w:rsid w:val="000634B1"/>
    <w:rsid w:val="000F051D"/>
    <w:rsid w:val="00195A70"/>
    <w:rsid w:val="00215A86"/>
    <w:rsid w:val="0040140E"/>
    <w:rsid w:val="004D71D9"/>
    <w:rsid w:val="00581C95"/>
    <w:rsid w:val="00677868"/>
    <w:rsid w:val="006C5E1F"/>
    <w:rsid w:val="006C7D24"/>
    <w:rsid w:val="008322F9"/>
    <w:rsid w:val="008674B4"/>
    <w:rsid w:val="00897376"/>
    <w:rsid w:val="009327EC"/>
    <w:rsid w:val="00B83B5F"/>
    <w:rsid w:val="00BA2BD6"/>
    <w:rsid w:val="00C56E84"/>
    <w:rsid w:val="00D331B2"/>
    <w:rsid w:val="00DC714D"/>
    <w:rsid w:val="00DF208C"/>
    <w:rsid w:val="02346795"/>
    <w:rsid w:val="03A322EB"/>
    <w:rsid w:val="04BA34A8"/>
    <w:rsid w:val="083F337C"/>
    <w:rsid w:val="084C7436"/>
    <w:rsid w:val="08900771"/>
    <w:rsid w:val="0ABE2142"/>
    <w:rsid w:val="0B5D4E76"/>
    <w:rsid w:val="0C2F5739"/>
    <w:rsid w:val="13CA3C1D"/>
    <w:rsid w:val="1947580B"/>
    <w:rsid w:val="1C6B3AA2"/>
    <w:rsid w:val="1E0423C5"/>
    <w:rsid w:val="1E1A4B13"/>
    <w:rsid w:val="2A587A65"/>
    <w:rsid w:val="2BF74278"/>
    <w:rsid w:val="2F861793"/>
    <w:rsid w:val="30194999"/>
    <w:rsid w:val="34280C93"/>
    <w:rsid w:val="42FB6477"/>
    <w:rsid w:val="486017CE"/>
    <w:rsid w:val="486E1440"/>
    <w:rsid w:val="4B3B6158"/>
    <w:rsid w:val="4E442AE7"/>
    <w:rsid w:val="52444AAB"/>
    <w:rsid w:val="52BB15D7"/>
    <w:rsid w:val="52F6132D"/>
    <w:rsid w:val="573D572E"/>
    <w:rsid w:val="58316012"/>
    <w:rsid w:val="5A195640"/>
    <w:rsid w:val="5A25552B"/>
    <w:rsid w:val="5A644679"/>
    <w:rsid w:val="5AFC4FE8"/>
    <w:rsid w:val="5D9C768D"/>
    <w:rsid w:val="5F0476DF"/>
    <w:rsid w:val="611048BB"/>
    <w:rsid w:val="71047A0F"/>
    <w:rsid w:val="72050D94"/>
    <w:rsid w:val="734B7734"/>
    <w:rsid w:val="7CD262A7"/>
    <w:rsid w:val="7D363A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99" w:semiHidden="0"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name="Body Text First Indent 2"/>
    <w:lsdException w:uiPriority="99" w:name="Note Heading"/>
    <w:lsdException w:uiPriority="99" w:name="Body Text 2"/>
    <w:lsdException w:qFormat="1"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uiPriority="99"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9"/>
    <w:autoRedefine/>
    <w:qFormat/>
    <w:uiPriority w:val="0"/>
    <w:pPr>
      <w:keepNext/>
      <w:keepLines/>
      <w:spacing w:before="340" w:after="330" w:line="576" w:lineRule="auto"/>
      <w:outlineLvl w:val="0"/>
    </w:pPr>
    <w:rPr>
      <w:rFonts w:ascii="Calibri" w:hAnsi="Calibri" w:eastAsia="宋体" w:cs="Times New Roman"/>
      <w:b/>
      <w:bCs/>
      <w:kern w:val="44"/>
      <w:sz w:val="44"/>
      <w:szCs w:val="44"/>
    </w:rPr>
  </w:style>
  <w:style w:type="paragraph" w:styleId="3">
    <w:name w:val="heading 2"/>
    <w:basedOn w:val="1"/>
    <w:next w:val="1"/>
    <w:link w:val="40"/>
    <w:autoRedefine/>
    <w:qFormat/>
    <w:uiPriority w:val="9"/>
    <w:pPr>
      <w:keepNext/>
      <w:keepLines/>
      <w:spacing w:before="160" w:after="160" w:line="240" w:lineRule="atLeast"/>
      <w:ind w:left="851" w:hanging="284"/>
      <w:textAlignment w:val="baseline"/>
      <w:outlineLvl w:val="1"/>
    </w:pPr>
    <w:rPr>
      <w:rFonts w:ascii="黑体" w:hAnsi="Arial" w:eastAsia="黑体" w:cs="Times New Roman"/>
      <w:kern w:val="0"/>
      <w:sz w:val="28"/>
      <w:szCs w:val="28"/>
    </w:rPr>
  </w:style>
  <w:style w:type="paragraph" w:styleId="4">
    <w:name w:val="heading 3"/>
    <w:basedOn w:val="1"/>
    <w:next w:val="1"/>
    <w:link w:val="41"/>
    <w:autoRedefine/>
    <w:qFormat/>
    <w:uiPriority w:val="9"/>
    <w:pPr>
      <w:keepNext/>
      <w:keepLines/>
      <w:spacing w:before="260" w:after="260" w:line="415" w:lineRule="auto"/>
      <w:outlineLvl w:val="2"/>
    </w:pPr>
    <w:rPr>
      <w:rFonts w:ascii="Calibri" w:hAnsi="Calibri" w:eastAsia="宋体" w:cs="Times New Roman"/>
      <w:b/>
      <w:bCs/>
      <w:kern w:val="0"/>
      <w:sz w:val="32"/>
      <w:szCs w:val="32"/>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unhideWhenUsed/>
    <w:qFormat/>
    <w:uiPriority w:val="99"/>
    <w:pPr>
      <w:ind w:firstLine="420"/>
    </w:pPr>
    <w:rPr>
      <w:rFonts w:ascii="Times New Roman" w:hAnsi="Times New Roman" w:eastAsia="宋体" w:cs="Times New Roman"/>
      <w:sz w:val="28"/>
      <w:szCs w:val="28"/>
    </w:rPr>
  </w:style>
  <w:style w:type="paragraph" w:styleId="6">
    <w:name w:val="annotation text"/>
    <w:basedOn w:val="1"/>
    <w:link w:val="42"/>
    <w:autoRedefine/>
    <w:qFormat/>
    <w:uiPriority w:val="0"/>
    <w:rPr>
      <w:rFonts w:ascii="Times New Roman" w:hAnsi="Times New Roman" w:eastAsia="宋体" w:cs="Times New Roman"/>
      <w:szCs w:val="21"/>
    </w:rPr>
  </w:style>
  <w:style w:type="paragraph" w:styleId="7">
    <w:name w:val="Body Text 3"/>
    <w:basedOn w:val="1"/>
    <w:semiHidden/>
    <w:unhideWhenUsed/>
    <w:qFormat/>
    <w:uiPriority w:val="99"/>
    <w:pPr>
      <w:spacing w:after="120"/>
    </w:pPr>
    <w:rPr>
      <w:sz w:val="16"/>
      <w:szCs w:val="16"/>
    </w:rPr>
  </w:style>
  <w:style w:type="paragraph" w:styleId="8">
    <w:name w:val="Body Text"/>
    <w:basedOn w:val="1"/>
    <w:link w:val="43"/>
    <w:autoRedefine/>
    <w:unhideWhenUsed/>
    <w:qFormat/>
    <w:uiPriority w:val="99"/>
    <w:pPr>
      <w:spacing w:after="120"/>
    </w:pPr>
    <w:rPr>
      <w:rFonts w:ascii="Calibri" w:hAnsi="Calibri" w:eastAsia="宋体" w:cs="Times New Roman"/>
      <w:kern w:val="0"/>
      <w:szCs w:val="20"/>
    </w:rPr>
  </w:style>
  <w:style w:type="paragraph" w:styleId="9">
    <w:name w:val="Body Text Indent"/>
    <w:basedOn w:val="1"/>
    <w:link w:val="49"/>
    <w:autoRedefine/>
    <w:semiHidden/>
    <w:unhideWhenUsed/>
    <w:qFormat/>
    <w:uiPriority w:val="99"/>
    <w:pPr>
      <w:spacing w:after="120"/>
      <w:ind w:left="420" w:leftChars="200"/>
    </w:pPr>
    <w:rPr>
      <w:rFonts w:ascii="Times New Roman" w:hAnsi="Times New Roman" w:eastAsia="宋体" w:cs="Times New Roman"/>
      <w:szCs w:val="21"/>
    </w:rPr>
  </w:style>
  <w:style w:type="paragraph" w:styleId="10">
    <w:name w:val="Block Text"/>
    <w:basedOn w:val="1"/>
    <w:next w:val="11"/>
    <w:autoRedefine/>
    <w:qFormat/>
    <w:uiPriority w:val="0"/>
    <w:pPr>
      <w:autoSpaceDE w:val="0"/>
      <w:autoSpaceDN w:val="0"/>
      <w:adjustRightInd w:val="0"/>
      <w:spacing w:line="662" w:lineRule="exact"/>
      <w:ind w:left="182" w:leftChars="182" w:right="6"/>
    </w:pPr>
    <w:rPr>
      <w:rFonts w:ascii="Times New Roman" w:hAnsi="Times New Roman" w:eastAsia="宋体" w:cs="Times New Roman"/>
      <w:kern w:val="0"/>
      <w:sz w:val="28"/>
      <w:szCs w:val="28"/>
    </w:rPr>
  </w:style>
  <w:style w:type="paragraph" w:styleId="11">
    <w:name w:val="HTML Preformatted"/>
    <w:basedOn w:val="1"/>
    <w:link w:val="44"/>
    <w:autoRedefine/>
    <w:unhideWhenUsed/>
    <w:qFormat/>
    <w:uiPriority w:val="99"/>
    <w:rPr>
      <w:rFonts w:ascii="Courier New" w:hAnsi="Courier New" w:eastAsia="宋体" w:cs="Courier New"/>
      <w:sz w:val="20"/>
      <w:szCs w:val="20"/>
    </w:rPr>
  </w:style>
  <w:style w:type="paragraph" w:styleId="12">
    <w:name w:val="Plain Text"/>
    <w:basedOn w:val="1"/>
    <w:autoRedefine/>
    <w:qFormat/>
    <w:uiPriority w:val="0"/>
    <w:pPr>
      <w:widowControl/>
      <w:spacing w:before="100" w:beforeAutospacing="1" w:after="100" w:afterAutospacing="1"/>
      <w:jc w:val="left"/>
    </w:pPr>
    <w:rPr>
      <w:rFonts w:ascii="宋体" w:hAnsi="宋体" w:cs="宋体"/>
      <w:color w:val="000000"/>
      <w:kern w:val="0"/>
      <w:sz w:val="24"/>
      <w:szCs w:val="24"/>
    </w:rPr>
  </w:style>
  <w:style w:type="paragraph" w:styleId="13">
    <w:name w:val="Date"/>
    <w:basedOn w:val="1"/>
    <w:next w:val="1"/>
    <w:link w:val="45"/>
    <w:autoRedefine/>
    <w:unhideWhenUsed/>
    <w:qFormat/>
    <w:uiPriority w:val="99"/>
    <w:rPr>
      <w:rFonts w:ascii="宋体" w:hAnsi="宋体" w:eastAsia="宋体" w:cs="Times New Roman"/>
      <w:kern w:val="0"/>
      <w:sz w:val="32"/>
      <w:szCs w:val="32"/>
    </w:rPr>
  </w:style>
  <w:style w:type="paragraph" w:styleId="14">
    <w:name w:val="Body Text Indent 2"/>
    <w:basedOn w:val="1"/>
    <w:link w:val="46"/>
    <w:autoRedefine/>
    <w:qFormat/>
    <w:uiPriority w:val="0"/>
    <w:pPr>
      <w:spacing w:line="360" w:lineRule="auto"/>
      <w:ind w:firstLine="420"/>
    </w:pPr>
    <w:rPr>
      <w:rFonts w:ascii="宋体" w:hAnsi="宋体" w:eastAsia="宋体" w:cs="宋体"/>
      <w:b/>
      <w:kern w:val="1"/>
      <w:sz w:val="24"/>
      <w:szCs w:val="21"/>
    </w:rPr>
  </w:style>
  <w:style w:type="paragraph" w:styleId="15">
    <w:name w:val="Balloon Text"/>
    <w:basedOn w:val="1"/>
    <w:link w:val="47"/>
    <w:autoRedefine/>
    <w:qFormat/>
    <w:uiPriority w:val="99"/>
    <w:rPr>
      <w:rFonts w:ascii="Calibri" w:hAnsi="Calibri" w:eastAsia="宋体" w:cs="Times New Roman"/>
      <w:kern w:val="0"/>
      <w:sz w:val="18"/>
      <w:szCs w:val="18"/>
    </w:rPr>
  </w:style>
  <w:style w:type="paragraph" w:styleId="16">
    <w:name w:val="footer"/>
    <w:basedOn w:val="1"/>
    <w:link w:val="38"/>
    <w:autoRedefine/>
    <w:unhideWhenUsed/>
    <w:qFormat/>
    <w:uiPriority w:val="0"/>
    <w:pPr>
      <w:tabs>
        <w:tab w:val="center" w:pos="4153"/>
        <w:tab w:val="right" w:pos="8306"/>
      </w:tabs>
      <w:snapToGrid w:val="0"/>
      <w:jc w:val="left"/>
    </w:pPr>
    <w:rPr>
      <w:sz w:val="18"/>
      <w:szCs w:val="18"/>
    </w:rPr>
  </w:style>
  <w:style w:type="paragraph" w:styleId="17">
    <w:name w:val="header"/>
    <w:basedOn w:val="1"/>
    <w:link w:val="37"/>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Message Header"/>
    <w:basedOn w:val="1"/>
    <w:autoRedefine/>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rPr>
  </w:style>
  <w:style w:type="paragraph" w:styleId="19">
    <w:name w:val="Body Text First Indent"/>
    <w:basedOn w:val="8"/>
    <w:next w:val="1"/>
    <w:link w:val="48"/>
    <w:autoRedefine/>
    <w:qFormat/>
    <w:uiPriority w:val="0"/>
    <w:pPr>
      <w:spacing w:line="360" w:lineRule="auto"/>
      <w:ind w:firstLine="420"/>
    </w:pPr>
    <w:rPr>
      <w:rFonts w:eastAsia="Arial Unicode MS"/>
      <w:color w:val="000000"/>
      <w:sz w:val="28"/>
      <w:szCs w:val="28"/>
    </w:rPr>
  </w:style>
  <w:style w:type="paragraph" w:styleId="20">
    <w:name w:val="Body Text First Indent 2"/>
    <w:basedOn w:val="9"/>
    <w:link w:val="50"/>
    <w:autoRedefine/>
    <w:semiHidden/>
    <w:qFormat/>
    <w:uiPriority w:val="0"/>
    <w:pPr>
      <w:spacing w:before="100" w:beforeAutospacing="1" w:after="120" w:line="360" w:lineRule="auto"/>
      <w:ind w:left="420" w:firstLine="420"/>
    </w:pPr>
    <w:rPr>
      <w:rFonts w:ascii="Calibri" w:hAnsi="Calibri" w:eastAsia="Arial Unicode MS" w:cs="Times New Roman"/>
      <w:color w:val="000000"/>
      <w:kern w:val="0"/>
      <w:sz w:val="20"/>
      <w:szCs w:val="21"/>
    </w:rPr>
  </w:style>
  <w:style w:type="table" w:styleId="22">
    <w:name w:val="Table Grid"/>
    <w:basedOn w:val="21"/>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4">
    <w:name w:val="Strong"/>
    <w:basedOn w:val="23"/>
    <w:autoRedefine/>
    <w:qFormat/>
    <w:uiPriority w:val="0"/>
    <w:rPr>
      <w:b/>
      <w:bCs/>
    </w:rPr>
  </w:style>
  <w:style w:type="character" w:styleId="25">
    <w:name w:val="FollowedHyperlink"/>
    <w:basedOn w:val="23"/>
    <w:autoRedefine/>
    <w:qFormat/>
    <w:uiPriority w:val="0"/>
    <w:rPr>
      <w:color w:val="800080"/>
      <w:u w:val="none"/>
    </w:rPr>
  </w:style>
  <w:style w:type="character" w:styleId="26">
    <w:name w:val="Emphasis"/>
    <w:basedOn w:val="23"/>
    <w:autoRedefine/>
    <w:qFormat/>
    <w:uiPriority w:val="0"/>
    <w:rPr>
      <w:b/>
      <w:bCs/>
    </w:rPr>
  </w:style>
  <w:style w:type="character" w:styleId="27">
    <w:name w:val="HTML Definition"/>
    <w:basedOn w:val="23"/>
    <w:autoRedefine/>
    <w:qFormat/>
    <w:uiPriority w:val="0"/>
    <w:rPr>
      <w:rFonts w:ascii="微软雅黑" w:hAnsi="微软雅黑" w:eastAsia="微软雅黑" w:cs="微软雅黑"/>
      <w:color w:val="3D4B64"/>
      <w:sz w:val="19"/>
      <w:szCs w:val="19"/>
    </w:rPr>
  </w:style>
  <w:style w:type="character" w:styleId="28">
    <w:name w:val="HTML Typewriter"/>
    <w:basedOn w:val="23"/>
    <w:autoRedefine/>
    <w:qFormat/>
    <w:uiPriority w:val="0"/>
    <w:rPr>
      <w:rFonts w:ascii="monospace" w:hAnsi="monospace" w:eastAsia="monospace" w:cs="monospace"/>
      <w:sz w:val="20"/>
    </w:rPr>
  </w:style>
  <w:style w:type="character" w:styleId="29">
    <w:name w:val="HTML Acronym"/>
    <w:basedOn w:val="23"/>
    <w:autoRedefine/>
    <w:qFormat/>
    <w:uiPriority w:val="0"/>
  </w:style>
  <w:style w:type="character" w:styleId="30">
    <w:name w:val="HTML Variable"/>
    <w:basedOn w:val="23"/>
    <w:autoRedefine/>
    <w:qFormat/>
    <w:uiPriority w:val="0"/>
  </w:style>
  <w:style w:type="character" w:styleId="31">
    <w:name w:val="Hyperlink"/>
    <w:autoRedefine/>
    <w:qFormat/>
    <w:uiPriority w:val="0"/>
    <w:rPr>
      <w:color w:val="0563C1"/>
      <w:u w:val="single"/>
    </w:rPr>
  </w:style>
  <w:style w:type="character" w:styleId="32">
    <w:name w:val="HTML Code"/>
    <w:basedOn w:val="23"/>
    <w:autoRedefine/>
    <w:qFormat/>
    <w:uiPriority w:val="0"/>
    <w:rPr>
      <w:rFonts w:hint="default" w:ascii="monospace" w:hAnsi="monospace" w:eastAsia="monospace" w:cs="monospace"/>
      <w:sz w:val="20"/>
    </w:rPr>
  </w:style>
  <w:style w:type="character" w:styleId="33">
    <w:name w:val="HTML Cite"/>
    <w:basedOn w:val="23"/>
    <w:autoRedefine/>
    <w:qFormat/>
    <w:uiPriority w:val="0"/>
  </w:style>
  <w:style w:type="character" w:styleId="34">
    <w:name w:val="HTML Keyboard"/>
    <w:basedOn w:val="23"/>
    <w:autoRedefine/>
    <w:qFormat/>
    <w:uiPriority w:val="0"/>
    <w:rPr>
      <w:rFonts w:hint="default" w:ascii="monospace" w:hAnsi="monospace" w:eastAsia="monospace" w:cs="monospace"/>
      <w:sz w:val="20"/>
    </w:rPr>
  </w:style>
  <w:style w:type="character" w:styleId="35">
    <w:name w:val="HTML Sample"/>
    <w:basedOn w:val="23"/>
    <w:autoRedefine/>
    <w:qFormat/>
    <w:uiPriority w:val="0"/>
    <w:rPr>
      <w:rFonts w:hint="default" w:ascii="monospace" w:hAnsi="monospace" w:eastAsia="monospace" w:cs="monospace"/>
      <w:bdr w:val="single" w:color="9A9A9A" w:sz="6" w:space="0"/>
      <w:shd w:val="clear" w:color="auto" w:fill="DBDDE2"/>
    </w:rPr>
  </w:style>
  <w:style w:type="paragraph" w:customStyle="1" w:styleId="36">
    <w:name w:val="Default"/>
    <w:basedOn w:val="1"/>
    <w:autoRedefine/>
    <w:qFormat/>
    <w:uiPriority w:val="0"/>
    <w:pPr>
      <w:autoSpaceDE w:val="0"/>
      <w:autoSpaceDN w:val="0"/>
      <w:adjustRightInd w:val="0"/>
    </w:pPr>
    <w:rPr>
      <w:rFonts w:ascii="宋体" w:hAnsi="宋体" w:eastAsia="宋体" w:cs="宋体"/>
      <w:color w:val="000000"/>
      <w:szCs w:val="21"/>
    </w:rPr>
  </w:style>
  <w:style w:type="character" w:customStyle="1" w:styleId="37">
    <w:name w:val="页眉 Char"/>
    <w:basedOn w:val="23"/>
    <w:link w:val="17"/>
    <w:autoRedefine/>
    <w:qFormat/>
    <w:uiPriority w:val="0"/>
    <w:rPr>
      <w:sz w:val="18"/>
      <w:szCs w:val="18"/>
    </w:rPr>
  </w:style>
  <w:style w:type="character" w:customStyle="1" w:styleId="38">
    <w:name w:val="页脚 Char"/>
    <w:basedOn w:val="23"/>
    <w:link w:val="16"/>
    <w:autoRedefine/>
    <w:qFormat/>
    <w:uiPriority w:val="0"/>
    <w:rPr>
      <w:sz w:val="18"/>
      <w:szCs w:val="18"/>
    </w:rPr>
  </w:style>
  <w:style w:type="character" w:customStyle="1" w:styleId="39">
    <w:name w:val="标题 1 Char"/>
    <w:basedOn w:val="23"/>
    <w:link w:val="2"/>
    <w:autoRedefine/>
    <w:qFormat/>
    <w:uiPriority w:val="0"/>
    <w:rPr>
      <w:rFonts w:ascii="Calibri" w:hAnsi="Calibri" w:eastAsia="宋体" w:cs="Times New Roman"/>
      <w:b/>
      <w:bCs/>
      <w:kern w:val="44"/>
      <w:sz w:val="44"/>
      <w:szCs w:val="44"/>
    </w:rPr>
  </w:style>
  <w:style w:type="character" w:customStyle="1" w:styleId="40">
    <w:name w:val="标题 2 Char"/>
    <w:basedOn w:val="23"/>
    <w:link w:val="3"/>
    <w:autoRedefine/>
    <w:qFormat/>
    <w:uiPriority w:val="9"/>
    <w:rPr>
      <w:rFonts w:ascii="黑体" w:hAnsi="Arial" w:eastAsia="黑体" w:cs="Times New Roman"/>
      <w:kern w:val="0"/>
      <w:sz w:val="28"/>
      <w:szCs w:val="28"/>
    </w:rPr>
  </w:style>
  <w:style w:type="character" w:customStyle="1" w:styleId="41">
    <w:name w:val="标题 3 Char"/>
    <w:basedOn w:val="23"/>
    <w:link w:val="4"/>
    <w:autoRedefine/>
    <w:qFormat/>
    <w:uiPriority w:val="9"/>
    <w:rPr>
      <w:rFonts w:ascii="Calibri" w:hAnsi="Calibri" w:eastAsia="宋体" w:cs="Times New Roman"/>
      <w:b/>
      <w:bCs/>
      <w:kern w:val="0"/>
      <w:sz w:val="32"/>
      <w:szCs w:val="32"/>
    </w:rPr>
  </w:style>
  <w:style w:type="character" w:customStyle="1" w:styleId="42">
    <w:name w:val="批注文字 Char"/>
    <w:basedOn w:val="23"/>
    <w:link w:val="6"/>
    <w:autoRedefine/>
    <w:qFormat/>
    <w:uiPriority w:val="0"/>
    <w:rPr>
      <w:rFonts w:ascii="Times New Roman" w:hAnsi="Times New Roman" w:eastAsia="宋体" w:cs="Times New Roman"/>
      <w:szCs w:val="21"/>
    </w:rPr>
  </w:style>
  <w:style w:type="character" w:customStyle="1" w:styleId="43">
    <w:name w:val="正文文本 Char"/>
    <w:basedOn w:val="23"/>
    <w:link w:val="8"/>
    <w:autoRedefine/>
    <w:qFormat/>
    <w:uiPriority w:val="99"/>
    <w:rPr>
      <w:rFonts w:ascii="Calibri" w:hAnsi="Calibri" w:eastAsia="宋体" w:cs="Times New Roman"/>
      <w:kern w:val="0"/>
      <w:szCs w:val="20"/>
    </w:rPr>
  </w:style>
  <w:style w:type="character" w:customStyle="1" w:styleId="44">
    <w:name w:val="HTML 预设格式 Char"/>
    <w:basedOn w:val="23"/>
    <w:link w:val="11"/>
    <w:autoRedefine/>
    <w:qFormat/>
    <w:uiPriority w:val="99"/>
    <w:rPr>
      <w:rFonts w:ascii="Courier New" w:hAnsi="Courier New" w:eastAsia="宋体" w:cs="Courier New"/>
      <w:sz w:val="20"/>
      <w:szCs w:val="20"/>
    </w:rPr>
  </w:style>
  <w:style w:type="character" w:customStyle="1" w:styleId="45">
    <w:name w:val="日期 Char"/>
    <w:basedOn w:val="23"/>
    <w:link w:val="13"/>
    <w:autoRedefine/>
    <w:qFormat/>
    <w:uiPriority w:val="99"/>
    <w:rPr>
      <w:rFonts w:ascii="宋体" w:hAnsi="宋体" w:eastAsia="宋体" w:cs="Times New Roman"/>
      <w:kern w:val="0"/>
      <w:sz w:val="32"/>
      <w:szCs w:val="32"/>
    </w:rPr>
  </w:style>
  <w:style w:type="character" w:customStyle="1" w:styleId="46">
    <w:name w:val="正文文本缩进 2 Char"/>
    <w:basedOn w:val="23"/>
    <w:link w:val="14"/>
    <w:autoRedefine/>
    <w:qFormat/>
    <w:uiPriority w:val="0"/>
    <w:rPr>
      <w:rFonts w:ascii="宋体" w:hAnsi="宋体" w:eastAsia="宋体" w:cs="宋体"/>
      <w:b/>
      <w:kern w:val="1"/>
      <w:sz w:val="24"/>
      <w:szCs w:val="21"/>
    </w:rPr>
  </w:style>
  <w:style w:type="character" w:customStyle="1" w:styleId="47">
    <w:name w:val="批注框文本 Char"/>
    <w:basedOn w:val="23"/>
    <w:link w:val="15"/>
    <w:autoRedefine/>
    <w:qFormat/>
    <w:uiPriority w:val="99"/>
    <w:rPr>
      <w:rFonts w:ascii="Calibri" w:hAnsi="Calibri" w:eastAsia="宋体" w:cs="Times New Roman"/>
      <w:kern w:val="0"/>
      <w:sz w:val="18"/>
      <w:szCs w:val="18"/>
    </w:rPr>
  </w:style>
  <w:style w:type="character" w:customStyle="1" w:styleId="48">
    <w:name w:val="正文首行缩进 Char"/>
    <w:basedOn w:val="43"/>
    <w:link w:val="19"/>
    <w:autoRedefine/>
    <w:qFormat/>
    <w:uiPriority w:val="0"/>
    <w:rPr>
      <w:rFonts w:eastAsia="Arial Unicode MS"/>
      <w:color w:val="000000"/>
      <w:sz w:val="28"/>
      <w:szCs w:val="28"/>
    </w:rPr>
  </w:style>
  <w:style w:type="character" w:customStyle="1" w:styleId="49">
    <w:name w:val="正文文本缩进 Char"/>
    <w:basedOn w:val="23"/>
    <w:link w:val="9"/>
    <w:autoRedefine/>
    <w:semiHidden/>
    <w:qFormat/>
    <w:uiPriority w:val="99"/>
    <w:rPr>
      <w:rFonts w:ascii="Times New Roman" w:hAnsi="Times New Roman" w:eastAsia="宋体" w:cs="Times New Roman"/>
      <w:szCs w:val="21"/>
    </w:rPr>
  </w:style>
  <w:style w:type="character" w:customStyle="1" w:styleId="50">
    <w:name w:val="正文首行缩进 2 Char"/>
    <w:basedOn w:val="49"/>
    <w:link w:val="20"/>
    <w:autoRedefine/>
    <w:semiHidden/>
    <w:qFormat/>
    <w:uiPriority w:val="0"/>
    <w:rPr>
      <w:rFonts w:ascii="Calibri" w:hAnsi="Calibri" w:eastAsia="Arial Unicode MS"/>
      <w:color w:val="000000"/>
      <w:kern w:val="0"/>
      <w:sz w:val="20"/>
    </w:rPr>
  </w:style>
  <w:style w:type="paragraph" w:customStyle="1" w:styleId="51">
    <w:name w:val="文档正文"/>
    <w:basedOn w:val="1"/>
    <w:autoRedefine/>
    <w:qFormat/>
    <w:uiPriority w:val="0"/>
    <w:pPr>
      <w:spacing w:line="480" w:lineRule="atLeast"/>
      <w:ind w:firstLine="567"/>
      <w:textAlignment w:val="baseline"/>
    </w:pPr>
    <w:rPr>
      <w:rFonts w:ascii="仿宋_GB2312" w:hAnsi="仿宋_GB2312" w:eastAsia="宋体" w:cs="宋体"/>
      <w:sz w:val="28"/>
      <w:szCs w:val="28"/>
    </w:rPr>
  </w:style>
  <w:style w:type="paragraph" w:customStyle="1" w:styleId="52">
    <w:name w:val="a0"/>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53">
    <w:name w:val="hover1"/>
    <w:basedOn w:val="23"/>
    <w:autoRedefine/>
    <w:qFormat/>
    <w:uiPriority w:val="0"/>
    <w:rPr>
      <w:color w:val="2590EB"/>
    </w:rPr>
  </w:style>
  <w:style w:type="character" w:customStyle="1" w:styleId="54">
    <w:name w:val="hover2"/>
    <w:basedOn w:val="23"/>
    <w:autoRedefine/>
    <w:qFormat/>
    <w:uiPriority w:val="0"/>
    <w:rPr>
      <w:color w:val="2590EB"/>
    </w:rPr>
  </w:style>
  <w:style w:type="character" w:customStyle="1" w:styleId="55">
    <w:name w:val="hover3"/>
    <w:basedOn w:val="23"/>
    <w:autoRedefine/>
    <w:qFormat/>
    <w:uiPriority w:val="0"/>
  </w:style>
  <w:style w:type="character" w:customStyle="1" w:styleId="56">
    <w:name w:val="mini-outputtext1"/>
    <w:basedOn w:val="23"/>
    <w:autoRedefine/>
    <w:qFormat/>
    <w:uiPriority w:val="0"/>
  </w:style>
  <w:style w:type="character" w:customStyle="1" w:styleId="57">
    <w:name w:val="hover"/>
    <w:basedOn w:val="23"/>
    <w:autoRedefine/>
    <w:qFormat/>
    <w:uiPriority w:val="0"/>
  </w:style>
  <w:style w:type="paragraph" w:styleId="58">
    <w:name w:val="List Paragraph"/>
    <w:basedOn w:val="1"/>
    <w:autoRedefine/>
    <w:qFormat/>
    <w:uiPriority w:val="34"/>
    <w:pPr>
      <w:ind w:firstLine="420" w:firstLineChars="200"/>
    </w:pPr>
  </w:style>
  <w:style w:type="paragraph" w:customStyle="1" w:styleId="59">
    <w:name w:val="正文 New New New New New New New New New New New New New"/>
    <w:basedOn w:val="1"/>
    <w:autoRedefine/>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1"/>
      <w:szCs w:val="20"/>
      <w:lang w:val="en-US" w:eastAsia="zh-CN" w:bidi="ar"/>
    </w:rPr>
  </w:style>
  <w:style w:type="paragraph" w:customStyle="1" w:styleId="60">
    <w:name w:val="样式 正文首行缩进 2 + Arial"/>
    <w:basedOn w:val="1"/>
    <w:next w:val="1"/>
    <w:autoRedefine/>
    <w:qFormat/>
    <w:uiPriority w:val="0"/>
    <w:pPr>
      <w:spacing w:after="120" w:line="320" w:lineRule="atLeast"/>
      <w:ind w:firstLine="200" w:firstLineChars="200"/>
    </w:pPr>
    <w:rPr>
      <w:rFonts w:ascii="Arial" w:hAnsi="Arial"/>
    </w:rPr>
  </w:style>
  <w:style w:type="paragraph" w:customStyle="1" w:styleId="61">
    <w:name w:val="正文首行缩进两字符"/>
    <w:basedOn w:val="1"/>
    <w:autoRedefine/>
    <w:qFormat/>
    <w:uiPriority w:val="0"/>
    <w:pPr>
      <w:spacing w:line="360" w:lineRule="auto"/>
      <w:ind w:firstLine="200" w:firstLineChars="200"/>
    </w:pPr>
  </w:style>
  <w:style w:type="paragraph" w:customStyle="1" w:styleId="6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3">
    <w:name w:val="Table Paragraph"/>
    <w:basedOn w:val="1"/>
    <w:qFormat/>
    <w:uiPriority w:val="0"/>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54</Pages>
  <Words>14815</Words>
  <Characters>16372</Characters>
  <Lines>600</Lines>
  <Paragraphs>652</Paragraphs>
  <TotalTime>52</TotalTime>
  <ScaleCrop>false</ScaleCrop>
  <LinksUpToDate>false</LinksUpToDate>
  <CharactersWithSpaces>16479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2022-08-16T22:29:00Z</dcterms:created>
  <dc:creator>汇今工程咨询有限公司:汇今工程咨询有限公司(代理)</dc:creator>
  <cp:lastModifiedBy>日久见人心。</cp:lastModifiedBy>
  <dcterms:modified xsi:type="dcterms:W3CDTF">2025-07-17T11:08:26Z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EA32E5BD61834349A513B1FAA9A4197F_13</vt:lpwstr>
  </property>
  <property fmtid="{D5CDD505-2E9C-101B-9397-08002B2CF9AE}" pid="4" name="KSOTemplateDocerSaveRecord">
    <vt:lpwstr>eyJoZGlkIjoiZGFkMzQ5Yjk2ZGI3MjFhZGM1NzkyOTg2MDVkN2IyYjMiLCJ1c2VySWQiOiIzNjgzNTc2NjEifQ==</vt:lpwstr>
  </property>
</Properties>
</file>