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CDDFA">
      <w:pPr>
        <w:keepNext w:val="0"/>
        <w:keepLines w:val="0"/>
        <w:pageBreakBefore w:val="0"/>
        <w:widowControl w:val="0"/>
        <w:kinsoku/>
        <w:wordWrap w:val="0"/>
        <w:overflowPunct/>
        <w:topLinePunct w:val="0"/>
        <w:autoSpaceDE w:val="0"/>
        <w:autoSpaceDN w:val="0"/>
        <w:bidi w:val="0"/>
        <w:adjustRightInd/>
        <w:snapToGrid/>
        <w:spacing w:before="268" w:line="360" w:lineRule="auto"/>
        <w:jc w:val="center"/>
        <w:textAlignment w:val="auto"/>
        <w:rPr>
          <w:rFonts w:hint="eastAsia" w:eastAsia="宋体"/>
          <w:b/>
          <w:color w:val="auto"/>
          <w:sz w:val="56"/>
          <w:szCs w:val="20"/>
          <w:highlight w:val="none"/>
          <w:lang w:val="en-US" w:eastAsia="zh-CN"/>
        </w:rPr>
      </w:pPr>
      <w:r>
        <w:rPr>
          <w:rFonts w:hint="eastAsia" w:eastAsia="宋体"/>
          <w:b/>
          <w:color w:val="auto"/>
          <w:sz w:val="56"/>
          <w:szCs w:val="20"/>
          <w:highlight w:val="none"/>
          <w:lang w:val="en-US" w:eastAsia="zh-CN"/>
        </w:rPr>
        <w:t>卢氏县重点非煤矿山视频智能监控系统及尾矿库在线监测系统建设项目</w:t>
      </w:r>
    </w:p>
    <w:p w14:paraId="6F73B978">
      <w:pPr>
        <w:keepNext w:val="0"/>
        <w:keepLines w:val="0"/>
        <w:pageBreakBefore w:val="0"/>
        <w:widowControl w:val="0"/>
        <w:kinsoku/>
        <w:wordWrap w:val="0"/>
        <w:overflowPunct/>
        <w:topLinePunct w:val="0"/>
        <w:autoSpaceDE w:val="0"/>
        <w:autoSpaceDN w:val="0"/>
        <w:bidi w:val="0"/>
        <w:adjustRightInd/>
        <w:snapToGrid/>
        <w:spacing w:before="268" w:line="360" w:lineRule="auto"/>
        <w:jc w:val="center"/>
        <w:textAlignment w:val="auto"/>
        <w:rPr>
          <w:rFonts w:hint="eastAsia"/>
          <w:b/>
          <w:color w:val="auto"/>
          <w:sz w:val="56"/>
          <w:szCs w:val="20"/>
          <w:highlight w:val="none"/>
          <w:lang w:eastAsia="zh-CN"/>
        </w:rPr>
      </w:pPr>
      <w:r>
        <w:rPr>
          <w:rFonts w:hint="eastAsia"/>
          <w:b/>
          <w:color w:val="auto"/>
          <w:sz w:val="56"/>
          <w:szCs w:val="20"/>
          <w:highlight w:val="none"/>
          <w:lang w:eastAsia="zh-CN"/>
        </w:rPr>
        <w:t>（</w:t>
      </w:r>
      <w:r>
        <w:rPr>
          <w:rFonts w:hint="eastAsia"/>
          <w:b/>
          <w:color w:val="auto"/>
          <w:sz w:val="56"/>
          <w:szCs w:val="20"/>
          <w:highlight w:val="none"/>
          <w:lang w:val="en-US" w:eastAsia="zh-CN"/>
        </w:rPr>
        <w:t>三标段</w:t>
      </w:r>
      <w:r>
        <w:rPr>
          <w:rFonts w:hint="eastAsia"/>
          <w:b/>
          <w:color w:val="auto"/>
          <w:sz w:val="56"/>
          <w:szCs w:val="20"/>
          <w:highlight w:val="none"/>
          <w:lang w:eastAsia="zh-CN"/>
        </w:rPr>
        <w:t>）</w:t>
      </w:r>
    </w:p>
    <w:p w14:paraId="2BDDD3D5">
      <w:pPr>
        <w:pStyle w:val="12"/>
        <w:keepNext w:val="0"/>
        <w:keepLines w:val="0"/>
        <w:pageBreakBefore w:val="0"/>
        <w:kinsoku/>
        <w:wordWrap w:val="0"/>
        <w:overflowPunct/>
        <w:topLinePunct w:val="0"/>
        <w:bidi w:val="0"/>
        <w:rPr>
          <w:rFonts w:hint="eastAsia"/>
          <w:color w:val="auto"/>
          <w:highlight w:val="none"/>
          <w:lang w:eastAsia="zh-CN"/>
        </w:rPr>
      </w:pPr>
    </w:p>
    <w:p w14:paraId="1ABEF57B">
      <w:pPr>
        <w:keepNext w:val="0"/>
        <w:keepLines w:val="0"/>
        <w:pageBreakBefore w:val="0"/>
        <w:kinsoku/>
        <w:wordWrap w:val="0"/>
        <w:overflowPunct/>
        <w:topLinePunct w:val="0"/>
        <w:bidi w:val="0"/>
        <w:spacing w:before="268"/>
        <w:ind w:left="2245"/>
        <w:rPr>
          <w:b/>
          <w:color w:val="auto"/>
          <w:sz w:val="72"/>
          <w:szCs w:val="21"/>
          <w:highlight w:val="none"/>
          <w:lang w:val="en-US"/>
        </w:rPr>
      </w:pPr>
      <w:r>
        <w:rPr>
          <w:b/>
          <w:color w:val="auto"/>
          <w:sz w:val="72"/>
          <w:szCs w:val="21"/>
          <w:highlight w:val="none"/>
        </w:rPr>
        <w:t>竞争性磋商文件</w:t>
      </w:r>
    </w:p>
    <w:p w14:paraId="5E10544A">
      <w:pPr>
        <w:pStyle w:val="7"/>
        <w:keepNext w:val="0"/>
        <w:keepLines w:val="0"/>
        <w:pageBreakBefore w:val="0"/>
        <w:kinsoku/>
        <w:wordWrap w:val="0"/>
        <w:overflowPunct/>
        <w:topLinePunct w:val="0"/>
        <w:bidi w:val="0"/>
        <w:spacing w:before="6"/>
        <w:ind w:left="0"/>
        <w:jc w:val="both"/>
        <w:rPr>
          <w:rFonts w:hint="eastAsia" w:ascii="宋体" w:hAnsi="宋体" w:eastAsia="宋体" w:cs="宋体"/>
          <w:b/>
          <w:bCs/>
          <w:color w:val="auto"/>
          <w:sz w:val="32"/>
          <w:szCs w:val="32"/>
          <w:highlight w:val="none"/>
          <w:lang w:val="zh-CN" w:eastAsia="zh-CN"/>
        </w:rPr>
      </w:pPr>
    </w:p>
    <w:p w14:paraId="029D5B46">
      <w:pPr>
        <w:pStyle w:val="7"/>
        <w:keepNext w:val="0"/>
        <w:keepLines w:val="0"/>
        <w:pageBreakBefore w:val="0"/>
        <w:kinsoku/>
        <w:wordWrap w:val="0"/>
        <w:overflowPunct/>
        <w:topLinePunct w:val="0"/>
        <w:bidi w:val="0"/>
        <w:spacing w:before="6"/>
        <w:ind w:left="0"/>
        <w:jc w:val="center"/>
        <w:rPr>
          <w:b/>
          <w:bCs/>
          <w:color w:val="auto"/>
          <w:sz w:val="24"/>
          <w:szCs w:val="24"/>
          <w:highlight w:val="none"/>
        </w:rPr>
      </w:pPr>
      <w:r>
        <w:rPr>
          <w:rFonts w:hint="eastAsia"/>
          <w:b/>
          <w:bCs/>
          <w:color w:val="auto"/>
          <w:sz w:val="24"/>
          <w:szCs w:val="24"/>
          <w:highlight w:val="none"/>
          <w:lang w:val="zh-CN" w:eastAsia="zh-CN"/>
        </w:rPr>
        <w:t>项目编号：三卢竞磋采购-2025-60、LSGZ[2025]129-ZC091</w:t>
      </w:r>
    </w:p>
    <w:p w14:paraId="75AB33FB">
      <w:pPr>
        <w:pStyle w:val="7"/>
        <w:keepNext w:val="0"/>
        <w:keepLines w:val="0"/>
        <w:pageBreakBefore w:val="0"/>
        <w:kinsoku/>
        <w:wordWrap w:val="0"/>
        <w:overflowPunct/>
        <w:topLinePunct w:val="0"/>
        <w:bidi w:val="0"/>
        <w:ind w:left="0"/>
        <w:rPr>
          <w:b/>
          <w:bCs/>
          <w:color w:val="auto"/>
          <w:sz w:val="30"/>
          <w:highlight w:val="none"/>
        </w:rPr>
      </w:pPr>
    </w:p>
    <w:p w14:paraId="79012BEA">
      <w:pPr>
        <w:pStyle w:val="7"/>
        <w:keepNext w:val="0"/>
        <w:keepLines w:val="0"/>
        <w:pageBreakBefore w:val="0"/>
        <w:kinsoku/>
        <w:wordWrap w:val="0"/>
        <w:overflowPunct/>
        <w:topLinePunct w:val="0"/>
        <w:bidi w:val="0"/>
        <w:ind w:left="0"/>
        <w:rPr>
          <w:b/>
          <w:color w:val="auto"/>
          <w:sz w:val="30"/>
          <w:highlight w:val="none"/>
        </w:rPr>
      </w:pPr>
      <w:r>
        <w:rPr>
          <w:color w:val="auto"/>
          <w:highlight w:val="none"/>
        </w:rPr>
        <w:drawing>
          <wp:anchor distT="0" distB="0" distL="114300" distR="114300" simplePos="0" relativeHeight="251659264" behindDoc="0" locked="0" layoutInCell="1" allowOverlap="1">
            <wp:simplePos x="0" y="0"/>
            <wp:positionH relativeFrom="column">
              <wp:posOffset>1925955</wp:posOffset>
            </wp:positionH>
            <wp:positionV relativeFrom="paragraph">
              <wp:posOffset>67310</wp:posOffset>
            </wp:positionV>
            <wp:extent cx="2178685" cy="2727960"/>
            <wp:effectExtent l="0" t="0" r="12065" b="15240"/>
            <wp:wrapSquare wrapText="bothSides"/>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2"/>
                    <a:stretch>
                      <a:fillRect/>
                    </a:stretch>
                  </pic:blipFill>
                  <pic:spPr>
                    <a:xfrm>
                      <a:off x="0" y="0"/>
                      <a:ext cx="2178685" cy="2727960"/>
                    </a:xfrm>
                    <a:prstGeom prst="rect">
                      <a:avLst/>
                    </a:prstGeom>
                    <a:noFill/>
                    <a:ln>
                      <a:noFill/>
                    </a:ln>
                  </pic:spPr>
                </pic:pic>
              </a:graphicData>
            </a:graphic>
          </wp:anchor>
        </w:drawing>
      </w:r>
    </w:p>
    <w:p w14:paraId="588AEAF5">
      <w:pPr>
        <w:pStyle w:val="7"/>
        <w:keepNext w:val="0"/>
        <w:keepLines w:val="0"/>
        <w:pageBreakBefore w:val="0"/>
        <w:kinsoku/>
        <w:wordWrap w:val="0"/>
        <w:overflowPunct/>
        <w:topLinePunct w:val="0"/>
        <w:bidi w:val="0"/>
        <w:ind w:left="0"/>
        <w:rPr>
          <w:b/>
          <w:color w:val="auto"/>
          <w:sz w:val="30"/>
          <w:highlight w:val="none"/>
        </w:rPr>
      </w:pPr>
    </w:p>
    <w:p w14:paraId="6E6925BF">
      <w:pPr>
        <w:pStyle w:val="7"/>
        <w:keepNext w:val="0"/>
        <w:keepLines w:val="0"/>
        <w:pageBreakBefore w:val="0"/>
        <w:kinsoku/>
        <w:wordWrap w:val="0"/>
        <w:overflowPunct/>
        <w:topLinePunct w:val="0"/>
        <w:bidi w:val="0"/>
        <w:ind w:left="0"/>
        <w:rPr>
          <w:b/>
          <w:color w:val="auto"/>
          <w:sz w:val="30"/>
          <w:highlight w:val="none"/>
        </w:rPr>
      </w:pPr>
    </w:p>
    <w:p w14:paraId="0B362D36">
      <w:pPr>
        <w:pStyle w:val="7"/>
        <w:keepNext w:val="0"/>
        <w:keepLines w:val="0"/>
        <w:pageBreakBefore w:val="0"/>
        <w:kinsoku/>
        <w:wordWrap w:val="0"/>
        <w:overflowPunct/>
        <w:topLinePunct w:val="0"/>
        <w:bidi w:val="0"/>
        <w:ind w:left="0"/>
        <w:rPr>
          <w:b/>
          <w:color w:val="auto"/>
          <w:sz w:val="30"/>
          <w:highlight w:val="none"/>
        </w:rPr>
      </w:pPr>
    </w:p>
    <w:p w14:paraId="560FCC87">
      <w:pPr>
        <w:pStyle w:val="7"/>
        <w:keepNext w:val="0"/>
        <w:keepLines w:val="0"/>
        <w:pageBreakBefore w:val="0"/>
        <w:kinsoku/>
        <w:wordWrap w:val="0"/>
        <w:overflowPunct/>
        <w:topLinePunct w:val="0"/>
        <w:bidi w:val="0"/>
        <w:ind w:left="0"/>
        <w:rPr>
          <w:b/>
          <w:color w:val="auto"/>
          <w:sz w:val="30"/>
          <w:highlight w:val="none"/>
        </w:rPr>
      </w:pPr>
    </w:p>
    <w:p w14:paraId="7AB350B9">
      <w:pPr>
        <w:pStyle w:val="7"/>
        <w:keepNext w:val="0"/>
        <w:keepLines w:val="0"/>
        <w:pageBreakBefore w:val="0"/>
        <w:kinsoku/>
        <w:wordWrap w:val="0"/>
        <w:overflowPunct/>
        <w:topLinePunct w:val="0"/>
        <w:bidi w:val="0"/>
        <w:ind w:left="0"/>
        <w:rPr>
          <w:b/>
          <w:color w:val="auto"/>
          <w:sz w:val="30"/>
          <w:highlight w:val="none"/>
        </w:rPr>
      </w:pPr>
    </w:p>
    <w:p w14:paraId="08988F58">
      <w:pPr>
        <w:pStyle w:val="7"/>
        <w:keepNext w:val="0"/>
        <w:keepLines w:val="0"/>
        <w:pageBreakBefore w:val="0"/>
        <w:kinsoku/>
        <w:wordWrap w:val="0"/>
        <w:overflowPunct/>
        <w:topLinePunct w:val="0"/>
        <w:bidi w:val="0"/>
        <w:ind w:left="0"/>
        <w:rPr>
          <w:b/>
          <w:color w:val="auto"/>
          <w:sz w:val="30"/>
          <w:highlight w:val="none"/>
        </w:rPr>
      </w:pPr>
    </w:p>
    <w:p w14:paraId="315DCCBA">
      <w:pPr>
        <w:pStyle w:val="7"/>
        <w:keepNext w:val="0"/>
        <w:keepLines w:val="0"/>
        <w:pageBreakBefore w:val="0"/>
        <w:kinsoku/>
        <w:wordWrap w:val="0"/>
        <w:overflowPunct/>
        <w:topLinePunct w:val="0"/>
        <w:bidi w:val="0"/>
        <w:ind w:left="0"/>
        <w:rPr>
          <w:b/>
          <w:color w:val="auto"/>
          <w:sz w:val="30"/>
          <w:highlight w:val="none"/>
        </w:rPr>
      </w:pPr>
    </w:p>
    <w:p w14:paraId="7C4A7FF0">
      <w:pPr>
        <w:pStyle w:val="7"/>
        <w:keepNext w:val="0"/>
        <w:keepLines w:val="0"/>
        <w:pageBreakBefore w:val="0"/>
        <w:kinsoku/>
        <w:wordWrap w:val="0"/>
        <w:overflowPunct/>
        <w:topLinePunct w:val="0"/>
        <w:bidi w:val="0"/>
        <w:ind w:left="0"/>
        <w:rPr>
          <w:b/>
          <w:color w:val="auto"/>
          <w:sz w:val="30"/>
          <w:highlight w:val="none"/>
        </w:rPr>
      </w:pPr>
    </w:p>
    <w:p w14:paraId="45E91FA6">
      <w:pPr>
        <w:pStyle w:val="7"/>
        <w:keepNext w:val="0"/>
        <w:keepLines w:val="0"/>
        <w:pageBreakBefore w:val="0"/>
        <w:kinsoku/>
        <w:wordWrap w:val="0"/>
        <w:overflowPunct/>
        <w:topLinePunct w:val="0"/>
        <w:bidi w:val="0"/>
        <w:ind w:left="0"/>
        <w:rPr>
          <w:b/>
          <w:color w:val="auto"/>
          <w:sz w:val="30"/>
          <w:highlight w:val="none"/>
        </w:rPr>
      </w:pPr>
    </w:p>
    <w:p w14:paraId="02704550">
      <w:pPr>
        <w:pStyle w:val="7"/>
        <w:keepNext w:val="0"/>
        <w:keepLines w:val="0"/>
        <w:pageBreakBefore w:val="0"/>
        <w:kinsoku/>
        <w:wordWrap w:val="0"/>
        <w:overflowPunct/>
        <w:topLinePunct w:val="0"/>
        <w:bidi w:val="0"/>
        <w:spacing w:before="12"/>
        <w:ind w:left="0"/>
        <w:rPr>
          <w:b/>
          <w:color w:val="auto"/>
          <w:sz w:val="42"/>
          <w:highlight w:val="none"/>
        </w:rPr>
      </w:pPr>
    </w:p>
    <w:p w14:paraId="45DD0B94">
      <w:pPr>
        <w:keepNext w:val="0"/>
        <w:keepLines w:val="0"/>
        <w:pageBreakBefore w:val="0"/>
        <w:tabs>
          <w:tab w:val="left" w:pos="2751"/>
          <w:tab w:val="left" w:pos="3555"/>
        </w:tabs>
        <w:kinsoku/>
        <w:wordWrap w:val="0"/>
        <w:overflowPunct/>
        <w:topLinePunct w:val="0"/>
        <w:bidi w:val="0"/>
        <w:spacing w:line="480" w:lineRule="auto"/>
        <w:ind w:right="2433"/>
        <w:jc w:val="center"/>
        <w:rPr>
          <w:rFonts w:hint="eastAsia"/>
          <w:b/>
          <w:color w:val="auto"/>
          <w:sz w:val="32"/>
          <w:highlight w:val="none"/>
          <w:lang w:val="en-US" w:eastAsia="zh-CN"/>
        </w:rPr>
      </w:pPr>
      <w:r>
        <w:rPr>
          <w:rFonts w:hint="eastAsia"/>
          <w:b/>
          <w:color w:val="auto"/>
          <w:sz w:val="32"/>
          <w:highlight w:val="none"/>
          <w:lang w:val="en-US" w:eastAsia="zh-CN"/>
        </w:rPr>
        <w:t xml:space="preserve">                 </w:t>
      </w:r>
    </w:p>
    <w:p w14:paraId="7FB9AB4A">
      <w:pPr>
        <w:keepNext w:val="0"/>
        <w:keepLines w:val="0"/>
        <w:pageBreakBefore w:val="0"/>
        <w:tabs>
          <w:tab w:val="left" w:pos="2751"/>
          <w:tab w:val="left" w:pos="3555"/>
        </w:tabs>
        <w:kinsoku/>
        <w:wordWrap w:val="0"/>
        <w:overflowPunct/>
        <w:topLinePunct w:val="0"/>
        <w:bidi w:val="0"/>
        <w:spacing w:line="480" w:lineRule="auto"/>
        <w:ind w:right="2433"/>
        <w:jc w:val="center"/>
        <w:rPr>
          <w:rFonts w:hint="eastAsia" w:eastAsia="宋体"/>
          <w:b/>
          <w:color w:val="auto"/>
          <w:sz w:val="32"/>
          <w:highlight w:val="none"/>
          <w:lang w:val="en-US" w:eastAsia="zh-CN"/>
        </w:rPr>
      </w:pPr>
      <w:r>
        <w:rPr>
          <w:rFonts w:hint="eastAsia"/>
          <w:b/>
          <w:color w:val="auto"/>
          <w:sz w:val="32"/>
          <w:highlight w:val="none"/>
          <w:lang w:val="en-US" w:eastAsia="zh-CN"/>
        </w:rPr>
        <w:t xml:space="preserve">             </w:t>
      </w:r>
      <w:r>
        <w:rPr>
          <w:b/>
          <w:color w:val="auto"/>
          <w:sz w:val="32"/>
          <w:highlight w:val="none"/>
        </w:rPr>
        <w:t>采购人</w:t>
      </w:r>
      <w:r>
        <w:rPr>
          <w:rFonts w:hint="eastAsia"/>
          <w:b/>
          <w:color w:val="auto"/>
          <w:sz w:val="32"/>
          <w:highlight w:val="none"/>
        </w:rPr>
        <w:t>：</w:t>
      </w:r>
      <w:r>
        <w:rPr>
          <w:rFonts w:hint="eastAsia"/>
          <w:b/>
          <w:color w:val="auto"/>
          <w:sz w:val="32"/>
          <w:highlight w:val="none"/>
          <w:lang w:eastAsia="zh-CN"/>
        </w:rPr>
        <w:t>卢氏县应急管理局</w:t>
      </w:r>
    </w:p>
    <w:p w14:paraId="6B423A45">
      <w:pPr>
        <w:keepNext w:val="0"/>
        <w:keepLines w:val="0"/>
        <w:pageBreakBefore w:val="0"/>
        <w:tabs>
          <w:tab w:val="left" w:pos="2751"/>
          <w:tab w:val="left" w:pos="3555"/>
        </w:tabs>
        <w:kinsoku/>
        <w:wordWrap w:val="0"/>
        <w:overflowPunct/>
        <w:topLinePunct w:val="0"/>
        <w:bidi w:val="0"/>
        <w:spacing w:line="480" w:lineRule="auto"/>
        <w:ind w:right="2433"/>
        <w:jc w:val="center"/>
        <w:rPr>
          <w:rFonts w:hint="eastAsia" w:eastAsia="宋体"/>
          <w:b/>
          <w:color w:val="auto"/>
          <w:sz w:val="32"/>
          <w:highlight w:val="none"/>
          <w:lang w:eastAsia="zh-CN"/>
        </w:rPr>
      </w:pPr>
      <w:r>
        <w:rPr>
          <w:rFonts w:hint="eastAsia"/>
          <w:b/>
          <w:color w:val="auto"/>
          <w:sz w:val="32"/>
          <w:highlight w:val="none"/>
          <w:lang w:val="en-US" w:eastAsia="zh-CN"/>
        </w:rPr>
        <w:t xml:space="preserve">           </w:t>
      </w:r>
      <w:r>
        <w:rPr>
          <w:b/>
          <w:color w:val="auto"/>
          <w:sz w:val="32"/>
          <w:highlight w:val="none"/>
        </w:rPr>
        <w:t>代理机构</w:t>
      </w:r>
      <w:r>
        <w:rPr>
          <w:rFonts w:hint="eastAsia"/>
          <w:b/>
          <w:color w:val="auto"/>
          <w:sz w:val="32"/>
          <w:highlight w:val="none"/>
        </w:rPr>
        <w:t>：</w:t>
      </w:r>
      <w:r>
        <w:rPr>
          <w:rFonts w:hint="eastAsia"/>
          <w:b/>
          <w:color w:val="auto"/>
          <w:sz w:val="32"/>
          <w:highlight w:val="none"/>
          <w:lang w:eastAsia="zh-CN"/>
        </w:rPr>
        <w:t>河南立旭工程管理有限公司</w:t>
      </w:r>
    </w:p>
    <w:p w14:paraId="33355233">
      <w:pPr>
        <w:keepNext w:val="0"/>
        <w:keepLines w:val="0"/>
        <w:pageBreakBefore w:val="0"/>
        <w:tabs>
          <w:tab w:val="left" w:pos="2751"/>
          <w:tab w:val="left" w:pos="3555"/>
        </w:tabs>
        <w:kinsoku/>
        <w:wordWrap w:val="0"/>
        <w:overflowPunct/>
        <w:topLinePunct w:val="0"/>
        <w:bidi w:val="0"/>
        <w:spacing w:line="480" w:lineRule="auto"/>
        <w:ind w:right="830"/>
        <w:jc w:val="center"/>
        <w:rPr>
          <w:b/>
          <w:color w:val="auto"/>
          <w:sz w:val="32"/>
          <w:highlight w:val="none"/>
        </w:rPr>
      </w:pPr>
      <w:r>
        <w:rPr>
          <w:rFonts w:hint="eastAsia"/>
          <w:b/>
          <w:color w:val="auto"/>
          <w:sz w:val="32"/>
          <w:highlight w:val="none"/>
          <w:lang w:val="en-US"/>
        </w:rPr>
        <w:t>二零二</w:t>
      </w:r>
      <w:r>
        <w:rPr>
          <w:rFonts w:hint="eastAsia"/>
          <w:b/>
          <w:color w:val="auto"/>
          <w:sz w:val="32"/>
          <w:highlight w:val="none"/>
          <w:lang w:val="en-US" w:eastAsia="zh-CN"/>
        </w:rPr>
        <w:t>五</w:t>
      </w:r>
      <w:r>
        <w:rPr>
          <w:b/>
          <w:color w:val="auto"/>
          <w:sz w:val="32"/>
          <w:highlight w:val="none"/>
        </w:rPr>
        <w:t>年</w:t>
      </w:r>
      <w:r>
        <w:rPr>
          <w:rFonts w:hint="eastAsia"/>
          <w:b/>
          <w:color w:val="auto"/>
          <w:sz w:val="32"/>
          <w:highlight w:val="none"/>
          <w:lang w:val="en-US" w:eastAsia="zh-CN"/>
        </w:rPr>
        <w:t>六</w:t>
      </w:r>
      <w:r>
        <w:rPr>
          <w:b/>
          <w:color w:val="auto"/>
          <w:sz w:val="32"/>
          <w:highlight w:val="none"/>
        </w:rPr>
        <w:t>月</w:t>
      </w:r>
    </w:p>
    <w:p w14:paraId="3AB3BAB5">
      <w:pPr>
        <w:keepNext w:val="0"/>
        <w:keepLines w:val="0"/>
        <w:pageBreakBefore w:val="0"/>
        <w:kinsoku/>
        <w:wordWrap w:val="0"/>
        <w:overflowPunct/>
        <w:topLinePunct w:val="0"/>
        <w:bidi w:val="0"/>
        <w:spacing w:line="364" w:lineRule="auto"/>
        <w:jc w:val="center"/>
        <w:rPr>
          <w:color w:val="auto"/>
          <w:sz w:val="32"/>
          <w:highlight w:val="none"/>
        </w:rPr>
        <w:sectPr>
          <w:footerReference r:id="rId3" w:type="default"/>
          <w:pgSz w:w="11910" w:h="16840"/>
          <w:pgMar w:top="1380" w:right="1020" w:bottom="820" w:left="1040" w:header="720" w:footer="640" w:gutter="0"/>
          <w:pgBorders>
            <w:top w:val="none" w:sz="0" w:space="0"/>
            <w:left w:val="none" w:sz="0" w:space="0"/>
            <w:bottom w:val="none" w:sz="0" w:space="0"/>
            <w:right w:val="none" w:sz="0" w:space="0"/>
          </w:pgBorders>
          <w:pgNumType w:start="1"/>
          <w:cols w:space="720" w:num="1"/>
        </w:sectPr>
      </w:pPr>
    </w:p>
    <w:p w14:paraId="6347C5C7">
      <w:pPr>
        <w:keepNext w:val="0"/>
        <w:keepLines w:val="0"/>
        <w:pageBreakBefore w:val="0"/>
        <w:kinsoku/>
        <w:wordWrap w:val="0"/>
        <w:overflowPunct/>
        <w:topLinePunct w:val="0"/>
        <w:bidi w:val="0"/>
        <w:spacing w:before="12"/>
        <w:ind w:left="892" w:right="909"/>
        <w:jc w:val="center"/>
        <w:rPr>
          <w:b/>
          <w:color w:val="auto"/>
          <w:sz w:val="44"/>
          <w:highlight w:val="none"/>
        </w:rPr>
      </w:pPr>
      <w:r>
        <w:rPr>
          <w:b/>
          <w:color w:val="auto"/>
          <w:sz w:val="44"/>
          <w:highlight w:val="none"/>
        </w:rPr>
        <w:t>目</w:t>
      </w:r>
      <w:r>
        <w:rPr>
          <w:rFonts w:hint="eastAsia"/>
          <w:b/>
          <w:color w:val="auto"/>
          <w:sz w:val="44"/>
          <w:highlight w:val="none"/>
          <w:lang w:val="en-US" w:eastAsia="zh-CN"/>
        </w:rPr>
        <w:t xml:space="preserve">  </w:t>
      </w:r>
      <w:r>
        <w:rPr>
          <w:b/>
          <w:color w:val="auto"/>
          <w:sz w:val="44"/>
          <w:highlight w:val="none"/>
        </w:rPr>
        <w:t>录</w:t>
      </w:r>
    </w:p>
    <w:p w14:paraId="29AB4EC4">
      <w:pPr>
        <w:keepNext w:val="0"/>
        <w:keepLines w:val="0"/>
        <w:pageBreakBefore w:val="0"/>
        <w:kinsoku/>
        <w:wordWrap w:val="0"/>
        <w:overflowPunct/>
        <w:topLinePunct w:val="0"/>
        <w:bidi w:val="0"/>
        <w:jc w:val="center"/>
        <w:rPr>
          <w:color w:val="auto"/>
          <w:highlight w:val="none"/>
        </w:rPr>
      </w:pPr>
    </w:p>
    <w:p w14:paraId="59110376">
      <w:pPr>
        <w:pStyle w:val="16"/>
        <w:keepNext w:val="0"/>
        <w:keepLines w:val="0"/>
        <w:pageBreakBefore w:val="0"/>
        <w:tabs>
          <w:tab w:val="right" w:leader="dot" w:pos="9850"/>
        </w:tabs>
        <w:kinsoku/>
        <w:wordWrap w:val="0"/>
        <w:overflowPunct/>
        <w:topLinePunct w:val="0"/>
        <w:bidi w:val="0"/>
        <w:rPr>
          <w:color w:val="auto"/>
          <w:sz w:val="36"/>
          <w:szCs w:val="36"/>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"_Toc16699" </w:instrText>
      </w:r>
      <w:r>
        <w:rPr>
          <w:color w:val="auto"/>
          <w:highlight w:val="none"/>
        </w:rPr>
        <w:fldChar w:fldCharType="separate"/>
      </w:r>
      <w:r>
        <w:rPr>
          <w:color w:val="auto"/>
          <w:sz w:val="36"/>
          <w:szCs w:val="36"/>
          <w:highlight w:val="none"/>
        </w:rPr>
        <w:t>第一章 竞争性磋商公告</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_Toc16699 </w:instrText>
      </w:r>
      <w:r>
        <w:rPr>
          <w:color w:val="auto"/>
          <w:sz w:val="36"/>
          <w:szCs w:val="36"/>
          <w:highlight w:val="none"/>
        </w:rPr>
        <w:fldChar w:fldCharType="separate"/>
      </w:r>
      <w:r>
        <w:rPr>
          <w:color w:val="auto"/>
          <w:sz w:val="36"/>
          <w:szCs w:val="36"/>
          <w:highlight w:val="none"/>
        </w:rPr>
        <w:t>1</w:t>
      </w:r>
      <w:r>
        <w:rPr>
          <w:color w:val="auto"/>
          <w:sz w:val="36"/>
          <w:szCs w:val="36"/>
          <w:highlight w:val="none"/>
        </w:rPr>
        <w:fldChar w:fldCharType="end"/>
      </w:r>
      <w:r>
        <w:rPr>
          <w:color w:val="auto"/>
          <w:sz w:val="36"/>
          <w:szCs w:val="36"/>
          <w:highlight w:val="none"/>
        </w:rPr>
        <w:fldChar w:fldCharType="end"/>
      </w:r>
    </w:p>
    <w:p w14:paraId="78009838">
      <w:pPr>
        <w:pStyle w:val="16"/>
        <w:keepNext w:val="0"/>
        <w:keepLines w:val="0"/>
        <w:pageBreakBefore w:val="0"/>
        <w:tabs>
          <w:tab w:val="right" w:leader="dot" w:pos="9850"/>
        </w:tabs>
        <w:kinsoku/>
        <w:wordWrap w:val="0"/>
        <w:overflowPunct/>
        <w:topLinePunct w:val="0"/>
        <w:bidi w:val="0"/>
        <w:rPr>
          <w:color w:val="auto"/>
          <w:sz w:val="36"/>
          <w:szCs w:val="36"/>
          <w:highlight w:val="none"/>
        </w:rPr>
      </w:pPr>
    </w:p>
    <w:p w14:paraId="7162B6B8">
      <w:pPr>
        <w:pStyle w:val="16"/>
        <w:keepNext w:val="0"/>
        <w:keepLines w:val="0"/>
        <w:pageBreakBefore w:val="0"/>
        <w:tabs>
          <w:tab w:val="right" w:leader="dot" w:pos="9850"/>
        </w:tabs>
        <w:kinsoku/>
        <w:wordWrap w:val="0"/>
        <w:overflowPunct/>
        <w:topLinePunct w:val="0"/>
        <w:bidi w:val="0"/>
        <w:rPr>
          <w:color w:val="auto"/>
          <w:sz w:val="36"/>
          <w:szCs w:val="36"/>
          <w:highlight w:val="none"/>
        </w:rPr>
      </w:pPr>
      <w:r>
        <w:rPr>
          <w:color w:val="auto"/>
          <w:highlight w:val="none"/>
        </w:rPr>
        <w:fldChar w:fldCharType="begin"/>
      </w:r>
      <w:r>
        <w:rPr>
          <w:color w:val="auto"/>
          <w:highlight w:val="none"/>
        </w:rPr>
        <w:instrText xml:space="preserve"> HYPERLINK \l "_Toc19177" </w:instrText>
      </w:r>
      <w:r>
        <w:rPr>
          <w:color w:val="auto"/>
          <w:highlight w:val="none"/>
        </w:rPr>
        <w:fldChar w:fldCharType="separate"/>
      </w:r>
      <w:r>
        <w:rPr>
          <w:color w:val="auto"/>
          <w:sz w:val="36"/>
          <w:szCs w:val="36"/>
          <w:highlight w:val="none"/>
        </w:rPr>
        <w:t>第二章 供应商须知</w:t>
      </w:r>
      <w:r>
        <w:rPr>
          <w:color w:val="auto"/>
          <w:sz w:val="36"/>
          <w:szCs w:val="36"/>
          <w:highlight w:val="none"/>
        </w:rPr>
        <w:tab/>
      </w:r>
      <w:r>
        <w:rPr>
          <w:rFonts w:hint="eastAsia"/>
          <w:color w:val="auto"/>
          <w:sz w:val="36"/>
          <w:szCs w:val="36"/>
          <w:highlight w:val="none"/>
          <w:lang w:val="en-US" w:eastAsia="zh-CN"/>
        </w:rPr>
        <w:t>5</w:t>
      </w:r>
      <w:r>
        <w:rPr>
          <w:color w:val="auto"/>
          <w:sz w:val="36"/>
          <w:szCs w:val="36"/>
          <w:highlight w:val="none"/>
        </w:rPr>
        <w:fldChar w:fldCharType="end"/>
      </w:r>
    </w:p>
    <w:p w14:paraId="2D6FE083">
      <w:pPr>
        <w:pStyle w:val="16"/>
        <w:keepNext w:val="0"/>
        <w:keepLines w:val="0"/>
        <w:pageBreakBefore w:val="0"/>
        <w:tabs>
          <w:tab w:val="right" w:leader="dot" w:pos="9850"/>
        </w:tabs>
        <w:kinsoku/>
        <w:wordWrap w:val="0"/>
        <w:overflowPunct/>
        <w:topLinePunct w:val="0"/>
        <w:bidi w:val="0"/>
        <w:rPr>
          <w:color w:val="auto"/>
          <w:sz w:val="36"/>
          <w:szCs w:val="36"/>
          <w:highlight w:val="none"/>
        </w:rPr>
      </w:pPr>
    </w:p>
    <w:p w14:paraId="1E156EA6">
      <w:pPr>
        <w:pStyle w:val="16"/>
        <w:keepNext w:val="0"/>
        <w:keepLines w:val="0"/>
        <w:pageBreakBefore w:val="0"/>
        <w:tabs>
          <w:tab w:val="right" w:leader="dot" w:pos="9850"/>
        </w:tabs>
        <w:kinsoku/>
        <w:wordWrap w:val="0"/>
        <w:overflowPunct/>
        <w:topLinePunct w:val="0"/>
        <w:bidi w:val="0"/>
        <w:rPr>
          <w:color w:val="auto"/>
          <w:sz w:val="36"/>
          <w:szCs w:val="36"/>
          <w:highlight w:val="none"/>
        </w:rPr>
      </w:pPr>
      <w:r>
        <w:rPr>
          <w:color w:val="auto"/>
          <w:highlight w:val="none"/>
        </w:rPr>
        <w:fldChar w:fldCharType="begin"/>
      </w:r>
      <w:r>
        <w:rPr>
          <w:color w:val="auto"/>
          <w:highlight w:val="none"/>
        </w:rPr>
        <w:instrText xml:space="preserve"> HYPERLINK \l "_Toc25877" </w:instrText>
      </w:r>
      <w:r>
        <w:rPr>
          <w:color w:val="auto"/>
          <w:highlight w:val="none"/>
        </w:rPr>
        <w:fldChar w:fldCharType="separate"/>
      </w:r>
      <w:r>
        <w:rPr>
          <w:color w:val="auto"/>
          <w:sz w:val="36"/>
          <w:szCs w:val="36"/>
          <w:highlight w:val="none"/>
        </w:rPr>
        <w:t>第三章 采购需求及参数要求</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_Toc25877 </w:instrText>
      </w:r>
      <w:r>
        <w:rPr>
          <w:color w:val="auto"/>
          <w:sz w:val="36"/>
          <w:szCs w:val="36"/>
          <w:highlight w:val="none"/>
        </w:rPr>
        <w:fldChar w:fldCharType="separate"/>
      </w:r>
      <w:r>
        <w:rPr>
          <w:color w:val="auto"/>
          <w:sz w:val="36"/>
          <w:szCs w:val="36"/>
          <w:highlight w:val="none"/>
        </w:rPr>
        <w:t>23</w:t>
      </w:r>
      <w:r>
        <w:rPr>
          <w:color w:val="auto"/>
          <w:sz w:val="36"/>
          <w:szCs w:val="36"/>
          <w:highlight w:val="none"/>
        </w:rPr>
        <w:fldChar w:fldCharType="end"/>
      </w:r>
      <w:r>
        <w:rPr>
          <w:color w:val="auto"/>
          <w:sz w:val="36"/>
          <w:szCs w:val="36"/>
          <w:highlight w:val="none"/>
        </w:rPr>
        <w:fldChar w:fldCharType="end"/>
      </w:r>
    </w:p>
    <w:p w14:paraId="68F566F5">
      <w:pPr>
        <w:pStyle w:val="16"/>
        <w:keepNext w:val="0"/>
        <w:keepLines w:val="0"/>
        <w:pageBreakBefore w:val="0"/>
        <w:tabs>
          <w:tab w:val="right" w:leader="dot" w:pos="9850"/>
        </w:tabs>
        <w:kinsoku/>
        <w:wordWrap w:val="0"/>
        <w:overflowPunct/>
        <w:topLinePunct w:val="0"/>
        <w:bidi w:val="0"/>
        <w:rPr>
          <w:color w:val="auto"/>
          <w:sz w:val="36"/>
          <w:szCs w:val="36"/>
          <w:highlight w:val="none"/>
        </w:rPr>
      </w:pPr>
    </w:p>
    <w:p w14:paraId="52F6AE95">
      <w:pPr>
        <w:pStyle w:val="16"/>
        <w:keepNext w:val="0"/>
        <w:keepLines w:val="0"/>
        <w:pageBreakBefore w:val="0"/>
        <w:tabs>
          <w:tab w:val="right" w:leader="dot" w:pos="9850"/>
        </w:tabs>
        <w:kinsoku/>
        <w:wordWrap w:val="0"/>
        <w:overflowPunct/>
        <w:topLinePunct w:val="0"/>
        <w:bidi w:val="0"/>
        <w:rPr>
          <w:rFonts w:hint="eastAsia" w:eastAsia="宋体"/>
          <w:color w:val="auto"/>
          <w:sz w:val="36"/>
          <w:szCs w:val="36"/>
          <w:highlight w:val="none"/>
          <w:lang w:val="en-US" w:eastAsia="zh-CN"/>
        </w:rPr>
      </w:pPr>
      <w:r>
        <w:rPr>
          <w:color w:val="auto"/>
          <w:highlight w:val="none"/>
        </w:rPr>
        <w:fldChar w:fldCharType="begin"/>
      </w:r>
      <w:r>
        <w:rPr>
          <w:color w:val="auto"/>
          <w:highlight w:val="none"/>
        </w:rPr>
        <w:instrText xml:space="preserve"> HYPERLINK \l "_Toc30570" </w:instrText>
      </w:r>
      <w:r>
        <w:rPr>
          <w:color w:val="auto"/>
          <w:highlight w:val="none"/>
        </w:rPr>
        <w:fldChar w:fldCharType="separate"/>
      </w:r>
      <w:r>
        <w:rPr>
          <w:rFonts w:hint="eastAsia"/>
          <w:color w:val="auto"/>
          <w:sz w:val="36"/>
          <w:szCs w:val="36"/>
          <w:highlight w:val="none"/>
        </w:rPr>
        <w:t>第四章</w:t>
      </w:r>
      <w:r>
        <w:rPr>
          <w:rFonts w:hint="eastAsia"/>
          <w:color w:val="auto"/>
          <w:sz w:val="36"/>
          <w:szCs w:val="36"/>
          <w:highlight w:val="none"/>
          <w:lang w:val="en-US" w:eastAsia="zh-CN"/>
        </w:rPr>
        <w:t xml:space="preserve"> </w:t>
      </w:r>
      <w:r>
        <w:rPr>
          <w:color w:val="auto"/>
          <w:sz w:val="36"/>
          <w:szCs w:val="36"/>
          <w:highlight w:val="none"/>
        </w:rPr>
        <w:t>评审办法</w:t>
      </w:r>
      <w:r>
        <w:rPr>
          <w:color w:val="auto"/>
          <w:sz w:val="36"/>
          <w:szCs w:val="36"/>
          <w:highlight w:val="none"/>
        </w:rPr>
        <w:tab/>
      </w:r>
      <w:r>
        <w:rPr>
          <w:rFonts w:hint="eastAsia"/>
          <w:color w:val="auto"/>
          <w:sz w:val="36"/>
          <w:szCs w:val="36"/>
          <w:highlight w:val="none"/>
          <w:lang w:val="en-US" w:eastAsia="zh-CN"/>
        </w:rPr>
        <w:t>4</w:t>
      </w:r>
      <w:r>
        <w:rPr>
          <w:color w:val="auto"/>
          <w:sz w:val="36"/>
          <w:szCs w:val="36"/>
          <w:highlight w:val="none"/>
        </w:rPr>
        <w:fldChar w:fldCharType="end"/>
      </w:r>
      <w:r>
        <w:rPr>
          <w:rFonts w:hint="eastAsia"/>
          <w:color w:val="auto"/>
          <w:sz w:val="36"/>
          <w:szCs w:val="36"/>
          <w:highlight w:val="none"/>
          <w:lang w:val="en-US" w:eastAsia="zh-CN"/>
        </w:rPr>
        <w:t>4</w:t>
      </w:r>
    </w:p>
    <w:p w14:paraId="67FED03F">
      <w:pPr>
        <w:pStyle w:val="16"/>
        <w:keepNext w:val="0"/>
        <w:keepLines w:val="0"/>
        <w:pageBreakBefore w:val="0"/>
        <w:tabs>
          <w:tab w:val="right" w:leader="dot" w:pos="9850"/>
        </w:tabs>
        <w:kinsoku/>
        <w:wordWrap w:val="0"/>
        <w:overflowPunct/>
        <w:topLinePunct w:val="0"/>
        <w:bidi w:val="0"/>
        <w:rPr>
          <w:color w:val="auto"/>
          <w:sz w:val="36"/>
          <w:szCs w:val="36"/>
          <w:highlight w:val="none"/>
        </w:rPr>
      </w:pPr>
    </w:p>
    <w:p w14:paraId="4119A7C4">
      <w:pPr>
        <w:pStyle w:val="16"/>
        <w:keepNext w:val="0"/>
        <w:keepLines w:val="0"/>
        <w:pageBreakBefore w:val="0"/>
        <w:tabs>
          <w:tab w:val="right" w:leader="dot" w:pos="9850"/>
        </w:tabs>
        <w:kinsoku/>
        <w:wordWrap w:val="0"/>
        <w:overflowPunct/>
        <w:topLinePunct w:val="0"/>
        <w:bidi w:val="0"/>
        <w:rPr>
          <w:color w:val="auto"/>
          <w:sz w:val="36"/>
          <w:szCs w:val="36"/>
          <w:highlight w:val="none"/>
        </w:rPr>
      </w:pPr>
      <w:r>
        <w:rPr>
          <w:color w:val="auto"/>
          <w:highlight w:val="none"/>
        </w:rPr>
        <w:fldChar w:fldCharType="begin"/>
      </w:r>
      <w:r>
        <w:rPr>
          <w:color w:val="auto"/>
          <w:highlight w:val="none"/>
        </w:rPr>
        <w:instrText xml:space="preserve"> HYPERLINK \l "_Toc20625" </w:instrText>
      </w:r>
      <w:r>
        <w:rPr>
          <w:color w:val="auto"/>
          <w:highlight w:val="none"/>
        </w:rPr>
        <w:fldChar w:fldCharType="separate"/>
      </w:r>
      <w:r>
        <w:rPr>
          <w:rFonts w:hint="eastAsia"/>
          <w:color w:val="auto"/>
          <w:sz w:val="36"/>
          <w:szCs w:val="36"/>
          <w:highlight w:val="none"/>
        </w:rPr>
        <w:t>第五章 合同主要条款及格式</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_Toc20625 </w:instrText>
      </w:r>
      <w:r>
        <w:rPr>
          <w:color w:val="auto"/>
          <w:sz w:val="36"/>
          <w:szCs w:val="36"/>
          <w:highlight w:val="none"/>
        </w:rPr>
        <w:fldChar w:fldCharType="separate"/>
      </w:r>
      <w:r>
        <w:rPr>
          <w:color w:val="auto"/>
          <w:sz w:val="36"/>
          <w:szCs w:val="36"/>
          <w:highlight w:val="none"/>
        </w:rPr>
        <w:t>79</w:t>
      </w:r>
      <w:r>
        <w:rPr>
          <w:color w:val="auto"/>
          <w:sz w:val="36"/>
          <w:szCs w:val="36"/>
          <w:highlight w:val="none"/>
        </w:rPr>
        <w:fldChar w:fldCharType="end"/>
      </w:r>
      <w:r>
        <w:rPr>
          <w:color w:val="auto"/>
          <w:sz w:val="36"/>
          <w:szCs w:val="36"/>
          <w:highlight w:val="none"/>
        </w:rPr>
        <w:fldChar w:fldCharType="end"/>
      </w:r>
    </w:p>
    <w:p w14:paraId="23F676D3">
      <w:pPr>
        <w:pStyle w:val="16"/>
        <w:keepNext w:val="0"/>
        <w:keepLines w:val="0"/>
        <w:pageBreakBefore w:val="0"/>
        <w:tabs>
          <w:tab w:val="right" w:leader="dot" w:pos="9850"/>
        </w:tabs>
        <w:kinsoku/>
        <w:wordWrap w:val="0"/>
        <w:overflowPunct/>
        <w:topLinePunct w:val="0"/>
        <w:bidi w:val="0"/>
        <w:rPr>
          <w:color w:val="auto"/>
          <w:sz w:val="36"/>
          <w:szCs w:val="36"/>
          <w:highlight w:val="none"/>
        </w:rPr>
      </w:pPr>
    </w:p>
    <w:p w14:paraId="09410CE0">
      <w:pPr>
        <w:pStyle w:val="16"/>
        <w:keepNext w:val="0"/>
        <w:keepLines w:val="0"/>
        <w:pageBreakBefore w:val="0"/>
        <w:tabs>
          <w:tab w:val="right" w:leader="dot" w:pos="9850"/>
        </w:tabs>
        <w:kinsoku/>
        <w:wordWrap w:val="0"/>
        <w:overflowPunct/>
        <w:topLinePunct w:val="0"/>
        <w:bidi w:val="0"/>
        <w:rPr>
          <w:color w:val="auto"/>
          <w:sz w:val="36"/>
          <w:szCs w:val="36"/>
          <w:highlight w:val="none"/>
        </w:rPr>
      </w:pPr>
      <w:r>
        <w:rPr>
          <w:color w:val="auto"/>
          <w:highlight w:val="none"/>
        </w:rPr>
        <w:fldChar w:fldCharType="begin"/>
      </w:r>
      <w:r>
        <w:rPr>
          <w:color w:val="auto"/>
          <w:highlight w:val="none"/>
        </w:rPr>
        <w:instrText xml:space="preserve"> HYPERLINK \l "_Toc2461" </w:instrText>
      </w:r>
      <w:r>
        <w:rPr>
          <w:color w:val="auto"/>
          <w:highlight w:val="none"/>
        </w:rPr>
        <w:fldChar w:fldCharType="separate"/>
      </w:r>
      <w:r>
        <w:rPr>
          <w:rFonts w:hint="eastAsia"/>
          <w:color w:val="auto"/>
          <w:sz w:val="36"/>
          <w:szCs w:val="36"/>
          <w:highlight w:val="none"/>
        </w:rPr>
        <w:t>第六章</w:t>
      </w:r>
      <w:r>
        <w:rPr>
          <w:rFonts w:hint="eastAsia"/>
          <w:color w:val="auto"/>
          <w:sz w:val="36"/>
          <w:szCs w:val="36"/>
          <w:highlight w:val="none"/>
          <w:lang w:val="en-US" w:eastAsia="zh-CN"/>
        </w:rPr>
        <w:t xml:space="preserve"> </w:t>
      </w:r>
      <w:r>
        <w:rPr>
          <w:rFonts w:hint="eastAsia"/>
          <w:color w:val="auto"/>
          <w:sz w:val="36"/>
          <w:szCs w:val="36"/>
          <w:highlight w:val="none"/>
        </w:rPr>
        <w:t>响应文件内容及格式</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_Toc2461 </w:instrText>
      </w:r>
      <w:r>
        <w:rPr>
          <w:color w:val="auto"/>
          <w:sz w:val="36"/>
          <w:szCs w:val="36"/>
          <w:highlight w:val="none"/>
        </w:rPr>
        <w:fldChar w:fldCharType="separate"/>
      </w:r>
      <w:r>
        <w:rPr>
          <w:color w:val="auto"/>
          <w:sz w:val="36"/>
          <w:szCs w:val="36"/>
          <w:highlight w:val="none"/>
        </w:rPr>
        <w:t>85</w:t>
      </w:r>
      <w:r>
        <w:rPr>
          <w:color w:val="auto"/>
          <w:sz w:val="36"/>
          <w:szCs w:val="36"/>
          <w:highlight w:val="none"/>
        </w:rPr>
        <w:fldChar w:fldCharType="end"/>
      </w:r>
      <w:r>
        <w:rPr>
          <w:color w:val="auto"/>
          <w:sz w:val="36"/>
          <w:szCs w:val="36"/>
          <w:highlight w:val="none"/>
        </w:rPr>
        <w:fldChar w:fldCharType="end"/>
      </w:r>
    </w:p>
    <w:p w14:paraId="7786EE79">
      <w:pPr>
        <w:keepNext w:val="0"/>
        <w:keepLines w:val="0"/>
        <w:pageBreakBefore w:val="0"/>
        <w:kinsoku/>
        <w:wordWrap w:val="0"/>
        <w:overflowPunct/>
        <w:topLinePunct w:val="0"/>
        <w:bidi w:val="0"/>
        <w:rPr>
          <w:color w:val="auto"/>
          <w:highlight w:val="none"/>
        </w:rPr>
        <w:sectPr>
          <w:pgSz w:w="11910" w:h="16840"/>
          <w:pgMar w:top="1360" w:right="1020" w:bottom="900" w:left="1040" w:header="0" w:footer="640" w:gutter="0"/>
          <w:pgBorders>
            <w:top w:val="none" w:sz="0" w:space="0"/>
            <w:left w:val="none" w:sz="0" w:space="0"/>
            <w:bottom w:val="none" w:sz="0" w:space="0"/>
            <w:right w:val="none" w:sz="0" w:space="0"/>
          </w:pgBorders>
          <w:cols w:space="720" w:num="1"/>
        </w:sectPr>
      </w:pPr>
      <w:r>
        <w:rPr>
          <w:color w:val="auto"/>
          <w:highlight w:val="none"/>
        </w:rPr>
        <w:fldChar w:fldCharType="end"/>
      </w:r>
    </w:p>
    <w:p w14:paraId="7ED89A11">
      <w:pPr>
        <w:kinsoku/>
        <w:wordWrap w:val="0"/>
        <w:overflowPunct/>
        <w:topLinePunct w:val="0"/>
        <w:bidi w:val="0"/>
        <w:spacing w:line="480" w:lineRule="auto"/>
        <w:jc w:val="center"/>
        <w:outlineLvl w:val="0"/>
        <w:rPr>
          <w:rFonts w:hint="eastAsia" w:ascii="宋体" w:hAnsi="宋体" w:cs="宋体"/>
          <w:b/>
          <w:bCs/>
          <w:color w:val="auto"/>
          <w:sz w:val="24"/>
          <w:szCs w:val="24"/>
          <w:highlight w:val="none"/>
        </w:rPr>
      </w:pPr>
      <w:bookmarkStart w:id="0" w:name="_Toc12846"/>
      <w:bookmarkStart w:id="1" w:name="_Toc16699"/>
      <w:r>
        <w:rPr>
          <w:rFonts w:hint="eastAsia" w:ascii="宋体" w:hAnsi="宋体" w:cs="宋体"/>
          <w:b/>
          <w:bCs/>
          <w:color w:val="auto"/>
          <w:sz w:val="24"/>
          <w:szCs w:val="24"/>
          <w:highlight w:val="none"/>
        </w:rPr>
        <w:t>河南省政府采购合同融资政策告知函</w:t>
      </w:r>
      <w:bookmarkEnd w:id="0"/>
    </w:p>
    <w:p w14:paraId="7C4D96DA">
      <w:pPr>
        <w:keepNext w:val="0"/>
        <w:keepLines w:val="0"/>
        <w:pageBreakBefore w:val="0"/>
        <w:widowControl/>
        <w:kinsoku/>
        <w:wordWrap w:val="0"/>
        <w:overflowPunct/>
        <w:topLinePunct w:val="0"/>
        <w:autoSpaceDE/>
        <w:autoSpaceDN/>
        <w:bidi w:val="0"/>
        <w:adjustRightInd/>
        <w:snapToGrid/>
        <w:spacing w:line="600" w:lineRule="exact"/>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各供应商:</w:t>
      </w:r>
    </w:p>
    <w:p w14:paraId="4E8E60E3">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欢迎贵公司参与河南省政府采购活动!</w:t>
      </w:r>
    </w:p>
    <w:p w14:paraId="0583DA2E">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A20866C">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贷款渠道和提供贷款的金融机构，可在河南省政府采购网“河南省政府采购合同融资平台”查询联系。</w:t>
      </w:r>
    </w:p>
    <w:p w14:paraId="05715B70">
      <w:pPr>
        <w:pStyle w:val="2"/>
        <w:keepNext w:val="0"/>
        <w:keepLines w:val="0"/>
        <w:pageBreakBefore w:val="0"/>
        <w:kinsoku/>
        <w:wordWrap w:val="0"/>
        <w:overflowPunct/>
        <w:topLinePunct w:val="0"/>
        <w:bidi w:val="0"/>
        <w:spacing w:before="31"/>
        <w:ind w:left="3227"/>
        <w:rPr>
          <w:color w:val="auto"/>
          <w:highlight w:val="none"/>
        </w:rPr>
        <w:sectPr>
          <w:footerReference r:id="rId4" w:type="default"/>
          <w:pgSz w:w="11910" w:h="16840"/>
          <w:pgMar w:top="1340" w:right="1020" w:bottom="820" w:left="1040" w:header="0" w:footer="640" w:gutter="0"/>
          <w:pgBorders>
            <w:top w:val="none" w:sz="0" w:space="0"/>
            <w:left w:val="none" w:sz="0" w:space="0"/>
            <w:bottom w:val="none" w:sz="0" w:space="0"/>
            <w:right w:val="none" w:sz="0" w:space="0"/>
          </w:pgBorders>
          <w:pgNumType w:start="1"/>
          <w:cols w:space="720" w:num="1"/>
        </w:sectPr>
      </w:pPr>
    </w:p>
    <w:p w14:paraId="60BC5B4E">
      <w:pPr>
        <w:pStyle w:val="2"/>
        <w:keepNext w:val="0"/>
        <w:keepLines w:val="0"/>
        <w:pageBreakBefore w:val="0"/>
        <w:kinsoku/>
        <w:wordWrap w:val="0"/>
        <w:overflowPunct/>
        <w:topLinePunct w:val="0"/>
        <w:bidi w:val="0"/>
        <w:spacing w:before="31"/>
        <w:ind w:left="3227"/>
        <w:rPr>
          <w:color w:val="auto"/>
          <w:highlight w:val="none"/>
        </w:rPr>
      </w:pPr>
      <w:r>
        <w:rPr>
          <w:color w:val="auto"/>
          <w:highlight w:val="none"/>
        </w:rPr>
        <w:t>第一章 竞争性磋商公告</w:t>
      </w:r>
      <w:bookmarkEnd w:id="1"/>
    </w:p>
    <w:p w14:paraId="236DF4A8">
      <w:pPr>
        <w:pStyle w:val="7"/>
        <w:keepNext w:val="0"/>
        <w:keepLines w:val="0"/>
        <w:pageBreakBefore w:val="0"/>
        <w:widowControl w:val="0"/>
        <w:kinsoku/>
        <w:wordWrap w:val="0"/>
        <w:overflowPunct/>
        <w:topLinePunct w:val="0"/>
        <w:autoSpaceDE w:val="0"/>
        <w:autoSpaceDN w:val="0"/>
        <w:bidi w:val="0"/>
        <w:spacing w:before="244" w:line="460" w:lineRule="exact"/>
        <w:ind w:left="0" w:firstLine="480" w:firstLineChars="200"/>
        <w:jc w:val="both"/>
        <w:textAlignment w:val="auto"/>
        <w:rPr>
          <w:color w:val="auto"/>
          <w:sz w:val="24"/>
          <w:szCs w:val="24"/>
          <w:highlight w:val="none"/>
        </w:rPr>
      </w:pPr>
      <w:r>
        <w:rPr>
          <w:rFonts w:hint="eastAsia"/>
          <w:color w:val="auto"/>
          <w:sz w:val="24"/>
          <w:szCs w:val="24"/>
          <w:highlight w:val="none"/>
          <w:lang w:eastAsia="zh-CN"/>
        </w:rPr>
        <w:t>河南立旭工程管理有限公司</w:t>
      </w:r>
      <w:r>
        <w:rPr>
          <w:color w:val="auto"/>
          <w:sz w:val="24"/>
          <w:szCs w:val="24"/>
          <w:highlight w:val="none"/>
        </w:rPr>
        <w:t>受</w:t>
      </w:r>
      <w:r>
        <w:rPr>
          <w:rFonts w:hint="eastAsia"/>
          <w:color w:val="auto"/>
          <w:sz w:val="24"/>
          <w:szCs w:val="24"/>
          <w:highlight w:val="none"/>
          <w:lang w:eastAsia="zh-CN"/>
        </w:rPr>
        <w:t>卢氏县应急管理局</w:t>
      </w:r>
      <w:r>
        <w:rPr>
          <w:color w:val="auto"/>
          <w:sz w:val="24"/>
          <w:szCs w:val="24"/>
          <w:highlight w:val="none"/>
        </w:rPr>
        <w:t>的委托，就</w:t>
      </w:r>
      <w:r>
        <w:rPr>
          <w:rFonts w:hint="eastAsia"/>
          <w:color w:val="auto"/>
          <w:sz w:val="24"/>
          <w:szCs w:val="24"/>
          <w:highlight w:val="none"/>
          <w:lang w:val="en-US" w:eastAsia="zh-CN"/>
        </w:rPr>
        <w:t>卢氏县重点非煤矿山视频智能监控系统及尾矿库在线监测系统建设项目</w:t>
      </w:r>
      <w:r>
        <w:rPr>
          <w:color w:val="auto"/>
          <w:sz w:val="24"/>
          <w:szCs w:val="24"/>
          <w:highlight w:val="none"/>
        </w:rPr>
        <w:t>进行竞争性磋商，欢迎符合资格条件的供应商参加磋商。</w:t>
      </w:r>
    </w:p>
    <w:p w14:paraId="141962E1">
      <w:pPr>
        <w:pStyle w:val="7"/>
        <w:keepNext w:val="0"/>
        <w:keepLines w:val="0"/>
        <w:pageBreakBefore w:val="0"/>
        <w:widowControl w:val="0"/>
        <w:numPr>
          <w:ilvl w:val="0"/>
          <w:numId w:val="0"/>
        </w:numPr>
        <w:tabs>
          <w:tab w:val="left" w:pos="9460"/>
        </w:tabs>
        <w:kinsoku/>
        <w:wordWrap w:val="0"/>
        <w:overflowPunct/>
        <w:topLinePunct w:val="0"/>
        <w:autoSpaceDE w:val="0"/>
        <w:autoSpaceDN w:val="0"/>
        <w:bidi w:val="0"/>
        <w:adjustRightInd w:val="0"/>
        <w:snapToGrid w:val="0"/>
        <w:spacing w:before="244" w:line="460" w:lineRule="exact"/>
        <w:ind w:leftChars="200"/>
        <w:jc w:val="both"/>
        <w:textAlignment w:val="auto"/>
        <w:rPr>
          <w:color w:val="auto"/>
          <w:sz w:val="24"/>
          <w:szCs w:val="24"/>
          <w:highlight w:val="none"/>
        </w:rPr>
      </w:pPr>
      <w:bookmarkStart w:id="2" w:name="_Toc21496_WPSOffice_Level2"/>
      <w:r>
        <w:rPr>
          <w:rFonts w:hint="eastAsia"/>
          <w:color w:val="auto"/>
          <w:sz w:val="24"/>
          <w:szCs w:val="24"/>
          <w:highlight w:val="none"/>
          <w:lang w:eastAsia="zh-CN"/>
        </w:rPr>
        <w:t>一、</w:t>
      </w:r>
      <w:r>
        <w:rPr>
          <w:rFonts w:hint="eastAsia"/>
          <w:color w:val="auto"/>
          <w:sz w:val="24"/>
          <w:szCs w:val="24"/>
          <w:highlight w:val="none"/>
        </w:rPr>
        <w:t>项目概况：</w:t>
      </w:r>
      <w:bookmarkEnd w:id="2"/>
    </w:p>
    <w:p w14:paraId="62B8F3C6">
      <w:pPr>
        <w:pStyle w:val="7"/>
        <w:keepNext w:val="0"/>
        <w:keepLines w:val="0"/>
        <w:pageBreakBefore w:val="0"/>
        <w:widowControl w:val="0"/>
        <w:kinsoku/>
        <w:wordWrap w:val="0"/>
        <w:overflowPunct/>
        <w:topLinePunct w:val="0"/>
        <w:autoSpaceDE w:val="0"/>
        <w:autoSpaceDN w:val="0"/>
        <w:bidi w:val="0"/>
        <w:spacing w:before="244" w:line="460" w:lineRule="exact"/>
        <w:ind w:left="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项目名称：</w:t>
      </w:r>
      <w:r>
        <w:rPr>
          <w:rFonts w:hint="eastAsia" w:ascii="宋体" w:hAnsi="宋体" w:eastAsia="宋体" w:cs="宋体"/>
          <w:color w:val="auto"/>
          <w:sz w:val="24"/>
          <w:szCs w:val="24"/>
          <w:highlight w:val="none"/>
          <w:lang w:val="en-US" w:eastAsia="zh-CN"/>
        </w:rPr>
        <w:t>卢氏县重点非煤矿山视频智能监控系统及尾矿库在线监测系统建设项目</w:t>
      </w:r>
    </w:p>
    <w:p w14:paraId="48809619">
      <w:pPr>
        <w:pStyle w:val="7"/>
        <w:keepNext w:val="0"/>
        <w:keepLines w:val="0"/>
        <w:pageBreakBefore w:val="0"/>
        <w:widowControl w:val="0"/>
        <w:kinsoku/>
        <w:wordWrap w:val="0"/>
        <w:overflowPunct/>
        <w:topLinePunct w:val="0"/>
        <w:autoSpaceDE w:val="0"/>
        <w:autoSpaceDN w:val="0"/>
        <w:bidi w:val="0"/>
        <w:spacing w:before="244" w:line="460" w:lineRule="exact"/>
        <w:ind w:left="0" w:firstLine="480" w:firstLineChars="2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项目编号：三卢竞磋采购-2025-60、LSGZ[2025]129-ZC091</w:t>
      </w:r>
    </w:p>
    <w:p w14:paraId="2DF88B95">
      <w:pPr>
        <w:pStyle w:val="7"/>
        <w:keepNext w:val="0"/>
        <w:keepLines w:val="0"/>
        <w:pageBreakBefore w:val="0"/>
        <w:widowControl w:val="0"/>
        <w:kinsoku/>
        <w:wordWrap w:val="0"/>
        <w:overflowPunct/>
        <w:topLinePunct w:val="0"/>
        <w:autoSpaceDE w:val="0"/>
        <w:autoSpaceDN w:val="0"/>
        <w:bidi w:val="0"/>
        <w:spacing w:before="244" w:line="46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3、采购人：卢氏县应急管理局</w:t>
      </w:r>
    </w:p>
    <w:p w14:paraId="32163487">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40" w:lineRule="exact"/>
        <w:ind w:firstLine="480" w:firstLineChars="200"/>
        <w:textAlignment w:val="auto"/>
        <w:rPr>
          <w:bCs/>
          <w:color w:val="auto"/>
          <w:sz w:val="24"/>
          <w:szCs w:val="24"/>
          <w:highlight w:val="none"/>
        </w:rPr>
      </w:pPr>
      <w:r>
        <w:rPr>
          <w:rFonts w:hint="eastAsia" w:ascii="宋体" w:hAnsi="宋体" w:eastAsia="宋体" w:cs="宋体"/>
          <w:color w:val="auto"/>
          <w:sz w:val="24"/>
          <w:szCs w:val="24"/>
          <w:highlight w:val="none"/>
          <w:lang w:val="en-US" w:eastAsia="zh-CN"/>
        </w:rPr>
        <w:t>4、采购内容: 主要内容为</w:t>
      </w:r>
      <w:r>
        <w:rPr>
          <w:rFonts w:hint="eastAsia"/>
          <w:bCs/>
          <w:color w:val="auto"/>
          <w:sz w:val="24"/>
          <w:szCs w:val="24"/>
          <w:highlight w:val="none"/>
          <w:lang w:val="en-US" w:eastAsia="zh-CN"/>
        </w:rPr>
        <w:t>建设</w:t>
      </w:r>
      <w:r>
        <w:rPr>
          <w:rFonts w:hint="eastAsia" w:ascii="宋体" w:hAnsi="宋体" w:eastAsia="宋体" w:cs="宋体"/>
          <w:color w:val="auto"/>
          <w:sz w:val="24"/>
          <w:szCs w:val="24"/>
          <w:highlight w:val="none"/>
          <w:lang w:val="en-US" w:eastAsia="zh-CN"/>
        </w:rPr>
        <w:t>地下矿山卢氏柳关栾卢铅锌矿、双河金矿、蔡家锂矿、</w:t>
      </w:r>
      <w:r>
        <w:rPr>
          <w:rFonts w:hint="eastAsia"/>
          <w:bCs/>
          <w:color w:val="auto"/>
          <w:sz w:val="24"/>
          <w:szCs w:val="24"/>
          <w:highlight w:val="none"/>
        </w:rPr>
        <w:t>八宝山铁铜矿一采区</w:t>
      </w:r>
      <w:r>
        <w:rPr>
          <w:rFonts w:hint="eastAsia"/>
          <w:bCs/>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安全监测监控系统及白马沟尾矿库、石窑沟尾矿库的在线监测系统；</w:t>
      </w:r>
      <w:r>
        <w:rPr>
          <w:rFonts w:hint="eastAsia"/>
          <w:color w:val="auto"/>
          <w:sz w:val="24"/>
          <w:szCs w:val="24"/>
          <w:highlight w:val="none"/>
        </w:rPr>
        <w:t>（</w:t>
      </w:r>
      <w:r>
        <w:rPr>
          <w:rFonts w:hint="eastAsia"/>
          <w:bCs/>
          <w:color w:val="auto"/>
          <w:sz w:val="24"/>
          <w:szCs w:val="24"/>
          <w:highlight w:val="none"/>
        </w:rPr>
        <w:t>详见第三章采购需求及参数要求）</w:t>
      </w:r>
    </w:p>
    <w:p w14:paraId="3C830297">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zh-CN"/>
        </w:rPr>
        <w:t>5、</w:t>
      </w:r>
      <w:r>
        <w:rPr>
          <w:rFonts w:hint="eastAsia" w:ascii="宋体" w:hAnsi="宋体" w:eastAsia="宋体" w:cs="宋体"/>
          <w:color w:val="auto"/>
          <w:sz w:val="24"/>
          <w:szCs w:val="24"/>
          <w:highlight w:val="none"/>
          <w:lang w:val="en-US" w:eastAsia="zh-CN"/>
        </w:rPr>
        <w:t>标段划分：本项目共分3个标段。</w:t>
      </w:r>
    </w:p>
    <w:p w14:paraId="06F67FA1">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一标段：卢氏柳关栾卢铅锌矿、双河金矿</w:t>
      </w:r>
    </w:p>
    <w:p w14:paraId="36A7C0E2">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二标段：蔡家锂矿</w:t>
      </w:r>
    </w:p>
    <w:p w14:paraId="6083E49A">
      <w:pPr>
        <w:pStyle w:val="7"/>
        <w:keepNext w:val="0"/>
        <w:keepLines w:val="0"/>
        <w:pageBreakBefore w:val="0"/>
        <w:widowControl w:val="0"/>
        <w:numPr>
          <w:ilvl w:val="0"/>
          <w:numId w:val="0"/>
        </w:numPr>
        <w:kinsoku/>
        <w:wordWrap w:val="0"/>
        <w:overflowPunct/>
        <w:topLinePunct w:val="0"/>
        <w:autoSpaceDE w:val="0"/>
        <w:autoSpaceDN w:val="0"/>
        <w:bidi w:val="0"/>
        <w:spacing w:before="244" w:line="460" w:lineRule="exact"/>
        <w:ind w:left="0" w:leftChars="0" w:firstLine="480" w:firstLineChars="200"/>
        <w:jc w:val="both"/>
        <w:textAlignment w:val="auto"/>
        <w:rPr>
          <w:rFonts w:hint="eastAsia"/>
          <w:bCs/>
          <w:color w:val="auto"/>
          <w:sz w:val="24"/>
          <w:szCs w:val="24"/>
          <w:highlight w:val="none"/>
        </w:rPr>
      </w:pPr>
      <w:r>
        <w:rPr>
          <w:rFonts w:hint="eastAsia"/>
          <w:bCs/>
          <w:color w:val="auto"/>
          <w:sz w:val="24"/>
          <w:szCs w:val="24"/>
          <w:highlight w:val="none"/>
          <w:lang w:val="en-US" w:eastAsia="zh-CN"/>
        </w:rPr>
        <w:t>三标段：</w:t>
      </w:r>
      <w:r>
        <w:rPr>
          <w:rFonts w:hint="eastAsia"/>
          <w:bCs/>
          <w:color w:val="auto"/>
          <w:sz w:val="24"/>
          <w:szCs w:val="24"/>
          <w:highlight w:val="none"/>
        </w:rPr>
        <w:t>八宝山铁铜矿一采区、白马沟尾矿库、石窑沟尾矿库</w:t>
      </w:r>
    </w:p>
    <w:p w14:paraId="3D55D343">
      <w:pPr>
        <w:pStyle w:val="7"/>
        <w:keepNext w:val="0"/>
        <w:keepLines w:val="0"/>
        <w:pageBreakBefore w:val="0"/>
        <w:widowControl w:val="0"/>
        <w:numPr>
          <w:ilvl w:val="0"/>
          <w:numId w:val="0"/>
        </w:numPr>
        <w:kinsoku/>
        <w:wordWrap w:val="0"/>
        <w:overflowPunct/>
        <w:topLinePunct w:val="0"/>
        <w:autoSpaceDE w:val="0"/>
        <w:autoSpaceDN w:val="0"/>
        <w:bidi w:val="0"/>
        <w:spacing w:before="244" w:line="460" w:lineRule="exact"/>
        <w:ind w:left="0" w:leftChars="0" w:firstLine="480" w:firstLineChars="200"/>
        <w:jc w:val="both"/>
        <w:textAlignment w:val="auto"/>
        <w:rPr>
          <w:rFonts w:hint="default" w:ascii="宋体" w:hAnsi="宋体" w:eastAsia="宋体" w:cs="宋体"/>
          <w:bCs/>
          <w:color w:val="auto"/>
          <w:sz w:val="24"/>
          <w:szCs w:val="24"/>
          <w:highlight w:val="none"/>
          <w:lang w:val="en-US" w:eastAsia="zh-CN" w:bidi="zh-CN"/>
        </w:rPr>
      </w:pPr>
      <w:r>
        <w:rPr>
          <w:rFonts w:ascii="宋体" w:hAnsi="宋体" w:eastAsia="宋体" w:cs="宋体"/>
          <w:bCs/>
          <w:color w:val="auto"/>
          <w:sz w:val="24"/>
          <w:szCs w:val="24"/>
          <w:highlight w:val="none"/>
          <w:lang w:val="zh-CN" w:eastAsia="zh-CN" w:bidi="zh-CN"/>
        </w:rPr>
        <w:t>6、</w:t>
      </w:r>
      <w:r>
        <w:rPr>
          <w:rFonts w:hint="eastAsia" w:ascii="宋体" w:hAnsi="宋体" w:eastAsia="宋体" w:cs="宋体"/>
          <w:color w:val="auto"/>
          <w:sz w:val="24"/>
          <w:szCs w:val="24"/>
          <w:highlight w:val="none"/>
          <w:lang w:val="en-US" w:eastAsia="zh-CN"/>
        </w:rPr>
        <w:t>采购预算：¥1359972.00元（一标段：452820.00元；二标段：461000.00元；三标段：446152.00元）</w:t>
      </w:r>
    </w:p>
    <w:p w14:paraId="0EBFD695">
      <w:pPr>
        <w:pStyle w:val="7"/>
        <w:keepNext w:val="0"/>
        <w:keepLines w:val="0"/>
        <w:pageBreakBefore w:val="0"/>
        <w:widowControl w:val="0"/>
        <w:numPr>
          <w:ilvl w:val="0"/>
          <w:numId w:val="0"/>
        </w:numPr>
        <w:kinsoku/>
        <w:wordWrap w:val="0"/>
        <w:overflowPunct/>
        <w:topLinePunct w:val="0"/>
        <w:autoSpaceDE w:val="0"/>
        <w:autoSpaceDN w:val="0"/>
        <w:bidi w:val="0"/>
        <w:spacing w:before="244" w:line="460" w:lineRule="exact"/>
        <w:ind w:left="0" w:leftChars="0" w:firstLine="480" w:firstLineChars="200"/>
        <w:jc w:val="both"/>
        <w:textAlignment w:val="auto"/>
        <w:rPr>
          <w:rFonts w:hint="default"/>
          <w:bCs/>
          <w:color w:val="auto"/>
          <w:sz w:val="24"/>
          <w:szCs w:val="24"/>
          <w:highlight w:val="none"/>
          <w:lang w:val="en-US"/>
        </w:rPr>
      </w:pPr>
      <w:r>
        <w:rPr>
          <w:rFonts w:ascii="宋体" w:hAnsi="宋体" w:eastAsia="宋体" w:cs="宋体"/>
          <w:bCs/>
          <w:color w:val="auto"/>
          <w:sz w:val="24"/>
          <w:szCs w:val="24"/>
          <w:highlight w:val="none"/>
          <w:lang w:val="zh-CN" w:eastAsia="zh-CN" w:bidi="zh-CN"/>
        </w:rPr>
        <w:t>7、</w:t>
      </w:r>
      <w:r>
        <w:rPr>
          <w:rFonts w:hint="eastAsia"/>
          <w:bCs/>
          <w:color w:val="auto"/>
          <w:sz w:val="24"/>
          <w:szCs w:val="24"/>
          <w:highlight w:val="none"/>
        </w:rPr>
        <w:t>资金</w:t>
      </w:r>
      <w:r>
        <w:rPr>
          <w:rFonts w:hint="eastAsia" w:ascii="宋体" w:hAnsi="宋体" w:eastAsia="宋体" w:cs="宋体"/>
          <w:bCs/>
          <w:color w:val="auto"/>
          <w:sz w:val="24"/>
          <w:szCs w:val="24"/>
          <w:highlight w:val="none"/>
        </w:rPr>
        <w:t>来源：</w:t>
      </w:r>
      <w:r>
        <w:rPr>
          <w:rFonts w:hint="eastAsia" w:ascii="宋体" w:hAnsi="宋体" w:eastAsia="宋体" w:cs="宋体"/>
          <w:bCs/>
          <w:color w:val="auto"/>
          <w:sz w:val="24"/>
          <w:szCs w:val="24"/>
          <w:highlight w:val="none"/>
          <w:lang w:eastAsia="zh-CN"/>
        </w:rPr>
        <w:t>财政</w:t>
      </w:r>
      <w:r>
        <w:rPr>
          <w:rFonts w:hint="eastAsia" w:ascii="宋体" w:hAnsi="宋体" w:eastAsia="宋体" w:cs="宋体"/>
          <w:bCs/>
          <w:color w:val="auto"/>
          <w:sz w:val="24"/>
          <w:szCs w:val="24"/>
          <w:highlight w:val="none"/>
        </w:rPr>
        <w:t>资金，已落实</w:t>
      </w:r>
    </w:p>
    <w:p w14:paraId="5A35988C">
      <w:pPr>
        <w:pStyle w:val="7"/>
        <w:keepNext w:val="0"/>
        <w:keepLines w:val="0"/>
        <w:pageBreakBefore w:val="0"/>
        <w:widowControl w:val="0"/>
        <w:numPr>
          <w:ilvl w:val="0"/>
          <w:numId w:val="0"/>
        </w:numPr>
        <w:kinsoku/>
        <w:wordWrap w:val="0"/>
        <w:overflowPunct/>
        <w:topLinePunct w:val="0"/>
        <w:autoSpaceDE w:val="0"/>
        <w:autoSpaceDN w:val="0"/>
        <w:bidi w:val="0"/>
        <w:spacing w:before="244" w:line="460" w:lineRule="exact"/>
        <w:ind w:left="0" w:leftChars="0" w:firstLine="480" w:firstLineChars="200"/>
        <w:jc w:val="both"/>
        <w:textAlignment w:val="auto"/>
        <w:rPr>
          <w:rFonts w:hint="eastAsia"/>
          <w:bCs/>
          <w:color w:val="auto"/>
          <w:sz w:val="24"/>
          <w:szCs w:val="24"/>
          <w:highlight w:val="none"/>
        </w:rPr>
      </w:pPr>
      <w:r>
        <w:rPr>
          <w:rFonts w:ascii="宋体" w:hAnsi="宋体" w:eastAsia="宋体" w:cs="宋体"/>
          <w:bCs/>
          <w:color w:val="auto"/>
          <w:sz w:val="24"/>
          <w:szCs w:val="24"/>
          <w:highlight w:val="none"/>
          <w:lang w:val="zh-CN" w:eastAsia="zh-CN" w:bidi="zh-CN"/>
        </w:rPr>
        <w:t>8、</w:t>
      </w:r>
      <w:r>
        <w:rPr>
          <w:rFonts w:hint="eastAsia"/>
          <w:bCs/>
          <w:color w:val="auto"/>
          <w:sz w:val="24"/>
          <w:szCs w:val="24"/>
          <w:highlight w:val="none"/>
        </w:rPr>
        <w:t>质量要求：</w:t>
      </w:r>
      <w:r>
        <w:rPr>
          <w:rFonts w:hint="eastAsia"/>
          <w:bCs/>
          <w:color w:val="auto"/>
          <w:sz w:val="24"/>
          <w:szCs w:val="24"/>
          <w:highlight w:val="none"/>
          <w:lang w:eastAsia="zh-CN"/>
        </w:rPr>
        <w:t>合格且满足采购人需求，</w:t>
      </w:r>
      <w:r>
        <w:rPr>
          <w:rFonts w:hint="eastAsia"/>
          <w:bCs/>
          <w:color w:val="auto"/>
          <w:sz w:val="24"/>
          <w:szCs w:val="24"/>
          <w:highlight w:val="none"/>
          <w:lang w:val="en-US" w:eastAsia="zh-CN"/>
        </w:rPr>
        <w:t>并通过验收</w:t>
      </w:r>
    </w:p>
    <w:p w14:paraId="6E9D6C2A">
      <w:pPr>
        <w:pStyle w:val="7"/>
        <w:keepNext w:val="0"/>
        <w:keepLines w:val="0"/>
        <w:pageBreakBefore w:val="0"/>
        <w:widowControl w:val="0"/>
        <w:numPr>
          <w:ilvl w:val="0"/>
          <w:numId w:val="0"/>
        </w:numPr>
        <w:kinsoku/>
        <w:wordWrap w:val="0"/>
        <w:overflowPunct/>
        <w:topLinePunct w:val="0"/>
        <w:autoSpaceDE w:val="0"/>
        <w:autoSpaceDN w:val="0"/>
        <w:bidi w:val="0"/>
        <w:spacing w:before="244" w:line="460" w:lineRule="exact"/>
        <w:ind w:left="0" w:leftChars="0" w:firstLine="480" w:firstLineChars="200"/>
        <w:jc w:val="both"/>
        <w:textAlignment w:val="auto"/>
        <w:rPr>
          <w:rFonts w:hint="default" w:eastAsia="宋体"/>
          <w:bCs/>
          <w:color w:val="auto"/>
          <w:sz w:val="24"/>
          <w:szCs w:val="24"/>
          <w:highlight w:val="none"/>
          <w:lang w:val="en-US" w:eastAsia="zh-CN"/>
        </w:rPr>
      </w:pPr>
      <w:r>
        <w:rPr>
          <w:rFonts w:ascii="宋体" w:hAnsi="宋体" w:eastAsia="宋体" w:cs="宋体"/>
          <w:bCs/>
          <w:color w:val="auto"/>
          <w:sz w:val="24"/>
          <w:szCs w:val="24"/>
          <w:highlight w:val="none"/>
          <w:lang w:val="zh-CN" w:eastAsia="zh-CN" w:bidi="zh-CN"/>
        </w:rPr>
        <w:t>9、</w:t>
      </w:r>
      <w:r>
        <w:rPr>
          <w:rFonts w:hint="eastAsia"/>
          <w:bCs/>
          <w:color w:val="auto"/>
          <w:sz w:val="24"/>
          <w:szCs w:val="24"/>
          <w:highlight w:val="none"/>
        </w:rPr>
        <w:t>供货期：合同签订后</w:t>
      </w:r>
      <w:r>
        <w:rPr>
          <w:rFonts w:hint="eastAsia"/>
          <w:bCs/>
          <w:color w:val="auto"/>
          <w:sz w:val="24"/>
          <w:szCs w:val="24"/>
          <w:highlight w:val="none"/>
          <w:lang w:val="en-US" w:eastAsia="zh-CN"/>
        </w:rPr>
        <w:t>30</w:t>
      </w:r>
      <w:r>
        <w:rPr>
          <w:rFonts w:hint="eastAsia"/>
          <w:bCs/>
          <w:color w:val="auto"/>
          <w:sz w:val="24"/>
          <w:szCs w:val="24"/>
          <w:highlight w:val="none"/>
          <w:lang w:eastAsia="zh-CN"/>
        </w:rPr>
        <w:t>日历天</w:t>
      </w:r>
      <w:r>
        <w:rPr>
          <w:rFonts w:hint="eastAsia"/>
          <w:bCs/>
          <w:color w:val="auto"/>
          <w:sz w:val="24"/>
          <w:szCs w:val="24"/>
          <w:highlight w:val="none"/>
        </w:rPr>
        <w:t>内供货并安装、调试完毕至正常运行</w:t>
      </w:r>
      <w:r>
        <w:rPr>
          <w:rFonts w:hint="eastAsia"/>
          <w:bCs/>
          <w:color w:val="auto"/>
          <w:sz w:val="24"/>
          <w:szCs w:val="24"/>
          <w:highlight w:val="none"/>
          <w:lang w:val="en-US" w:eastAsia="zh-CN"/>
        </w:rPr>
        <w:t>/标段</w:t>
      </w:r>
    </w:p>
    <w:p w14:paraId="3147A46E">
      <w:pPr>
        <w:pStyle w:val="7"/>
        <w:keepNext w:val="0"/>
        <w:keepLines w:val="0"/>
        <w:pageBreakBefore w:val="0"/>
        <w:widowControl w:val="0"/>
        <w:numPr>
          <w:ilvl w:val="0"/>
          <w:numId w:val="0"/>
        </w:numPr>
        <w:kinsoku/>
        <w:wordWrap w:val="0"/>
        <w:overflowPunct/>
        <w:topLinePunct w:val="0"/>
        <w:autoSpaceDE w:val="0"/>
        <w:autoSpaceDN w:val="0"/>
        <w:bidi w:val="0"/>
        <w:spacing w:before="244" w:line="460" w:lineRule="exact"/>
        <w:ind w:left="0" w:leftChars="0" w:firstLine="480" w:firstLineChars="200"/>
        <w:jc w:val="both"/>
        <w:textAlignment w:val="auto"/>
        <w:rPr>
          <w:color w:val="auto"/>
          <w:sz w:val="24"/>
          <w:szCs w:val="24"/>
          <w:highlight w:val="none"/>
        </w:rPr>
      </w:pPr>
      <w:r>
        <w:rPr>
          <w:rFonts w:ascii="宋体" w:hAnsi="宋体" w:eastAsia="宋体" w:cs="宋体"/>
          <w:color w:val="auto"/>
          <w:sz w:val="24"/>
          <w:szCs w:val="24"/>
          <w:highlight w:val="none"/>
          <w:lang w:val="zh-CN" w:eastAsia="zh-CN" w:bidi="zh-CN"/>
        </w:rPr>
        <w:t>10、</w:t>
      </w:r>
      <w:r>
        <w:rPr>
          <w:rFonts w:hint="eastAsia"/>
          <w:bCs/>
          <w:color w:val="auto"/>
          <w:sz w:val="24"/>
          <w:szCs w:val="24"/>
          <w:highlight w:val="none"/>
        </w:rPr>
        <w:t>质保期：</w:t>
      </w:r>
      <w:bookmarkStart w:id="3" w:name="_Toc25399_WPSOffice_Level2"/>
      <w:r>
        <w:rPr>
          <w:rFonts w:hint="eastAsia"/>
          <w:bCs/>
          <w:color w:val="auto"/>
          <w:sz w:val="24"/>
          <w:szCs w:val="24"/>
          <w:highlight w:val="none"/>
          <w:lang w:val="en-US" w:eastAsia="zh-CN"/>
        </w:rPr>
        <w:t>一年</w:t>
      </w:r>
    </w:p>
    <w:p w14:paraId="31BE01AD">
      <w:pPr>
        <w:pStyle w:val="7"/>
        <w:keepNext w:val="0"/>
        <w:keepLines w:val="0"/>
        <w:pageBreakBefore w:val="0"/>
        <w:widowControl w:val="0"/>
        <w:numPr>
          <w:ilvl w:val="0"/>
          <w:numId w:val="0"/>
        </w:numPr>
        <w:kinsoku/>
        <w:wordWrap w:val="0"/>
        <w:overflowPunct/>
        <w:topLinePunct w:val="0"/>
        <w:autoSpaceDE w:val="0"/>
        <w:autoSpaceDN w:val="0"/>
        <w:bidi w:val="0"/>
        <w:spacing w:before="244" w:line="460" w:lineRule="exact"/>
        <w:ind w:left="0" w:leftChars="0" w:firstLine="480" w:firstLineChars="200"/>
        <w:jc w:val="both"/>
        <w:textAlignment w:val="auto"/>
        <w:rPr>
          <w:rFonts w:hint="eastAsia" w:eastAsia="宋体"/>
          <w:color w:val="auto"/>
          <w:sz w:val="24"/>
          <w:szCs w:val="24"/>
          <w:highlight w:val="none"/>
          <w:lang w:eastAsia="zh-CN"/>
        </w:rPr>
      </w:pPr>
      <w:r>
        <w:rPr>
          <w:rFonts w:hint="eastAsia" w:ascii="宋体" w:hAnsi="宋体" w:eastAsia="宋体" w:cs="宋体"/>
          <w:color w:val="auto"/>
          <w:sz w:val="24"/>
          <w:szCs w:val="24"/>
          <w:highlight w:val="none"/>
          <w:lang w:val="zh-CN" w:eastAsia="zh-CN" w:bidi="zh-CN"/>
        </w:rPr>
        <w:t>11、</w:t>
      </w:r>
      <w:r>
        <w:rPr>
          <w:rFonts w:hint="eastAsia"/>
          <w:color w:val="auto"/>
          <w:sz w:val="24"/>
          <w:szCs w:val="24"/>
          <w:highlight w:val="none"/>
        </w:rPr>
        <w:t>是否接受进口产品：否</w:t>
      </w:r>
    </w:p>
    <w:p w14:paraId="4581E814">
      <w:pPr>
        <w:pStyle w:val="7"/>
        <w:keepNext w:val="0"/>
        <w:keepLines w:val="0"/>
        <w:pageBreakBefore w:val="0"/>
        <w:widowControl w:val="0"/>
        <w:numPr>
          <w:ilvl w:val="0"/>
          <w:numId w:val="0"/>
        </w:numPr>
        <w:kinsoku/>
        <w:wordWrap w:val="0"/>
        <w:overflowPunct/>
        <w:topLinePunct w:val="0"/>
        <w:autoSpaceDE w:val="0"/>
        <w:autoSpaceDN w:val="0"/>
        <w:bidi w:val="0"/>
        <w:spacing w:before="244" w:line="460" w:lineRule="exact"/>
        <w:ind w:left="0" w:leftChars="0" w:firstLine="480" w:firstLineChars="200"/>
        <w:jc w:val="both"/>
        <w:textAlignment w:val="auto"/>
        <w:rPr>
          <w:rFonts w:hint="eastAsia" w:eastAsia="宋体"/>
          <w:color w:val="auto"/>
          <w:sz w:val="24"/>
          <w:szCs w:val="24"/>
          <w:highlight w:val="none"/>
          <w:lang w:eastAsia="zh-CN"/>
        </w:rPr>
      </w:pPr>
      <w:r>
        <w:rPr>
          <w:rFonts w:hint="eastAsia" w:ascii="宋体" w:hAnsi="宋体" w:eastAsia="宋体" w:cs="宋体"/>
          <w:color w:val="auto"/>
          <w:sz w:val="24"/>
          <w:szCs w:val="24"/>
          <w:highlight w:val="none"/>
          <w:lang w:val="zh-CN" w:eastAsia="zh-CN" w:bidi="zh-CN"/>
        </w:rPr>
        <w:t>12、</w:t>
      </w:r>
      <w:r>
        <w:rPr>
          <w:rFonts w:hint="eastAsia"/>
          <w:color w:val="auto"/>
          <w:sz w:val="24"/>
          <w:szCs w:val="24"/>
          <w:highlight w:val="none"/>
        </w:rPr>
        <w:t>是否专门面</w:t>
      </w:r>
      <w:r>
        <w:rPr>
          <w:rFonts w:hint="eastAsia" w:ascii="宋体" w:hAnsi="宋体" w:eastAsia="宋体" w:cs="宋体"/>
          <w:color w:val="auto"/>
          <w:sz w:val="24"/>
          <w:szCs w:val="24"/>
          <w:highlight w:val="none"/>
          <w:lang w:val="en-US" w:eastAsia="zh-CN"/>
        </w:rPr>
        <w:t>向中小企业：否</w:t>
      </w:r>
    </w:p>
    <w:p w14:paraId="6946FFC1">
      <w:pPr>
        <w:pStyle w:val="7"/>
        <w:keepNext w:val="0"/>
        <w:keepLines w:val="0"/>
        <w:pageBreakBefore w:val="0"/>
        <w:widowControl w:val="0"/>
        <w:numPr>
          <w:ilvl w:val="0"/>
          <w:numId w:val="0"/>
        </w:numPr>
        <w:kinsoku/>
        <w:wordWrap w:val="0"/>
        <w:overflowPunct/>
        <w:topLinePunct w:val="0"/>
        <w:autoSpaceDE w:val="0"/>
        <w:autoSpaceDN w:val="0"/>
        <w:bidi w:val="0"/>
        <w:spacing w:before="161" w:line="460" w:lineRule="exact"/>
        <w:ind w:leftChars="200"/>
        <w:textAlignment w:val="auto"/>
        <w:rPr>
          <w:color w:val="auto"/>
          <w:sz w:val="24"/>
          <w:szCs w:val="24"/>
          <w:highlight w:val="none"/>
        </w:rPr>
      </w:pPr>
      <w:r>
        <w:rPr>
          <w:rFonts w:hint="eastAsia"/>
          <w:color w:val="auto"/>
          <w:sz w:val="24"/>
          <w:szCs w:val="24"/>
          <w:highlight w:val="none"/>
          <w:lang w:eastAsia="zh-CN"/>
        </w:rPr>
        <w:t>二、</w:t>
      </w:r>
      <w:r>
        <w:rPr>
          <w:color w:val="auto"/>
          <w:sz w:val="24"/>
          <w:szCs w:val="24"/>
          <w:highlight w:val="none"/>
        </w:rPr>
        <w:t>磋商响应供应商资格要求：</w:t>
      </w:r>
      <w:bookmarkEnd w:id="3"/>
    </w:p>
    <w:p w14:paraId="79E0EC02">
      <w:pPr>
        <w:pStyle w:val="7"/>
        <w:keepNext w:val="0"/>
        <w:keepLines w:val="0"/>
        <w:pageBreakBefore w:val="0"/>
        <w:widowControl w:val="0"/>
        <w:numPr>
          <w:ilvl w:val="0"/>
          <w:numId w:val="0"/>
        </w:numPr>
        <w:kinsoku/>
        <w:wordWrap w:val="0"/>
        <w:overflowPunct/>
        <w:topLinePunct w:val="0"/>
        <w:autoSpaceDE w:val="0"/>
        <w:autoSpaceDN w:val="0"/>
        <w:bidi w:val="0"/>
        <w:spacing w:before="161" w:line="460" w:lineRule="exact"/>
        <w:ind w:leftChars="200"/>
        <w:textAlignment w:val="auto"/>
        <w:rPr>
          <w:rFonts w:hint="eastAsia"/>
          <w:color w:val="auto"/>
          <w:sz w:val="24"/>
          <w:szCs w:val="24"/>
          <w:highlight w:val="none"/>
        </w:rPr>
      </w:pPr>
      <w:r>
        <w:rPr>
          <w:rFonts w:hint="eastAsia"/>
          <w:color w:val="auto"/>
          <w:sz w:val="24"/>
          <w:szCs w:val="24"/>
          <w:highlight w:val="none"/>
          <w:lang w:eastAsia="zh-CN"/>
        </w:rPr>
        <w:t>（一）</w:t>
      </w:r>
      <w:r>
        <w:rPr>
          <w:rFonts w:hint="eastAsia"/>
          <w:color w:val="auto"/>
          <w:sz w:val="24"/>
          <w:szCs w:val="24"/>
          <w:highlight w:val="none"/>
          <w:lang w:val="en-US" w:eastAsia="zh-CN"/>
        </w:rPr>
        <w:t>落实政府采购政策满足的资格要求：本项目执行促进中小型企业发展政策（残疾人福利性企业、监狱企业视同小微企业）、优先采购节能环保产品等政府采购政策。</w:t>
      </w:r>
    </w:p>
    <w:p w14:paraId="714A44B1">
      <w:pPr>
        <w:pStyle w:val="7"/>
        <w:keepNext w:val="0"/>
        <w:keepLines w:val="0"/>
        <w:pageBreakBefore w:val="0"/>
        <w:widowControl w:val="0"/>
        <w:numPr>
          <w:ilvl w:val="0"/>
          <w:numId w:val="0"/>
        </w:numPr>
        <w:kinsoku/>
        <w:wordWrap w:val="0"/>
        <w:overflowPunct/>
        <w:topLinePunct w:val="0"/>
        <w:autoSpaceDE w:val="0"/>
        <w:autoSpaceDN w:val="0"/>
        <w:bidi w:val="0"/>
        <w:spacing w:before="161" w:line="460" w:lineRule="exact"/>
        <w:ind w:leftChars="200"/>
        <w:textAlignment w:val="auto"/>
        <w:rPr>
          <w:rFonts w:hint="eastAsia"/>
          <w:color w:val="auto"/>
          <w:sz w:val="24"/>
          <w:szCs w:val="24"/>
          <w:highlight w:val="none"/>
        </w:rPr>
      </w:pPr>
      <w:r>
        <w:rPr>
          <w:rFonts w:hint="eastAsia"/>
          <w:color w:val="auto"/>
          <w:sz w:val="24"/>
          <w:szCs w:val="24"/>
          <w:highlight w:val="none"/>
          <w:lang w:val="en-US" w:eastAsia="zh-CN"/>
        </w:rPr>
        <w:t>（二）符合《中华人民共和国政府采购法》第二十二条规定并同时具备下列条件：</w:t>
      </w:r>
    </w:p>
    <w:p w14:paraId="1376FEC2">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bCs/>
          <w:color w:val="auto"/>
          <w:sz w:val="24"/>
          <w:szCs w:val="24"/>
          <w:highlight w:val="none"/>
          <w:lang w:val="en-US"/>
        </w:rPr>
      </w:pPr>
      <w:r>
        <w:rPr>
          <w:rFonts w:hint="eastAsia"/>
          <w:bCs/>
          <w:color w:val="auto"/>
          <w:sz w:val="24"/>
          <w:szCs w:val="24"/>
          <w:highlight w:val="none"/>
          <w:lang w:val="en-US"/>
        </w:rPr>
        <w:t>1、供应商必须是在中国境内注册的独立法人</w:t>
      </w:r>
      <w:r>
        <w:rPr>
          <w:rFonts w:hint="eastAsia"/>
          <w:bCs/>
          <w:color w:val="auto"/>
          <w:sz w:val="24"/>
          <w:szCs w:val="24"/>
          <w:highlight w:val="none"/>
          <w:lang w:val="en-US" w:eastAsia="zh-CN"/>
        </w:rPr>
        <w:t>、</w:t>
      </w:r>
      <w:r>
        <w:rPr>
          <w:rFonts w:hint="eastAsia"/>
          <w:bCs/>
          <w:color w:val="auto"/>
          <w:sz w:val="24"/>
          <w:szCs w:val="24"/>
          <w:highlight w:val="none"/>
          <w:lang w:val="en-US"/>
        </w:rPr>
        <w:t>其他组织或者自然人，具有独立承担民事责任的能力；</w:t>
      </w:r>
    </w:p>
    <w:p w14:paraId="052EF44F">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eastAsia="宋体"/>
          <w:bCs/>
          <w:color w:val="auto"/>
          <w:sz w:val="24"/>
          <w:szCs w:val="24"/>
          <w:highlight w:val="none"/>
          <w:lang w:val="en-US" w:eastAsia="zh-CN"/>
        </w:rPr>
      </w:pPr>
      <w:r>
        <w:rPr>
          <w:rFonts w:hint="eastAsia"/>
          <w:bCs/>
          <w:color w:val="auto"/>
          <w:sz w:val="24"/>
          <w:szCs w:val="24"/>
          <w:highlight w:val="none"/>
          <w:lang w:val="en-US"/>
        </w:rPr>
        <w:t>2、具有有效的营业执照、税务登记证、组织机构代码证(或“三证合一”的营业执照)</w:t>
      </w:r>
      <w:r>
        <w:rPr>
          <w:rFonts w:hint="eastAsia"/>
          <w:bCs/>
          <w:color w:val="auto"/>
          <w:sz w:val="24"/>
          <w:szCs w:val="24"/>
          <w:highlight w:val="none"/>
          <w:lang w:val="en-US" w:eastAsia="zh-CN"/>
        </w:rPr>
        <w:t>；</w:t>
      </w:r>
    </w:p>
    <w:p w14:paraId="42681A1B">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eastAsia="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bidi="zh-CN"/>
        </w:rPr>
        <w:t>3、单位负责人为同一人或者存在直接控股、管理关系的不同供应商，不得参加同一合同项下的采购活动；（提供“国家企业信用信息公示系统”网页查询信息截图,查询信息</w:t>
      </w:r>
      <w:r>
        <w:rPr>
          <w:rFonts w:hint="eastAsia" w:cs="宋体"/>
          <w:bCs/>
          <w:color w:val="auto"/>
          <w:sz w:val="24"/>
          <w:szCs w:val="24"/>
          <w:highlight w:val="none"/>
          <w:lang w:val="en-US" w:eastAsia="zh-CN" w:bidi="zh-CN"/>
        </w:rPr>
        <w:t>应</w:t>
      </w:r>
      <w:r>
        <w:rPr>
          <w:rFonts w:hint="eastAsia" w:ascii="宋体" w:hAnsi="宋体" w:eastAsia="宋体" w:cs="宋体"/>
          <w:bCs/>
          <w:color w:val="auto"/>
          <w:sz w:val="24"/>
          <w:szCs w:val="24"/>
          <w:highlight w:val="none"/>
          <w:lang w:val="en-US" w:eastAsia="zh-CN" w:bidi="zh-CN"/>
        </w:rPr>
        <w:t>包含公司基本信息、股东信息及股权变更信息等相关信息</w:t>
      </w:r>
      <w:r>
        <w:rPr>
          <w:rFonts w:hint="eastAsia" w:cs="宋体"/>
          <w:bCs/>
          <w:color w:val="auto"/>
          <w:sz w:val="24"/>
          <w:szCs w:val="24"/>
          <w:highlight w:val="none"/>
          <w:lang w:val="en-US" w:eastAsia="zh-CN" w:bidi="zh-CN"/>
        </w:rPr>
        <w:t>；</w:t>
      </w:r>
      <w:r>
        <w:rPr>
          <w:rFonts w:hint="eastAsia" w:ascii="宋体" w:hAnsi="宋体" w:eastAsia="宋体" w:cs="宋体"/>
          <w:bCs/>
          <w:color w:val="auto"/>
          <w:sz w:val="24"/>
          <w:szCs w:val="24"/>
          <w:highlight w:val="none"/>
          <w:lang w:val="en-US" w:eastAsia="zh-CN" w:bidi="zh-CN"/>
        </w:rPr>
        <w:t>査询时间必须是磋商公告发布以后开标时间以前，查询结果清晰可见)；</w:t>
      </w:r>
    </w:p>
    <w:p w14:paraId="3E8A57E8">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bCs/>
          <w:color w:val="auto"/>
          <w:sz w:val="24"/>
          <w:szCs w:val="24"/>
          <w:highlight w:val="none"/>
          <w:lang w:val="en-US"/>
        </w:rPr>
      </w:pPr>
      <w:r>
        <w:rPr>
          <w:rFonts w:hint="eastAsia" w:ascii="宋体" w:hAnsi="宋体" w:eastAsia="宋体" w:cs="宋体"/>
          <w:bCs/>
          <w:color w:val="auto"/>
          <w:sz w:val="24"/>
          <w:szCs w:val="24"/>
          <w:highlight w:val="none"/>
          <w:lang w:val="en-US" w:eastAsia="zh-CN" w:bidi="zh-CN"/>
        </w:rPr>
        <w:t>4、</w:t>
      </w:r>
      <w:r>
        <w:rPr>
          <w:rFonts w:hint="eastAsia"/>
          <w:bCs/>
          <w:color w:val="auto"/>
          <w:sz w:val="24"/>
          <w:szCs w:val="24"/>
          <w:highlight w:val="none"/>
          <w:lang w:val="en-US"/>
        </w:rPr>
        <w:t>具有履行本项目采购内容所必须的设备和专业技术服务能力；(提供证明材料或承诺书)</w:t>
      </w:r>
    </w:p>
    <w:p w14:paraId="4910C32B">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bCs/>
          <w:color w:val="auto"/>
          <w:sz w:val="24"/>
          <w:szCs w:val="24"/>
          <w:highlight w:val="none"/>
          <w:lang w:val="en-US"/>
        </w:rPr>
      </w:pPr>
      <w:r>
        <w:rPr>
          <w:rFonts w:hint="eastAsia" w:ascii="宋体" w:hAnsi="宋体" w:eastAsia="宋体" w:cs="宋体"/>
          <w:bCs/>
          <w:color w:val="auto"/>
          <w:sz w:val="24"/>
          <w:szCs w:val="24"/>
          <w:highlight w:val="none"/>
          <w:lang w:val="en-US" w:eastAsia="zh-CN" w:bidi="zh-CN"/>
        </w:rPr>
        <w:t>5、</w:t>
      </w:r>
      <w:r>
        <w:rPr>
          <w:rFonts w:hint="eastAsia"/>
          <w:bCs/>
          <w:color w:val="auto"/>
          <w:sz w:val="24"/>
          <w:szCs w:val="24"/>
          <w:highlight w:val="none"/>
          <w:lang w:val="en-US"/>
        </w:rPr>
        <w:t>具有良好的商业信誉和健全的财务会计制度，提供</w:t>
      </w:r>
      <w:r>
        <w:rPr>
          <w:rFonts w:hint="eastAsia"/>
          <w:bCs/>
          <w:color w:val="auto"/>
          <w:sz w:val="24"/>
          <w:szCs w:val="24"/>
          <w:highlight w:val="none"/>
          <w:lang w:val="en-US" w:eastAsia="zh-CN"/>
        </w:rPr>
        <w:t>2024年度财务报表或</w:t>
      </w:r>
      <w:r>
        <w:rPr>
          <w:rFonts w:hint="eastAsia"/>
          <w:bCs/>
          <w:color w:val="auto"/>
          <w:sz w:val="24"/>
          <w:szCs w:val="24"/>
          <w:highlight w:val="none"/>
          <w:lang w:val="en-US"/>
        </w:rPr>
        <w:t>第三方审计机构出具的财务报告；</w:t>
      </w:r>
      <w:r>
        <w:rPr>
          <w:rFonts w:hint="eastAsia"/>
          <w:bCs/>
          <w:color w:val="auto"/>
          <w:sz w:val="24"/>
          <w:szCs w:val="24"/>
          <w:highlight w:val="none"/>
          <w:lang w:val="en-US" w:eastAsia="zh-CN"/>
        </w:rPr>
        <w:t>2025年</w:t>
      </w:r>
      <w:r>
        <w:rPr>
          <w:rFonts w:hint="eastAsia"/>
          <w:bCs/>
          <w:color w:val="auto"/>
          <w:sz w:val="24"/>
          <w:szCs w:val="24"/>
          <w:highlight w:val="none"/>
          <w:lang w:val="en-US"/>
        </w:rPr>
        <w:t>新成立公司无审计报告应附最新的财务报表及说明；</w:t>
      </w:r>
    </w:p>
    <w:p w14:paraId="5240DD89">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bCs/>
          <w:color w:val="auto"/>
          <w:sz w:val="24"/>
          <w:szCs w:val="24"/>
          <w:highlight w:val="none"/>
          <w:lang w:val="en-US"/>
        </w:rPr>
      </w:pPr>
      <w:r>
        <w:rPr>
          <w:rFonts w:hint="eastAsia" w:ascii="宋体" w:hAnsi="宋体" w:eastAsia="宋体" w:cs="宋体"/>
          <w:bCs/>
          <w:color w:val="auto"/>
          <w:sz w:val="24"/>
          <w:szCs w:val="24"/>
          <w:highlight w:val="none"/>
          <w:lang w:val="en-US" w:eastAsia="zh-CN" w:bidi="zh-CN"/>
        </w:rPr>
        <w:t>6、</w:t>
      </w:r>
      <w:r>
        <w:rPr>
          <w:rFonts w:hint="eastAsia"/>
          <w:bCs/>
          <w:color w:val="auto"/>
          <w:sz w:val="24"/>
          <w:szCs w:val="24"/>
          <w:highlight w:val="none"/>
          <w:lang w:val="en-US"/>
        </w:rPr>
        <w:t>须提供企业近半年任意连续三个月依法缴纳税收的证明资料（新成立的企业从成立之日起计算）主要是指缴纳增值税或企业所得税或企业附加税的缴费证明，依法免税的投标响应人，应提供相应文件证明其依法免税；</w:t>
      </w:r>
    </w:p>
    <w:p w14:paraId="1A1036A7">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eastAsia="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bidi="zh-CN"/>
        </w:rPr>
        <w:t>7、</w:t>
      </w:r>
      <w:r>
        <w:rPr>
          <w:rFonts w:hint="eastAsia"/>
          <w:bCs/>
          <w:color w:val="auto"/>
          <w:sz w:val="24"/>
          <w:szCs w:val="24"/>
          <w:highlight w:val="none"/>
          <w:lang w:val="en-US"/>
        </w:rPr>
        <w:t>项目负责人为本单位正式员工（提供劳动合同）且已参加社会保险，提供近半年任意连续三个月参加社会养老保险的缴费证明（新成立企业从成立之日起计算）</w:t>
      </w:r>
      <w:r>
        <w:rPr>
          <w:rFonts w:hint="eastAsia"/>
          <w:bCs/>
          <w:color w:val="auto"/>
          <w:sz w:val="24"/>
          <w:szCs w:val="24"/>
          <w:highlight w:val="none"/>
          <w:lang w:val="en-US" w:eastAsia="zh-CN"/>
        </w:rPr>
        <w:t>；</w:t>
      </w:r>
    </w:p>
    <w:p w14:paraId="6E3B5941">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bCs/>
          <w:color w:val="auto"/>
          <w:sz w:val="24"/>
          <w:szCs w:val="24"/>
          <w:highlight w:val="none"/>
          <w:lang w:val="en-US"/>
        </w:rPr>
      </w:pPr>
      <w:r>
        <w:rPr>
          <w:rFonts w:ascii="宋体" w:hAnsi="宋体" w:eastAsia="宋体" w:cs="宋体"/>
          <w:bCs/>
          <w:color w:val="auto"/>
          <w:sz w:val="24"/>
          <w:szCs w:val="24"/>
          <w:highlight w:val="none"/>
          <w:lang w:val="en-US" w:eastAsia="zh-CN" w:bidi="zh-CN"/>
        </w:rPr>
        <w:t>8、</w:t>
      </w:r>
      <w:r>
        <w:rPr>
          <w:rFonts w:hint="eastAsia" w:ascii="宋体" w:hAnsi="宋体" w:eastAsia="宋体" w:cs="宋体"/>
          <w:bCs/>
          <w:color w:val="auto"/>
          <w:sz w:val="24"/>
          <w:szCs w:val="24"/>
          <w:highlight w:val="none"/>
          <w:lang w:val="en-US" w:eastAsia="zh-CN" w:bidi="zh-CN"/>
        </w:rPr>
        <w:t>参加政府采购活动前3年内在经营活动中没有</w:t>
      </w:r>
      <w:r>
        <w:rPr>
          <w:rFonts w:hint="eastAsia"/>
          <w:bCs/>
          <w:color w:val="auto"/>
          <w:sz w:val="24"/>
          <w:szCs w:val="24"/>
          <w:highlight w:val="none"/>
          <w:lang w:val="en-US"/>
        </w:rPr>
        <w:t>骗取中标、重大违法记录</w:t>
      </w:r>
      <w:r>
        <w:rPr>
          <w:rFonts w:hint="eastAsia"/>
          <w:bCs/>
          <w:color w:val="auto"/>
          <w:sz w:val="24"/>
          <w:szCs w:val="24"/>
          <w:highlight w:val="none"/>
          <w:lang w:val="en-US" w:eastAsia="zh-CN"/>
        </w:rPr>
        <w:t>、</w:t>
      </w:r>
      <w:r>
        <w:rPr>
          <w:rFonts w:hint="eastAsia"/>
          <w:bCs/>
          <w:color w:val="auto"/>
          <w:sz w:val="24"/>
          <w:szCs w:val="24"/>
          <w:highlight w:val="none"/>
          <w:lang w:val="en-US"/>
        </w:rPr>
        <w:t>严重违约等问题；</w:t>
      </w:r>
    </w:p>
    <w:p w14:paraId="2BBE91CC">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color w:val="auto"/>
          <w:highlight w:val="none"/>
          <w:lang w:val="en-US"/>
        </w:rPr>
      </w:pPr>
      <w:r>
        <w:rPr>
          <w:rFonts w:hint="eastAsia" w:ascii="宋体" w:hAnsi="宋体" w:eastAsia="宋体" w:cs="宋体"/>
          <w:bCs/>
          <w:color w:val="auto"/>
          <w:sz w:val="24"/>
          <w:szCs w:val="24"/>
          <w:highlight w:val="none"/>
          <w:lang w:val="en-US" w:eastAsia="zh-CN" w:bidi="zh-CN"/>
        </w:rPr>
        <w:t>9</w:t>
      </w:r>
      <w:r>
        <w:rPr>
          <w:rFonts w:ascii="宋体" w:hAnsi="宋体" w:eastAsia="宋体" w:cs="宋体"/>
          <w:bCs/>
          <w:color w:val="auto"/>
          <w:sz w:val="24"/>
          <w:szCs w:val="24"/>
          <w:highlight w:val="none"/>
          <w:lang w:val="en-US" w:eastAsia="zh-CN" w:bidi="zh-CN"/>
        </w:rPr>
        <w:t>、</w:t>
      </w:r>
      <w:r>
        <w:rPr>
          <w:rFonts w:hint="eastAsia"/>
          <w:bCs/>
          <w:color w:val="auto"/>
          <w:sz w:val="24"/>
          <w:szCs w:val="24"/>
          <w:highlight w:val="none"/>
          <w:lang w:val="en-US"/>
        </w:rPr>
        <w:t>参加政府采购活动前3年内无行贿犯罪记录</w:t>
      </w:r>
      <w:r>
        <w:rPr>
          <w:rFonts w:hint="eastAsia"/>
          <w:bCs/>
          <w:color w:val="auto"/>
          <w:sz w:val="24"/>
          <w:szCs w:val="24"/>
          <w:highlight w:val="none"/>
          <w:lang w:val="en-US" w:eastAsia="zh-CN"/>
        </w:rPr>
        <w:t>，</w:t>
      </w:r>
      <w:r>
        <w:rPr>
          <w:rFonts w:hint="eastAsia"/>
          <w:bCs/>
          <w:color w:val="auto"/>
          <w:sz w:val="24"/>
          <w:szCs w:val="24"/>
          <w:highlight w:val="none"/>
          <w:lang w:val="en-US"/>
        </w:rPr>
        <w:t>供应商出具</w:t>
      </w:r>
      <w:r>
        <w:rPr>
          <w:rFonts w:hint="eastAsia"/>
          <w:bCs/>
          <w:color w:val="auto"/>
          <w:sz w:val="24"/>
          <w:szCs w:val="24"/>
          <w:highlight w:val="none"/>
          <w:lang w:val="en-US" w:eastAsia="zh-CN"/>
        </w:rPr>
        <w:t>的</w:t>
      </w:r>
      <w:r>
        <w:rPr>
          <w:rFonts w:hint="eastAsia"/>
          <w:bCs/>
          <w:color w:val="auto"/>
          <w:sz w:val="24"/>
          <w:szCs w:val="24"/>
          <w:highlight w:val="none"/>
          <w:lang w:val="en-US"/>
        </w:rPr>
        <w:t>无行贿犯罪记录在中国裁判文书网自行查询或自行承诺（查询对象：企业、法定代表人</w:t>
      </w:r>
      <w:r>
        <w:rPr>
          <w:rFonts w:hint="eastAsia"/>
          <w:bCs/>
          <w:color w:val="auto"/>
          <w:sz w:val="24"/>
          <w:szCs w:val="24"/>
          <w:highlight w:val="none"/>
          <w:lang w:val="en-US" w:eastAsia="zh-CN"/>
        </w:rPr>
        <w:t>、项目负责人</w:t>
      </w:r>
      <w:r>
        <w:rPr>
          <w:rFonts w:hint="eastAsia"/>
          <w:bCs/>
          <w:color w:val="auto"/>
          <w:sz w:val="24"/>
          <w:szCs w:val="24"/>
          <w:highlight w:val="none"/>
          <w:lang w:val="en-US"/>
        </w:rPr>
        <w:t>）；</w:t>
      </w:r>
    </w:p>
    <w:p w14:paraId="48650FD3">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bCs/>
          <w:color w:val="auto"/>
          <w:sz w:val="24"/>
          <w:szCs w:val="24"/>
          <w:highlight w:val="none"/>
          <w:lang w:val="en-US"/>
        </w:rPr>
      </w:pPr>
      <w:r>
        <w:rPr>
          <w:rFonts w:hint="eastAsia" w:cs="宋体"/>
          <w:bCs/>
          <w:color w:val="auto"/>
          <w:sz w:val="24"/>
          <w:szCs w:val="24"/>
          <w:highlight w:val="none"/>
          <w:lang w:val="en-US" w:eastAsia="zh-CN" w:bidi="zh-CN"/>
        </w:rPr>
        <w:t>10</w:t>
      </w:r>
      <w:r>
        <w:rPr>
          <w:rFonts w:ascii="宋体" w:hAnsi="宋体" w:eastAsia="宋体" w:cs="宋体"/>
          <w:bCs/>
          <w:color w:val="auto"/>
          <w:sz w:val="24"/>
          <w:szCs w:val="24"/>
          <w:highlight w:val="none"/>
          <w:lang w:val="en-US" w:eastAsia="zh-CN" w:bidi="zh-CN"/>
        </w:rPr>
        <w:t>、</w:t>
      </w:r>
      <w:r>
        <w:rPr>
          <w:rFonts w:hint="eastAsia"/>
          <w:bCs/>
          <w:color w:val="auto"/>
          <w:sz w:val="24"/>
          <w:szCs w:val="24"/>
          <w:highlight w:val="none"/>
          <w:lang w:val="en-US"/>
        </w:rPr>
        <w:t>提供企业注册地工商管理部门出具的无商业贿赂和不正当竞争行为的查询证明（若当地工商管理部门不办理此项业务，供应商须自行出具本企业无商业贿赂和不正当竞争行为承诺书）；</w:t>
      </w:r>
    </w:p>
    <w:p w14:paraId="2439D0A9">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ascii="宋体" w:hAnsi="宋体" w:eastAsia="宋体" w:cs="宋体"/>
          <w:bCs/>
          <w:color w:val="auto"/>
          <w:sz w:val="24"/>
          <w:szCs w:val="24"/>
          <w:highlight w:val="none"/>
          <w:lang w:val="en-US" w:eastAsia="zh-CN" w:bidi="zh-CN"/>
        </w:rPr>
      </w:pPr>
      <w:r>
        <w:rPr>
          <w:rFonts w:hint="eastAsia" w:cs="宋体"/>
          <w:bCs/>
          <w:color w:val="auto"/>
          <w:sz w:val="24"/>
          <w:szCs w:val="24"/>
          <w:highlight w:val="none"/>
          <w:lang w:val="en-US" w:eastAsia="zh-CN" w:bidi="zh-CN"/>
        </w:rPr>
        <w:t>11</w:t>
      </w:r>
      <w:r>
        <w:rPr>
          <w:rFonts w:hint="eastAsia" w:ascii="宋体" w:hAnsi="宋体" w:eastAsia="宋体" w:cs="宋体"/>
          <w:bCs/>
          <w:color w:val="auto"/>
          <w:sz w:val="24"/>
          <w:szCs w:val="24"/>
          <w:highlight w:val="none"/>
          <w:lang w:val="en-US" w:eastAsia="zh-CN" w:bidi="zh-CN"/>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网页截图，查询结果清晰可见)；</w:t>
      </w:r>
    </w:p>
    <w:p w14:paraId="2FAD54D2">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eastAsia="宋体"/>
          <w:bCs/>
          <w:color w:val="auto"/>
          <w:sz w:val="24"/>
          <w:szCs w:val="24"/>
          <w:highlight w:val="none"/>
          <w:lang w:eastAsia="zh-CN"/>
        </w:rPr>
      </w:pPr>
      <w:r>
        <w:rPr>
          <w:rFonts w:ascii="宋体" w:hAnsi="宋体" w:eastAsia="宋体" w:cs="宋体"/>
          <w:bCs/>
          <w:color w:val="auto"/>
          <w:sz w:val="24"/>
          <w:szCs w:val="24"/>
          <w:highlight w:val="none"/>
          <w:lang w:val="zh-CN" w:eastAsia="zh-CN" w:bidi="zh-CN"/>
        </w:rPr>
        <w:t>1</w:t>
      </w:r>
      <w:r>
        <w:rPr>
          <w:rFonts w:hint="eastAsia" w:cs="宋体"/>
          <w:bCs/>
          <w:color w:val="auto"/>
          <w:sz w:val="24"/>
          <w:szCs w:val="24"/>
          <w:highlight w:val="none"/>
          <w:lang w:val="en-US" w:eastAsia="zh-CN" w:bidi="zh-CN"/>
        </w:rPr>
        <w:t>2</w:t>
      </w:r>
      <w:r>
        <w:rPr>
          <w:rFonts w:ascii="宋体" w:hAnsi="宋体" w:eastAsia="宋体" w:cs="宋体"/>
          <w:bCs/>
          <w:color w:val="auto"/>
          <w:sz w:val="24"/>
          <w:szCs w:val="24"/>
          <w:highlight w:val="none"/>
          <w:lang w:val="zh-CN" w:eastAsia="zh-CN" w:bidi="zh-CN"/>
        </w:rPr>
        <w:t>、</w:t>
      </w:r>
      <w:r>
        <w:rPr>
          <w:rFonts w:hint="eastAsia"/>
          <w:bCs/>
          <w:color w:val="auto"/>
          <w:sz w:val="24"/>
          <w:szCs w:val="24"/>
          <w:highlight w:val="none"/>
        </w:rPr>
        <w:t>本次磋商实行资格后审</w:t>
      </w:r>
      <w:r>
        <w:rPr>
          <w:rFonts w:hint="eastAsia"/>
          <w:bCs/>
          <w:color w:val="auto"/>
          <w:sz w:val="24"/>
          <w:szCs w:val="24"/>
          <w:highlight w:val="none"/>
          <w:lang w:eastAsia="zh-CN"/>
        </w:rPr>
        <w:t>；</w:t>
      </w:r>
    </w:p>
    <w:p w14:paraId="3CD4D907">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eastAsia="宋体"/>
          <w:bCs/>
          <w:color w:val="auto"/>
          <w:sz w:val="24"/>
          <w:szCs w:val="24"/>
          <w:highlight w:val="none"/>
          <w:lang w:eastAsia="zh-CN"/>
        </w:rPr>
      </w:pPr>
      <w:r>
        <w:rPr>
          <w:rFonts w:ascii="宋体" w:hAnsi="宋体" w:eastAsia="宋体" w:cs="宋体"/>
          <w:bCs/>
          <w:color w:val="auto"/>
          <w:sz w:val="24"/>
          <w:szCs w:val="24"/>
          <w:highlight w:val="none"/>
          <w:lang w:val="zh-CN" w:eastAsia="zh-CN" w:bidi="zh-CN"/>
        </w:rPr>
        <w:t>1</w:t>
      </w:r>
      <w:r>
        <w:rPr>
          <w:rFonts w:hint="eastAsia" w:cs="宋体"/>
          <w:bCs/>
          <w:color w:val="auto"/>
          <w:sz w:val="24"/>
          <w:szCs w:val="24"/>
          <w:highlight w:val="none"/>
          <w:lang w:val="en-US" w:eastAsia="zh-CN" w:bidi="zh-CN"/>
        </w:rPr>
        <w:t>3</w:t>
      </w:r>
      <w:r>
        <w:rPr>
          <w:rFonts w:ascii="宋体" w:hAnsi="宋体" w:eastAsia="宋体" w:cs="宋体"/>
          <w:bCs/>
          <w:color w:val="auto"/>
          <w:sz w:val="24"/>
          <w:szCs w:val="24"/>
          <w:highlight w:val="none"/>
          <w:lang w:val="zh-CN" w:eastAsia="zh-CN" w:bidi="zh-CN"/>
        </w:rPr>
        <w:t>、</w:t>
      </w:r>
      <w:r>
        <w:rPr>
          <w:rFonts w:hint="eastAsia"/>
          <w:bCs/>
          <w:color w:val="auto"/>
          <w:sz w:val="24"/>
          <w:szCs w:val="24"/>
          <w:highlight w:val="none"/>
        </w:rPr>
        <w:t>本项目不接受联合体投标</w:t>
      </w:r>
      <w:r>
        <w:rPr>
          <w:rFonts w:hint="eastAsia"/>
          <w:bCs/>
          <w:color w:val="auto"/>
          <w:sz w:val="24"/>
          <w:szCs w:val="24"/>
          <w:highlight w:val="none"/>
          <w:lang w:eastAsia="zh-CN"/>
        </w:rPr>
        <w:t>。</w:t>
      </w:r>
    </w:p>
    <w:p w14:paraId="2D32F581">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eastAsia="zh-CN"/>
        </w:rPr>
      </w:pPr>
      <w:r>
        <w:rPr>
          <w:rFonts w:hint="eastAsia"/>
          <w:bCs/>
          <w:color w:val="auto"/>
          <w:sz w:val="24"/>
          <w:szCs w:val="24"/>
          <w:highlight w:val="none"/>
          <w:lang w:val="en-US" w:eastAsia="zh-CN"/>
        </w:rPr>
        <w:t>注：1、被列入失信被执行人及重大税收违法失信主体的企业做无效标处理。采购人或采购代理机构有权对供应商信用记录进行甄别和复查。</w:t>
      </w:r>
    </w:p>
    <w:p w14:paraId="781FF500">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eastAsia="zh-CN"/>
        </w:rPr>
      </w:pPr>
      <w:r>
        <w:rPr>
          <w:rFonts w:hint="eastAsia"/>
          <w:bCs/>
          <w:color w:val="auto"/>
          <w:sz w:val="24"/>
          <w:szCs w:val="24"/>
          <w:highlight w:val="none"/>
          <w:lang w:val="en-US" w:eastAsia="zh-CN"/>
        </w:rPr>
        <w:t>2、供应商可同时投报三个标段，同一供应商在三个标段中只能中一个标段。如同一供应商在三个标段的得分排名均第一时，则只推荐其为金额最大标段的中标候选人，其它标段的候选人按排名次序递补。</w:t>
      </w:r>
    </w:p>
    <w:p w14:paraId="4130CDE9">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三、磋商文件的获取</w:t>
      </w:r>
    </w:p>
    <w:p w14:paraId="062B081F">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1、磋商文件下载时间：2025年06月25日00时00分至2025年07月08日08时40分</w:t>
      </w:r>
    </w:p>
    <w:p w14:paraId="712E2307">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2、本项目没有报名环节，供应商凭CA数字证书通过三门峡市公共资源交易中心网（网址：http://gzjy.smx.gov.cn/），点击交易平台选择“交易主体登录”，在所参与项目右侧点击参与投标，即可直接下载本项目磋商文件及其相关资料；</w:t>
      </w:r>
    </w:p>
    <w:p w14:paraId="42E2B463">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办理CA证书：http://www.smxgzjy.org/bwstb/23330.jhtml</w:t>
      </w:r>
    </w:p>
    <w:p w14:paraId="089995FB">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3、本项目采用全电子化招标，不再收取竞争性磋商文件费。</w:t>
      </w:r>
    </w:p>
    <w:p w14:paraId="41089979">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注：本项目为不见面开标项目，开标当日，响应人无需到开标现场参加开标会议，响应人应当在投标截止时间前，登陆不见面开标大厅选择登陆三门峡市公共资源电子招投标系统进行登陆（http://120.194.249.36:10094/BidOpening/bidopeninghallaction/hall/login）,在线准时参加开标活动并进行响应文件解密等。每位响应人的解密时间为开标时间起30分钟内完成。因响应人原因未能解密、解密失败或解密超时的将被拒绝。</w:t>
      </w:r>
    </w:p>
    <w:p w14:paraId="50B73701">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四、供应商资料的提交</w:t>
      </w:r>
    </w:p>
    <w:p w14:paraId="53DB392F">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本项目实行资格后审，审查内容以投标截止时间前在三门峡市公共资源交易系统上传的响应文件的信息为准。其上传资料真实性由供应商自行承担，同时供应商需要完善主体库信息。否则，由此造成应得分而未得分或资格审查不合格等情况的，由供应商承担责任。</w:t>
      </w:r>
    </w:p>
    <w:p w14:paraId="25A9CC3F">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五、磋商保证金</w:t>
      </w:r>
    </w:p>
    <w:p w14:paraId="54A02BAA">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按照《河南省财政厅关于优化政府采购营商环境有关问题的通知》（豫财购[2019]4号文）的要求本项目不再收取磋商保证金。</w:t>
      </w:r>
    </w:p>
    <w:p w14:paraId="4A98F943">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六、响应文件的递交截止时间及开评标地点</w:t>
      </w:r>
    </w:p>
    <w:p w14:paraId="6836513B">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1、响应文件递交的截止时间（开标时间）：2025年07月08日08时40分</w:t>
      </w:r>
    </w:p>
    <w:p w14:paraId="6CD1C873">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2、开标地点：卢氏县公共资源交易中心四楼第二开标室；</w:t>
      </w:r>
    </w:p>
    <w:p w14:paraId="3132904C">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3、评标地点：卢氏县公共资源交易中心二楼第二评标室；</w:t>
      </w:r>
    </w:p>
    <w:p w14:paraId="53FE725A">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七、其他事项</w:t>
      </w:r>
    </w:p>
    <w:p w14:paraId="3AC0670D">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1、响应人应仔细阅读操作手册，在本公告中要求的截止时间前完成磋商文件下载工作。因响应人操作不当问题造成的无法下载磋商文件等一切后果，由响应人自行承担。</w:t>
      </w:r>
    </w:p>
    <w:p w14:paraId="5DFC3B74">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2、响应人递交的响应文件不论中标与否均不予退还。</w:t>
      </w:r>
    </w:p>
    <w:p w14:paraId="0CE2EE07">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eastAsia="zh-CN"/>
        </w:rPr>
      </w:pPr>
      <w:r>
        <w:rPr>
          <w:rFonts w:hint="eastAsia"/>
          <w:bCs/>
          <w:color w:val="auto"/>
          <w:sz w:val="24"/>
          <w:szCs w:val="24"/>
          <w:highlight w:val="none"/>
          <w:lang w:val="en-US" w:eastAsia="zh-CN"/>
        </w:rPr>
        <w:t>3、采购人不组织投标单位踏勘现场。</w:t>
      </w:r>
    </w:p>
    <w:p w14:paraId="19B95C98">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八、发布磋商公告的媒介</w:t>
      </w:r>
    </w:p>
    <w:p w14:paraId="2CC8C14E">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本次公告在《中国采购与招标网》、《中国招标投标公共服务平台》、《河南省政府采购网》、《三门峡市公共资源交易中心网》同时发布。</w:t>
      </w:r>
    </w:p>
    <w:p w14:paraId="4E736B1B">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九、联系方式</w:t>
      </w:r>
    </w:p>
    <w:p w14:paraId="3CC1BD99">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监督单位：卢氏县政府采购办公室</w:t>
      </w:r>
    </w:p>
    <w:p w14:paraId="39BC0A02">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rPr>
        <w:t>联系人：郭伟静</w:t>
      </w:r>
    </w:p>
    <w:p w14:paraId="117ABE6E">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rPr>
        <w:t>电话：0398-7863556</w:t>
      </w:r>
    </w:p>
    <w:p w14:paraId="60593024">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地址：卢氏县城关镇解放路中段</w:t>
      </w:r>
    </w:p>
    <w:p w14:paraId="4FF587A3">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监督单位：卢氏县应急管理局</w:t>
      </w:r>
    </w:p>
    <w:p w14:paraId="16CC3519">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联系人：孙兵</w:t>
      </w:r>
    </w:p>
    <w:p w14:paraId="536FD161">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电话：13193966122、0398-7876088 </w:t>
      </w:r>
    </w:p>
    <w:p w14:paraId="70436C69">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地址： 卢氏县G209与兴贤路交叉口</w:t>
      </w:r>
    </w:p>
    <w:p w14:paraId="2F139B87">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采购人：卢氏县应急管理局</w:t>
      </w:r>
    </w:p>
    <w:p w14:paraId="7077527C">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联系人：张涛</w:t>
      </w:r>
    </w:p>
    <w:p w14:paraId="5F154DBC">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电话：13383985591、0398-7876010</w:t>
      </w:r>
    </w:p>
    <w:p w14:paraId="048DC7FF">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地址：卢氏县G209与兴贤路交叉口 </w:t>
      </w:r>
    </w:p>
    <w:p w14:paraId="2771C2FA">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eastAsia="zh-CN"/>
        </w:rPr>
      </w:pPr>
      <w:bookmarkStart w:id="4" w:name="_Toc19177"/>
      <w:r>
        <w:rPr>
          <w:rFonts w:hint="eastAsia"/>
          <w:bCs/>
          <w:color w:val="auto"/>
          <w:sz w:val="24"/>
          <w:szCs w:val="24"/>
          <w:highlight w:val="none"/>
          <w:lang w:val="en-US" w:eastAsia="zh-CN"/>
        </w:rPr>
        <w:t>代理机构：河南立旭工程管理有限公司</w:t>
      </w:r>
    </w:p>
    <w:p w14:paraId="44CAECF4">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eastAsia="zh-CN"/>
        </w:rPr>
      </w:pPr>
      <w:r>
        <w:rPr>
          <w:rFonts w:hint="eastAsia"/>
          <w:bCs/>
          <w:color w:val="auto"/>
          <w:sz w:val="24"/>
          <w:szCs w:val="24"/>
          <w:highlight w:val="none"/>
          <w:lang w:val="en-US" w:eastAsia="zh-CN"/>
        </w:rPr>
        <w:t>联系人：王珊</w:t>
      </w:r>
    </w:p>
    <w:p w14:paraId="244D7476">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default"/>
          <w:bCs/>
          <w:color w:val="auto"/>
          <w:sz w:val="24"/>
          <w:szCs w:val="24"/>
          <w:highlight w:val="none"/>
          <w:lang w:val="en-US" w:eastAsia="zh-CN"/>
        </w:rPr>
      </w:pPr>
      <w:r>
        <w:rPr>
          <w:rFonts w:hint="eastAsia"/>
          <w:bCs/>
          <w:color w:val="auto"/>
          <w:sz w:val="24"/>
          <w:szCs w:val="24"/>
          <w:highlight w:val="none"/>
          <w:lang w:val="en-US" w:eastAsia="zh-CN"/>
        </w:rPr>
        <w:t>电话：13030389566、0398-7879880</w:t>
      </w:r>
    </w:p>
    <w:p w14:paraId="66B90092">
      <w:pPr>
        <w:pStyle w:val="7"/>
        <w:keepNext w:val="0"/>
        <w:keepLines w:val="0"/>
        <w:pageBreakBefore w:val="0"/>
        <w:widowControl w:val="0"/>
        <w:kinsoku/>
        <w:wordWrap w:val="0"/>
        <w:overflowPunct/>
        <w:topLinePunct w:val="0"/>
        <w:autoSpaceDE w:val="0"/>
        <w:autoSpaceDN w:val="0"/>
        <w:bidi w:val="0"/>
        <w:spacing w:before="161" w:line="460" w:lineRule="exact"/>
        <w:ind w:left="0" w:firstLine="480" w:firstLineChars="200"/>
        <w:jc w:val="both"/>
        <w:textAlignment w:val="auto"/>
        <w:rPr>
          <w:b/>
          <w:color w:val="auto"/>
          <w:sz w:val="32"/>
          <w:highlight w:val="none"/>
        </w:rPr>
      </w:pPr>
      <w:r>
        <w:rPr>
          <w:rFonts w:hint="eastAsia"/>
          <w:bCs/>
          <w:color w:val="auto"/>
          <w:sz w:val="24"/>
          <w:szCs w:val="24"/>
          <w:highlight w:val="none"/>
          <w:lang w:val="en-US" w:eastAsia="zh-CN"/>
        </w:rPr>
        <w:t>地址：河南省安阳市林州市黄华镇国家863科技产业园青商大厦6-33号</w:t>
      </w:r>
    </w:p>
    <w:p w14:paraId="73542D39">
      <w:pPr>
        <w:keepNext w:val="0"/>
        <w:keepLines w:val="0"/>
        <w:pageBreakBefore w:val="0"/>
        <w:kinsoku/>
        <w:wordWrap w:val="0"/>
        <w:overflowPunct/>
        <w:topLinePunct w:val="0"/>
        <w:bidi w:val="0"/>
        <w:jc w:val="center"/>
        <w:rPr>
          <w:b/>
          <w:color w:val="auto"/>
          <w:highlight w:val="none"/>
        </w:rPr>
      </w:pPr>
      <w:r>
        <w:rPr>
          <w:b/>
          <w:color w:val="auto"/>
          <w:sz w:val="32"/>
          <w:highlight w:val="none"/>
        </w:rPr>
        <w:br w:type="page"/>
      </w:r>
      <w:r>
        <w:rPr>
          <w:b/>
          <w:color w:val="auto"/>
          <w:sz w:val="32"/>
          <w:highlight w:val="none"/>
        </w:rPr>
        <w:t>第二章 供应商须知</w:t>
      </w:r>
      <w:bookmarkEnd w:id="4"/>
    </w:p>
    <w:p w14:paraId="3365AB25">
      <w:pPr>
        <w:pStyle w:val="7"/>
        <w:keepNext w:val="0"/>
        <w:keepLines w:val="0"/>
        <w:pageBreakBefore w:val="0"/>
        <w:kinsoku/>
        <w:wordWrap w:val="0"/>
        <w:overflowPunct/>
        <w:topLinePunct w:val="0"/>
        <w:bidi w:val="0"/>
        <w:ind w:left="0"/>
        <w:rPr>
          <w:b/>
          <w:color w:val="auto"/>
          <w:sz w:val="32"/>
          <w:highlight w:val="none"/>
        </w:rPr>
      </w:pPr>
    </w:p>
    <w:p w14:paraId="73726D64">
      <w:pPr>
        <w:pStyle w:val="5"/>
        <w:keepNext w:val="0"/>
        <w:keepLines w:val="0"/>
        <w:pageBreakBefore w:val="0"/>
        <w:kinsoku/>
        <w:wordWrap w:val="0"/>
        <w:overflowPunct/>
        <w:topLinePunct w:val="0"/>
        <w:bidi w:val="0"/>
        <w:spacing w:before="244"/>
        <w:ind w:left="320"/>
        <w:jc w:val="center"/>
        <w:rPr>
          <w:color w:val="auto"/>
          <w:highlight w:val="none"/>
        </w:rPr>
      </w:pPr>
      <w:r>
        <w:rPr>
          <w:color w:val="auto"/>
          <w:highlight w:val="none"/>
        </w:rPr>
        <w:t>供应商须知前附表</w:t>
      </w:r>
    </w:p>
    <w:p w14:paraId="69F0A28C">
      <w:pPr>
        <w:pStyle w:val="7"/>
        <w:keepNext w:val="0"/>
        <w:keepLines w:val="0"/>
        <w:pageBreakBefore w:val="0"/>
        <w:kinsoku/>
        <w:wordWrap w:val="0"/>
        <w:overflowPunct/>
        <w:topLinePunct w:val="0"/>
        <w:bidi w:val="0"/>
        <w:spacing w:before="3"/>
        <w:ind w:left="0"/>
        <w:rPr>
          <w:b/>
          <w:color w:val="auto"/>
          <w:sz w:val="6"/>
          <w:highlight w:val="none"/>
        </w:rPr>
      </w:pPr>
    </w:p>
    <w:tbl>
      <w:tblPr>
        <w:tblStyle w:val="1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1715"/>
        <w:gridCol w:w="6768"/>
      </w:tblGrid>
      <w:tr w14:paraId="4F69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101" w:type="dxa"/>
            <w:noWrap w:val="0"/>
            <w:vAlign w:val="top"/>
          </w:tcPr>
          <w:p w14:paraId="4EE3877C">
            <w:pPr>
              <w:pStyle w:val="17"/>
              <w:keepNext w:val="0"/>
              <w:keepLines w:val="0"/>
              <w:pageBreakBefore w:val="0"/>
              <w:kinsoku/>
              <w:wordWrap w:val="0"/>
              <w:overflowPunct/>
              <w:topLinePunct w:val="0"/>
              <w:bidi w:val="0"/>
              <w:spacing w:before="130"/>
              <w:ind w:left="169" w:right="158"/>
              <w:jc w:val="center"/>
              <w:rPr>
                <w:b/>
                <w:color w:val="auto"/>
                <w:sz w:val="24"/>
                <w:highlight w:val="none"/>
              </w:rPr>
            </w:pPr>
            <w:r>
              <w:rPr>
                <w:b/>
                <w:color w:val="auto"/>
                <w:sz w:val="24"/>
                <w:highlight w:val="none"/>
              </w:rPr>
              <w:t>条款号</w:t>
            </w:r>
          </w:p>
        </w:tc>
        <w:tc>
          <w:tcPr>
            <w:tcW w:w="1715" w:type="dxa"/>
            <w:noWrap w:val="0"/>
            <w:vAlign w:val="top"/>
          </w:tcPr>
          <w:p w14:paraId="12D56F0A">
            <w:pPr>
              <w:pStyle w:val="17"/>
              <w:keepNext w:val="0"/>
              <w:keepLines w:val="0"/>
              <w:pageBreakBefore w:val="0"/>
              <w:kinsoku/>
              <w:wordWrap w:val="0"/>
              <w:overflowPunct/>
              <w:topLinePunct w:val="0"/>
              <w:bidi w:val="0"/>
              <w:spacing w:before="130"/>
              <w:ind w:left="110" w:right="98"/>
              <w:jc w:val="center"/>
              <w:rPr>
                <w:b/>
                <w:color w:val="auto"/>
                <w:sz w:val="24"/>
                <w:highlight w:val="none"/>
              </w:rPr>
            </w:pPr>
            <w:r>
              <w:rPr>
                <w:b/>
                <w:color w:val="auto"/>
                <w:sz w:val="24"/>
                <w:highlight w:val="none"/>
              </w:rPr>
              <w:t>条款名称</w:t>
            </w:r>
          </w:p>
        </w:tc>
        <w:tc>
          <w:tcPr>
            <w:tcW w:w="6768" w:type="dxa"/>
            <w:noWrap w:val="0"/>
            <w:vAlign w:val="top"/>
          </w:tcPr>
          <w:p w14:paraId="76C62EA5">
            <w:pPr>
              <w:pStyle w:val="17"/>
              <w:keepNext w:val="0"/>
              <w:keepLines w:val="0"/>
              <w:pageBreakBefore w:val="0"/>
              <w:kinsoku/>
              <w:wordWrap w:val="0"/>
              <w:overflowPunct/>
              <w:topLinePunct w:val="0"/>
              <w:bidi w:val="0"/>
              <w:spacing w:before="130"/>
              <w:ind w:left="1408" w:right="1397"/>
              <w:jc w:val="center"/>
              <w:rPr>
                <w:b/>
                <w:color w:val="auto"/>
                <w:sz w:val="24"/>
                <w:highlight w:val="none"/>
              </w:rPr>
            </w:pPr>
            <w:r>
              <w:rPr>
                <w:b/>
                <w:color w:val="auto"/>
                <w:sz w:val="24"/>
                <w:highlight w:val="none"/>
              </w:rPr>
              <w:t>编列内容</w:t>
            </w:r>
          </w:p>
        </w:tc>
      </w:tr>
      <w:tr w14:paraId="2772C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101" w:type="dxa"/>
            <w:noWrap w:val="0"/>
            <w:vAlign w:val="center"/>
          </w:tcPr>
          <w:p w14:paraId="6429C3FB">
            <w:pPr>
              <w:pStyle w:val="17"/>
              <w:keepNext w:val="0"/>
              <w:keepLines w:val="0"/>
              <w:pageBreakBefore w:val="0"/>
              <w:kinsoku/>
              <w:wordWrap w:val="0"/>
              <w:overflowPunct/>
              <w:topLinePunct w:val="0"/>
              <w:bidi w:val="0"/>
              <w:jc w:val="center"/>
              <w:rPr>
                <w:b/>
                <w:color w:val="auto"/>
                <w:sz w:val="24"/>
                <w:highlight w:val="none"/>
              </w:rPr>
            </w:pPr>
          </w:p>
          <w:p w14:paraId="7D08C3E1">
            <w:pPr>
              <w:pStyle w:val="17"/>
              <w:keepNext w:val="0"/>
              <w:keepLines w:val="0"/>
              <w:pageBreakBefore w:val="0"/>
              <w:kinsoku/>
              <w:wordWrap w:val="0"/>
              <w:overflowPunct/>
              <w:topLinePunct w:val="0"/>
              <w:bidi w:val="0"/>
              <w:jc w:val="center"/>
              <w:rPr>
                <w:b/>
                <w:color w:val="auto"/>
                <w:sz w:val="24"/>
                <w:highlight w:val="none"/>
              </w:rPr>
            </w:pPr>
          </w:p>
          <w:p w14:paraId="415B736E">
            <w:pPr>
              <w:pStyle w:val="17"/>
              <w:keepNext w:val="0"/>
              <w:keepLines w:val="0"/>
              <w:pageBreakBefore w:val="0"/>
              <w:kinsoku/>
              <w:wordWrap w:val="0"/>
              <w:overflowPunct/>
              <w:topLinePunct w:val="0"/>
              <w:bidi w:val="0"/>
              <w:spacing w:before="11"/>
              <w:jc w:val="center"/>
              <w:rPr>
                <w:b/>
                <w:color w:val="auto"/>
                <w:sz w:val="16"/>
                <w:highlight w:val="none"/>
              </w:rPr>
            </w:pPr>
          </w:p>
          <w:p w14:paraId="7D60AEF6">
            <w:pPr>
              <w:pStyle w:val="17"/>
              <w:keepNext w:val="0"/>
              <w:keepLines w:val="0"/>
              <w:pageBreakBefore w:val="0"/>
              <w:kinsoku/>
              <w:wordWrap w:val="0"/>
              <w:overflowPunct/>
              <w:topLinePunct w:val="0"/>
              <w:bidi w:val="0"/>
              <w:spacing w:before="1"/>
              <w:ind w:left="369"/>
              <w:jc w:val="both"/>
              <w:rPr>
                <w:color w:val="auto"/>
                <w:sz w:val="24"/>
                <w:highlight w:val="none"/>
              </w:rPr>
            </w:pPr>
            <w:r>
              <w:rPr>
                <w:color w:val="auto"/>
                <w:sz w:val="24"/>
                <w:highlight w:val="none"/>
              </w:rPr>
              <w:t>1.1</w:t>
            </w:r>
          </w:p>
        </w:tc>
        <w:tc>
          <w:tcPr>
            <w:tcW w:w="1715" w:type="dxa"/>
            <w:noWrap w:val="0"/>
            <w:vAlign w:val="top"/>
          </w:tcPr>
          <w:p w14:paraId="61B54ACE">
            <w:pPr>
              <w:pStyle w:val="17"/>
              <w:keepNext w:val="0"/>
              <w:keepLines w:val="0"/>
              <w:pageBreakBefore w:val="0"/>
              <w:kinsoku/>
              <w:wordWrap w:val="0"/>
              <w:overflowPunct/>
              <w:topLinePunct w:val="0"/>
              <w:bidi w:val="0"/>
              <w:rPr>
                <w:b/>
                <w:color w:val="auto"/>
                <w:sz w:val="24"/>
                <w:highlight w:val="none"/>
              </w:rPr>
            </w:pPr>
          </w:p>
          <w:p w14:paraId="51535C9D">
            <w:pPr>
              <w:pStyle w:val="17"/>
              <w:keepNext w:val="0"/>
              <w:keepLines w:val="0"/>
              <w:pageBreakBefore w:val="0"/>
              <w:kinsoku/>
              <w:wordWrap w:val="0"/>
              <w:overflowPunct/>
              <w:topLinePunct w:val="0"/>
              <w:bidi w:val="0"/>
              <w:rPr>
                <w:b/>
                <w:color w:val="auto"/>
                <w:sz w:val="24"/>
                <w:highlight w:val="none"/>
              </w:rPr>
            </w:pPr>
          </w:p>
          <w:p w14:paraId="71C21D3C">
            <w:pPr>
              <w:pStyle w:val="17"/>
              <w:keepNext w:val="0"/>
              <w:keepLines w:val="0"/>
              <w:pageBreakBefore w:val="0"/>
              <w:kinsoku/>
              <w:wordWrap w:val="0"/>
              <w:overflowPunct/>
              <w:topLinePunct w:val="0"/>
              <w:bidi w:val="0"/>
              <w:spacing w:before="11"/>
              <w:rPr>
                <w:b/>
                <w:color w:val="auto"/>
                <w:sz w:val="16"/>
                <w:highlight w:val="none"/>
              </w:rPr>
            </w:pPr>
          </w:p>
          <w:p w14:paraId="0F579277">
            <w:pPr>
              <w:pStyle w:val="17"/>
              <w:keepNext w:val="0"/>
              <w:keepLines w:val="0"/>
              <w:pageBreakBefore w:val="0"/>
              <w:kinsoku/>
              <w:wordWrap w:val="0"/>
              <w:overflowPunct/>
              <w:topLinePunct w:val="0"/>
              <w:bidi w:val="0"/>
              <w:spacing w:before="1"/>
              <w:ind w:left="490"/>
              <w:rPr>
                <w:color w:val="auto"/>
                <w:sz w:val="24"/>
                <w:highlight w:val="none"/>
              </w:rPr>
            </w:pPr>
            <w:r>
              <w:rPr>
                <w:color w:val="auto"/>
                <w:sz w:val="24"/>
                <w:highlight w:val="none"/>
              </w:rPr>
              <w:t>采购人</w:t>
            </w:r>
          </w:p>
        </w:tc>
        <w:tc>
          <w:tcPr>
            <w:tcW w:w="6768" w:type="dxa"/>
            <w:noWrap w:val="0"/>
            <w:vAlign w:val="center"/>
          </w:tcPr>
          <w:p w14:paraId="5ACC6875">
            <w:pPr>
              <w:pStyle w:val="17"/>
              <w:keepNext w:val="0"/>
              <w:keepLines w:val="0"/>
              <w:pageBreakBefore w:val="0"/>
              <w:kinsoku/>
              <w:wordWrap w:val="0"/>
              <w:overflowPunct/>
              <w:topLinePunct w:val="0"/>
              <w:bidi w:val="0"/>
              <w:spacing w:before="189"/>
              <w:ind w:left="107"/>
              <w:rPr>
                <w:rFonts w:hint="eastAsia"/>
                <w:bCs/>
                <w:color w:val="auto"/>
                <w:sz w:val="24"/>
                <w:szCs w:val="24"/>
                <w:highlight w:val="none"/>
                <w:lang w:val="en-US" w:eastAsia="zh-CN"/>
              </w:rPr>
            </w:pPr>
            <w:r>
              <w:rPr>
                <w:rFonts w:hint="eastAsia"/>
                <w:bCs/>
                <w:color w:val="auto"/>
                <w:sz w:val="24"/>
                <w:szCs w:val="24"/>
                <w:highlight w:val="none"/>
                <w:lang w:val="en-US" w:eastAsia="zh-CN"/>
              </w:rPr>
              <w:t>采购人：卢氏县应急管理局</w:t>
            </w:r>
          </w:p>
          <w:p w14:paraId="05534765">
            <w:pPr>
              <w:pStyle w:val="17"/>
              <w:keepNext w:val="0"/>
              <w:keepLines w:val="0"/>
              <w:pageBreakBefore w:val="0"/>
              <w:kinsoku/>
              <w:wordWrap w:val="0"/>
              <w:overflowPunct/>
              <w:topLinePunct w:val="0"/>
              <w:bidi w:val="0"/>
              <w:spacing w:before="189"/>
              <w:ind w:left="107"/>
              <w:rPr>
                <w:rFonts w:hint="eastAsia"/>
                <w:bCs/>
                <w:color w:val="auto"/>
                <w:sz w:val="24"/>
                <w:szCs w:val="24"/>
                <w:highlight w:val="none"/>
                <w:lang w:val="en-US" w:eastAsia="zh-CN"/>
              </w:rPr>
            </w:pPr>
            <w:r>
              <w:rPr>
                <w:rFonts w:hint="eastAsia"/>
                <w:bCs/>
                <w:color w:val="auto"/>
                <w:sz w:val="24"/>
                <w:szCs w:val="24"/>
                <w:highlight w:val="none"/>
                <w:lang w:val="en-US" w:eastAsia="zh-CN"/>
              </w:rPr>
              <w:t xml:space="preserve">联系人：张涛 </w:t>
            </w:r>
          </w:p>
          <w:p w14:paraId="1CCCDA80">
            <w:pPr>
              <w:pStyle w:val="17"/>
              <w:keepNext w:val="0"/>
              <w:keepLines w:val="0"/>
              <w:pageBreakBefore w:val="0"/>
              <w:kinsoku/>
              <w:wordWrap w:val="0"/>
              <w:overflowPunct/>
              <w:topLinePunct w:val="0"/>
              <w:bidi w:val="0"/>
              <w:spacing w:before="189"/>
              <w:ind w:left="107"/>
              <w:rPr>
                <w:rFonts w:hint="default"/>
                <w:bCs/>
                <w:color w:val="auto"/>
                <w:sz w:val="24"/>
                <w:szCs w:val="24"/>
                <w:highlight w:val="none"/>
                <w:lang w:val="en-US" w:eastAsia="zh-CN"/>
              </w:rPr>
            </w:pPr>
            <w:r>
              <w:rPr>
                <w:rFonts w:hint="eastAsia"/>
                <w:bCs/>
                <w:color w:val="auto"/>
                <w:sz w:val="24"/>
                <w:szCs w:val="24"/>
                <w:highlight w:val="none"/>
                <w:lang w:val="en-US" w:eastAsia="zh-CN"/>
              </w:rPr>
              <w:t>电话： 13383985591、0398-7876010</w:t>
            </w:r>
          </w:p>
          <w:p w14:paraId="4CE1E9C1">
            <w:pPr>
              <w:pStyle w:val="17"/>
              <w:keepNext w:val="0"/>
              <w:keepLines w:val="0"/>
              <w:pageBreakBefore w:val="0"/>
              <w:kinsoku/>
              <w:wordWrap w:val="0"/>
              <w:overflowPunct/>
              <w:topLinePunct w:val="0"/>
              <w:bidi w:val="0"/>
              <w:spacing w:before="189"/>
              <w:ind w:left="107"/>
              <w:rPr>
                <w:rFonts w:hint="eastAsia" w:eastAsia="宋体"/>
                <w:color w:val="auto"/>
                <w:sz w:val="24"/>
                <w:highlight w:val="none"/>
                <w:lang w:val="en-US" w:eastAsia="zh-CN"/>
              </w:rPr>
            </w:pPr>
            <w:r>
              <w:rPr>
                <w:rFonts w:hint="eastAsia"/>
                <w:bCs/>
                <w:color w:val="auto"/>
                <w:sz w:val="24"/>
                <w:szCs w:val="24"/>
                <w:highlight w:val="none"/>
                <w:lang w:val="en-US" w:eastAsia="zh-CN"/>
              </w:rPr>
              <w:t xml:space="preserve">地址：卢氏县G209与兴贤路交叉口 </w:t>
            </w:r>
          </w:p>
        </w:tc>
      </w:tr>
      <w:tr w14:paraId="64146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4" w:hRule="atLeast"/>
        </w:trPr>
        <w:tc>
          <w:tcPr>
            <w:tcW w:w="1101" w:type="dxa"/>
            <w:noWrap w:val="0"/>
            <w:vAlign w:val="center"/>
          </w:tcPr>
          <w:p w14:paraId="4C9365DF">
            <w:pPr>
              <w:pStyle w:val="17"/>
              <w:keepNext w:val="0"/>
              <w:keepLines w:val="0"/>
              <w:pageBreakBefore w:val="0"/>
              <w:kinsoku/>
              <w:wordWrap w:val="0"/>
              <w:overflowPunct/>
              <w:topLinePunct w:val="0"/>
              <w:bidi w:val="0"/>
              <w:jc w:val="center"/>
              <w:rPr>
                <w:b/>
                <w:color w:val="auto"/>
                <w:sz w:val="24"/>
                <w:highlight w:val="none"/>
              </w:rPr>
            </w:pPr>
          </w:p>
          <w:p w14:paraId="2C1C8937">
            <w:pPr>
              <w:pStyle w:val="17"/>
              <w:keepNext w:val="0"/>
              <w:keepLines w:val="0"/>
              <w:pageBreakBefore w:val="0"/>
              <w:kinsoku/>
              <w:wordWrap w:val="0"/>
              <w:overflowPunct/>
              <w:topLinePunct w:val="0"/>
              <w:bidi w:val="0"/>
              <w:spacing w:before="9"/>
              <w:jc w:val="center"/>
              <w:rPr>
                <w:b/>
                <w:color w:val="auto"/>
                <w:sz w:val="34"/>
                <w:highlight w:val="none"/>
              </w:rPr>
            </w:pPr>
          </w:p>
          <w:p w14:paraId="12E4CA47">
            <w:pPr>
              <w:pStyle w:val="17"/>
              <w:keepNext w:val="0"/>
              <w:keepLines w:val="0"/>
              <w:pageBreakBefore w:val="0"/>
              <w:kinsoku/>
              <w:wordWrap w:val="0"/>
              <w:overflowPunct/>
              <w:topLinePunct w:val="0"/>
              <w:bidi w:val="0"/>
              <w:spacing w:before="1"/>
              <w:ind w:left="369"/>
              <w:jc w:val="both"/>
              <w:rPr>
                <w:color w:val="auto"/>
                <w:sz w:val="24"/>
                <w:highlight w:val="none"/>
              </w:rPr>
            </w:pPr>
            <w:r>
              <w:rPr>
                <w:color w:val="auto"/>
                <w:sz w:val="24"/>
                <w:highlight w:val="none"/>
              </w:rPr>
              <w:t>1.2</w:t>
            </w:r>
          </w:p>
        </w:tc>
        <w:tc>
          <w:tcPr>
            <w:tcW w:w="1715" w:type="dxa"/>
            <w:noWrap w:val="0"/>
            <w:vAlign w:val="top"/>
          </w:tcPr>
          <w:p w14:paraId="4E240149">
            <w:pPr>
              <w:pStyle w:val="17"/>
              <w:keepNext w:val="0"/>
              <w:keepLines w:val="0"/>
              <w:pageBreakBefore w:val="0"/>
              <w:kinsoku/>
              <w:wordWrap w:val="0"/>
              <w:overflowPunct/>
              <w:topLinePunct w:val="0"/>
              <w:bidi w:val="0"/>
              <w:rPr>
                <w:b/>
                <w:color w:val="auto"/>
                <w:sz w:val="24"/>
                <w:highlight w:val="none"/>
              </w:rPr>
            </w:pPr>
          </w:p>
          <w:p w14:paraId="5D6AEED7">
            <w:pPr>
              <w:pStyle w:val="17"/>
              <w:keepNext w:val="0"/>
              <w:keepLines w:val="0"/>
              <w:pageBreakBefore w:val="0"/>
              <w:kinsoku/>
              <w:wordWrap w:val="0"/>
              <w:overflowPunct/>
              <w:topLinePunct w:val="0"/>
              <w:bidi w:val="0"/>
              <w:spacing w:before="9"/>
              <w:jc w:val="center"/>
              <w:rPr>
                <w:b/>
                <w:color w:val="auto"/>
                <w:sz w:val="34"/>
                <w:highlight w:val="none"/>
              </w:rPr>
            </w:pPr>
          </w:p>
          <w:p w14:paraId="6DA6E317">
            <w:pPr>
              <w:pStyle w:val="17"/>
              <w:keepNext w:val="0"/>
              <w:keepLines w:val="0"/>
              <w:pageBreakBefore w:val="0"/>
              <w:kinsoku/>
              <w:wordWrap w:val="0"/>
              <w:overflowPunct/>
              <w:topLinePunct w:val="0"/>
              <w:bidi w:val="0"/>
              <w:spacing w:before="1"/>
              <w:ind w:left="130"/>
              <w:jc w:val="center"/>
              <w:rPr>
                <w:color w:val="auto"/>
                <w:sz w:val="24"/>
                <w:highlight w:val="none"/>
              </w:rPr>
            </w:pPr>
            <w:r>
              <w:rPr>
                <w:color w:val="auto"/>
                <w:sz w:val="24"/>
                <w:highlight w:val="none"/>
              </w:rPr>
              <w:t>代理机构</w:t>
            </w:r>
          </w:p>
        </w:tc>
        <w:tc>
          <w:tcPr>
            <w:tcW w:w="6768" w:type="dxa"/>
            <w:noWrap w:val="0"/>
            <w:vAlign w:val="top"/>
          </w:tcPr>
          <w:p w14:paraId="22C7840A">
            <w:pPr>
              <w:pStyle w:val="17"/>
              <w:keepNext w:val="0"/>
              <w:keepLines w:val="0"/>
              <w:pageBreakBefore w:val="0"/>
              <w:kinsoku/>
              <w:wordWrap w:val="0"/>
              <w:overflowPunct/>
              <w:topLinePunct w:val="0"/>
              <w:bidi w:val="0"/>
              <w:spacing w:before="189"/>
              <w:ind w:left="107"/>
              <w:rPr>
                <w:rFonts w:hint="eastAsia"/>
                <w:color w:val="auto"/>
                <w:sz w:val="24"/>
                <w:highlight w:val="none"/>
                <w:lang w:val="en-US" w:eastAsia="zh-CN"/>
              </w:rPr>
            </w:pPr>
            <w:r>
              <w:rPr>
                <w:rFonts w:hint="eastAsia"/>
                <w:color w:val="auto"/>
                <w:sz w:val="24"/>
                <w:highlight w:val="none"/>
                <w:lang w:val="en-US" w:eastAsia="zh-CN"/>
              </w:rPr>
              <w:t>代理机构：河南立旭工程管理有限公司</w:t>
            </w:r>
          </w:p>
          <w:p w14:paraId="7F436DA6">
            <w:pPr>
              <w:pStyle w:val="17"/>
              <w:keepNext w:val="0"/>
              <w:keepLines w:val="0"/>
              <w:pageBreakBefore w:val="0"/>
              <w:kinsoku/>
              <w:wordWrap w:val="0"/>
              <w:overflowPunct/>
              <w:topLinePunct w:val="0"/>
              <w:bidi w:val="0"/>
              <w:spacing w:before="189"/>
              <w:ind w:left="107"/>
              <w:rPr>
                <w:rFonts w:hint="eastAsia"/>
                <w:color w:val="auto"/>
                <w:sz w:val="24"/>
                <w:highlight w:val="none"/>
                <w:lang w:val="en-US" w:eastAsia="zh-CN"/>
              </w:rPr>
            </w:pPr>
            <w:r>
              <w:rPr>
                <w:rFonts w:hint="eastAsia"/>
                <w:color w:val="auto"/>
                <w:sz w:val="24"/>
                <w:highlight w:val="none"/>
                <w:lang w:val="en-US" w:eastAsia="zh-CN"/>
              </w:rPr>
              <w:t>联系人：王珊</w:t>
            </w:r>
          </w:p>
          <w:p w14:paraId="40EC3F1E">
            <w:pPr>
              <w:pStyle w:val="17"/>
              <w:keepNext w:val="0"/>
              <w:keepLines w:val="0"/>
              <w:pageBreakBefore w:val="0"/>
              <w:kinsoku/>
              <w:wordWrap w:val="0"/>
              <w:overflowPunct/>
              <w:topLinePunct w:val="0"/>
              <w:bidi w:val="0"/>
              <w:spacing w:before="189"/>
              <w:ind w:left="107"/>
              <w:rPr>
                <w:rFonts w:hint="eastAsia"/>
                <w:color w:val="auto"/>
                <w:sz w:val="24"/>
                <w:highlight w:val="none"/>
                <w:lang w:val="en-US" w:eastAsia="zh-CN"/>
              </w:rPr>
            </w:pPr>
            <w:r>
              <w:rPr>
                <w:rFonts w:hint="eastAsia"/>
                <w:color w:val="auto"/>
                <w:sz w:val="24"/>
                <w:highlight w:val="none"/>
                <w:lang w:val="en-US" w:eastAsia="zh-CN"/>
              </w:rPr>
              <w:t>电话：</w:t>
            </w:r>
            <w:r>
              <w:rPr>
                <w:rFonts w:hint="eastAsia"/>
                <w:bCs/>
                <w:color w:val="auto"/>
                <w:sz w:val="24"/>
                <w:szCs w:val="24"/>
                <w:highlight w:val="none"/>
                <w:lang w:val="en-US" w:eastAsia="zh-CN"/>
              </w:rPr>
              <w:t>13030389566、0398-7879880</w:t>
            </w:r>
          </w:p>
          <w:p w14:paraId="24E3F85D">
            <w:pPr>
              <w:pStyle w:val="17"/>
              <w:keepNext w:val="0"/>
              <w:keepLines w:val="0"/>
              <w:pageBreakBefore w:val="0"/>
              <w:kinsoku/>
              <w:wordWrap w:val="0"/>
              <w:overflowPunct/>
              <w:topLinePunct w:val="0"/>
              <w:bidi w:val="0"/>
              <w:spacing w:before="189"/>
              <w:ind w:left="107"/>
              <w:rPr>
                <w:color w:val="auto"/>
                <w:sz w:val="24"/>
                <w:highlight w:val="none"/>
                <w:lang w:val="en-US"/>
              </w:rPr>
            </w:pPr>
            <w:r>
              <w:rPr>
                <w:rFonts w:hint="eastAsia"/>
                <w:color w:val="auto"/>
                <w:sz w:val="24"/>
                <w:highlight w:val="none"/>
                <w:lang w:val="en-US" w:eastAsia="zh-CN"/>
              </w:rPr>
              <w:t>地址：河南省安阳市林州市黄华镇国家863科技产业园青商大厦6-33号</w:t>
            </w:r>
          </w:p>
        </w:tc>
      </w:tr>
      <w:tr w14:paraId="4C73B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1101" w:type="dxa"/>
            <w:noWrap w:val="0"/>
            <w:vAlign w:val="center"/>
          </w:tcPr>
          <w:p w14:paraId="7D19D22F">
            <w:pPr>
              <w:pStyle w:val="17"/>
              <w:keepNext w:val="0"/>
              <w:keepLines w:val="0"/>
              <w:pageBreakBefore w:val="0"/>
              <w:kinsoku/>
              <w:wordWrap w:val="0"/>
              <w:overflowPunct/>
              <w:topLinePunct w:val="0"/>
              <w:bidi w:val="0"/>
              <w:ind w:right="158" w:firstLine="240" w:firstLineChars="100"/>
              <w:jc w:val="center"/>
              <w:rPr>
                <w:color w:val="auto"/>
                <w:sz w:val="24"/>
                <w:highlight w:val="none"/>
              </w:rPr>
            </w:pPr>
            <w:r>
              <w:rPr>
                <w:color w:val="auto"/>
                <w:sz w:val="24"/>
                <w:highlight w:val="none"/>
              </w:rPr>
              <w:t>1.3</w:t>
            </w:r>
          </w:p>
        </w:tc>
        <w:tc>
          <w:tcPr>
            <w:tcW w:w="1715" w:type="dxa"/>
            <w:noWrap w:val="0"/>
            <w:vAlign w:val="center"/>
          </w:tcPr>
          <w:p w14:paraId="5796B5CA">
            <w:pPr>
              <w:pStyle w:val="17"/>
              <w:keepNext w:val="0"/>
              <w:keepLines w:val="0"/>
              <w:pageBreakBefore w:val="0"/>
              <w:kinsoku/>
              <w:wordWrap w:val="0"/>
              <w:overflowPunct/>
              <w:topLinePunct w:val="0"/>
              <w:bidi w:val="0"/>
              <w:ind w:right="100"/>
              <w:jc w:val="center"/>
              <w:rPr>
                <w:color w:val="auto"/>
                <w:sz w:val="24"/>
                <w:highlight w:val="none"/>
              </w:rPr>
            </w:pPr>
            <w:r>
              <w:rPr>
                <w:color w:val="auto"/>
                <w:sz w:val="24"/>
                <w:highlight w:val="none"/>
              </w:rPr>
              <w:t>项目名称</w:t>
            </w:r>
          </w:p>
        </w:tc>
        <w:tc>
          <w:tcPr>
            <w:tcW w:w="6768" w:type="dxa"/>
            <w:noWrap w:val="0"/>
            <w:vAlign w:val="center"/>
          </w:tcPr>
          <w:p w14:paraId="6B81AE63">
            <w:pPr>
              <w:pStyle w:val="17"/>
              <w:keepNext w:val="0"/>
              <w:keepLines w:val="0"/>
              <w:pageBreakBefore w:val="0"/>
              <w:kinsoku/>
              <w:wordWrap w:val="0"/>
              <w:overflowPunct/>
              <w:topLinePunct w:val="0"/>
              <w:bidi w:val="0"/>
              <w:ind w:left="107" w:right="96"/>
              <w:jc w:val="both"/>
              <w:rPr>
                <w:rFonts w:hint="eastAsia" w:eastAsia="宋体"/>
                <w:color w:val="auto"/>
                <w:sz w:val="24"/>
                <w:highlight w:val="none"/>
                <w:lang w:eastAsia="zh-CN"/>
              </w:rPr>
            </w:pPr>
            <w:r>
              <w:rPr>
                <w:rFonts w:hint="eastAsia" w:ascii="宋体" w:hAnsi="宋体" w:eastAsia="宋体" w:cs="宋体"/>
                <w:color w:val="auto"/>
                <w:sz w:val="24"/>
                <w:szCs w:val="24"/>
                <w:highlight w:val="none"/>
                <w:lang w:val="en-US" w:eastAsia="zh-CN"/>
              </w:rPr>
              <w:t>卢氏县重点非煤矿山视频智能监控系统及尾矿库在线监测系统建设项目</w:t>
            </w:r>
          </w:p>
        </w:tc>
      </w:tr>
      <w:tr w14:paraId="3328C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1101" w:type="dxa"/>
            <w:noWrap w:val="0"/>
            <w:vAlign w:val="center"/>
          </w:tcPr>
          <w:p w14:paraId="50449CE2">
            <w:pPr>
              <w:pStyle w:val="17"/>
              <w:keepNext w:val="0"/>
              <w:keepLines w:val="0"/>
              <w:pageBreakBefore w:val="0"/>
              <w:kinsoku/>
              <w:wordWrap w:val="0"/>
              <w:overflowPunct/>
              <w:topLinePunct w:val="0"/>
              <w:bidi w:val="0"/>
              <w:jc w:val="center"/>
              <w:rPr>
                <w:b/>
                <w:color w:val="auto"/>
                <w:sz w:val="18"/>
                <w:highlight w:val="none"/>
              </w:rPr>
            </w:pPr>
          </w:p>
          <w:p w14:paraId="280A8DD8">
            <w:pPr>
              <w:pStyle w:val="17"/>
              <w:keepNext w:val="0"/>
              <w:keepLines w:val="0"/>
              <w:pageBreakBefore w:val="0"/>
              <w:kinsoku/>
              <w:wordWrap w:val="0"/>
              <w:overflowPunct/>
              <w:topLinePunct w:val="0"/>
              <w:bidi w:val="0"/>
              <w:ind w:left="166" w:right="158"/>
              <w:jc w:val="center"/>
              <w:rPr>
                <w:color w:val="auto"/>
                <w:sz w:val="24"/>
                <w:highlight w:val="none"/>
              </w:rPr>
            </w:pPr>
            <w:r>
              <w:rPr>
                <w:color w:val="auto"/>
                <w:sz w:val="24"/>
                <w:highlight w:val="none"/>
              </w:rPr>
              <w:t>1.4</w:t>
            </w:r>
          </w:p>
        </w:tc>
        <w:tc>
          <w:tcPr>
            <w:tcW w:w="1715" w:type="dxa"/>
            <w:noWrap w:val="0"/>
            <w:vAlign w:val="top"/>
          </w:tcPr>
          <w:p w14:paraId="409BCB70">
            <w:pPr>
              <w:pStyle w:val="17"/>
              <w:keepNext w:val="0"/>
              <w:keepLines w:val="0"/>
              <w:pageBreakBefore w:val="0"/>
              <w:kinsoku/>
              <w:wordWrap w:val="0"/>
              <w:overflowPunct/>
              <w:topLinePunct w:val="0"/>
              <w:bidi w:val="0"/>
              <w:rPr>
                <w:b/>
                <w:color w:val="auto"/>
                <w:sz w:val="18"/>
                <w:highlight w:val="none"/>
              </w:rPr>
            </w:pPr>
          </w:p>
          <w:p w14:paraId="4BCA2265">
            <w:pPr>
              <w:pStyle w:val="17"/>
              <w:keepNext w:val="0"/>
              <w:keepLines w:val="0"/>
              <w:pageBreakBefore w:val="0"/>
              <w:kinsoku/>
              <w:wordWrap w:val="0"/>
              <w:overflowPunct/>
              <w:topLinePunct w:val="0"/>
              <w:bidi w:val="0"/>
              <w:ind w:left="110" w:right="100"/>
              <w:jc w:val="center"/>
              <w:rPr>
                <w:color w:val="auto"/>
                <w:sz w:val="24"/>
                <w:highlight w:val="none"/>
              </w:rPr>
            </w:pPr>
            <w:r>
              <w:rPr>
                <w:color w:val="auto"/>
                <w:sz w:val="24"/>
                <w:highlight w:val="none"/>
              </w:rPr>
              <w:t>预算金额</w:t>
            </w:r>
          </w:p>
        </w:tc>
        <w:tc>
          <w:tcPr>
            <w:tcW w:w="6768" w:type="dxa"/>
            <w:noWrap w:val="0"/>
            <w:vAlign w:val="top"/>
          </w:tcPr>
          <w:p w14:paraId="04D05B2B">
            <w:pPr>
              <w:pStyle w:val="17"/>
              <w:keepNext w:val="0"/>
              <w:keepLines w:val="0"/>
              <w:pageBreakBefore w:val="0"/>
              <w:kinsoku/>
              <w:wordWrap w:val="0"/>
              <w:overflowPunct/>
              <w:topLinePunct w:val="0"/>
              <w:bidi w:val="0"/>
              <w:rPr>
                <w:b/>
                <w:color w:val="auto"/>
                <w:sz w:val="18"/>
                <w:highlight w:val="none"/>
              </w:rPr>
            </w:pPr>
          </w:p>
          <w:p w14:paraId="4F0EA5CF">
            <w:pPr>
              <w:pStyle w:val="17"/>
              <w:keepNext w:val="0"/>
              <w:keepLines w:val="0"/>
              <w:pageBreakBefore w:val="0"/>
              <w:kinsoku/>
              <w:wordWrap w:val="0"/>
              <w:overflowPunct/>
              <w:topLinePunct w:val="0"/>
              <w:bidi w:val="0"/>
              <w:ind w:left="107"/>
              <w:rPr>
                <w:color w:val="auto"/>
                <w:sz w:val="24"/>
                <w:highlight w:val="none"/>
              </w:rPr>
            </w:pPr>
            <w:r>
              <w:rPr>
                <w:rFonts w:hint="eastAsia"/>
                <w:color w:val="auto"/>
                <w:sz w:val="24"/>
                <w:highlight w:val="none"/>
                <w:lang w:val="en-US" w:eastAsia="zh-CN"/>
              </w:rPr>
              <w:t>三标段：446152.00元</w:t>
            </w:r>
          </w:p>
        </w:tc>
      </w:tr>
      <w:tr w14:paraId="039B4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101" w:type="dxa"/>
            <w:noWrap w:val="0"/>
            <w:vAlign w:val="center"/>
          </w:tcPr>
          <w:p w14:paraId="7EE2F233">
            <w:pPr>
              <w:pStyle w:val="17"/>
              <w:keepNext w:val="0"/>
              <w:keepLines w:val="0"/>
              <w:pageBreakBefore w:val="0"/>
              <w:kinsoku/>
              <w:wordWrap w:val="0"/>
              <w:overflowPunct/>
              <w:topLinePunct w:val="0"/>
              <w:bidi w:val="0"/>
              <w:jc w:val="center"/>
              <w:rPr>
                <w:b/>
                <w:color w:val="auto"/>
                <w:sz w:val="28"/>
                <w:highlight w:val="none"/>
              </w:rPr>
            </w:pPr>
          </w:p>
          <w:p w14:paraId="7FC8418E">
            <w:pPr>
              <w:pStyle w:val="17"/>
              <w:keepNext w:val="0"/>
              <w:keepLines w:val="0"/>
              <w:pageBreakBefore w:val="0"/>
              <w:kinsoku/>
              <w:wordWrap w:val="0"/>
              <w:overflowPunct/>
              <w:topLinePunct w:val="0"/>
              <w:bidi w:val="0"/>
              <w:ind w:left="166" w:right="158"/>
              <w:jc w:val="center"/>
              <w:rPr>
                <w:color w:val="auto"/>
                <w:sz w:val="24"/>
                <w:highlight w:val="none"/>
              </w:rPr>
            </w:pPr>
            <w:r>
              <w:rPr>
                <w:color w:val="auto"/>
                <w:sz w:val="24"/>
                <w:highlight w:val="none"/>
              </w:rPr>
              <w:t>1.5</w:t>
            </w:r>
          </w:p>
        </w:tc>
        <w:tc>
          <w:tcPr>
            <w:tcW w:w="1715" w:type="dxa"/>
            <w:noWrap w:val="0"/>
            <w:vAlign w:val="top"/>
          </w:tcPr>
          <w:p w14:paraId="640090E4">
            <w:pPr>
              <w:pStyle w:val="17"/>
              <w:keepNext w:val="0"/>
              <w:keepLines w:val="0"/>
              <w:pageBreakBefore w:val="0"/>
              <w:kinsoku/>
              <w:wordWrap w:val="0"/>
              <w:overflowPunct/>
              <w:topLinePunct w:val="0"/>
              <w:bidi w:val="0"/>
              <w:spacing w:before="1" w:line="460" w:lineRule="exact"/>
              <w:ind w:left="490" w:right="118" w:hanging="360"/>
              <w:rPr>
                <w:color w:val="auto"/>
                <w:sz w:val="24"/>
                <w:highlight w:val="none"/>
              </w:rPr>
            </w:pPr>
            <w:r>
              <w:rPr>
                <w:color w:val="auto"/>
                <w:sz w:val="24"/>
                <w:highlight w:val="none"/>
              </w:rPr>
              <w:t>资金来源及落实情况</w:t>
            </w:r>
          </w:p>
        </w:tc>
        <w:tc>
          <w:tcPr>
            <w:tcW w:w="6768" w:type="dxa"/>
            <w:noWrap w:val="0"/>
            <w:vAlign w:val="top"/>
          </w:tcPr>
          <w:p w14:paraId="2F652C77">
            <w:pPr>
              <w:pStyle w:val="17"/>
              <w:keepNext w:val="0"/>
              <w:keepLines w:val="0"/>
              <w:pageBreakBefore w:val="0"/>
              <w:kinsoku/>
              <w:wordWrap w:val="0"/>
              <w:overflowPunct/>
              <w:topLinePunct w:val="0"/>
              <w:bidi w:val="0"/>
              <w:rPr>
                <w:b/>
                <w:color w:val="auto"/>
                <w:sz w:val="28"/>
                <w:highlight w:val="none"/>
              </w:rPr>
            </w:pPr>
          </w:p>
          <w:p w14:paraId="2BD47F75">
            <w:pPr>
              <w:pStyle w:val="17"/>
              <w:keepNext w:val="0"/>
              <w:keepLines w:val="0"/>
              <w:pageBreakBefore w:val="0"/>
              <w:kinsoku/>
              <w:wordWrap w:val="0"/>
              <w:overflowPunct/>
              <w:topLinePunct w:val="0"/>
              <w:bidi w:val="0"/>
              <w:ind w:left="107"/>
              <w:rPr>
                <w:color w:val="auto"/>
                <w:sz w:val="24"/>
                <w:highlight w:val="none"/>
              </w:rPr>
            </w:pPr>
            <w:r>
              <w:rPr>
                <w:rFonts w:hint="eastAsia"/>
                <w:color w:val="auto"/>
                <w:sz w:val="24"/>
                <w:highlight w:val="none"/>
                <w:lang w:eastAsia="zh-CN"/>
              </w:rPr>
              <w:t>财政</w:t>
            </w:r>
            <w:r>
              <w:rPr>
                <w:rFonts w:hint="eastAsia"/>
                <w:color w:val="auto"/>
                <w:sz w:val="24"/>
                <w:highlight w:val="none"/>
              </w:rPr>
              <w:t>资金，已落实</w:t>
            </w:r>
          </w:p>
        </w:tc>
      </w:tr>
      <w:tr w14:paraId="423C9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1" w:type="dxa"/>
            <w:noWrap w:val="0"/>
            <w:vAlign w:val="center"/>
          </w:tcPr>
          <w:p w14:paraId="6F6F417F">
            <w:pPr>
              <w:pStyle w:val="17"/>
              <w:keepNext w:val="0"/>
              <w:keepLines w:val="0"/>
              <w:pageBreakBefore w:val="0"/>
              <w:kinsoku/>
              <w:wordWrap w:val="0"/>
              <w:overflowPunct/>
              <w:topLinePunct w:val="0"/>
              <w:bidi w:val="0"/>
              <w:spacing w:before="172"/>
              <w:ind w:left="166" w:right="158"/>
              <w:jc w:val="center"/>
              <w:rPr>
                <w:color w:val="auto"/>
                <w:sz w:val="24"/>
                <w:highlight w:val="none"/>
              </w:rPr>
            </w:pPr>
            <w:r>
              <w:rPr>
                <w:color w:val="auto"/>
                <w:sz w:val="24"/>
                <w:highlight w:val="none"/>
              </w:rPr>
              <w:t>1.6</w:t>
            </w:r>
          </w:p>
        </w:tc>
        <w:tc>
          <w:tcPr>
            <w:tcW w:w="1715" w:type="dxa"/>
            <w:noWrap w:val="0"/>
            <w:vAlign w:val="center"/>
          </w:tcPr>
          <w:p w14:paraId="219302EE">
            <w:pPr>
              <w:pStyle w:val="17"/>
              <w:keepNext w:val="0"/>
              <w:keepLines w:val="0"/>
              <w:pageBreakBefore w:val="0"/>
              <w:kinsoku/>
              <w:wordWrap w:val="0"/>
              <w:overflowPunct/>
              <w:topLinePunct w:val="0"/>
              <w:bidi w:val="0"/>
              <w:ind w:right="100" w:rightChars="0"/>
              <w:jc w:val="center"/>
              <w:rPr>
                <w:color w:val="auto"/>
                <w:sz w:val="24"/>
                <w:highlight w:val="none"/>
              </w:rPr>
            </w:pPr>
            <w:r>
              <w:rPr>
                <w:rFonts w:hint="eastAsia"/>
                <w:color w:val="auto"/>
                <w:sz w:val="24"/>
                <w:highlight w:val="none"/>
                <w:lang w:val="en-US" w:eastAsia="zh-CN"/>
              </w:rPr>
              <w:t>采购内容</w:t>
            </w:r>
          </w:p>
        </w:tc>
        <w:tc>
          <w:tcPr>
            <w:tcW w:w="6768" w:type="dxa"/>
            <w:noWrap w:val="0"/>
            <w:vAlign w:val="top"/>
          </w:tcPr>
          <w:p w14:paraId="52AF374B">
            <w:pPr>
              <w:pStyle w:val="17"/>
              <w:keepNext w:val="0"/>
              <w:keepLines w:val="0"/>
              <w:pageBreakBefore w:val="0"/>
              <w:kinsoku/>
              <w:wordWrap w:val="0"/>
              <w:overflowPunct/>
              <w:topLinePunct w:val="0"/>
              <w:bidi w:val="0"/>
              <w:spacing w:line="460" w:lineRule="atLeast"/>
              <w:ind w:left="107" w:leftChars="0" w:right="-29" w:rightChars="0"/>
              <w:rPr>
                <w:color w:val="auto"/>
                <w:sz w:val="24"/>
                <w:highlight w:val="none"/>
              </w:rPr>
            </w:pPr>
            <w:r>
              <w:rPr>
                <w:rFonts w:hint="eastAsia" w:cs="宋体"/>
                <w:color w:val="auto"/>
                <w:sz w:val="24"/>
                <w:szCs w:val="24"/>
                <w:highlight w:val="none"/>
                <w:lang w:val="en-US" w:eastAsia="zh-CN"/>
              </w:rPr>
              <w:t>三标段</w:t>
            </w:r>
            <w:r>
              <w:rPr>
                <w:rFonts w:hint="eastAsia" w:ascii="宋体" w:hAnsi="宋体" w:eastAsia="宋体" w:cs="宋体"/>
                <w:color w:val="auto"/>
                <w:sz w:val="24"/>
                <w:szCs w:val="24"/>
                <w:highlight w:val="none"/>
                <w:lang w:val="en-US" w:eastAsia="zh-CN"/>
              </w:rPr>
              <w:t>主要内容为</w:t>
            </w:r>
            <w:r>
              <w:rPr>
                <w:rFonts w:hint="eastAsia"/>
                <w:bCs/>
                <w:color w:val="auto"/>
                <w:sz w:val="24"/>
                <w:szCs w:val="24"/>
                <w:highlight w:val="none"/>
                <w:lang w:val="en-US" w:eastAsia="zh-CN"/>
              </w:rPr>
              <w:t>建设</w:t>
            </w:r>
            <w:r>
              <w:rPr>
                <w:rFonts w:hint="eastAsia" w:ascii="宋体" w:hAnsi="宋体" w:eastAsia="宋体" w:cs="宋体"/>
                <w:color w:val="auto"/>
                <w:sz w:val="24"/>
                <w:szCs w:val="24"/>
                <w:highlight w:val="none"/>
                <w:lang w:val="en-US" w:eastAsia="zh-CN"/>
              </w:rPr>
              <w:t>地下矿山</w:t>
            </w:r>
            <w:r>
              <w:rPr>
                <w:rFonts w:hint="eastAsia"/>
                <w:bCs/>
                <w:color w:val="auto"/>
                <w:sz w:val="24"/>
                <w:szCs w:val="24"/>
                <w:highlight w:val="none"/>
              </w:rPr>
              <w:t>八宝山铁铜矿一采区</w:t>
            </w:r>
            <w:r>
              <w:rPr>
                <w:rFonts w:hint="eastAsia"/>
                <w:bCs/>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安全监测监控系统及白马沟尾矿库、石窑沟尾矿库的在线监测系统；</w:t>
            </w:r>
          </w:p>
        </w:tc>
      </w:tr>
      <w:tr w14:paraId="61BCC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1101" w:type="dxa"/>
            <w:noWrap w:val="0"/>
            <w:vAlign w:val="center"/>
          </w:tcPr>
          <w:p w14:paraId="17333F0F">
            <w:pPr>
              <w:pStyle w:val="17"/>
              <w:keepNext w:val="0"/>
              <w:keepLines w:val="0"/>
              <w:pageBreakBefore w:val="0"/>
              <w:kinsoku/>
              <w:wordWrap w:val="0"/>
              <w:overflowPunct/>
              <w:topLinePunct w:val="0"/>
              <w:bidi w:val="0"/>
              <w:ind w:right="158"/>
              <w:jc w:val="center"/>
              <w:rPr>
                <w:color w:val="auto"/>
                <w:sz w:val="24"/>
                <w:highlight w:val="none"/>
              </w:rPr>
            </w:pPr>
            <w:r>
              <w:rPr>
                <w:color w:val="auto"/>
                <w:sz w:val="24"/>
                <w:highlight w:val="none"/>
              </w:rPr>
              <w:t>1.7</w:t>
            </w:r>
          </w:p>
        </w:tc>
        <w:tc>
          <w:tcPr>
            <w:tcW w:w="1715" w:type="dxa"/>
            <w:noWrap w:val="0"/>
            <w:vAlign w:val="center"/>
          </w:tcPr>
          <w:p w14:paraId="3034D285">
            <w:pPr>
              <w:pStyle w:val="17"/>
              <w:keepNext w:val="0"/>
              <w:keepLines w:val="0"/>
              <w:pageBreakBefore w:val="0"/>
              <w:kinsoku/>
              <w:wordWrap w:val="0"/>
              <w:overflowPunct/>
              <w:topLinePunct w:val="0"/>
              <w:bidi w:val="0"/>
              <w:spacing w:before="190"/>
              <w:ind w:right="100"/>
              <w:jc w:val="center"/>
              <w:rPr>
                <w:color w:val="auto"/>
                <w:sz w:val="24"/>
                <w:highlight w:val="none"/>
              </w:rPr>
            </w:pPr>
            <w:r>
              <w:rPr>
                <w:rFonts w:hint="eastAsia"/>
                <w:color w:val="auto"/>
                <w:sz w:val="24"/>
                <w:highlight w:val="none"/>
              </w:rPr>
              <w:t>供</w:t>
            </w:r>
            <w:r>
              <w:rPr>
                <w:color w:val="auto"/>
                <w:sz w:val="24"/>
                <w:highlight w:val="none"/>
              </w:rPr>
              <w:t>货期</w:t>
            </w:r>
          </w:p>
        </w:tc>
        <w:tc>
          <w:tcPr>
            <w:tcW w:w="6768" w:type="dxa"/>
            <w:noWrap w:val="0"/>
            <w:vAlign w:val="center"/>
          </w:tcPr>
          <w:p w14:paraId="648E1014">
            <w:pPr>
              <w:pStyle w:val="17"/>
              <w:keepNext w:val="0"/>
              <w:keepLines w:val="0"/>
              <w:pageBreakBefore w:val="0"/>
              <w:kinsoku/>
              <w:wordWrap w:val="0"/>
              <w:overflowPunct/>
              <w:topLinePunct w:val="0"/>
              <w:bidi w:val="0"/>
              <w:spacing w:before="190"/>
              <w:ind w:firstLine="240" w:firstLineChars="100"/>
              <w:jc w:val="both"/>
              <w:rPr>
                <w:color w:val="auto"/>
                <w:sz w:val="24"/>
                <w:highlight w:val="none"/>
              </w:rPr>
            </w:pPr>
            <w:r>
              <w:rPr>
                <w:rFonts w:hint="eastAsia"/>
                <w:color w:val="auto"/>
                <w:sz w:val="24"/>
                <w:highlight w:val="none"/>
                <w:lang w:val="en-US"/>
              </w:rPr>
              <w:t>合同签订后</w:t>
            </w:r>
            <w:r>
              <w:rPr>
                <w:rFonts w:hint="eastAsia"/>
                <w:color w:val="auto"/>
                <w:sz w:val="24"/>
                <w:highlight w:val="none"/>
                <w:lang w:val="en-US" w:eastAsia="zh-CN"/>
              </w:rPr>
              <w:t>30日历天</w:t>
            </w:r>
            <w:r>
              <w:rPr>
                <w:rFonts w:hint="eastAsia"/>
                <w:color w:val="auto"/>
                <w:sz w:val="24"/>
                <w:highlight w:val="none"/>
                <w:lang w:val="en-US"/>
              </w:rPr>
              <w:t>内供货并安装、调试完毕至正常运行</w:t>
            </w:r>
          </w:p>
        </w:tc>
      </w:tr>
      <w:tr w14:paraId="0EA59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101" w:type="dxa"/>
            <w:noWrap w:val="0"/>
            <w:vAlign w:val="center"/>
          </w:tcPr>
          <w:p w14:paraId="705E3EB2">
            <w:pPr>
              <w:pStyle w:val="17"/>
              <w:keepNext w:val="0"/>
              <w:keepLines w:val="0"/>
              <w:pageBreakBefore w:val="0"/>
              <w:kinsoku/>
              <w:wordWrap w:val="0"/>
              <w:overflowPunct/>
              <w:topLinePunct w:val="0"/>
              <w:bidi w:val="0"/>
              <w:spacing w:before="190"/>
              <w:ind w:right="158"/>
              <w:jc w:val="center"/>
              <w:rPr>
                <w:color w:val="auto"/>
                <w:sz w:val="24"/>
                <w:highlight w:val="none"/>
              </w:rPr>
            </w:pPr>
            <w:r>
              <w:rPr>
                <w:color w:val="auto"/>
                <w:sz w:val="24"/>
                <w:highlight w:val="none"/>
              </w:rPr>
              <w:t>1.8</w:t>
            </w:r>
          </w:p>
        </w:tc>
        <w:tc>
          <w:tcPr>
            <w:tcW w:w="1715" w:type="dxa"/>
            <w:noWrap w:val="0"/>
            <w:vAlign w:val="top"/>
          </w:tcPr>
          <w:p w14:paraId="2E69CC36">
            <w:pPr>
              <w:pStyle w:val="17"/>
              <w:keepNext w:val="0"/>
              <w:keepLines w:val="0"/>
              <w:pageBreakBefore w:val="0"/>
              <w:kinsoku/>
              <w:wordWrap w:val="0"/>
              <w:overflowPunct/>
              <w:topLinePunct w:val="0"/>
              <w:bidi w:val="0"/>
              <w:spacing w:before="1"/>
              <w:rPr>
                <w:b/>
                <w:color w:val="auto"/>
                <w:sz w:val="28"/>
                <w:highlight w:val="none"/>
              </w:rPr>
            </w:pPr>
          </w:p>
          <w:p w14:paraId="68DF4964">
            <w:pPr>
              <w:pStyle w:val="17"/>
              <w:keepNext w:val="0"/>
              <w:keepLines w:val="0"/>
              <w:pageBreakBefore w:val="0"/>
              <w:kinsoku/>
              <w:wordWrap w:val="0"/>
              <w:overflowPunct/>
              <w:topLinePunct w:val="0"/>
              <w:bidi w:val="0"/>
              <w:ind w:left="110" w:right="100"/>
              <w:jc w:val="center"/>
              <w:rPr>
                <w:color w:val="auto"/>
                <w:sz w:val="24"/>
                <w:highlight w:val="none"/>
              </w:rPr>
            </w:pPr>
            <w:r>
              <w:rPr>
                <w:color w:val="auto"/>
                <w:sz w:val="24"/>
                <w:highlight w:val="none"/>
              </w:rPr>
              <w:t>质保期</w:t>
            </w:r>
          </w:p>
        </w:tc>
        <w:tc>
          <w:tcPr>
            <w:tcW w:w="6768" w:type="dxa"/>
            <w:noWrap w:val="0"/>
            <w:vAlign w:val="top"/>
          </w:tcPr>
          <w:p w14:paraId="276AFDB0">
            <w:pPr>
              <w:pStyle w:val="17"/>
              <w:keepNext w:val="0"/>
              <w:keepLines w:val="0"/>
              <w:pageBreakBefore w:val="0"/>
              <w:kinsoku/>
              <w:wordWrap w:val="0"/>
              <w:overflowPunct/>
              <w:topLinePunct w:val="0"/>
              <w:bidi w:val="0"/>
              <w:rPr>
                <w:color w:val="auto"/>
                <w:sz w:val="24"/>
                <w:highlight w:val="none"/>
                <w:lang w:val="en-US"/>
              </w:rPr>
            </w:pPr>
          </w:p>
          <w:p w14:paraId="51758E65">
            <w:pPr>
              <w:pStyle w:val="17"/>
              <w:keepNext w:val="0"/>
              <w:keepLines w:val="0"/>
              <w:pageBreakBefore w:val="0"/>
              <w:kinsoku/>
              <w:wordWrap w:val="0"/>
              <w:overflowPunct/>
              <w:topLinePunct w:val="0"/>
              <w:bidi w:val="0"/>
              <w:ind w:firstLine="240" w:firstLineChars="100"/>
              <w:rPr>
                <w:color w:val="auto"/>
                <w:sz w:val="24"/>
                <w:highlight w:val="none"/>
                <w:lang w:val="en-US"/>
              </w:rPr>
            </w:pPr>
            <w:r>
              <w:rPr>
                <w:rFonts w:hint="eastAsia"/>
                <w:color w:val="auto"/>
                <w:sz w:val="24"/>
                <w:highlight w:val="none"/>
                <w:lang w:val="en-US" w:eastAsia="zh-CN"/>
              </w:rPr>
              <w:t>一</w:t>
            </w:r>
            <w:r>
              <w:rPr>
                <w:rFonts w:hint="eastAsia"/>
                <w:color w:val="auto"/>
                <w:sz w:val="24"/>
                <w:highlight w:val="none"/>
                <w:lang w:val="en-US"/>
              </w:rPr>
              <w:t>年</w:t>
            </w:r>
          </w:p>
        </w:tc>
      </w:tr>
      <w:tr w14:paraId="19E1D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101" w:type="dxa"/>
            <w:noWrap w:val="0"/>
            <w:vAlign w:val="center"/>
          </w:tcPr>
          <w:p w14:paraId="64F3D689">
            <w:pPr>
              <w:pStyle w:val="17"/>
              <w:keepNext w:val="0"/>
              <w:keepLines w:val="0"/>
              <w:pageBreakBefore w:val="0"/>
              <w:kinsoku/>
              <w:wordWrap w:val="0"/>
              <w:overflowPunct/>
              <w:topLinePunct w:val="0"/>
              <w:bidi w:val="0"/>
              <w:ind w:right="158"/>
              <w:jc w:val="center"/>
              <w:rPr>
                <w:color w:val="auto"/>
                <w:sz w:val="24"/>
                <w:highlight w:val="none"/>
              </w:rPr>
            </w:pPr>
            <w:r>
              <w:rPr>
                <w:color w:val="auto"/>
                <w:sz w:val="24"/>
                <w:highlight w:val="none"/>
              </w:rPr>
              <w:t>1.9</w:t>
            </w:r>
          </w:p>
        </w:tc>
        <w:tc>
          <w:tcPr>
            <w:tcW w:w="1715" w:type="dxa"/>
            <w:noWrap w:val="0"/>
            <w:vAlign w:val="center"/>
          </w:tcPr>
          <w:p w14:paraId="28CD4BD4">
            <w:pPr>
              <w:pStyle w:val="17"/>
              <w:keepNext w:val="0"/>
              <w:keepLines w:val="0"/>
              <w:pageBreakBefore w:val="0"/>
              <w:kinsoku/>
              <w:wordWrap w:val="0"/>
              <w:overflowPunct/>
              <w:topLinePunct w:val="0"/>
              <w:bidi w:val="0"/>
              <w:ind w:right="100"/>
              <w:jc w:val="center"/>
              <w:rPr>
                <w:color w:val="auto"/>
                <w:sz w:val="24"/>
                <w:highlight w:val="none"/>
              </w:rPr>
            </w:pPr>
            <w:r>
              <w:rPr>
                <w:color w:val="auto"/>
                <w:sz w:val="24"/>
                <w:highlight w:val="none"/>
              </w:rPr>
              <w:t>质量要求</w:t>
            </w:r>
          </w:p>
        </w:tc>
        <w:tc>
          <w:tcPr>
            <w:tcW w:w="6768" w:type="dxa"/>
            <w:noWrap w:val="0"/>
            <w:vAlign w:val="center"/>
          </w:tcPr>
          <w:p w14:paraId="41476D79">
            <w:pPr>
              <w:pStyle w:val="17"/>
              <w:keepNext w:val="0"/>
              <w:keepLines w:val="0"/>
              <w:pageBreakBefore w:val="0"/>
              <w:kinsoku/>
              <w:wordWrap w:val="0"/>
              <w:overflowPunct/>
              <w:topLinePunct w:val="0"/>
              <w:bidi w:val="0"/>
              <w:ind w:firstLine="240" w:firstLineChars="100"/>
              <w:jc w:val="both"/>
              <w:rPr>
                <w:color w:val="auto"/>
                <w:sz w:val="24"/>
                <w:highlight w:val="none"/>
                <w:lang w:val="en-US"/>
              </w:rPr>
            </w:pPr>
            <w:r>
              <w:rPr>
                <w:rFonts w:hint="eastAsia" w:eastAsia="宋体"/>
                <w:color w:val="auto"/>
                <w:sz w:val="24"/>
                <w:highlight w:val="none"/>
                <w:lang w:eastAsia="zh-CN"/>
              </w:rPr>
              <w:t>合格且满足采购人需求</w:t>
            </w:r>
            <w:r>
              <w:rPr>
                <w:rFonts w:hint="eastAsia"/>
                <w:bCs/>
                <w:color w:val="auto"/>
                <w:sz w:val="24"/>
                <w:szCs w:val="24"/>
                <w:highlight w:val="none"/>
                <w:lang w:eastAsia="zh-CN"/>
              </w:rPr>
              <w:t>，</w:t>
            </w:r>
            <w:r>
              <w:rPr>
                <w:rFonts w:hint="eastAsia"/>
                <w:bCs/>
                <w:color w:val="auto"/>
                <w:sz w:val="24"/>
                <w:szCs w:val="24"/>
                <w:highlight w:val="none"/>
                <w:lang w:val="en-US" w:eastAsia="zh-CN"/>
              </w:rPr>
              <w:t>并通过验收</w:t>
            </w:r>
          </w:p>
        </w:tc>
      </w:tr>
      <w:tr w14:paraId="1EFD7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1" w:type="dxa"/>
            <w:noWrap w:val="0"/>
            <w:vAlign w:val="center"/>
          </w:tcPr>
          <w:p w14:paraId="58F9A80E">
            <w:pPr>
              <w:pStyle w:val="17"/>
              <w:keepNext w:val="0"/>
              <w:keepLines w:val="0"/>
              <w:pageBreakBefore w:val="0"/>
              <w:kinsoku/>
              <w:wordWrap w:val="0"/>
              <w:overflowPunct/>
              <w:topLinePunct w:val="0"/>
              <w:bidi w:val="0"/>
              <w:jc w:val="center"/>
              <w:rPr>
                <w:b/>
                <w:color w:val="auto"/>
                <w:sz w:val="19"/>
                <w:highlight w:val="none"/>
              </w:rPr>
            </w:pPr>
          </w:p>
          <w:p w14:paraId="12735797">
            <w:pPr>
              <w:pStyle w:val="17"/>
              <w:keepNext w:val="0"/>
              <w:keepLines w:val="0"/>
              <w:pageBreakBefore w:val="0"/>
              <w:kinsoku/>
              <w:wordWrap w:val="0"/>
              <w:overflowPunct/>
              <w:topLinePunct w:val="0"/>
              <w:bidi w:val="0"/>
              <w:ind w:left="166" w:right="158"/>
              <w:jc w:val="center"/>
              <w:rPr>
                <w:color w:val="auto"/>
                <w:sz w:val="24"/>
                <w:highlight w:val="none"/>
              </w:rPr>
            </w:pPr>
            <w:r>
              <w:rPr>
                <w:color w:val="auto"/>
                <w:sz w:val="24"/>
                <w:highlight w:val="none"/>
              </w:rPr>
              <w:t>2.0</w:t>
            </w:r>
          </w:p>
        </w:tc>
        <w:tc>
          <w:tcPr>
            <w:tcW w:w="1715" w:type="dxa"/>
            <w:noWrap w:val="0"/>
            <w:vAlign w:val="center"/>
          </w:tcPr>
          <w:p w14:paraId="545EB98F">
            <w:pPr>
              <w:pStyle w:val="17"/>
              <w:keepNext w:val="0"/>
              <w:keepLines w:val="0"/>
              <w:pageBreakBefore w:val="0"/>
              <w:kinsoku/>
              <w:wordWrap w:val="0"/>
              <w:overflowPunct/>
              <w:topLinePunct w:val="0"/>
              <w:bidi w:val="0"/>
              <w:spacing w:before="130"/>
              <w:ind w:left="107"/>
              <w:jc w:val="center"/>
              <w:rPr>
                <w:color w:val="auto"/>
                <w:sz w:val="24"/>
                <w:highlight w:val="none"/>
              </w:rPr>
            </w:pPr>
            <w:r>
              <w:rPr>
                <w:rFonts w:hint="eastAsia"/>
                <w:color w:val="auto"/>
                <w:sz w:val="24"/>
                <w:highlight w:val="none"/>
              </w:rPr>
              <w:t>供应商资格要求</w:t>
            </w:r>
          </w:p>
        </w:tc>
        <w:tc>
          <w:tcPr>
            <w:tcW w:w="6768" w:type="dxa"/>
            <w:noWrap w:val="0"/>
            <w:vAlign w:val="top"/>
          </w:tcPr>
          <w:p w14:paraId="555E5BA0">
            <w:pPr>
              <w:pStyle w:val="7"/>
              <w:keepNext w:val="0"/>
              <w:keepLines w:val="0"/>
              <w:pageBreakBefore w:val="0"/>
              <w:widowControl w:val="0"/>
              <w:numPr>
                <w:ilvl w:val="0"/>
                <w:numId w:val="0"/>
              </w:numPr>
              <w:kinsoku/>
              <w:wordWrap w:val="0"/>
              <w:overflowPunct/>
              <w:topLinePunct w:val="0"/>
              <w:autoSpaceDE w:val="0"/>
              <w:autoSpaceDN w:val="0"/>
              <w:bidi w:val="0"/>
              <w:spacing w:before="161" w:line="600" w:lineRule="exact"/>
              <w:ind w:firstLine="240" w:firstLineChars="100"/>
              <w:textAlignment w:val="auto"/>
              <w:rPr>
                <w:rFonts w:hint="eastAsia" w:eastAsia="宋体"/>
                <w:color w:val="auto"/>
                <w:sz w:val="24"/>
                <w:highlight w:val="none"/>
                <w:lang w:eastAsia="zh-CN"/>
              </w:rPr>
            </w:pPr>
            <w:r>
              <w:rPr>
                <w:rFonts w:hint="eastAsia"/>
                <w:color w:val="auto"/>
                <w:highlight w:val="none"/>
                <w:lang w:val="en-US" w:eastAsia="zh-CN"/>
              </w:rPr>
              <w:t>详见竞争性磋商公告</w:t>
            </w:r>
          </w:p>
        </w:tc>
      </w:tr>
      <w:tr w14:paraId="3E389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1" w:type="dxa"/>
            <w:noWrap w:val="0"/>
            <w:vAlign w:val="center"/>
          </w:tcPr>
          <w:p w14:paraId="32CA4783">
            <w:pPr>
              <w:pStyle w:val="17"/>
              <w:keepNext w:val="0"/>
              <w:keepLines w:val="0"/>
              <w:pageBreakBefore w:val="0"/>
              <w:kinsoku/>
              <w:wordWrap w:val="0"/>
              <w:overflowPunct/>
              <w:topLinePunct w:val="0"/>
              <w:bidi w:val="0"/>
              <w:spacing w:before="130"/>
              <w:ind w:left="107"/>
              <w:jc w:val="center"/>
              <w:rPr>
                <w:color w:val="auto"/>
                <w:sz w:val="24"/>
                <w:highlight w:val="none"/>
              </w:rPr>
            </w:pPr>
            <w:r>
              <w:rPr>
                <w:rFonts w:hint="eastAsia"/>
                <w:color w:val="auto"/>
                <w:sz w:val="24"/>
                <w:highlight w:val="none"/>
                <w:lang w:val="en-US"/>
              </w:rPr>
              <w:t>2.1</w:t>
            </w:r>
          </w:p>
        </w:tc>
        <w:tc>
          <w:tcPr>
            <w:tcW w:w="1715" w:type="dxa"/>
            <w:noWrap w:val="0"/>
            <w:vAlign w:val="top"/>
          </w:tcPr>
          <w:p w14:paraId="14F5C05B">
            <w:pPr>
              <w:pStyle w:val="17"/>
              <w:keepNext w:val="0"/>
              <w:keepLines w:val="0"/>
              <w:pageBreakBefore w:val="0"/>
              <w:kinsoku/>
              <w:wordWrap w:val="0"/>
              <w:overflowPunct/>
              <w:topLinePunct w:val="0"/>
              <w:bidi w:val="0"/>
              <w:spacing w:before="128" w:line="360" w:lineRule="auto"/>
              <w:ind w:left="130" w:right="118"/>
              <w:jc w:val="center"/>
              <w:rPr>
                <w:color w:val="auto"/>
                <w:sz w:val="24"/>
                <w:highlight w:val="none"/>
              </w:rPr>
            </w:pPr>
            <w:r>
              <w:rPr>
                <w:color w:val="auto"/>
                <w:sz w:val="24"/>
                <w:highlight w:val="none"/>
              </w:rPr>
              <w:t>磋商响应供应商提出问题的</w:t>
            </w:r>
          </w:p>
          <w:p w14:paraId="4761C4F8">
            <w:pPr>
              <w:pStyle w:val="17"/>
              <w:keepNext w:val="0"/>
              <w:keepLines w:val="0"/>
              <w:pageBreakBefore w:val="0"/>
              <w:kinsoku/>
              <w:wordWrap w:val="0"/>
              <w:overflowPunct/>
              <w:topLinePunct w:val="0"/>
              <w:bidi w:val="0"/>
              <w:spacing w:line="307" w:lineRule="exact"/>
              <w:ind w:left="110" w:right="100"/>
              <w:jc w:val="center"/>
              <w:rPr>
                <w:color w:val="auto"/>
                <w:sz w:val="24"/>
                <w:highlight w:val="none"/>
              </w:rPr>
            </w:pPr>
            <w:r>
              <w:rPr>
                <w:color w:val="auto"/>
                <w:sz w:val="24"/>
                <w:highlight w:val="none"/>
              </w:rPr>
              <w:t>截止时间</w:t>
            </w:r>
          </w:p>
        </w:tc>
        <w:tc>
          <w:tcPr>
            <w:tcW w:w="6768" w:type="dxa"/>
            <w:noWrap w:val="0"/>
            <w:vAlign w:val="top"/>
          </w:tcPr>
          <w:p w14:paraId="5A0B5E36">
            <w:pPr>
              <w:pStyle w:val="17"/>
              <w:keepNext w:val="0"/>
              <w:keepLines w:val="0"/>
              <w:pageBreakBefore w:val="0"/>
              <w:kinsoku/>
              <w:wordWrap w:val="0"/>
              <w:overflowPunct/>
              <w:topLinePunct w:val="0"/>
              <w:bidi w:val="0"/>
              <w:spacing w:before="12"/>
              <w:rPr>
                <w:b/>
                <w:color w:val="auto"/>
                <w:sz w:val="21"/>
                <w:highlight w:val="none"/>
              </w:rPr>
            </w:pPr>
          </w:p>
          <w:p w14:paraId="163FAEC3">
            <w:pPr>
              <w:pStyle w:val="17"/>
              <w:keepNext w:val="0"/>
              <w:keepLines w:val="0"/>
              <w:pageBreakBefore w:val="0"/>
              <w:kinsoku/>
              <w:wordWrap w:val="0"/>
              <w:overflowPunct/>
              <w:topLinePunct w:val="0"/>
              <w:bidi w:val="0"/>
              <w:ind w:left="107"/>
              <w:rPr>
                <w:rFonts w:hint="default" w:eastAsia="宋体"/>
                <w:color w:val="auto"/>
                <w:highlight w:val="none"/>
                <w:lang w:val="en-US" w:eastAsia="zh-CN"/>
              </w:rPr>
            </w:pPr>
            <w:r>
              <w:rPr>
                <w:color w:val="auto"/>
                <w:sz w:val="24"/>
                <w:highlight w:val="none"/>
              </w:rPr>
              <w:t>递交磋商响应文件截止之日 3 日前</w:t>
            </w:r>
          </w:p>
        </w:tc>
      </w:tr>
      <w:tr w14:paraId="7A7D4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top"/>
          </w:tcPr>
          <w:p w14:paraId="3040405A">
            <w:pPr>
              <w:pStyle w:val="17"/>
              <w:keepNext w:val="0"/>
              <w:keepLines w:val="0"/>
              <w:pageBreakBefore w:val="0"/>
              <w:kinsoku/>
              <w:wordWrap w:val="0"/>
              <w:overflowPunct/>
              <w:topLinePunct w:val="0"/>
              <w:bidi w:val="0"/>
              <w:rPr>
                <w:b/>
                <w:color w:val="auto"/>
                <w:sz w:val="24"/>
                <w:highlight w:val="none"/>
              </w:rPr>
            </w:pPr>
          </w:p>
          <w:p w14:paraId="7BE0FC8C">
            <w:pPr>
              <w:pStyle w:val="17"/>
              <w:keepNext w:val="0"/>
              <w:keepLines w:val="0"/>
              <w:pageBreakBefore w:val="0"/>
              <w:kinsoku/>
              <w:wordWrap w:val="0"/>
              <w:overflowPunct/>
              <w:topLinePunct w:val="0"/>
              <w:bidi w:val="0"/>
              <w:spacing w:before="12"/>
              <w:rPr>
                <w:b/>
                <w:color w:val="auto"/>
                <w:sz w:val="21"/>
                <w:highlight w:val="none"/>
              </w:rPr>
            </w:pPr>
          </w:p>
          <w:p w14:paraId="0457D3A5">
            <w:pPr>
              <w:pStyle w:val="17"/>
              <w:keepNext w:val="0"/>
              <w:keepLines w:val="0"/>
              <w:pageBreakBefore w:val="0"/>
              <w:kinsoku/>
              <w:wordWrap w:val="0"/>
              <w:overflowPunct/>
              <w:topLinePunct w:val="0"/>
              <w:bidi w:val="0"/>
              <w:ind w:left="166" w:right="158"/>
              <w:jc w:val="center"/>
              <w:rPr>
                <w:color w:val="auto"/>
                <w:sz w:val="24"/>
                <w:highlight w:val="none"/>
                <w:lang w:val="en-US"/>
              </w:rPr>
            </w:pPr>
            <w:r>
              <w:rPr>
                <w:color w:val="auto"/>
                <w:sz w:val="24"/>
                <w:highlight w:val="none"/>
              </w:rPr>
              <w:t>2.2</w:t>
            </w:r>
          </w:p>
        </w:tc>
        <w:tc>
          <w:tcPr>
            <w:tcW w:w="1715" w:type="dxa"/>
            <w:noWrap w:val="0"/>
            <w:vAlign w:val="top"/>
          </w:tcPr>
          <w:p w14:paraId="6E431A75">
            <w:pPr>
              <w:pStyle w:val="17"/>
              <w:keepNext w:val="0"/>
              <w:keepLines w:val="0"/>
              <w:pageBreakBefore w:val="0"/>
              <w:kinsoku/>
              <w:wordWrap w:val="0"/>
              <w:overflowPunct/>
              <w:topLinePunct w:val="0"/>
              <w:bidi w:val="0"/>
              <w:spacing w:before="57" w:line="460" w:lineRule="atLeast"/>
              <w:ind w:left="250" w:right="238"/>
              <w:rPr>
                <w:color w:val="auto"/>
                <w:sz w:val="24"/>
                <w:highlight w:val="none"/>
              </w:rPr>
            </w:pPr>
            <w:r>
              <w:rPr>
                <w:color w:val="auto"/>
                <w:sz w:val="24"/>
                <w:highlight w:val="none"/>
              </w:rPr>
              <w:t>采购人书面澄清的时间</w:t>
            </w:r>
          </w:p>
        </w:tc>
        <w:tc>
          <w:tcPr>
            <w:tcW w:w="6768" w:type="dxa"/>
            <w:noWrap w:val="0"/>
            <w:vAlign w:val="top"/>
          </w:tcPr>
          <w:p w14:paraId="7B4B10B7">
            <w:pPr>
              <w:pStyle w:val="17"/>
              <w:keepNext w:val="0"/>
              <w:keepLines w:val="0"/>
              <w:pageBreakBefore w:val="0"/>
              <w:kinsoku/>
              <w:wordWrap w:val="0"/>
              <w:overflowPunct/>
              <w:topLinePunct w:val="0"/>
              <w:bidi w:val="0"/>
              <w:spacing w:before="4"/>
              <w:rPr>
                <w:b/>
                <w:color w:val="auto"/>
                <w:sz w:val="34"/>
                <w:highlight w:val="none"/>
              </w:rPr>
            </w:pPr>
          </w:p>
          <w:p w14:paraId="0B8E9245">
            <w:pPr>
              <w:pStyle w:val="17"/>
              <w:keepNext w:val="0"/>
              <w:keepLines w:val="0"/>
              <w:pageBreakBefore w:val="0"/>
              <w:kinsoku/>
              <w:wordWrap w:val="0"/>
              <w:overflowPunct/>
              <w:topLinePunct w:val="0"/>
              <w:bidi w:val="0"/>
              <w:ind w:left="107"/>
              <w:rPr>
                <w:color w:val="auto"/>
                <w:sz w:val="24"/>
                <w:highlight w:val="none"/>
              </w:rPr>
            </w:pPr>
            <w:r>
              <w:rPr>
                <w:color w:val="auto"/>
                <w:sz w:val="24"/>
                <w:highlight w:val="none"/>
              </w:rPr>
              <w:t>递交磋商响应文件截止之日 2 日前</w:t>
            </w:r>
          </w:p>
        </w:tc>
      </w:tr>
      <w:tr w14:paraId="6F751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top"/>
          </w:tcPr>
          <w:p w14:paraId="21D38B9A">
            <w:pPr>
              <w:pStyle w:val="17"/>
              <w:keepNext w:val="0"/>
              <w:keepLines w:val="0"/>
              <w:pageBreakBefore w:val="0"/>
              <w:kinsoku/>
              <w:wordWrap w:val="0"/>
              <w:overflowPunct/>
              <w:topLinePunct w:val="0"/>
              <w:bidi w:val="0"/>
              <w:spacing w:before="4"/>
              <w:rPr>
                <w:b/>
                <w:color w:val="auto"/>
                <w:sz w:val="34"/>
                <w:highlight w:val="none"/>
              </w:rPr>
            </w:pPr>
          </w:p>
          <w:p w14:paraId="2D8C8497">
            <w:pPr>
              <w:pStyle w:val="17"/>
              <w:keepNext w:val="0"/>
              <w:keepLines w:val="0"/>
              <w:pageBreakBefore w:val="0"/>
              <w:kinsoku/>
              <w:wordWrap w:val="0"/>
              <w:overflowPunct/>
              <w:topLinePunct w:val="0"/>
              <w:bidi w:val="0"/>
              <w:ind w:left="166" w:right="158"/>
              <w:jc w:val="center"/>
              <w:rPr>
                <w:color w:val="auto"/>
                <w:sz w:val="24"/>
                <w:highlight w:val="none"/>
                <w:lang w:val="en-US"/>
              </w:rPr>
            </w:pPr>
            <w:r>
              <w:rPr>
                <w:color w:val="auto"/>
                <w:sz w:val="24"/>
                <w:highlight w:val="none"/>
              </w:rPr>
              <w:t>2.3</w:t>
            </w:r>
          </w:p>
        </w:tc>
        <w:tc>
          <w:tcPr>
            <w:tcW w:w="1715" w:type="dxa"/>
            <w:noWrap w:val="0"/>
            <w:vAlign w:val="top"/>
          </w:tcPr>
          <w:p w14:paraId="4869180B">
            <w:pPr>
              <w:pStyle w:val="17"/>
              <w:keepNext w:val="0"/>
              <w:keepLines w:val="0"/>
              <w:pageBreakBefore w:val="0"/>
              <w:kinsoku/>
              <w:wordWrap w:val="0"/>
              <w:overflowPunct/>
              <w:topLinePunct w:val="0"/>
              <w:bidi w:val="0"/>
              <w:spacing w:before="193"/>
              <w:ind w:left="110" w:right="100"/>
              <w:jc w:val="center"/>
              <w:rPr>
                <w:color w:val="auto"/>
                <w:sz w:val="24"/>
                <w:highlight w:val="none"/>
              </w:rPr>
            </w:pPr>
            <w:r>
              <w:rPr>
                <w:color w:val="auto"/>
                <w:sz w:val="24"/>
                <w:highlight w:val="none"/>
              </w:rPr>
              <w:t>磋商截止时间</w:t>
            </w:r>
          </w:p>
        </w:tc>
        <w:tc>
          <w:tcPr>
            <w:tcW w:w="6768" w:type="dxa"/>
            <w:noWrap w:val="0"/>
            <w:vAlign w:val="top"/>
          </w:tcPr>
          <w:p w14:paraId="48886F68">
            <w:pPr>
              <w:pStyle w:val="17"/>
              <w:keepNext w:val="0"/>
              <w:keepLines w:val="0"/>
              <w:pageBreakBefore w:val="0"/>
              <w:kinsoku/>
              <w:wordWrap w:val="0"/>
              <w:overflowPunct/>
              <w:topLinePunct w:val="0"/>
              <w:bidi w:val="0"/>
              <w:spacing w:before="193"/>
              <w:ind w:left="107"/>
              <w:rPr>
                <w:color w:val="auto"/>
                <w:sz w:val="24"/>
                <w:highlight w:val="none"/>
              </w:rPr>
            </w:pPr>
            <w:r>
              <w:rPr>
                <w:rFonts w:hint="eastAsia"/>
                <w:color w:val="auto"/>
                <w:sz w:val="24"/>
                <w:highlight w:val="none"/>
                <w:lang w:val="en-US" w:eastAsia="zh-CN"/>
              </w:rPr>
              <w:t>2025年07月08日08时40分</w:t>
            </w:r>
          </w:p>
        </w:tc>
      </w:tr>
      <w:tr w14:paraId="62196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top"/>
          </w:tcPr>
          <w:p w14:paraId="11B550AD">
            <w:pPr>
              <w:pStyle w:val="17"/>
              <w:keepNext w:val="0"/>
              <w:keepLines w:val="0"/>
              <w:pageBreakBefore w:val="0"/>
              <w:kinsoku/>
              <w:wordWrap w:val="0"/>
              <w:overflowPunct/>
              <w:topLinePunct w:val="0"/>
              <w:bidi w:val="0"/>
              <w:spacing w:before="193"/>
              <w:ind w:left="166" w:right="158"/>
              <w:jc w:val="center"/>
              <w:rPr>
                <w:color w:val="auto"/>
                <w:sz w:val="24"/>
                <w:highlight w:val="none"/>
                <w:lang w:val="en-US"/>
              </w:rPr>
            </w:pPr>
            <w:r>
              <w:rPr>
                <w:color w:val="auto"/>
                <w:sz w:val="24"/>
                <w:highlight w:val="none"/>
              </w:rPr>
              <w:t>2.4</w:t>
            </w:r>
          </w:p>
        </w:tc>
        <w:tc>
          <w:tcPr>
            <w:tcW w:w="1715" w:type="dxa"/>
            <w:noWrap w:val="0"/>
            <w:vAlign w:val="top"/>
          </w:tcPr>
          <w:p w14:paraId="337915EE">
            <w:pPr>
              <w:pStyle w:val="17"/>
              <w:keepNext w:val="0"/>
              <w:keepLines w:val="0"/>
              <w:pageBreakBefore w:val="0"/>
              <w:kinsoku/>
              <w:wordWrap w:val="0"/>
              <w:overflowPunct/>
              <w:topLinePunct w:val="0"/>
              <w:bidi w:val="0"/>
              <w:spacing w:before="7"/>
              <w:rPr>
                <w:b/>
                <w:color w:val="auto"/>
                <w:sz w:val="18"/>
                <w:highlight w:val="none"/>
              </w:rPr>
            </w:pPr>
          </w:p>
          <w:p w14:paraId="29943B59">
            <w:pPr>
              <w:pStyle w:val="17"/>
              <w:keepNext w:val="0"/>
              <w:keepLines w:val="0"/>
              <w:pageBreakBefore w:val="0"/>
              <w:kinsoku/>
              <w:wordWrap w:val="0"/>
              <w:overflowPunct/>
              <w:topLinePunct w:val="0"/>
              <w:bidi w:val="0"/>
              <w:ind w:left="110" w:right="100"/>
              <w:jc w:val="center"/>
              <w:rPr>
                <w:color w:val="auto"/>
                <w:sz w:val="24"/>
                <w:highlight w:val="none"/>
              </w:rPr>
            </w:pPr>
            <w:r>
              <w:rPr>
                <w:color w:val="auto"/>
                <w:sz w:val="24"/>
                <w:highlight w:val="none"/>
              </w:rPr>
              <w:t>磋商有效期</w:t>
            </w:r>
          </w:p>
        </w:tc>
        <w:tc>
          <w:tcPr>
            <w:tcW w:w="6768" w:type="dxa"/>
            <w:noWrap w:val="0"/>
            <w:vAlign w:val="top"/>
          </w:tcPr>
          <w:p w14:paraId="0A8F9FF1">
            <w:pPr>
              <w:pStyle w:val="17"/>
              <w:keepNext w:val="0"/>
              <w:keepLines w:val="0"/>
              <w:pageBreakBefore w:val="0"/>
              <w:kinsoku/>
              <w:wordWrap w:val="0"/>
              <w:overflowPunct/>
              <w:topLinePunct w:val="0"/>
              <w:bidi w:val="0"/>
              <w:spacing w:before="7"/>
              <w:rPr>
                <w:b/>
                <w:color w:val="auto"/>
                <w:sz w:val="18"/>
                <w:highlight w:val="none"/>
              </w:rPr>
            </w:pPr>
          </w:p>
          <w:p w14:paraId="09CF504D">
            <w:pPr>
              <w:pStyle w:val="17"/>
              <w:keepNext w:val="0"/>
              <w:keepLines w:val="0"/>
              <w:pageBreakBefore w:val="0"/>
              <w:kinsoku/>
              <w:wordWrap w:val="0"/>
              <w:overflowPunct/>
              <w:topLinePunct w:val="0"/>
              <w:bidi w:val="0"/>
              <w:ind w:left="107"/>
              <w:rPr>
                <w:color w:val="auto"/>
                <w:sz w:val="24"/>
                <w:highlight w:val="none"/>
              </w:rPr>
            </w:pPr>
            <w:r>
              <w:rPr>
                <w:color w:val="auto"/>
                <w:sz w:val="24"/>
                <w:highlight w:val="none"/>
              </w:rPr>
              <w:t>60 日历天</w:t>
            </w:r>
          </w:p>
        </w:tc>
      </w:tr>
      <w:tr w14:paraId="29585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101" w:type="dxa"/>
            <w:noWrap w:val="0"/>
            <w:vAlign w:val="top"/>
          </w:tcPr>
          <w:p w14:paraId="4BB2E792">
            <w:pPr>
              <w:pStyle w:val="17"/>
              <w:keepNext w:val="0"/>
              <w:keepLines w:val="0"/>
              <w:pageBreakBefore w:val="0"/>
              <w:kinsoku/>
              <w:wordWrap w:val="0"/>
              <w:overflowPunct/>
              <w:topLinePunct w:val="0"/>
              <w:bidi w:val="0"/>
              <w:spacing w:before="7"/>
              <w:rPr>
                <w:b/>
                <w:color w:val="auto"/>
                <w:sz w:val="18"/>
                <w:highlight w:val="none"/>
              </w:rPr>
            </w:pPr>
          </w:p>
          <w:p w14:paraId="316AEC8F">
            <w:pPr>
              <w:pStyle w:val="17"/>
              <w:keepNext w:val="0"/>
              <w:keepLines w:val="0"/>
              <w:pageBreakBefore w:val="0"/>
              <w:kinsoku/>
              <w:wordWrap w:val="0"/>
              <w:overflowPunct/>
              <w:topLinePunct w:val="0"/>
              <w:bidi w:val="0"/>
              <w:ind w:left="166" w:right="158"/>
              <w:jc w:val="center"/>
              <w:rPr>
                <w:color w:val="auto"/>
                <w:sz w:val="24"/>
                <w:highlight w:val="none"/>
                <w:lang w:val="en-US"/>
              </w:rPr>
            </w:pPr>
            <w:r>
              <w:rPr>
                <w:color w:val="auto"/>
                <w:sz w:val="24"/>
                <w:highlight w:val="none"/>
              </w:rPr>
              <w:t>2.5</w:t>
            </w:r>
          </w:p>
        </w:tc>
        <w:tc>
          <w:tcPr>
            <w:tcW w:w="1715" w:type="dxa"/>
            <w:noWrap w:val="0"/>
            <w:vAlign w:val="top"/>
          </w:tcPr>
          <w:p w14:paraId="603C7A3C">
            <w:pPr>
              <w:pStyle w:val="17"/>
              <w:keepNext w:val="0"/>
              <w:keepLines w:val="0"/>
              <w:pageBreakBefore w:val="0"/>
              <w:kinsoku/>
              <w:wordWrap w:val="0"/>
              <w:overflowPunct/>
              <w:topLinePunct w:val="0"/>
              <w:bidi w:val="0"/>
              <w:jc w:val="center"/>
              <w:rPr>
                <w:b/>
                <w:color w:val="auto"/>
                <w:sz w:val="24"/>
                <w:highlight w:val="none"/>
              </w:rPr>
            </w:pPr>
          </w:p>
          <w:p w14:paraId="7E5341E5">
            <w:pPr>
              <w:pStyle w:val="17"/>
              <w:keepNext w:val="0"/>
              <w:keepLines w:val="0"/>
              <w:pageBreakBefore w:val="0"/>
              <w:kinsoku/>
              <w:wordWrap w:val="0"/>
              <w:overflowPunct/>
              <w:topLinePunct w:val="0"/>
              <w:bidi w:val="0"/>
              <w:jc w:val="center"/>
              <w:rPr>
                <w:b/>
                <w:color w:val="auto"/>
                <w:sz w:val="24"/>
                <w:highlight w:val="none"/>
              </w:rPr>
            </w:pPr>
          </w:p>
          <w:p w14:paraId="5F41AB09">
            <w:pPr>
              <w:pStyle w:val="17"/>
              <w:keepNext w:val="0"/>
              <w:keepLines w:val="0"/>
              <w:pageBreakBefore w:val="0"/>
              <w:kinsoku/>
              <w:wordWrap w:val="0"/>
              <w:overflowPunct/>
              <w:topLinePunct w:val="0"/>
              <w:bidi w:val="0"/>
              <w:spacing w:before="1"/>
              <w:ind w:right="100"/>
              <w:jc w:val="center"/>
              <w:rPr>
                <w:color w:val="auto"/>
                <w:sz w:val="24"/>
                <w:highlight w:val="none"/>
              </w:rPr>
            </w:pPr>
            <w:r>
              <w:rPr>
                <w:color w:val="auto"/>
                <w:sz w:val="24"/>
                <w:highlight w:val="none"/>
              </w:rPr>
              <w:t>磋商保证金</w:t>
            </w:r>
          </w:p>
        </w:tc>
        <w:tc>
          <w:tcPr>
            <w:tcW w:w="6768" w:type="dxa"/>
            <w:noWrap w:val="0"/>
            <w:vAlign w:val="top"/>
          </w:tcPr>
          <w:p w14:paraId="477397EF">
            <w:pPr>
              <w:pStyle w:val="17"/>
              <w:keepNext w:val="0"/>
              <w:keepLines w:val="0"/>
              <w:pageBreakBefore w:val="0"/>
              <w:kinsoku/>
              <w:wordWrap w:val="0"/>
              <w:overflowPunct/>
              <w:topLinePunct w:val="0"/>
              <w:bidi w:val="0"/>
              <w:spacing w:before="103" w:line="500" w:lineRule="exact"/>
              <w:rPr>
                <w:color w:val="auto"/>
                <w:sz w:val="24"/>
                <w:highlight w:val="none"/>
              </w:rPr>
            </w:pPr>
            <w:r>
              <w:rPr>
                <w:rFonts w:hint="eastAsia"/>
                <w:color w:val="auto"/>
                <w:sz w:val="24"/>
                <w:highlight w:val="none"/>
              </w:rPr>
              <w:t>按照《河南省财政厅关于优化政府采购营商环境有关问题的通知》（豫财购[2019]4号文）的要求本项目不再收取投标保证金</w:t>
            </w:r>
          </w:p>
        </w:tc>
      </w:tr>
      <w:tr w14:paraId="393DF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1101" w:type="dxa"/>
            <w:noWrap w:val="0"/>
            <w:vAlign w:val="top"/>
          </w:tcPr>
          <w:p w14:paraId="1D182451">
            <w:pPr>
              <w:pStyle w:val="17"/>
              <w:keepNext w:val="0"/>
              <w:keepLines w:val="0"/>
              <w:pageBreakBefore w:val="0"/>
              <w:kinsoku/>
              <w:wordWrap w:val="0"/>
              <w:overflowPunct/>
              <w:topLinePunct w:val="0"/>
              <w:bidi w:val="0"/>
              <w:jc w:val="center"/>
              <w:rPr>
                <w:b/>
                <w:color w:val="auto"/>
                <w:sz w:val="24"/>
                <w:highlight w:val="none"/>
              </w:rPr>
            </w:pPr>
          </w:p>
          <w:p w14:paraId="5A540C15">
            <w:pPr>
              <w:pStyle w:val="17"/>
              <w:keepNext w:val="0"/>
              <w:keepLines w:val="0"/>
              <w:pageBreakBefore w:val="0"/>
              <w:kinsoku/>
              <w:wordWrap w:val="0"/>
              <w:overflowPunct/>
              <w:topLinePunct w:val="0"/>
              <w:bidi w:val="0"/>
              <w:jc w:val="center"/>
              <w:rPr>
                <w:b/>
                <w:color w:val="auto"/>
                <w:sz w:val="24"/>
                <w:highlight w:val="none"/>
              </w:rPr>
            </w:pPr>
          </w:p>
          <w:p w14:paraId="2980D7BC">
            <w:pPr>
              <w:pStyle w:val="17"/>
              <w:keepNext w:val="0"/>
              <w:keepLines w:val="0"/>
              <w:pageBreakBefore w:val="0"/>
              <w:kinsoku/>
              <w:wordWrap w:val="0"/>
              <w:overflowPunct/>
              <w:topLinePunct w:val="0"/>
              <w:bidi w:val="0"/>
              <w:spacing w:before="1"/>
              <w:ind w:right="158"/>
              <w:jc w:val="center"/>
              <w:rPr>
                <w:color w:val="auto"/>
                <w:sz w:val="24"/>
                <w:highlight w:val="none"/>
                <w:lang w:val="en-US"/>
              </w:rPr>
            </w:pPr>
            <w:r>
              <w:rPr>
                <w:color w:val="auto"/>
                <w:sz w:val="24"/>
                <w:highlight w:val="none"/>
              </w:rPr>
              <w:t>2.6</w:t>
            </w:r>
          </w:p>
        </w:tc>
        <w:tc>
          <w:tcPr>
            <w:tcW w:w="1715" w:type="dxa"/>
            <w:noWrap w:val="0"/>
            <w:vAlign w:val="top"/>
          </w:tcPr>
          <w:p w14:paraId="4B780A63">
            <w:pPr>
              <w:pStyle w:val="17"/>
              <w:keepNext w:val="0"/>
              <w:keepLines w:val="0"/>
              <w:pageBreakBefore w:val="0"/>
              <w:kinsoku/>
              <w:wordWrap w:val="0"/>
              <w:overflowPunct/>
              <w:topLinePunct w:val="0"/>
              <w:bidi w:val="0"/>
              <w:spacing w:before="130" w:line="357" w:lineRule="auto"/>
              <w:ind w:left="130" w:right="118"/>
              <w:jc w:val="center"/>
              <w:rPr>
                <w:color w:val="auto"/>
                <w:sz w:val="24"/>
                <w:highlight w:val="none"/>
              </w:rPr>
            </w:pPr>
            <w:r>
              <w:rPr>
                <w:color w:val="auto"/>
                <w:sz w:val="24"/>
                <w:highlight w:val="none"/>
              </w:rPr>
              <w:t>近年完成的类似项目的年份</w:t>
            </w:r>
          </w:p>
          <w:p w14:paraId="3CDFFE60">
            <w:pPr>
              <w:pStyle w:val="17"/>
              <w:keepNext w:val="0"/>
              <w:keepLines w:val="0"/>
              <w:pageBreakBefore w:val="0"/>
              <w:kinsoku/>
              <w:wordWrap w:val="0"/>
              <w:overflowPunct/>
              <w:topLinePunct w:val="0"/>
              <w:bidi w:val="0"/>
              <w:spacing w:before="3"/>
              <w:ind w:left="110" w:right="100"/>
              <w:jc w:val="center"/>
              <w:rPr>
                <w:color w:val="auto"/>
                <w:sz w:val="24"/>
                <w:highlight w:val="none"/>
              </w:rPr>
            </w:pPr>
            <w:r>
              <w:rPr>
                <w:color w:val="auto"/>
                <w:sz w:val="24"/>
                <w:highlight w:val="none"/>
              </w:rPr>
              <w:t>要求</w:t>
            </w:r>
          </w:p>
        </w:tc>
        <w:tc>
          <w:tcPr>
            <w:tcW w:w="6768" w:type="dxa"/>
            <w:noWrap w:val="0"/>
            <w:vAlign w:val="top"/>
          </w:tcPr>
          <w:p w14:paraId="714A85C9">
            <w:pPr>
              <w:pStyle w:val="17"/>
              <w:keepNext w:val="0"/>
              <w:keepLines w:val="0"/>
              <w:pageBreakBefore w:val="0"/>
              <w:kinsoku/>
              <w:wordWrap w:val="0"/>
              <w:overflowPunct/>
              <w:topLinePunct w:val="0"/>
              <w:bidi w:val="0"/>
              <w:rPr>
                <w:b/>
                <w:color w:val="auto"/>
                <w:sz w:val="24"/>
                <w:highlight w:val="none"/>
              </w:rPr>
            </w:pPr>
          </w:p>
          <w:p w14:paraId="153A49A9">
            <w:pPr>
              <w:pStyle w:val="17"/>
              <w:keepNext w:val="0"/>
              <w:keepLines w:val="0"/>
              <w:pageBreakBefore w:val="0"/>
              <w:kinsoku/>
              <w:wordWrap w:val="0"/>
              <w:overflowPunct/>
              <w:topLinePunct w:val="0"/>
              <w:bidi w:val="0"/>
              <w:spacing w:before="11"/>
              <w:rPr>
                <w:b/>
                <w:color w:val="auto"/>
                <w:sz w:val="21"/>
                <w:highlight w:val="none"/>
              </w:rPr>
            </w:pPr>
          </w:p>
          <w:p w14:paraId="4A1E8E25">
            <w:pPr>
              <w:pStyle w:val="17"/>
              <w:keepNext w:val="0"/>
              <w:keepLines w:val="0"/>
              <w:pageBreakBefore w:val="0"/>
              <w:kinsoku/>
              <w:wordWrap w:val="0"/>
              <w:overflowPunct/>
              <w:topLinePunct w:val="0"/>
              <w:bidi w:val="0"/>
              <w:spacing w:before="1"/>
              <w:ind w:left="107"/>
              <w:rPr>
                <w:color w:val="auto"/>
                <w:sz w:val="24"/>
                <w:highlight w:val="none"/>
              </w:rPr>
            </w:pPr>
            <w:r>
              <w:rPr>
                <w:color w:val="auto"/>
                <w:sz w:val="24"/>
                <w:highlight w:val="none"/>
              </w:rPr>
              <w:t>20</w:t>
            </w:r>
            <w:r>
              <w:rPr>
                <w:rFonts w:hint="eastAsia"/>
                <w:color w:val="auto"/>
                <w:sz w:val="24"/>
                <w:highlight w:val="none"/>
                <w:lang w:val="en-US" w:eastAsia="zh-CN"/>
              </w:rPr>
              <w:t>22</w:t>
            </w:r>
            <w:r>
              <w:rPr>
                <w:color w:val="auto"/>
                <w:sz w:val="24"/>
                <w:highlight w:val="none"/>
              </w:rPr>
              <w:t>年</w:t>
            </w:r>
            <w:r>
              <w:rPr>
                <w:rFonts w:hint="eastAsia"/>
                <w:color w:val="auto"/>
                <w:sz w:val="24"/>
                <w:highlight w:val="none"/>
                <w:lang w:val="en-US"/>
              </w:rPr>
              <w:t>01</w:t>
            </w:r>
            <w:r>
              <w:rPr>
                <w:color w:val="auto"/>
                <w:sz w:val="24"/>
                <w:highlight w:val="none"/>
              </w:rPr>
              <w:t>月</w:t>
            </w:r>
            <w:r>
              <w:rPr>
                <w:rFonts w:hint="eastAsia"/>
                <w:color w:val="auto"/>
                <w:sz w:val="24"/>
                <w:highlight w:val="none"/>
                <w:lang w:val="en-US"/>
              </w:rPr>
              <w:t>0</w:t>
            </w:r>
            <w:r>
              <w:rPr>
                <w:color w:val="auto"/>
                <w:sz w:val="24"/>
                <w:highlight w:val="none"/>
              </w:rPr>
              <w:t>1日以来</w:t>
            </w:r>
            <w:r>
              <w:rPr>
                <w:rFonts w:hint="eastAsia"/>
                <w:color w:val="auto"/>
                <w:sz w:val="24"/>
                <w:highlight w:val="none"/>
                <w:lang w:val="en-US" w:eastAsia="zh-CN"/>
              </w:rPr>
              <w:t>同</w:t>
            </w:r>
            <w:r>
              <w:rPr>
                <w:rFonts w:hint="eastAsia"/>
                <w:color w:val="auto"/>
                <w:sz w:val="24"/>
                <w:highlight w:val="none"/>
                <w:lang w:eastAsia="zh-CN"/>
              </w:rPr>
              <w:t>类项目</w:t>
            </w:r>
          </w:p>
        </w:tc>
      </w:tr>
      <w:tr w14:paraId="1BB29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1" w:type="dxa"/>
            <w:noWrap w:val="0"/>
            <w:vAlign w:val="top"/>
          </w:tcPr>
          <w:p w14:paraId="32AB9EFA">
            <w:pPr>
              <w:pStyle w:val="17"/>
              <w:keepNext w:val="0"/>
              <w:keepLines w:val="0"/>
              <w:pageBreakBefore w:val="0"/>
              <w:kinsoku/>
              <w:wordWrap w:val="0"/>
              <w:overflowPunct/>
              <w:topLinePunct w:val="0"/>
              <w:bidi w:val="0"/>
              <w:rPr>
                <w:b/>
                <w:color w:val="auto"/>
                <w:sz w:val="24"/>
                <w:highlight w:val="none"/>
              </w:rPr>
            </w:pPr>
          </w:p>
          <w:p w14:paraId="0B2606B0">
            <w:pPr>
              <w:pStyle w:val="17"/>
              <w:keepNext w:val="0"/>
              <w:keepLines w:val="0"/>
              <w:pageBreakBefore w:val="0"/>
              <w:kinsoku/>
              <w:wordWrap w:val="0"/>
              <w:overflowPunct/>
              <w:topLinePunct w:val="0"/>
              <w:bidi w:val="0"/>
              <w:spacing w:before="11"/>
              <w:rPr>
                <w:b/>
                <w:color w:val="auto"/>
                <w:sz w:val="21"/>
                <w:highlight w:val="none"/>
              </w:rPr>
            </w:pPr>
          </w:p>
          <w:p w14:paraId="0E2AFB3C">
            <w:pPr>
              <w:pStyle w:val="17"/>
              <w:keepNext w:val="0"/>
              <w:keepLines w:val="0"/>
              <w:pageBreakBefore w:val="0"/>
              <w:kinsoku/>
              <w:wordWrap w:val="0"/>
              <w:overflowPunct/>
              <w:topLinePunct w:val="0"/>
              <w:bidi w:val="0"/>
              <w:spacing w:before="1"/>
              <w:ind w:left="166" w:right="158"/>
              <w:jc w:val="center"/>
              <w:rPr>
                <w:color w:val="auto"/>
                <w:sz w:val="24"/>
                <w:highlight w:val="none"/>
              </w:rPr>
            </w:pPr>
            <w:r>
              <w:rPr>
                <w:color w:val="auto"/>
                <w:sz w:val="24"/>
                <w:highlight w:val="none"/>
              </w:rPr>
              <w:t>2.7</w:t>
            </w:r>
          </w:p>
        </w:tc>
        <w:tc>
          <w:tcPr>
            <w:tcW w:w="1715" w:type="dxa"/>
            <w:noWrap w:val="0"/>
            <w:vAlign w:val="top"/>
          </w:tcPr>
          <w:p w14:paraId="0F54D464">
            <w:pPr>
              <w:pStyle w:val="17"/>
              <w:keepNext w:val="0"/>
              <w:keepLines w:val="0"/>
              <w:pageBreakBefore w:val="0"/>
              <w:kinsoku/>
              <w:wordWrap w:val="0"/>
              <w:overflowPunct/>
              <w:topLinePunct w:val="0"/>
              <w:bidi w:val="0"/>
              <w:spacing w:before="2"/>
              <w:rPr>
                <w:b/>
                <w:color w:val="auto"/>
                <w:sz w:val="30"/>
                <w:highlight w:val="none"/>
              </w:rPr>
            </w:pPr>
          </w:p>
          <w:p w14:paraId="4F38EE7F">
            <w:pPr>
              <w:pStyle w:val="17"/>
              <w:keepNext w:val="0"/>
              <w:keepLines w:val="0"/>
              <w:pageBreakBefore w:val="0"/>
              <w:kinsoku/>
              <w:wordWrap w:val="0"/>
              <w:overflowPunct/>
              <w:topLinePunct w:val="0"/>
              <w:bidi w:val="0"/>
              <w:spacing w:line="357" w:lineRule="auto"/>
              <w:ind w:left="610" w:right="238" w:hanging="360"/>
              <w:rPr>
                <w:color w:val="auto"/>
                <w:sz w:val="24"/>
                <w:highlight w:val="none"/>
              </w:rPr>
            </w:pPr>
            <w:r>
              <w:rPr>
                <w:rFonts w:hint="eastAsia"/>
                <w:color w:val="auto"/>
                <w:sz w:val="24"/>
                <w:highlight w:val="none"/>
              </w:rPr>
              <w:t>响应文件签</w:t>
            </w:r>
            <w:r>
              <w:rPr>
                <w:color w:val="auto"/>
                <w:sz w:val="24"/>
                <w:highlight w:val="none"/>
              </w:rPr>
              <w:t>章要求</w:t>
            </w:r>
          </w:p>
        </w:tc>
        <w:tc>
          <w:tcPr>
            <w:tcW w:w="6768" w:type="dxa"/>
            <w:noWrap w:val="0"/>
            <w:vAlign w:val="top"/>
          </w:tcPr>
          <w:p w14:paraId="196BC484">
            <w:pPr>
              <w:pStyle w:val="17"/>
              <w:keepNext w:val="0"/>
              <w:keepLines w:val="0"/>
              <w:pageBreakBefore w:val="0"/>
              <w:kinsoku/>
              <w:wordWrap w:val="0"/>
              <w:overflowPunct/>
              <w:topLinePunct w:val="0"/>
              <w:bidi w:val="0"/>
              <w:spacing w:before="3"/>
              <w:ind w:left="107"/>
              <w:rPr>
                <w:rFonts w:hint="eastAsia" w:eastAsia="宋体"/>
                <w:color w:val="auto"/>
                <w:sz w:val="24"/>
                <w:highlight w:val="none"/>
                <w:lang w:eastAsia="zh-CN"/>
              </w:rPr>
            </w:pPr>
            <w:r>
              <w:rPr>
                <w:rFonts w:hint="eastAsia" w:eastAsia="宋体"/>
                <w:color w:val="auto"/>
                <w:sz w:val="24"/>
                <w:highlight w:val="none"/>
                <w:lang w:eastAsia="zh-CN"/>
              </w:rPr>
              <w:t>1、供应商在生成电子化响应文件后，应对电子化响应文件进行签章，未进行签章的视为无效投标。</w:t>
            </w:r>
          </w:p>
          <w:p w14:paraId="09A06D94">
            <w:pPr>
              <w:pStyle w:val="17"/>
              <w:keepNext w:val="0"/>
              <w:keepLines w:val="0"/>
              <w:pageBreakBefore w:val="0"/>
              <w:kinsoku/>
              <w:wordWrap w:val="0"/>
              <w:overflowPunct/>
              <w:topLinePunct w:val="0"/>
              <w:bidi w:val="0"/>
              <w:spacing w:before="3"/>
              <w:ind w:left="107"/>
              <w:rPr>
                <w:rFonts w:hint="eastAsia" w:eastAsia="宋体"/>
                <w:color w:val="auto"/>
                <w:sz w:val="24"/>
                <w:highlight w:val="none"/>
                <w:lang w:eastAsia="zh-CN"/>
              </w:rPr>
            </w:pPr>
            <w:r>
              <w:rPr>
                <w:rFonts w:hint="eastAsia" w:eastAsia="宋体"/>
                <w:color w:val="auto"/>
                <w:sz w:val="24"/>
                <w:highlight w:val="none"/>
                <w:lang w:eastAsia="zh-CN"/>
              </w:rPr>
              <w:t>2、磋商文件中要求法定代表人或授权委托人签字或盖章的，供应商在进行电子化响应文件签章时，以签盖法定代表人电子签章为准。电子化响应文件具体制作教材请投标人通过CA证书登录三门峡市公共资源电子化交易系统在右上角“组建下载”中查看。</w:t>
            </w:r>
          </w:p>
        </w:tc>
      </w:tr>
      <w:tr w14:paraId="0B3AB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top"/>
          </w:tcPr>
          <w:p w14:paraId="037F8E2B">
            <w:pPr>
              <w:pStyle w:val="17"/>
              <w:keepNext w:val="0"/>
              <w:keepLines w:val="0"/>
              <w:pageBreakBefore w:val="0"/>
              <w:kinsoku/>
              <w:wordWrap w:val="0"/>
              <w:overflowPunct/>
              <w:topLinePunct w:val="0"/>
              <w:bidi w:val="0"/>
              <w:rPr>
                <w:b/>
                <w:color w:val="auto"/>
                <w:sz w:val="24"/>
                <w:highlight w:val="none"/>
              </w:rPr>
            </w:pPr>
          </w:p>
          <w:p w14:paraId="4DA2313D">
            <w:pPr>
              <w:pStyle w:val="17"/>
              <w:keepNext w:val="0"/>
              <w:keepLines w:val="0"/>
              <w:pageBreakBefore w:val="0"/>
              <w:kinsoku/>
              <w:wordWrap w:val="0"/>
              <w:overflowPunct/>
              <w:topLinePunct w:val="0"/>
              <w:bidi w:val="0"/>
              <w:rPr>
                <w:b/>
                <w:color w:val="auto"/>
                <w:sz w:val="24"/>
                <w:highlight w:val="none"/>
              </w:rPr>
            </w:pPr>
          </w:p>
          <w:p w14:paraId="6DDF43A9">
            <w:pPr>
              <w:pStyle w:val="17"/>
              <w:keepNext w:val="0"/>
              <w:keepLines w:val="0"/>
              <w:pageBreakBefore w:val="0"/>
              <w:kinsoku/>
              <w:wordWrap w:val="0"/>
              <w:overflowPunct/>
              <w:topLinePunct w:val="0"/>
              <w:bidi w:val="0"/>
              <w:ind w:left="369"/>
              <w:rPr>
                <w:color w:val="auto"/>
                <w:sz w:val="24"/>
                <w:highlight w:val="none"/>
              </w:rPr>
            </w:pPr>
            <w:r>
              <w:rPr>
                <w:color w:val="auto"/>
                <w:sz w:val="24"/>
                <w:highlight w:val="none"/>
              </w:rPr>
              <w:t>2.8</w:t>
            </w:r>
          </w:p>
        </w:tc>
        <w:tc>
          <w:tcPr>
            <w:tcW w:w="1715" w:type="dxa"/>
            <w:noWrap w:val="0"/>
            <w:vAlign w:val="top"/>
          </w:tcPr>
          <w:p w14:paraId="4B1963BA">
            <w:pPr>
              <w:pStyle w:val="17"/>
              <w:keepNext w:val="0"/>
              <w:keepLines w:val="0"/>
              <w:pageBreakBefore w:val="0"/>
              <w:kinsoku/>
              <w:wordWrap w:val="0"/>
              <w:overflowPunct/>
              <w:topLinePunct w:val="0"/>
              <w:bidi w:val="0"/>
              <w:jc w:val="center"/>
              <w:rPr>
                <w:b/>
                <w:color w:val="auto"/>
                <w:sz w:val="24"/>
                <w:highlight w:val="none"/>
              </w:rPr>
            </w:pPr>
          </w:p>
          <w:p w14:paraId="5E320519">
            <w:pPr>
              <w:pStyle w:val="17"/>
              <w:keepNext w:val="0"/>
              <w:keepLines w:val="0"/>
              <w:pageBreakBefore w:val="0"/>
              <w:kinsoku/>
              <w:wordWrap w:val="0"/>
              <w:overflowPunct/>
              <w:topLinePunct w:val="0"/>
              <w:bidi w:val="0"/>
              <w:spacing w:before="194" w:line="357" w:lineRule="auto"/>
              <w:ind w:right="118"/>
              <w:jc w:val="both"/>
              <w:rPr>
                <w:color w:val="auto"/>
                <w:sz w:val="24"/>
                <w:highlight w:val="none"/>
              </w:rPr>
            </w:pPr>
            <w:r>
              <w:rPr>
                <w:color w:val="auto"/>
                <w:sz w:val="24"/>
                <w:highlight w:val="none"/>
              </w:rPr>
              <w:t>电子化磋商响应文件的格式及上传</w:t>
            </w:r>
          </w:p>
        </w:tc>
        <w:tc>
          <w:tcPr>
            <w:tcW w:w="6768" w:type="dxa"/>
            <w:noWrap w:val="0"/>
            <w:vAlign w:val="top"/>
          </w:tcPr>
          <w:p w14:paraId="4610188C">
            <w:pPr>
              <w:pStyle w:val="17"/>
              <w:keepNext w:val="0"/>
              <w:keepLines w:val="0"/>
              <w:pageBreakBefore w:val="0"/>
              <w:kinsoku/>
              <w:wordWrap w:val="0"/>
              <w:overflowPunct/>
              <w:topLinePunct w:val="0"/>
              <w:bidi w:val="0"/>
              <w:spacing w:line="460" w:lineRule="atLeast"/>
              <w:ind w:left="107" w:right="96"/>
              <w:rPr>
                <w:color w:val="auto"/>
                <w:sz w:val="24"/>
                <w:highlight w:val="none"/>
              </w:rPr>
            </w:pPr>
            <w:r>
              <w:rPr>
                <w:rFonts w:hint="eastAsia"/>
                <w:color w:val="auto"/>
                <w:sz w:val="24"/>
                <w:highlight w:val="none"/>
              </w:rPr>
              <w:t>投标供应商所上传的电子化响应文件，应是通过中心响应文件制作系统制作的，经过签章和加密后生成的电子版响应文件。上传投标文件格式后缀为SMXTF。上传完后，为了验证CA锁是否正常，建议模拟解密下。</w:t>
            </w:r>
          </w:p>
        </w:tc>
      </w:tr>
      <w:tr w14:paraId="73454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top"/>
          </w:tcPr>
          <w:p w14:paraId="64087C9A">
            <w:pPr>
              <w:pStyle w:val="17"/>
              <w:keepNext w:val="0"/>
              <w:keepLines w:val="0"/>
              <w:pageBreakBefore w:val="0"/>
              <w:kinsoku/>
              <w:wordWrap w:val="0"/>
              <w:overflowPunct/>
              <w:topLinePunct w:val="0"/>
              <w:bidi w:val="0"/>
              <w:jc w:val="center"/>
              <w:rPr>
                <w:b/>
                <w:color w:val="auto"/>
                <w:sz w:val="24"/>
                <w:highlight w:val="none"/>
              </w:rPr>
            </w:pPr>
          </w:p>
          <w:p w14:paraId="2289B3F7">
            <w:pPr>
              <w:pStyle w:val="17"/>
              <w:keepNext w:val="0"/>
              <w:keepLines w:val="0"/>
              <w:pageBreakBefore w:val="0"/>
              <w:kinsoku/>
              <w:wordWrap w:val="0"/>
              <w:overflowPunct/>
              <w:topLinePunct w:val="0"/>
              <w:bidi w:val="0"/>
              <w:jc w:val="center"/>
              <w:rPr>
                <w:b/>
                <w:color w:val="auto"/>
                <w:sz w:val="24"/>
                <w:highlight w:val="none"/>
              </w:rPr>
            </w:pPr>
          </w:p>
          <w:p w14:paraId="618F0002">
            <w:pPr>
              <w:pStyle w:val="17"/>
              <w:keepNext w:val="0"/>
              <w:keepLines w:val="0"/>
              <w:pageBreakBefore w:val="0"/>
              <w:kinsoku/>
              <w:wordWrap w:val="0"/>
              <w:overflowPunct/>
              <w:topLinePunct w:val="0"/>
              <w:bidi w:val="0"/>
              <w:jc w:val="center"/>
              <w:rPr>
                <w:b/>
                <w:color w:val="auto"/>
                <w:sz w:val="24"/>
                <w:highlight w:val="none"/>
              </w:rPr>
            </w:pPr>
          </w:p>
          <w:p w14:paraId="5C7A223B">
            <w:pPr>
              <w:pStyle w:val="17"/>
              <w:keepNext w:val="0"/>
              <w:keepLines w:val="0"/>
              <w:pageBreakBefore w:val="0"/>
              <w:kinsoku/>
              <w:wordWrap w:val="0"/>
              <w:overflowPunct/>
              <w:topLinePunct w:val="0"/>
              <w:bidi w:val="0"/>
              <w:jc w:val="center"/>
              <w:rPr>
                <w:color w:val="auto"/>
                <w:sz w:val="24"/>
                <w:highlight w:val="none"/>
              </w:rPr>
            </w:pPr>
            <w:r>
              <w:rPr>
                <w:color w:val="auto"/>
                <w:sz w:val="24"/>
                <w:highlight w:val="none"/>
              </w:rPr>
              <w:t>2.9</w:t>
            </w:r>
          </w:p>
        </w:tc>
        <w:tc>
          <w:tcPr>
            <w:tcW w:w="1715" w:type="dxa"/>
            <w:noWrap w:val="0"/>
            <w:vAlign w:val="top"/>
          </w:tcPr>
          <w:p w14:paraId="337AE853">
            <w:pPr>
              <w:pStyle w:val="17"/>
              <w:keepNext w:val="0"/>
              <w:keepLines w:val="0"/>
              <w:pageBreakBefore w:val="0"/>
              <w:kinsoku/>
              <w:wordWrap w:val="0"/>
              <w:overflowPunct/>
              <w:topLinePunct w:val="0"/>
              <w:bidi w:val="0"/>
              <w:rPr>
                <w:b/>
                <w:color w:val="auto"/>
                <w:sz w:val="28"/>
                <w:highlight w:val="none"/>
              </w:rPr>
            </w:pPr>
          </w:p>
          <w:p w14:paraId="34CC29F2">
            <w:pPr>
              <w:pStyle w:val="17"/>
              <w:keepNext w:val="0"/>
              <w:keepLines w:val="0"/>
              <w:pageBreakBefore w:val="0"/>
              <w:kinsoku/>
              <w:wordWrap w:val="0"/>
              <w:overflowPunct/>
              <w:topLinePunct w:val="0"/>
              <w:bidi w:val="0"/>
              <w:spacing w:line="360" w:lineRule="auto"/>
              <w:ind w:left="490" w:right="358" w:hanging="120"/>
              <w:rPr>
                <w:color w:val="auto"/>
                <w:sz w:val="24"/>
                <w:highlight w:val="none"/>
              </w:rPr>
            </w:pPr>
            <w:r>
              <w:rPr>
                <w:rFonts w:hint="eastAsia"/>
                <w:color w:val="auto"/>
                <w:sz w:val="24"/>
                <w:highlight w:val="none"/>
              </w:rPr>
              <w:t>开标</w:t>
            </w:r>
            <w:r>
              <w:rPr>
                <w:color w:val="auto"/>
                <w:sz w:val="24"/>
                <w:highlight w:val="none"/>
              </w:rPr>
              <w:t>时间和地点</w:t>
            </w:r>
          </w:p>
        </w:tc>
        <w:tc>
          <w:tcPr>
            <w:tcW w:w="6768" w:type="dxa"/>
            <w:noWrap w:val="0"/>
            <w:vAlign w:val="center"/>
          </w:tcPr>
          <w:p w14:paraId="4EADD62D">
            <w:pPr>
              <w:pStyle w:val="17"/>
              <w:keepNext w:val="0"/>
              <w:keepLines w:val="0"/>
              <w:pageBreakBefore w:val="0"/>
              <w:kinsoku/>
              <w:wordWrap w:val="0"/>
              <w:overflowPunct/>
              <w:topLinePunct w:val="0"/>
              <w:bidi w:val="0"/>
              <w:spacing w:before="1" w:line="460" w:lineRule="atLeast"/>
              <w:ind w:right="96"/>
              <w:jc w:val="both"/>
              <w:rPr>
                <w:color w:val="auto"/>
                <w:sz w:val="24"/>
                <w:highlight w:val="none"/>
                <w:lang w:val="en-US"/>
              </w:rPr>
            </w:pPr>
            <w:r>
              <w:rPr>
                <w:rFonts w:hint="eastAsia"/>
                <w:color w:val="auto"/>
                <w:sz w:val="24"/>
                <w:highlight w:val="none"/>
                <w:lang w:val="en-US"/>
              </w:rPr>
              <w:t>开标地点：卢氏县公共资源交易中心</w:t>
            </w:r>
            <w:r>
              <w:rPr>
                <w:rFonts w:hint="eastAsia"/>
                <w:color w:val="auto"/>
                <w:sz w:val="24"/>
                <w:highlight w:val="none"/>
                <w:lang w:val="en-US" w:eastAsia="zh-CN"/>
              </w:rPr>
              <w:t>四</w:t>
            </w:r>
            <w:r>
              <w:rPr>
                <w:rFonts w:hint="eastAsia"/>
                <w:color w:val="auto"/>
                <w:sz w:val="24"/>
                <w:highlight w:val="none"/>
                <w:lang w:val="en-US"/>
              </w:rPr>
              <w:t>楼第</w:t>
            </w:r>
            <w:r>
              <w:rPr>
                <w:rFonts w:hint="eastAsia"/>
                <w:color w:val="auto"/>
                <w:sz w:val="24"/>
                <w:highlight w:val="none"/>
                <w:lang w:val="en-US" w:eastAsia="zh-CN"/>
              </w:rPr>
              <w:t>二</w:t>
            </w:r>
            <w:r>
              <w:rPr>
                <w:rFonts w:hint="eastAsia"/>
                <w:color w:val="auto"/>
                <w:sz w:val="24"/>
                <w:highlight w:val="none"/>
                <w:lang w:val="en-US"/>
              </w:rPr>
              <w:t>开标室；</w:t>
            </w:r>
          </w:p>
          <w:p w14:paraId="1B397766">
            <w:pPr>
              <w:pStyle w:val="17"/>
              <w:keepNext w:val="0"/>
              <w:keepLines w:val="0"/>
              <w:pageBreakBefore w:val="0"/>
              <w:kinsoku/>
              <w:wordWrap w:val="0"/>
              <w:overflowPunct/>
              <w:topLinePunct w:val="0"/>
              <w:bidi w:val="0"/>
              <w:spacing w:before="1" w:line="460" w:lineRule="atLeast"/>
              <w:ind w:right="96"/>
              <w:jc w:val="both"/>
              <w:rPr>
                <w:color w:val="auto"/>
                <w:sz w:val="24"/>
                <w:highlight w:val="none"/>
              </w:rPr>
            </w:pPr>
            <w:r>
              <w:rPr>
                <w:rFonts w:hint="eastAsia"/>
                <w:color w:val="auto"/>
                <w:sz w:val="24"/>
                <w:highlight w:val="none"/>
                <w:lang w:val="en-US"/>
              </w:rPr>
              <w:t>评标地点：卢氏县公共资源交易中心</w:t>
            </w:r>
            <w:r>
              <w:rPr>
                <w:rFonts w:hint="eastAsia"/>
                <w:color w:val="auto"/>
                <w:sz w:val="24"/>
                <w:highlight w:val="none"/>
                <w:lang w:val="en-US" w:eastAsia="zh-CN"/>
              </w:rPr>
              <w:t>二</w:t>
            </w:r>
            <w:r>
              <w:rPr>
                <w:rFonts w:hint="eastAsia"/>
                <w:color w:val="auto"/>
                <w:sz w:val="24"/>
                <w:highlight w:val="none"/>
                <w:lang w:val="en-US"/>
              </w:rPr>
              <w:t>楼第</w:t>
            </w:r>
            <w:r>
              <w:rPr>
                <w:rFonts w:hint="eastAsia"/>
                <w:color w:val="auto"/>
                <w:sz w:val="24"/>
                <w:highlight w:val="none"/>
                <w:lang w:val="en-US" w:eastAsia="zh-CN"/>
              </w:rPr>
              <w:t>二评</w:t>
            </w:r>
            <w:r>
              <w:rPr>
                <w:rFonts w:hint="eastAsia"/>
                <w:color w:val="auto"/>
                <w:sz w:val="24"/>
                <w:highlight w:val="none"/>
                <w:lang w:val="en-US"/>
              </w:rPr>
              <w:t>标室；</w:t>
            </w:r>
          </w:p>
        </w:tc>
      </w:tr>
      <w:tr w14:paraId="0A79B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top"/>
          </w:tcPr>
          <w:p w14:paraId="56726358">
            <w:pPr>
              <w:pStyle w:val="17"/>
              <w:keepNext w:val="0"/>
              <w:keepLines w:val="0"/>
              <w:pageBreakBefore w:val="0"/>
              <w:kinsoku/>
              <w:wordWrap w:val="0"/>
              <w:overflowPunct/>
              <w:topLinePunct w:val="0"/>
              <w:bidi w:val="0"/>
              <w:rPr>
                <w:b/>
                <w:color w:val="auto"/>
                <w:sz w:val="24"/>
                <w:highlight w:val="none"/>
              </w:rPr>
            </w:pPr>
          </w:p>
          <w:p w14:paraId="4C202ECF">
            <w:pPr>
              <w:pStyle w:val="17"/>
              <w:keepNext w:val="0"/>
              <w:keepLines w:val="0"/>
              <w:pageBreakBefore w:val="0"/>
              <w:kinsoku/>
              <w:wordWrap w:val="0"/>
              <w:overflowPunct/>
              <w:topLinePunct w:val="0"/>
              <w:bidi w:val="0"/>
              <w:rPr>
                <w:b/>
                <w:color w:val="auto"/>
                <w:highlight w:val="none"/>
              </w:rPr>
            </w:pPr>
          </w:p>
          <w:p w14:paraId="16A5C9C1">
            <w:pPr>
              <w:pStyle w:val="17"/>
              <w:keepNext w:val="0"/>
              <w:keepLines w:val="0"/>
              <w:pageBreakBefore w:val="0"/>
              <w:kinsoku/>
              <w:wordWrap w:val="0"/>
              <w:overflowPunct/>
              <w:topLinePunct w:val="0"/>
              <w:bidi w:val="0"/>
              <w:ind w:left="348"/>
              <w:rPr>
                <w:color w:val="auto"/>
                <w:sz w:val="24"/>
                <w:highlight w:val="none"/>
              </w:rPr>
            </w:pPr>
            <w:r>
              <w:rPr>
                <w:color w:val="auto"/>
                <w:sz w:val="24"/>
                <w:highlight w:val="none"/>
              </w:rPr>
              <w:t>3.0</w:t>
            </w:r>
          </w:p>
        </w:tc>
        <w:tc>
          <w:tcPr>
            <w:tcW w:w="1715" w:type="dxa"/>
            <w:noWrap w:val="0"/>
            <w:vAlign w:val="center"/>
          </w:tcPr>
          <w:p w14:paraId="5792F374">
            <w:pPr>
              <w:pStyle w:val="17"/>
              <w:keepNext w:val="0"/>
              <w:keepLines w:val="0"/>
              <w:pageBreakBefore w:val="0"/>
              <w:kinsoku/>
              <w:wordWrap w:val="0"/>
              <w:overflowPunct/>
              <w:topLinePunct w:val="0"/>
              <w:bidi w:val="0"/>
              <w:spacing w:line="360" w:lineRule="auto"/>
              <w:ind w:left="490" w:right="358" w:hanging="120"/>
              <w:jc w:val="both"/>
              <w:rPr>
                <w:color w:val="auto"/>
                <w:sz w:val="24"/>
                <w:highlight w:val="none"/>
              </w:rPr>
            </w:pPr>
            <w:r>
              <w:rPr>
                <w:color w:val="auto"/>
                <w:sz w:val="24"/>
                <w:highlight w:val="none"/>
              </w:rPr>
              <w:t>磋商顺序</w:t>
            </w:r>
          </w:p>
        </w:tc>
        <w:tc>
          <w:tcPr>
            <w:tcW w:w="6768" w:type="dxa"/>
            <w:noWrap w:val="0"/>
            <w:vAlign w:val="center"/>
          </w:tcPr>
          <w:p w14:paraId="2D4D6836">
            <w:pPr>
              <w:pStyle w:val="17"/>
              <w:keepNext w:val="0"/>
              <w:keepLines w:val="0"/>
              <w:pageBreakBefore w:val="0"/>
              <w:kinsoku/>
              <w:wordWrap w:val="0"/>
              <w:overflowPunct/>
              <w:topLinePunct w:val="0"/>
              <w:bidi w:val="0"/>
              <w:spacing w:line="360" w:lineRule="auto"/>
              <w:ind w:left="490" w:right="358" w:hanging="120"/>
              <w:jc w:val="both"/>
              <w:rPr>
                <w:color w:val="auto"/>
                <w:sz w:val="24"/>
                <w:highlight w:val="none"/>
              </w:rPr>
            </w:pPr>
            <w:r>
              <w:rPr>
                <w:color w:val="auto"/>
                <w:sz w:val="24"/>
                <w:highlight w:val="none"/>
              </w:rPr>
              <w:t>按电子化磋商响应文件上传的顺序磋商。</w:t>
            </w:r>
          </w:p>
        </w:tc>
      </w:tr>
      <w:tr w14:paraId="1774B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101" w:type="dxa"/>
            <w:noWrap w:val="0"/>
            <w:vAlign w:val="center"/>
          </w:tcPr>
          <w:p w14:paraId="3973F6E4">
            <w:pPr>
              <w:pStyle w:val="17"/>
              <w:keepNext w:val="0"/>
              <w:keepLines w:val="0"/>
              <w:pageBreakBefore w:val="0"/>
              <w:kinsoku/>
              <w:wordWrap w:val="0"/>
              <w:overflowPunct/>
              <w:topLinePunct w:val="0"/>
              <w:bidi w:val="0"/>
              <w:spacing w:line="360" w:lineRule="auto"/>
              <w:ind w:left="490" w:right="358" w:hanging="120"/>
              <w:jc w:val="both"/>
              <w:rPr>
                <w:color w:val="auto"/>
                <w:sz w:val="24"/>
                <w:highlight w:val="none"/>
              </w:rPr>
            </w:pPr>
            <w:r>
              <w:rPr>
                <w:color w:val="auto"/>
                <w:sz w:val="24"/>
                <w:highlight w:val="none"/>
              </w:rPr>
              <w:t>3.1</w:t>
            </w:r>
          </w:p>
        </w:tc>
        <w:tc>
          <w:tcPr>
            <w:tcW w:w="1715" w:type="dxa"/>
            <w:noWrap w:val="0"/>
            <w:vAlign w:val="top"/>
          </w:tcPr>
          <w:p w14:paraId="6C1E987B">
            <w:pPr>
              <w:pStyle w:val="17"/>
              <w:keepNext w:val="0"/>
              <w:keepLines w:val="0"/>
              <w:pageBreakBefore w:val="0"/>
              <w:kinsoku/>
              <w:wordWrap w:val="0"/>
              <w:overflowPunct/>
              <w:topLinePunct w:val="0"/>
              <w:bidi w:val="0"/>
              <w:spacing w:before="12"/>
              <w:rPr>
                <w:b/>
                <w:color w:val="auto"/>
                <w:sz w:val="27"/>
                <w:highlight w:val="none"/>
              </w:rPr>
            </w:pPr>
          </w:p>
          <w:p w14:paraId="119BD4AE">
            <w:pPr>
              <w:pStyle w:val="17"/>
              <w:keepNext w:val="0"/>
              <w:keepLines w:val="0"/>
              <w:pageBreakBefore w:val="0"/>
              <w:kinsoku/>
              <w:wordWrap w:val="0"/>
              <w:overflowPunct/>
              <w:topLinePunct w:val="0"/>
              <w:bidi w:val="0"/>
              <w:spacing w:line="360" w:lineRule="auto"/>
              <w:ind w:left="490" w:right="358" w:hanging="120"/>
              <w:rPr>
                <w:color w:val="auto"/>
                <w:sz w:val="24"/>
                <w:highlight w:val="none"/>
              </w:rPr>
            </w:pPr>
            <w:r>
              <w:rPr>
                <w:color w:val="auto"/>
                <w:sz w:val="24"/>
                <w:highlight w:val="none"/>
              </w:rPr>
              <w:t>磋商小组的组建</w:t>
            </w:r>
          </w:p>
        </w:tc>
        <w:tc>
          <w:tcPr>
            <w:tcW w:w="6768" w:type="dxa"/>
            <w:noWrap w:val="0"/>
            <w:vAlign w:val="top"/>
          </w:tcPr>
          <w:p w14:paraId="2707693F">
            <w:pPr>
              <w:pStyle w:val="17"/>
              <w:keepNext w:val="0"/>
              <w:keepLines w:val="0"/>
              <w:pageBreakBefore w:val="0"/>
              <w:kinsoku/>
              <w:wordWrap w:val="0"/>
              <w:overflowPunct/>
              <w:topLinePunct w:val="0"/>
              <w:bidi w:val="0"/>
              <w:spacing w:before="130"/>
              <w:ind w:left="107"/>
              <w:rPr>
                <w:color w:val="auto"/>
                <w:sz w:val="24"/>
                <w:highlight w:val="none"/>
              </w:rPr>
            </w:pPr>
            <w:r>
              <w:rPr>
                <w:color w:val="auto"/>
                <w:spacing w:val="-7"/>
                <w:sz w:val="24"/>
                <w:highlight w:val="none"/>
              </w:rPr>
              <w:t xml:space="preserve">磋商小组成员为 </w:t>
            </w:r>
            <w:r>
              <w:rPr>
                <w:color w:val="auto"/>
                <w:sz w:val="24"/>
                <w:highlight w:val="none"/>
              </w:rPr>
              <w:t>3</w:t>
            </w:r>
            <w:r>
              <w:rPr>
                <w:color w:val="auto"/>
                <w:spacing w:val="-12"/>
                <w:sz w:val="24"/>
                <w:highlight w:val="none"/>
              </w:rPr>
              <w:t xml:space="preserve"> 人，采购人代表 </w:t>
            </w:r>
            <w:r>
              <w:rPr>
                <w:color w:val="auto"/>
                <w:sz w:val="24"/>
                <w:highlight w:val="none"/>
              </w:rPr>
              <w:t>1</w:t>
            </w:r>
            <w:r>
              <w:rPr>
                <w:color w:val="auto"/>
                <w:spacing w:val="-6"/>
                <w:sz w:val="24"/>
                <w:highlight w:val="none"/>
              </w:rPr>
              <w:t xml:space="preserve"> 人，其余技术、经济等方</w:t>
            </w:r>
          </w:p>
          <w:p w14:paraId="4C3C2759">
            <w:pPr>
              <w:pStyle w:val="17"/>
              <w:keepNext w:val="0"/>
              <w:keepLines w:val="0"/>
              <w:pageBreakBefore w:val="0"/>
              <w:kinsoku/>
              <w:wordWrap w:val="0"/>
              <w:overflowPunct/>
              <w:topLinePunct w:val="0"/>
              <w:bidi w:val="0"/>
              <w:spacing w:before="23" w:line="460" w:lineRule="exact"/>
              <w:ind w:left="107" w:right="40"/>
              <w:rPr>
                <w:color w:val="auto"/>
                <w:sz w:val="24"/>
                <w:highlight w:val="none"/>
              </w:rPr>
            </w:pPr>
            <w:r>
              <w:rPr>
                <w:color w:val="auto"/>
                <w:sz w:val="24"/>
                <w:highlight w:val="none"/>
              </w:rPr>
              <w:t>面的专家 2 人从</w:t>
            </w:r>
            <w:r>
              <w:rPr>
                <w:rFonts w:hint="eastAsia"/>
                <w:color w:val="auto"/>
                <w:sz w:val="24"/>
                <w:highlight w:val="none"/>
                <w:lang w:eastAsia="zh-CN"/>
              </w:rPr>
              <w:t>相关</w:t>
            </w:r>
            <w:r>
              <w:rPr>
                <w:color w:val="auto"/>
                <w:sz w:val="24"/>
                <w:highlight w:val="none"/>
              </w:rPr>
              <w:t>评标专家库中随机抽取。</w:t>
            </w:r>
          </w:p>
        </w:tc>
      </w:tr>
      <w:tr w14:paraId="5C4A1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101" w:type="dxa"/>
            <w:noWrap w:val="0"/>
            <w:vAlign w:val="center"/>
          </w:tcPr>
          <w:p w14:paraId="19906A78">
            <w:pPr>
              <w:pStyle w:val="17"/>
              <w:keepNext w:val="0"/>
              <w:keepLines w:val="0"/>
              <w:pageBreakBefore w:val="0"/>
              <w:kinsoku/>
              <w:wordWrap w:val="0"/>
              <w:overflowPunct/>
              <w:topLinePunct w:val="0"/>
              <w:bidi w:val="0"/>
              <w:jc w:val="center"/>
              <w:rPr>
                <w:color w:val="auto"/>
                <w:sz w:val="24"/>
                <w:highlight w:val="none"/>
              </w:rPr>
            </w:pPr>
            <w:r>
              <w:rPr>
                <w:color w:val="auto"/>
                <w:sz w:val="24"/>
                <w:highlight w:val="none"/>
              </w:rPr>
              <w:t>3.2</w:t>
            </w:r>
          </w:p>
        </w:tc>
        <w:tc>
          <w:tcPr>
            <w:tcW w:w="1715" w:type="dxa"/>
            <w:noWrap w:val="0"/>
            <w:vAlign w:val="top"/>
          </w:tcPr>
          <w:p w14:paraId="6C5EB019">
            <w:pPr>
              <w:pStyle w:val="17"/>
              <w:keepNext w:val="0"/>
              <w:keepLines w:val="0"/>
              <w:pageBreakBefore w:val="0"/>
              <w:kinsoku/>
              <w:wordWrap w:val="0"/>
              <w:overflowPunct/>
              <w:topLinePunct w:val="0"/>
              <w:bidi w:val="0"/>
              <w:spacing w:before="129" w:line="357" w:lineRule="auto"/>
              <w:ind w:left="130" w:right="118"/>
              <w:jc w:val="center"/>
              <w:rPr>
                <w:color w:val="auto"/>
                <w:sz w:val="24"/>
                <w:highlight w:val="none"/>
              </w:rPr>
            </w:pPr>
            <w:r>
              <w:rPr>
                <w:color w:val="auto"/>
                <w:sz w:val="24"/>
                <w:highlight w:val="none"/>
              </w:rPr>
              <w:t>是否授权磋商专家确定成交</w:t>
            </w:r>
          </w:p>
          <w:p w14:paraId="3A4292B9">
            <w:pPr>
              <w:pStyle w:val="17"/>
              <w:keepNext w:val="0"/>
              <w:keepLines w:val="0"/>
              <w:pageBreakBefore w:val="0"/>
              <w:kinsoku/>
              <w:wordWrap w:val="0"/>
              <w:overflowPunct/>
              <w:topLinePunct w:val="0"/>
              <w:bidi w:val="0"/>
              <w:spacing w:before="3"/>
              <w:ind w:left="110" w:right="100"/>
              <w:jc w:val="center"/>
              <w:rPr>
                <w:color w:val="auto"/>
                <w:sz w:val="24"/>
                <w:highlight w:val="none"/>
              </w:rPr>
            </w:pPr>
            <w:r>
              <w:rPr>
                <w:color w:val="auto"/>
                <w:sz w:val="24"/>
                <w:highlight w:val="none"/>
              </w:rPr>
              <w:t>供应商</w:t>
            </w:r>
          </w:p>
        </w:tc>
        <w:tc>
          <w:tcPr>
            <w:tcW w:w="6768" w:type="dxa"/>
            <w:noWrap w:val="0"/>
            <w:vAlign w:val="center"/>
          </w:tcPr>
          <w:p w14:paraId="040B925F">
            <w:pPr>
              <w:pStyle w:val="17"/>
              <w:keepNext w:val="0"/>
              <w:keepLines w:val="0"/>
              <w:pageBreakBefore w:val="0"/>
              <w:kinsoku/>
              <w:wordWrap w:val="0"/>
              <w:overflowPunct/>
              <w:topLinePunct w:val="0"/>
              <w:bidi w:val="0"/>
              <w:ind w:left="107"/>
              <w:jc w:val="both"/>
              <w:rPr>
                <w:color w:val="auto"/>
                <w:sz w:val="24"/>
                <w:highlight w:val="none"/>
              </w:rPr>
            </w:pPr>
            <w:r>
              <w:rPr>
                <w:rFonts w:hint="eastAsia"/>
                <w:color w:val="auto"/>
                <w:sz w:val="24"/>
                <w:highlight w:val="none"/>
              </w:rPr>
              <w:t>否，由磋商小组按照评审得分由高到</w:t>
            </w:r>
            <w:r>
              <w:rPr>
                <w:rFonts w:hint="eastAsia"/>
                <w:color w:val="auto"/>
                <w:sz w:val="24"/>
                <w:highlight w:val="none"/>
                <w:lang w:eastAsia="zh-CN"/>
              </w:rPr>
              <w:t>低</w:t>
            </w:r>
            <w:r>
              <w:rPr>
                <w:rFonts w:hint="eastAsia"/>
                <w:color w:val="auto"/>
                <w:sz w:val="24"/>
                <w:highlight w:val="none"/>
              </w:rPr>
              <w:t>推荐3名成交候选供应商</w:t>
            </w:r>
          </w:p>
        </w:tc>
      </w:tr>
      <w:tr w14:paraId="16C75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1101" w:type="dxa"/>
            <w:noWrap w:val="0"/>
            <w:vAlign w:val="top"/>
          </w:tcPr>
          <w:p w14:paraId="52FF3643">
            <w:pPr>
              <w:pStyle w:val="17"/>
              <w:keepNext w:val="0"/>
              <w:keepLines w:val="0"/>
              <w:pageBreakBefore w:val="0"/>
              <w:kinsoku/>
              <w:wordWrap w:val="0"/>
              <w:overflowPunct/>
              <w:topLinePunct w:val="0"/>
              <w:bidi w:val="0"/>
              <w:rPr>
                <w:b/>
                <w:color w:val="auto"/>
                <w:sz w:val="24"/>
                <w:highlight w:val="none"/>
              </w:rPr>
            </w:pPr>
          </w:p>
          <w:p w14:paraId="776D4380">
            <w:pPr>
              <w:pStyle w:val="17"/>
              <w:keepNext w:val="0"/>
              <w:keepLines w:val="0"/>
              <w:pageBreakBefore w:val="0"/>
              <w:kinsoku/>
              <w:wordWrap w:val="0"/>
              <w:overflowPunct/>
              <w:topLinePunct w:val="0"/>
              <w:bidi w:val="0"/>
              <w:spacing w:before="11"/>
              <w:rPr>
                <w:b/>
                <w:color w:val="auto"/>
                <w:sz w:val="21"/>
                <w:highlight w:val="none"/>
              </w:rPr>
            </w:pPr>
          </w:p>
          <w:p w14:paraId="5E8F8842">
            <w:pPr>
              <w:pStyle w:val="17"/>
              <w:keepNext w:val="0"/>
              <w:keepLines w:val="0"/>
              <w:pageBreakBefore w:val="0"/>
              <w:kinsoku/>
              <w:wordWrap w:val="0"/>
              <w:overflowPunct/>
              <w:topLinePunct w:val="0"/>
              <w:bidi w:val="0"/>
              <w:ind w:left="369"/>
              <w:rPr>
                <w:color w:val="auto"/>
                <w:sz w:val="24"/>
                <w:highlight w:val="none"/>
              </w:rPr>
            </w:pPr>
            <w:r>
              <w:rPr>
                <w:color w:val="auto"/>
                <w:sz w:val="24"/>
                <w:highlight w:val="none"/>
              </w:rPr>
              <w:t>3.3</w:t>
            </w:r>
          </w:p>
        </w:tc>
        <w:tc>
          <w:tcPr>
            <w:tcW w:w="1715" w:type="dxa"/>
            <w:noWrap w:val="0"/>
            <w:vAlign w:val="center"/>
          </w:tcPr>
          <w:p w14:paraId="4F6ED184">
            <w:pPr>
              <w:pStyle w:val="17"/>
              <w:keepNext w:val="0"/>
              <w:keepLines w:val="0"/>
              <w:pageBreakBefore w:val="0"/>
              <w:kinsoku/>
              <w:wordWrap w:val="0"/>
              <w:overflowPunct/>
              <w:topLinePunct w:val="0"/>
              <w:bidi w:val="0"/>
              <w:jc w:val="center"/>
              <w:rPr>
                <w:b/>
                <w:color w:val="auto"/>
                <w:sz w:val="20"/>
                <w:highlight w:val="none"/>
              </w:rPr>
            </w:pPr>
          </w:p>
          <w:p w14:paraId="26A49716">
            <w:pPr>
              <w:pStyle w:val="17"/>
              <w:keepNext w:val="0"/>
              <w:keepLines w:val="0"/>
              <w:pageBreakBefore w:val="0"/>
              <w:kinsoku/>
              <w:wordWrap w:val="0"/>
              <w:overflowPunct/>
              <w:topLinePunct w:val="0"/>
              <w:bidi w:val="0"/>
              <w:ind w:left="110" w:right="100"/>
              <w:jc w:val="center"/>
              <w:rPr>
                <w:color w:val="auto"/>
                <w:sz w:val="24"/>
                <w:highlight w:val="none"/>
              </w:rPr>
            </w:pPr>
            <w:r>
              <w:rPr>
                <w:rFonts w:hint="eastAsia"/>
                <w:color w:val="auto"/>
                <w:sz w:val="24"/>
                <w:highlight w:val="none"/>
              </w:rPr>
              <w:t>验收及</w:t>
            </w:r>
            <w:r>
              <w:rPr>
                <w:color w:val="auto"/>
                <w:sz w:val="24"/>
                <w:highlight w:val="none"/>
              </w:rPr>
              <w:t>付款方式</w:t>
            </w:r>
          </w:p>
        </w:tc>
        <w:tc>
          <w:tcPr>
            <w:tcW w:w="6768" w:type="dxa"/>
            <w:noWrap w:val="0"/>
            <w:vAlign w:val="top"/>
          </w:tcPr>
          <w:p w14:paraId="044109C4">
            <w:pPr>
              <w:pStyle w:val="17"/>
              <w:keepNext w:val="0"/>
              <w:keepLines w:val="0"/>
              <w:pageBreakBefore w:val="0"/>
              <w:kinsoku/>
              <w:wordWrap w:val="0"/>
              <w:overflowPunct/>
              <w:topLinePunct w:val="0"/>
              <w:bidi w:val="0"/>
              <w:rPr>
                <w:b/>
                <w:color w:val="auto"/>
                <w:sz w:val="20"/>
                <w:highlight w:val="none"/>
              </w:rPr>
            </w:pPr>
          </w:p>
          <w:p w14:paraId="5B23ECFD">
            <w:pPr>
              <w:pStyle w:val="17"/>
              <w:keepNext w:val="0"/>
              <w:keepLines w:val="0"/>
              <w:pageBreakBefore w:val="0"/>
              <w:kinsoku/>
              <w:wordWrap w:val="0"/>
              <w:overflowPunct/>
              <w:topLinePunct w:val="0"/>
              <w:bidi w:val="0"/>
              <w:ind w:left="107"/>
              <w:rPr>
                <w:color w:val="auto"/>
                <w:sz w:val="24"/>
                <w:highlight w:val="none"/>
              </w:rPr>
            </w:pPr>
            <w:r>
              <w:rPr>
                <w:rFonts w:hint="eastAsia"/>
                <w:color w:val="auto"/>
                <w:sz w:val="24"/>
                <w:highlight w:val="none"/>
                <w:lang w:val="en-US"/>
              </w:rPr>
              <w:t>1、</w:t>
            </w:r>
            <w:r>
              <w:rPr>
                <w:rFonts w:hint="eastAsia"/>
                <w:color w:val="auto"/>
                <w:sz w:val="24"/>
                <w:highlight w:val="none"/>
              </w:rPr>
              <w:t>合同签订</w:t>
            </w:r>
            <w:r>
              <w:rPr>
                <w:rFonts w:hint="eastAsia"/>
                <w:color w:val="auto"/>
                <w:sz w:val="24"/>
                <w:highlight w:val="none"/>
                <w:lang w:val="en-US" w:eastAsia="zh-CN"/>
              </w:rPr>
              <w:t>供货完成，验收合格后按卢氏县财政资金相关管理规定100%支付</w:t>
            </w:r>
            <w:r>
              <w:rPr>
                <w:rFonts w:hint="eastAsia"/>
                <w:color w:val="auto"/>
                <w:sz w:val="24"/>
                <w:highlight w:val="none"/>
              </w:rPr>
              <w:t>。</w:t>
            </w:r>
          </w:p>
          <w:p w14:paraId="4E394C5F">
            <w:pPr>
              <w:pStyle w:val="17"/>
              <w:keepNext w:val="0"/>
              <w:keepLines w:val="0"/>
              <w:pageBreakBefore w:val="0"/>
              <w:kinsoku/>
              <w:wordWrap w:val="0"/>
              <w:overflowPunct/>
              <w:topLinePunct w:val="0"/>
              <w:bidi w:val="0"/>
              <w:ind w:left="107"/>
              <w:rPr>
                <w:color w:val="auto"/>
                <w:sz w:val="24"/>
                <w:highlight w:val="none"/>
              </w:rPr>
            </w:pPr>
            <w:r>
              <w:rPr>
                <w:rFonts w:hint="eastAsia"/>
                <w:color w:val="auto"/>
                <w:sz w:val="24"/>
                <w:highlight w:val="none"/>
                <w:lang w:val="en-US"/>
              </w:rPr>
              <w:t>2、</w:t>
            </w:r>
            <w:r>
              <w:rPr>
                <w:rFonts w:hint="eastAsia"/>
                <w:color w:val="auto"/>
                <w:sz w:val="24"/>
                <w:highlight w:val="none"/>
              </w:rPr>
              <w:t>按标书技术参数和国家行业标准进行验收</w:t>
            </w:r>
          </w:p>
        </w:tc>
      </w:tr>
      <w:tr w14:paraId="4FDB4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1101" w:type="dxa"/>
            <w:noWrap w:val="0"/>
            <w:vAlign w:val="center"/>
          </w:tcPr>
          <w:p w14:paraId="1E7795E5">
            <w:pPr>
              <w:pStyle w:val="17"/>
              <w:keepNext w:val="0"/>
              <w:keepLines w:val="0"/>
              <w:pageBreakBefore w:val="0"/>
              <w:kinsoku/>
              <w:wordWrap w:val="0"/>
              <w:overflowPunct/>
              <w:topLinePunct w:val="0"/>
              <w:bidi w:val="0"/>
              <w:jc w:val="center"/>
              <w:rPr>
                <w:b/>
                <w:color w:val="auto"/>
                <w:sz w:val="20"/>
                <w:highlight w:val="none"/>
              </w:rPr>
            </w:pPr>
          </w:p>
          <w:p w14:paraId="084181A8">
            <w:pPr>
              <w:pStyle w:val="17"/>
              <w:keepNext w:val="0"/>
              <w:keepLines w:val="0"/>
              <w:pageBreakBefore w:val="0"/>
              <w:kinsoku/>
              <w:wordWrap w:val="0"/>
              <w:overflowPunct/>
              <w:topLinePunct w:val="0"/>
              <w:bidi w:val="0"/>
              <w:ind w:left="369"/>
              <w:jc w:val="both"/>
              <w:rPr>
                <w:color w:val="auto"/>
                <w:sz w:val="24"/>
                <w:highlight w:val="none"/>
              </w:rPr>
            </w:pPr>
            <w:r>
              <w:rPr>
                <w:color w:val="auto"/>
                <w:sz w:val="24"/>
                <w:highlight w:val="none"/>
              </w:rPr>
              <w:t>3.4</w:t>
            </w:r>
          </w:p>
        </w:tc>
        <w:tc>
          <w:tcPr>
            <w:tcW w:w="1715" w:type="dxa"/>
            <w:noWrap w:val="0"/>
            <w:vAlign w:val="top"/>
          </w:tcPr>
          <w:p w14:paraId="7ADD4B12">
            <w:pPr>
              <w:pStyle w:val="17"/>
              <w:keepNext w:val="0"/>
              <w:keepLines w:val="0"/>
              <w:pageBreakBefore w:val="0"/>
              <w:kinsoku/>
              <w:wordWrap w:val="0"/>
              <w:overflowPunct/>
              <w:topLinePunct w:val="0"/>
              <w:bidi w:val="0"/>
              <w:spacing w:before="1"/>
              <w:rPr>
                <w:b/>
                <w:color w:val="auto"/>
                <w:sz w:val="28"/>
                <w:highlight w:val="none"/>
              </w:rPr>
            </w:pPr>
          </w:p>
          <w:p w14:paraId="41671965">
            <w:pPr>
              <w:pStyle w:val="17"/>
              <w:keepNext w:val="0"/>
              <w:keepLines w:val="0"/>
              <w:pageBreakBefore w:val="0"/>
              <w:kinsoku/>
              <w:wordWrap w:val="0"/>
              <w:overflowPunct/>
              <w:topLinePunct w:val="0"/>
              <w:bidi w:val="0"/>
              <w:ind w:left="110" w:right="100"/>
              <w:jc w:val="center"/>
              <w:rPr>
                <w:color w:val="auto"/>
                <w:sz w:val="24"/>
                <w:highlight w:val="none"/>
              </w:rPr>
            </w:pPr>
            <w:r>
              <w:rPr>
                <w:rFonts w:hint="eastAsia"/>
                <w:color w:val="auto"/>
                <w:sz w:val="24"/>
                <w:highlight w:val="none"/>
              </w:rPr>
              <w:t>代理</w:t>
            </w:r>
            <w:r>
              <w:rPr>
                <w:color w:val="auto"/>
                <w:sz w:val="24"/>
                <w:highlight w:val="none"/>
              </w:rPr>
              <w:t>服务费</w:t>
            </w:r>
          </w:p>
        </w:tc>
        <w:tc>
          <w:tcPr>
            <w:tcW w:w="6768" w:type="dxa"/>
            <w:noWrap w:val="0"/>
            <w:vAlign w:val="top"/>
          </w:tcPr>
          <w:p w14:paraId="33F3B4BF">
            <w:pPr>
              <w:pStyle w:val="17"/>
              <w:keepNext w:val="0"/>
              <w:keepLines w:val="0"/>
              <w:pageBreakBefore w:val="0"/>
              <w:kinsoku/>
              <w:wordWrap w:val="0"/>
              <w:overflowPunct/>
              <w:topLinePunct w:val="0"/>
              <w:bidi w:val="0"/>
              <w:spacing w:before="1" w:line="460" w:lineRule="exact"/>
              <w:ind w:left="107" w:right="2"/>
              <w:rPr>
                <w:color w:val="auto"/>
                <w:sz w:val="24"/>
                <w:highlight w:val="none"/>
              </w:rPr>
            </w:pPr>
            <w:r>
              <w:rPr>
                <w:rFonts w:hint="eastAsia"/>
                <w:color w:val="auto"/>
                <w:sz w:val="24"/>
                <w:highlight w:val="none"/>
              </w:rPr>
              <w:t>招标代理服务收费参照豫招协[2023]002号《河南省招标代理服务收费指导意见》规定的收费标准收取中标服务费。本项目为政府采购货物类</w:t>
            </w:r>
            <w:r>
              <w:rPr>
                <w:rFonts w:hint="eastAsia"/>
                <w:color w:val="auto"/>
                <w:sz w:val="24"/>
                <w:highlight w:val="none"/>
                <w:lang w:eastAsia="zh-CN"/>
              </w:rPr>
              <w:t>。</w:t>
            </w:r>
            <w:r>
              <w:rPr>
                <w:rFonts w:hint="eastAsia"/>
                <w:color w:val="auto"/>
                <w:sz w:val="24"/>
                <w:highlight w:val="none"/>
              </w:rPr>
              <w:t>收费标准</w:t>
            </w:r>
            <w:r>
              <w:rPr>
                <w:rFonts w:hint="eastAsia"/>
                <w:color w:val="auto"/>
                <w:sz w:val="24"/>
                <w:highlight w:val="none"/>
                <w:lang w:val="en-US" w:eastAsia="zh-CN"/>
              </w:rPr>
              <w:t>计算方式详见第二章供应商须知第33条</w:t>
            </w:r>
            <w:r>
              <w:rPr>
                <w:rFonts w:hint="eastAsia"/>
                <w:color w:val="auto"/>
                <w:sz w:val="24"/>
                <w:highlight w:val="none"/>
              </w:rPr>
              <w:t>。</w:t>
            </w:r>
          </w:p>
        </w:tc>
      </w:tr>
      <w:tr w14:paraId="0231D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top"/>
          </w:tcPr>
          <w:p w14:paraId="73DC36C2">
            <w:pPr>
              <w:pStyle w:val="17"/>
              <w:keepNext w:val="0"/>
              <w:keepLines w:val="0"/>
              <w:pageBreakBefore w:val="0"/>
              <w:kinsoku/>
              <w:wordWrap w:val="0"/>
              <w:overflowPunct/>
              <w:topLinePunct w:val="0"/>
              <w:bidi w:val="0"/>
              <w:spacing w:before="1"/>
              <w:rPr>
                <w:b/>
                <w:color w:val="auto"/>
                <w:sz w:val="28"/>
                <w:highlight w:val="none"/>
              </w:rPr>
            </w:pPr>
          </w:p>
          <w:p w14:paraId="06081B32">
            <w:pPr>
              <w:pStyle w:val="17"/>
              <w:keepNext w:val="0"/>
              <w:keepLines w:val="0"/>
              <w:pageBreakBefore w:val="0"/>
              <w:kinsoku/>
              <w:wordWrap w:val="0"/>
              <w:overflowPunct/>
              <w:topLinePunct w:val="0"/>
              <w:bidi w:val="0"/>
              <w:ind w:left="369"/>
              <w:rPr>
                <w:color w:val="auto"/>
                <w:sz w:val="24"/>
                <w:highlight w:val="none"/>
                <w:lang w:val="en-US"/>
              </w:rPr>
            </w:pPr>
            <w:r>
              <w:rPr>
                <w:color w:val="auto"/>
                <w:sz w:val="24"/>
                <w:highlight w:val="none"/>
              </w:rPr>
              <w:t>3.</w:t>
            </w:r>
            <w:r>
              <w:rPr>
                <w:rFonts w:hint="eastAsia"/>
                <w:color w:val="auto"/>
                <w:sz w:val="24"/>
                <w:highlight w:val="none"/>
                <w:lang w:val="en-US"/>
              </w:rPr>
              <w:t>5</w:t>
            </w:r>
          </w:p>
        </w:tc>
        <w:tc>
          <w:tcPr>
            <w:tcW w:w="1715" w:type="dxa"/>
            <w:noWrap w:val="0"/>
            <w:vAlign w:val="top"/>
          </w:tcPr>
          <w:p w14:paraId="1B3761E9">
            <w:pPr>
              <w:pStyle w:val="17"/>
              <w:keepNext w:val="0"/>
              <w:keepLines w:val="0"/>
              <w:pageBreakBefore w:val="0"/>
              <w:kinsoku/>
              <w:wordWrap w:val="0"/>
              <w:overflowPunct/>
              <w:topLinePunct w:val="0"/>
              <w:bidi w:val="0"/>
              <w:rPr>
                <w:b/>
                <w:color w:val="auto"/>
                <w:sz w:val="24"/>
                <w:highlight w:val="none"/>
              </w:rPr>
            </w:pPr>
          </w:p>
          <w:p w14:paraId="07DB61BA">
            <w:pPr>
              <w:pStyle w:val="17"/>
              <w:keepNext w:val="0"/>
              <w:keepLines w:val="0"/>
              <w:pageBreakBefore w:val="0"/>
              <w:kinsoku/>
              <w:wordWrap w:val="0"/>
              <w:overflowPunct/>
              <w:topLinePunct w:val="0"/>
              <w:bidi w:val="0"/>
              <w:rPr>
                <w:b/>
                <w:color w:val="auto"/>
                <w:sz w:val="24"/>
                <w:highlight w:val="none"/>
              </w:rPr>
            </w:pPr>
          </w:p>
          <w:p w14:paraId="03BF204D">
            <w:pPr>
              <w:pStyle w:val="17"/>
              <w:keepNext w:val="0"/>
              <w:keepLines w:val="0"/>
              <w:pageBreakBefore w:val="0"/>
              <w:kinsoku/>
              <w:wordWrap w:val="0"/>
              <w:overflowPunct/>
              <w:topLinePunct w:val="0"/>
              <w:bidi w:val="0"/>
              <w:spacing w:before="204"/>
              <w:ind w:left="110" w:right="100"/>
              <w:jc w:val="center"/>
              <w:rPr>
                <w:color w:val="auto"/>
                <w:sz w:val="24"/>
                <w:highlight w:val="none"/>
              </w:rPr>
            </w:pPr>
            <w:r>
              <w:rPr>
                <w:color w:val="auto"/>
                <w:sz w:val="24"/>
                <w:highlight w:val="none"/>
              </w:rPr>
              <w:t>采购预算价</w:t>
            </w:r>
          </w:p>
        </w:tc>
        <w:tc>
          <w:tcPr>
            <w:tcW w:w="6768" w:type="dxa"/>
            <w:noWrap w:val="0"/>
            <w:vAlign w:val="top"/>
          </w:tcPr>
          <w:p w14:paraId="59D36BCE">
            <w:pPr>
              <w:pStyle w:val="17"/>
              <w:keepNext w:val="0"/>
              <w:keepLines w:val="0"/>
              <w:pageBreakBefore w:val="0"/>
              <w:kinsoku/>
              <w:wordWrap w:val="0"/>
              <w:overflowPunct/>
              <w:topLinePunct w:val="0"/>
              <w:bidi w:val="0"/>
              <w:spacing w:before="1" w:line="460" w:lineRule="exact"/>
              <w:ind w:right="2" w:firstLine="480" w:firstLineChars="200"/>
              <w:rPr>
                <w:rFonts w:hint="eastAsia" w:ascii="宋体" w:hAnsi="宋体" w:eastAsia="宋体" w:cs="宋体"/>
                <w:color w:val="auto"/>
                <w:sz w:val="24"/>
                <w:highlight w:val="none"/>
                <w:lang w:val="en-US" w:eastAsia="zh-CN"/>
              </w:rPr>
            </w:pPr>
            <w:r>
              <w:rPr>
                <w:color w:val="auto"/>
                <w:sz w:val="24"/>
                <w:highlight w:val="none"/>
              </w:rPr>
              <w:t>本项目采购预算价：</w:t>
            </w:r>
            <w:r>
              <w:rPr>
                <w:rFonts w:hint="eastAsia"/>
                <w:color w:val="auto"/>
                <w:sz w:val="24"/>
                <w:highlight w:val="none"/>
                <w:lang w:val="en-US" w:eastAsia="zh-CN"/>
              </w:rPr>
              <w:t>三标段：446152.00元</w:t>
            </w:r>
          </w:p>
          <w:p w14:paraId="2736299F">
            <w:pPr>
              <w:pStyle w:val="17"/>
              <w:keepNext w:val="0"/>
              <w:keepLines w:val="0"/>
              <w:pageBreakBefore w:val="0"/>
              <w:kinsoku/>
              <w:wordWrap w:val="0"/>
              <w:overflowPunct/>
              <w:topLinePunct w:val="0"/>
              <w:bidi w:val="0"/>
              <w:spacing w:before="1" w:line="460" w:lineRule="exact"/>
              <w:ind w:left="107" w:right="2"/>
              <w:rPr>
                <w:color w:val="auto"/>
                <w:sz w:val="24"/>
                <w:highlight w:val="none"/>
              </w:rPr>
            </w:pPr>
            <w:r>
              <w:rPr>
                <w:rFonts w:hint="eastAsia" w:ascii="宋体" w:hAnsi="宋体" w:eastAsia="宋体" w:cs="宋体"/>
                <w:color w:val="auto"/>
                <w:sz w:val="24"/>
                <w:highlight w:val="none"/>
                <w:lang w:val="en-US" w:eastAsia="zh-CN"/>
              </w:rPr>
              <w:t>凡磋商响应供应商磋商报价超出“采购预算价”</w:t>
            </w:r>
            <w:r>
              <w:rPr>
                <w:color w:val="auto"/>
                <w:sz w:val="24"/>
                <w:highlight w:val="none"/>
              </w:rPr>
              <w:t>的，该磋商响应供应商的磋商响应文件应作无效标处理。</w:t>
            </w:r>
          </w:p>
        </w:tc>
      </w:tr>
      <w:tr w14:paraId="58922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top"/>
          </w:tcPr>
          <w:p w14:paraId="1014B146">
            <w:pPr>
              <w:pStyle w:val="17"/>
              <w:keepNext w:val="0"/>
              <w:keepLines w:val="0"/>
              <w:pageBreakBefore w:val="0"/>
              <w:kinsoku/>
              <w:wordWrap w:val="0"/>
              <w:overflowPunct/>
              <w:topLinePunct w:val="0"/>
              <w:bidi w:val="0"/>
              <w:rPr>
                <w:b/>
                <w:color w:val="auto"/>
                <w:sz w:val="24"/>
                <w:highlight w:val="none"/>
              </w:rPr>
            </w:pPr>
          </w:p>
          <w:p w14:paraId="24C3D7E3">
            <w:pPr>
              <w:pStyle w:val="17"/>
              <w:keepNext w:val="0"/>
              <w:keepLines w:val="0"/>
              <w:pageBreakBefore w:val="0"/>
              <w:kinsoku/>
              <w:wordWrap w:val="0"/>
              <w:overflowPunct/>
              <w:topLinePunct w:val="0"/>
              <w:bidi w:val="0"/>
              <w:rPr>
                <w:b/>
                <w:color w:val="auto"/>
                <w:sz w:val="24"/>
                <w:highlight w:val="none"/>
              </w:rPr>
            </w:pPr>
          </w:p>
          <w:p w14:paraId="2508AFA5">
            <w:pPr>
              <w:pStyle w:val="17"/>
              <w:keepNext w:val="0"/>
              <w:keepLines w:val="0"/>
              <w:pageBreakBefore w:val="0"/>
              <w:kinsoku/>
              <w:wordWrap w:val="0"/>
              <w:overflowPunct/>
              <w:topLinePunct w:val="0"/>
              <w:bidi w:val="0"/>
              <w:spacing w:before="204"/>
              <w:ind w:left="369"/>
              <w:rPr>
                <w:color w:val="auto"/>
                <w:sz w:val="24"/>
                <w:highlight w:val="none"/>
              </w:rPr>
            </w:pPr>
            <w:r>
              <w:rPr>
                <w:color w:val="auto"/>
                <w:sz w:val="24"/>
                <w:highlight w:val="none"/>
              </w:rPr>
              <w:t>3.</w:t>
            </w:r>
            <w:r>
              <w:rPr>
                <w:rFonts w:hint="eastAsia"/>
                <w:color w:val="auto"/>
                <w:sz w:val="24"/>
                <w:highlight w:val="none"/>
                <w:lang w:val="en-US"/>
              </w:rPr>
              <w:t>6</w:t>
            </w:r>
          </w:p>
        </w:tc>
        <w:tc>
          <w:tcPr>
            <w:tcW w:w="1715" w:type="dxa"/>
            <w:noWrap w:val="0"/>
            <w:vAlign w:val="center"/>
          </w:tcPr>
          <w:p w14:paraId="4C41C830">
            <w:pPr>
              <w:keepNext w:val="0"/>
              <w:keepLines w:val="0"/>
              <w:pageBreakBefore w:val="0"/>
              <w:kinsoku/>
              <w:wordWrap w:val="0"/>
              <w:overflowPunct/>
              <w:topLinePunct w:val="0"/>
              <w:bidi w:val="0"/>
              <w:adjustRightInd w:val="0"/>
              <w:spacing w:line="480" w:lineRule="exact"/>
              <w:jc w:val="center"/>
              <w:textAlignment w:val="baseline"/>
              <w:rPr>
                <w:color w:val="auto"/>
                <w:sz w:val="24"/>
                <w:highlight w:val="none"/>
              </w:rPr>
            </w:pPr>
            <w:r>
              <w:rPr>
                <w:rFonts w:hint="eastAsia"/>
                <w:color w:val="auto"/>
                <w:sz w:val="24"/>
                <w:highlight w:val="none"/>
              </w:rPr>
              <w:t>解释权</w:t>
            </w:r>
          </w:p>
        </w:tc>
        <w:tc>
          <w:tcPr>
            <w:tcW w:w="6768" w:type="dxa"/>
            <w:noWrap w:val="0"/>
            <w:vAlign w:val="center"/>
          </w:tcPr>
          <w:p w14:paraId="56613D07">
            <w:pPr>
              <w:keepNext w:val="0"/>
              <w:keepLines w:val="0"/>
              <w:pageBreakBefore w:val="0"/>
              <w:kinsoku/>
              <w:wordWrap w:val="0"/>
              <w:overflowPunct/>
              <w:topLinePunct w:val="0"/>
              <w:bidi w:val="0"/>
              <w:adjustRightInd w:val="0"/>
              <w:spacing w:line="480" w:lineRule="exact"/>
              <w:ind w:firstLine="240" w:firstLineChars="100"/>
              <w:textAlignment w:val="baseline"/>
              <w:rPr>
                <w:color w:val="auto"/>
                <w:sz w:val="24"/>
                <w:highlight w:val="none"/>
              </w:rPr>
            </w:pPr>
            <w:r>
              <w:rPr>
                <w:rFonts w:hint="eastAsia"/>
                <w:color w:val="auto"/>
                <w:sz w:val="24"/>
                <w:highlight w:val="none"/>
              </w:rPr>
              <w:t>构成本磋商文件的各个组成文件应互为解释，互为说明；如有不明确或不一致，按磋商公告、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6791A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center"/>
          </w:tcPr>
          <w:p w14:paraId="0B8E7B62">
            <w:pPr>
              <w:pStyle w:val="17"/>
              <w:keepNext w:val="0"/>
              <w:keepLines w:val="0"/>
              <w:pageBreakBefore w:val="0"/>
              <w:kinsoku/>
              <w:wordWrap w:val="0"/>
              <w:overflowPunct/>
              <w:topLinePunct w:val="0"/>
              <w:bidi w:val="0"/>
              <w:spacing w:before="1"/>
              <w:ind w:left="166" w:right="158"/>
              <w:jc w:val="center"/>
              <w:rPr>
                <w:color w:val="auto"/>
                <w:sz w:val="24"/>
                <w:highlight w:val="none"/>
                <w:lang w:val="en-US"/>
              </w:rPr>
            </w:pPr>
            <w:r>
              <w:rPr>
                <w:rFonts w:hint="eastAsia"/>
                <w:color w:val="auto"/>
                <w:sz w:val="24"/>
                <w:highlight w:val="none"/>
                <w:lang w:val="en-US"/>
              </w:rPr>
              <w:t>3.7</w:t>
            </w:r>
          </w:p>
        </w:tc>
        <w:tc>
          <w:tcPr>
            <w:tcW w:w="1715" w:type="dxa"/>
            <w:noWrap w:val="0"/>
            <w:vAlign w:val="center"/>
          </w:tcPr>
          <w:p w14:paraId="751E54E3">
            <w:pPr>
              <w:keepNext w:val="0"/>
              <w:keepLines w:val="0"/>
              <w:pageBreakBefore w:val="0"/>
              <w:kinsoku/>
              <w:wordWrap w:val="0"/>
              <w:overflowPunct/>
              <w:topLinePunct w:val="0"/>
              <w:bidi w:val="0"/>
              <w:adjustRightInd w:val="0"/>
              <w:spacing w:line="480" w:lineRule="exact"/>
              <w:ind w:firstLine="480" w:firstLineChars="200"/>
              <w:textAlignment w:val="baseline"/>
              <w:rPr>
                <w:color w:val="auto"/>
                <w:sz w:val="24"/>
                <w:highlight w:val="none"/>
              </w:rPr>
            </w:pPr>
            <w:r>
              <w:rPr>
                <w:rFonts w:hint="eastAsia"/>
                <w:color w:val="auto"/>
                <w:sz w:val="24"/>
                <w:highlight w:val="none"/>
              </w:rPr>
              <w:t>报价</w:t>
            </w:r>
          </w:p>
        </w:tc>
        <w:tc>
          <w:tcPr>
            <w:tcW w:w="6768" w:type="dxa"/>
            <w:noWrap w:val="0"/>
            <w:vAlign w:val="center"/>
          </w:tcPr>
          <w:p w14:paraId="70A63780">
            <w:pPr>
              <w:pStyle w:val="18"/>
              <w:keepNext w:val="0"/>
              <w:keepLines w:val="0"/>
              <w:pageBreakBefore w:val="0"/>
              <w:numPr>
                <w:ilvl w:val="0"/>
                <w:numId w:val="0"/>
              </w:numPr>
              <w:kinsoku/>
              <w:wordWrap w:val="0"/>
              <w:overflowPunct/>
              <w:topLinePunct w:val="0"/>
              <w:bidi w:val="0"/>
              <w:ind w:left="0" w:leftChars="0"/>
              <w:outlineLvl w:val="0"/>
              <w:rPr>
                <w:rFonts w:ascii="宋体" w:hAnsi="宋体"/>
                <w:color w:val="auto"/>
                <w:kern w:val="2"/>
                <w:sz w:val="24"/>
                <w:szCs w:val="24"/>
                <w:highlight w:val="none"/>
                <w:lang w:val="en-US"/>
              </w:rPr>
            </w:pPr>
            <w:r>
              <w:rPr>
                <w:rFonts w:ascii="宋体" w:hAnsi="宋体" w:eastAsia="宋体" w:cs="宋体"/>
                <w:b w:val="0"/>
                <w:bCs w:val="0"/>
                <w:color w:val="auto"/>
                <w:kern w:val="2"/>
                <w:sz w:val="24"/>
                <w:szCs w:val="24"/>
                <w:highlight w:val="none"/>
                <w:lang w:val="en-US" w:eastAsia="zh-CN" w:bidi="zh-CN"/>
              </w:rPr>
              <w:t>1、</w:t>
            </w:r>
            <w:r>
              <w:rPr>
                <w:rFonts w:hint="eastAsia" w:ascii="宋体" w:hAnsi="宋体"/>
                <w:color w:val="auto"/>
                <w:kern w:val="2"/>
                <w:sz w:val="24"/>
                <w:szCs w:val="24"/>
                <w:highlight w:val="none"/>
                <w:lang w:val="en-US"/>
              </w:rPr>
              <w:t>本次竞争性磋商</w:t>
            </w:r>
            <w:r>
              <w:rPr>
                <w:rFonts w:ascii="宋体" w:hAnsi="宋体"/>
                <w:color w:val="auto"/>
                <w:kern w:val="2"/>
                <w:sz w:val="24"/>
                <w:szCs w:val="24"/>
                <w:highlight w:val="none"/>
                <w:lang w:val="en-US"/>
              </w:rPr>
              <w:t>采取两轮报价</w:t>
            </w:r>
            <w:r>
              <w:rPr>
                <w:rFonts w:hint="eastAsia" w:ascii="宋体" w:hAnsi="宋体"/>
                <w:color w:val="auto"/>
                <w:kern w:val="2"/>
                <w:sz w:val="24"/>
                <w:szCs w:val="24"/>
                <w:highlight w:val="none"/>
                <w:lang w:val="en-US"/>
              </w:rPr>
              <w:t>：第一轮报价直接填报于磋商响应文件中，</w:t>
            </w:r>
            <w:r>
              <w:rPr>
                <w:rFonts w:ascii="宋体" w:hAnsi="宋体"/>
                <w:color w:val="auto"/>
                <w:kern w:val="2"/>
                <w:sz w:val="24"/>
                <w:szCs w:val="24"/>
                <w:highlight w:val="none"/>
                <w:lang w:val="en-US"/>
              </w:rPr>
              <w:t>综合评标基本完毕后进行第二轮报价</w:t>
            </w:r>
            <w:r>
              <w:rPr>
                <w:rFonts w:hint="eastAsia" w:ascii="宋体" w:hAnsi="宋体"/>
                <w:color w:val="auto"/>
                <w:kern w:val="2"/>
                <w:sz w:val="24"/>
                <w:szCs w:val="24"/>
                <w:highlight w:val="none"/>
                <w:lang w:val="en-US"/>
              </w:rPr>
              <w:t>。</w:t>
            </w:r>
          </w:p>
          <w:p w14:paraId="50AE2D7C">
            <w:pPr>
              <w:pStyle w:val="18"/>
              <w:keepNext w:val="0"/>
              <w:keepLines w:val="0"/>
              <w:pageBreakBefore w:val="0"/>
              <w:numPr>
                <w:ilvl w:val="0"/>
                <w:numId w:val="0"/>
              </w:numPr>
              <w:kinsoku/>
              <w:wordWrap w:val="0"/>
              <w:overflowPunct/>
              <w:topLinePunct w:val="0"/>
              <w:bidi w:val="0"/>
              <w:ind w:left="0" w:leftChars="0"/>
              <w:outlineLvl w:val="0"/>
              <w:rPr>
                <w:color w:val="auto"/>
                <w:sz w:val="24"/>
                <w:highlight w:val="none"/>
              </w:rPr>
            </w:pPr>
            <w:r>
              <w:rPr>
                <w:rFonts w:ascii="宋体" w:hAnsi="宋体" w:eastAsia="宋体" w:cs="宋体"/>
                <w:b w:val="0"/>
                <w:bCs w:val="0"/>
                <w:color w:val="auto"/>
                <w:sz w:val="24"/>
                <w:szCs w:val="20"/>
                <w:highlight w:val="none"/>
                <w:lang w:val="zh-CN" w:eastAsia="zh-CN" w:bidi="zh-CN"/>
              </w:rPr>
              <w:t>2、</w:t>
            </w:r>
            <w:r>
              <w:rPr>
                <w:rFonts w:hint="eastAsia" w:ascii="宋体" w:hAnsi="宋体"/>
                <w:color w:val="auto"/>
                <w:kern w:val="2"/>
                <w:sz w:val="24"/>
                <w:szCs w:val="24"/>
                <w:highlight w:val="none"/>
                <w:lang w:val="en-US"/>
              </w:rPr>
              <w:t>供应商所报总价包含此项目中采购、安装、调试、运输、税金、培训、售后等所有费用。</w:t>
            </w:r>
          </w:p>
        </w:tc>
      </w:tr>
      <w:tr w14:paraId="6BCD0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101" w:type="dxa"/>
            <w:noWrap w:val="0"/>
            <w:vAlign w:val="center"/>
          </w:tcPr>
          <w:p w14:paraId="135672F4">
            <w:pPr>
              <w:pStyle w:val="17"/>
              <w:keepNext w:val="0"/>
              <w:keepLines w:val="0"/>
              <w:pageBreakBefore w:val="0"/>
              <w:kinsoku/>
              <w:wordWrap w:val="0"/>
              <w:overflowPunct/>
              <w:topLinePunct w:val="0"/>
              <w:bidi w:val="0"/>
              <w:spacing w:before="1"/>
              <w:ind w:left="166" w:right="158"/>
              <w:jc w:val="center"/>
              <w:rPr>
                <w:color w:val="auto"/>
                <w:sz w:val="24"/>
                <w:highlight w:val="none"/>
                <w:lang w:val="en-US"/>
              </w:rPr>
            </w:pPr>
            <w:r>
              <w:rPr>
                <w:rFonts w:hint="eastAsia"/>
                <w:color w:val="auto"/>
                <w:sz w:val="24"/>
                <w:highlight w:val="none"/>
                <w:lang w:val="en-US"/>
              </w:rPr>
              <w:t>3.8</w:t>
            </w:r>
          </w:p>
        </w:tc>
        <w:tc>
          <w:tcPr>
            <w:tcW w:w="1715" w:type="dxa"/>
            <w:noWrap w:val="0"/>
            <w:vAlign w:val="center"/>
          </w:tcPr>
          <w:p w14:paraId="2C3908D0">
            <w:pPr>
              <w:keepNext w:val="0"/>
              <w:keepLines w:val="0"/>
              <w:pageBreakBefore w:val="0"/>
              <w:kinsoku/>
              <w:wordWrap w:val="0"/>
              <w:overflowPunct/>
              <w:topLinePunct w:val="0"/>
              <w:bidi w:val="0"/>
              <w:adjustRightInd w:val="0"/>
              <w:spacing w:line="480" w:lineRule="exact"/>
              <w:jc w:val="center"/>
              <w:textAlignment w:val="baseline"/>
              <w:rPr>
                <w:color w:val="auto"/>
                <w:sz w:val="24"/>
                <w:highlight w:val="none"/>
              </w:rPr>
            </w:pPr>
            <w:r>
              <w:rPr>
                <w:rFonts w:hint="eastAsia" w:ascii="宋体" w:hAnsi="宋体" w:eastAsia="宋体" w:cs="宋体"/>
                <w:color w:val="auto"/>
                <w:sz w:val="24"/>
                <w:szCs w:val="22"/>
                <w:highlight w:val="none"/>
                <w:lang w:val="en-US" w:eastAsia="zh-CN" w:bidi="zh-CN"/>
              </w:rPr>
              <w:t>采购标的所属行业</w:t>
            </w:r>
          </w:p>
        </w:tc>
        <w:tc>
          <w:tcPr>
            <w:tcW w:w="6768" w:type="dxa"/>
            <w:noWrap w:val="0"/>
            <w:vAlign w:val="center"/>
          </w:tcPr>
          <w:p w14:paraId="216E3E9B">
            <w:pPr>
              <w:keepNext w:val="0"/>
              <w:keepLines w:val="0"/>
              <w:pageBreakBefore w:val="0"/>
              <w:kinsoku/>
              <w:wordWrap w:val="0"/>
              <w:overflowPunct/>
              <w:topLinePunct w:val="0"/>
              <w:bidi w:val="0"/>
              <w:adjustRightInd w:val="0"/>
              <w:spacing w:line="480" w:lineRule="exact"/>
              <w:ind w:firstLine="240" w:firstLineChars="100"/>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划定标准为：信息传输、软件和信息技术服务业</w:t>
            </w:r>
          </w:p>
          <w:p w14:paraId="7D3E54AF">
            <w:pPr>
              <w:keepNext w:val="0"/>
              <w:keepLines w:val="0"/>
              <w:pageBreakBefore w:val="0"/>
              <w:kinsoku/>
              <w:wordWrap w:val="0"/>
              <w:overflowPunct/>
              <w:topLinePunct w:val="0"/>
              <w:bidi w:val="0"/>
              <w:adjustRightInd w:val="0"/>
              <w:spacing w:line="480" w:lineRule="exact"/>
              <w:ind w:firstLine="240" w:firstLineChars="100"/>
              <w:textAlignment w:val="baseline"/>
              <w:rPr>
                <w:rFonts w:ascii="宋体" w:hAnsi="宋体"/>
                <w:color w:val="auto"/>
                <w:sz w:val="24"/>
                <w:highlight w:val="none"/>
              </w:rPr>
            </w:pPr>
            <w:r>
              <w:rPr>
                <w:rFonts w:hint="eastAsia" w:ascii="宋体" w:hAnsi="宋体" w:eastAsia="宋体" w:cs="宋体"/>
                <w:color w:val="auto"/>
                <w:sz w:val="24"/>
                <w:highlight w:val="none"/>
                <w:lang w:val="en-US" w:eastAsia="zh-CN"/>
              </w:rPr>
              <w:t>《工业和信息化部、国家统计局、国家发展和改革委员会、财政部关于印发&lt;中小企业划型标准规定的通知&gt;（工信部联企业〔2011〕300号）规定的划分标准为依据。</w:t>
            </w:r>
          </w:p>
        </w:tc>
      </w:tr>
      <w:tr w14:paraId="30AE7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101" w:type="dxa"/>
            <w:noWrap w:val="0"/>
            <w:vAlign w:val="center"/>
          </w:tcPr>
          <w:p w14:paraId="203C74AC">
            <w:pPr>
              <w:pStyle w:val="17"/>
              <w:keepNext w:val="0"/>
              <w:keepLines w:val="0"/>
              <w:pageBreakBefore w:val="0"/>
              <w:kinsoku/>
              <w:wordWrap w:val="0"/>
              <w:overflowPunct/>
              <w:topLinePunct w:val="0"/>
              <w:bidi w:val="0"/>
              <w:spacing w:before="1"/>
              <w:ind w:left="166" w:right="158"/>
              <w:jc w:val="center"/>
              <w:rPr>
                <w:rFonts w:hint="default" w:eastAsia="宋体"/>
                <w:color w:val="auto"/>
                <w:sz w:val="24"/>
                <w:highlight w:val="none"/>
                <w:lang w:val="en-US" w:eastAsia="zh-CN"/>
              </w:rPr>
            </w:pPr>
            <w:r>
              <w:rPr>
                <w:rFonts w:hint="eastAsia"/>
                <w:color w:val="auto"/>
                <w:sz w:val="24"/>
                <w:highlight w:val="none"/>
                <w:lang w:val="en-US" w:eastAsia="zh-CN"/>
              </w:rPr>
              <w:t>3.9</w:t>
            </w:r>
          </w:p>
        </w:tc>
        <w:tc>
          <w:tcPr>
            <w:tcW w:w="1715" w:type="dxa"/>
            <w:noWrap w:val="0"/>
            <w:vAlign w:val="center"/>
          </w:tcPr>
          <w:p w14:paraId="7FCCF8CB">
            <w:pPr>
              <w:keepNext w:val="0"/>
              <w:keepLines w:val="0"/>
              <w:pageBreakBefore w:val="0"/>
              <w:kinsoku/>
              <w:wordWrap w:val="0"/>
              <w:overflowPunct/>
              <w:topLinePunct w:val="0"/>
              <w:autoSpaceDE w:val="0"/>
              <w:autoSpaceDN w:val="0"/>
              <w:bidi w:val="0"/>
              <w:adjustRightInd w:val="0"/>
              <w:spacing w:line="360" w:lineRule="auto"/>
              <w:jc w:val="center"/>
              <w:rPr>
                <w:rFonts w:hint="eastAsia"/>
                <w:color w:val="auto"/>
                <w:sz w:val="24"/>
                <w:highlight w:val="none"/>
              </w:rPr>
            </w:pPr>
            <w:r>
              <w:rPr>
                <w:rFonts w:hint="eastAsia" w:ascii="宋体" w:hAnsi="宋体" w:eastAsia="宋体" w:cs="宋体"/>
                <w:color w:val="auto"/>
                <w:sz w:val="24"/>
                <w:highlight w:val="none"/>
              </w:rPr>
              <w:t>磋商响应文件副本份数及其他要求</w:t>
            </w:r>
          </w:p>
        </w:tc>
        <w:tc>
          <w:tcPr>
            <w:tcW w:w="6768" w:type="dxa"/>
            <w:noWrap w:val="0"/>
            <w:vAlign w:val="center"/>
          </w:tcPr>
          <w:p w14:paraId="3A105F90">
            <w:pPr>
              <w:pStyle w:val="18"/>
              <w:keepNext w:val="0"/>
              <w:keepLines w:val="0"/>
              <w:pageBreakBefore w:val="0"/>
              <w:numPr>
                <w:ilvl w:val="0"/>
                <w:numId w:val="0"/>
              </w:numPr>
              <w:kinsoku/>
              <w:wordWrap w:val="0"/>
              <w:overflowPunct/>
              <w:topLinePunct w:val="0"/>
              <w:bidi w:val="0"/>
              <w:outlineLvl w:val="0"/>
              <w:rPr>
                <w:rFonts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1、本项目采用电子招标，根据三门峡市公共资源交易中心系统编制响应文件，供应商需用CA在电子平台上传电子响应文件；</w:t>
            </w:r>
          </w:p>
          <w:p w14:paraId="3E0CE12C">
            <w:pPr>
              <w:pStyle w:val="18"/>
              <w:keepNext w:val="0"/>
              <w:keepLines w:val="0"/>
              <w:pageBreakBefore w:val="0"/>
              <w:numPr>
                <w:ilvl w:val="0"/>
                <w:numId w:val="0"/>
              </w:numPr>
              <w:kinsoku/>
              <w:wordWrap w:val="0"/>
              <w:overflowPunct/>
              <w:topLinePunct w:val="0"/>
              <w:bidi w:val="0"/>
              <w:outlineLvl w:val="0"/>
              <w:rPr>
                <w:rFonts w:hint="eastAsia" w:ascii="宋体" w:hAnsi="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2、开标时不再递交纸质响应文件，中标单位领取成交通知书时提交</w:t>
            </w:r>
            <w:r>
              <w:rPr>
                <w:rFonts w:hint="eastAsia" w:ascii="宋体" w:hAnsi="宋体" w:eastAsia="宋体" w:cs="宋体"/>
                <w:color w:val="auto"/>
                <w:kern w:val="2"/>
                <w:sz w:val="24"/>
                <w:szCs w:val="24"/>
                <w:highlight w:val="none"/>
                <w:lang w:val="en-US" w:eastAsia="zh-CN"/>
              </w:rPr>
              <w:t>贰</w:t>
            </w:r>
            <w:r>
              <w:rPr>
                <w:rFonts w:hint="eastAsia" w:ascii="宋体" w:hAnsi="宋体" w:eastAsia="宋体" w:cs="宋体"/>
                <w:color w:val="auto"/>
                <w:kern w:val="2"/>
                <w:sz w:val="24"/>
                <w:szCs w:val="24"/>
                <w:highlight w:val="none"/>
                <w:lang w:val="en-US"/>
              </w:rPr>
              <w:t>份纸质响应文件，响应文件应按以下要求装订：胶装（不得采用活页装订），应有目录，并逐页标注连续页码，需加盖公章。</w:t>
            </w:r>
          </w:p>
        </w:tc>
      </w:tr>
      <w:tr w14:paraId="09E1A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0" w:hRule="atLeast"/>
        </w:trPr>
        <w:tc>
          <w:tcPr>
            <w:tcW w:w="1101" w:type="dxa"/>
            <w:noWrap w:val="0"/>
            <w:vAlign w:val="center"/>
          </w:tcPr>
          <w:p w14:paraId="5C590E6D">
            <w:pPr>
              <w:pStyle w:val="17"/>
              <w:keepNext w:val="0"/>
              <w:keepLines w:val="0"/>
              <w:pageBreakBefore w:val="0"/>
              <w:kinsoku/>
              <w:wordWrap w:val="0"/>
              <w:overflowPunct/>
              <w:topLinePunct w:val="0"/>
              <w:bidi w:val="0"/>
              <w:spacing w:before="1"/>
              <w:ind w:left="166" w:right="158"/>
              <w:jc w:val="center"/>
              <w:rPr>
                <w:rFonts w:hint="default" w:eastAsia="宋体"/>
                <w:color w:val="auto"/>
                <w:sz w:val="24"/>
                <w:highlight w:val="none"/>
                <w:lang w:val="en-US" w:eastAsia="zh-CN"/>
              </w:rPr>
            </w:pPr>
            <w:r>
              <w:rPr>
                <w:rFonts w:hint="eastAsia"/>
                <w:color w:val="auto"/>
                <w:sz w:val="24"/>
                <w:highlight w:val="none"/>
                <w:lang w:val="en-US" w:eastAsia="zh-CN"/>
              </w:rPr>
              <w:t>4.0</w:t>
            </w:r>
          </w:p>
        </w:tc>
        <w:tc>
          <w:tcPr>
            <w:tcW w:w="1715" w:type="dxa"/>
            <w:noWrap w:val="0"/>
            <w:vAlign w:val="center"/>
          </w:tcPr>
          <w:p w14:paraId="414B9C53">
            <w:pPr>
              <w:keepNext w:val="0"/>
              <w:keepLines w:val="0"/>
              <w:pageBreakBefore w:val="0"/>
              <w:kinsoku/>
              <w:wordWrap w:val="0"/>
              <w:overflowPunct/>
              <w:topLinePunct w:val="0"/>
              <w:autoSpaceDE w:val="0"/>
              <w:autoSpaceDN w:val="0"/>
              <w:bidi w:val="0"/>
              <w:adjustRightIn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电子化交易</w:t>
            </w:r>
          </w:p>
          <w:p w14:paraId="301E8E26">
            <w:pPr>
              <w:keepNext w:val="0"/>
              <w:keepLines w:val="0"/>
              <w:pageBreakBefore w:val="0"/>
              <w:kinsoku/>
              <w:wordWrap w:val="0"/>
              <w:overflowPunct/>
              <w:topLinePunct w:val="0"/>
              <w:autoSpaceDE w:val="0"/>
              <w:autoSpaceDN w:val="0"/>
              <w:bidi w:val="0"/>
              <w:adjustRightInd w:val="0"/>
              <w:spacing w:line="360" w:lineRule="auto"/>
              <w:jc w:val="center"/>
              <w:rPr>
                <w:rFonts w:hint="eastAsia" w:ascii="宋体" w:hAnsi="宋体" w:eastAsia="宋体" w:cs="黑体"/>
                <w:color w:val="auto"/>
                <w:kern w:val="0"/>
                <w:sz w:val="28"/>
                <w:szCs w:val="28"/>
                <w:highlight w:val="none"/>
                <w:lang w:val="zh-CN" w:eastAsia="zh-CN" w:bidi="zh-CN"/>
              </w:rPr>
            </w:pPr>
            <w:r>
              <w:rPr>
                <w:rFonts w:hint="eastAsia" w:ascii="宋体" w:hAnsi="宋体" w:cs="宋体"/>
                <w:color w:val="auto"/>
                <w:sz w:val="24"/>
                <w:szCs w:val="24"/>
                <w:highlight w:val="none"/>
              </w:rPr>
              <w:t>注意事项</w:t>
            </w:r>
          </w:p>
        </w:tc>
        <w:tc>
          <w:tcPr>
            <w:tcW w:w="6768" w:type="dxa"/>
            <w:noWrap w:val="0"/>
            <w:vAlign w:val="center"/>
          </w:tcPr>
          <w:p w14:paraId="0ABB0844">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为电子化、无纸化交易项目，投标文件是供应商、供应商（以下简称“供应商”）通过中心投标文件制作系统制作，并经过电子签章和加密后生成的电子版投标文件。供应商投标时，将不再接受任何纸质文件资料。</w:t>
            </w:r>
          </w:p>
          <w:p w14:paraId="4A962A3F">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电子化投标文件具体制作文件请点击</w:t>
            </w:r>
            <w:r>
              <w:rPr>
                <w:rFonts w:hint="eastAsia" w:ascii="宋体" w:hAnsi="宋体" w:eastAsia="宋体" w:cs="宋体"/>
                <w:color w:val="auto"/>
                <w:sz w:val="24"/>
                <w:szCs w:val="24"/>
                <w:highlight w:val="none"/>
              </w:rPr>
              <w:t>https://download.bqpoint.com/download/downloaddetail.html?SourceFrom=Ztb&amp;ZtbSoftXiaQuCode=1506&amp;ZtbSoftType=tballinclusive</w:t>
            </w:r>
            <w:r>
              <w:rPr>
                <w:rFonts w:hint="eastAsia" w:ascii="宋体" w:hAnsi="宋体" w:eastAsia="宋体" w:cs="宋体"/>
                <w:color w:val="auto"/>
                <w:kern w:val="2"/>
                <w:sz w:val="24"/>
                <w:szCs w:val="24"/>
                <w:highlight w:val="none"/>
              </w:rPr>
              <w:t>进行下载。</w:t>
            </w:r>
          </w:p>
          <w:p w14:paraId="09E51F27">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温馨提示：本项目为电子化、无纸化交易项目，供应商时不接受任何纸质资料，为保证您能投标成功，请需仔细阅读以下条款。</w:t>
            </w:r>
          </w:p>
          <w:p w14:paraId="7DF4F61C">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一、电子化投标</w:t>
            </w:r>
          </w:p>
          <w:p w14:paraId="7EF6AB13">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（一）电子化投标文件的签章</w:t>
            </w:r>
          </w:p>
          <w:p w14:paraId="05642B84">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1、供应商在生成电子化投标文件后，应对电子化投标文件进行签章，未进行签章的视为无效投标。</w:t>
            </w:r>
          </w:p>
          <w:p w14:paraId="47D3B385">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2、投标文件中要求法定代表人或授权委托人签字或盖章的，供应商在进行电子化投标文件签章时，以签盖法定代表人签章为准。</w:t>
            </w:r>
          </w:p>
          <w:p w14:paraId="73587D5A">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（二）电子化投标文件的格式及上传投标</w:t>
            </w:r>
          </w:p>
          <w:p w14:paraId="4CC623E8">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生成的电子版投标文件包含用于投标文件上传的主文件（后缀为.smxtf） ，和用于应急补救的投标文件备份文件（后缀为.nsmxtf），备份文件主要用于电子化开标出现技术问题后的补救，请供应商随身携带。</w:t>
            </w:r>
          </w:p>
          <w:p w14:paraId="00599756">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注：（1）供应商投报多个标段的，需要每个标段单独制作电子投标文件。</w:t>
            </w:r>
          </w:p>
          <w:p w14:paraId="2E2DF501">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2、电子化投标文件应在投标截止时间前成功上传至三门峡市公共资源电子化交易系统。至投标截止时间止，仍未上传成功的电子化投标文件将不予接收。</w:t>
            </w:r>
          </w:p>
          <w:p w14:paraId="0DFD5A4C">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402A3BD4">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技术联系电话：0398-3117871</w:t>
            </w:r>
          </w:p>
          <w:p w14:paraId="2E786B8D">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新点客服电话：4009980000</w:t>
            </w:r>
          </w:p>
          <w:p w14:paraId="38F7698A">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（三）电子化项目供应商、解密、唱标、评标</w:t>
            </w:r>
          </w:p>
          <w:p w14:paraId="3AE8E3CD">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7304C403">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56F8DF04">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3、电子化投标文件异常情况的处理</w:t>
            </w:r>
          </w:p>
          <w:p w14:paraId="4EA8B54F">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如出现供应商的电子投标文件无法解密等异常情况，供应商应及时致电技术部门处理。投标文件异常，按以下步骤进行处理：</w:t>
            </w:r>
          </w:p>
          <w:p w14:paraId="61080907">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（1）首先由技术人员进行问题排查。</w:t>
            </w:r>
          </w:p>
          <w:p w14:paraId="0670977E">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（2）经技术人员排查后，是供应商文件自身问题导致投标文件无法解密的，该投标文件将不予接收、解密和唱标。开标会议继续进行。</w:t>
            </w:r>
          </w:p>
          <w:p w14:paraId="58C56CCD">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（3）经技术人员排查后，如果是电子化交易系统问题造成投标文件无法解密的，将由技术人员对问题进行处理。</w:t>
            </w:r>
          </w:p>
          <w:p w14:paraId="737BF400">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4、待所有供应商磋商响应文件解密完成后，由中介服务机构操作，对所有已解密投标文件进行唱标。</w:t>
            </w:r>
          </w:p>
          <w:p w14:paraId="5A62B50D">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供应商应保证在开标期间电话、电脑、网络能够正常工作，磋商响应人因停电、电脑病毒、网络堵塞等原因，未在规定的解密时间内对投标文件进行解密的，其投标文件不予接收、唱标。</w:t>
            </w:r>
          </w:p>
          <w:p w14:paraId="60A21713">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开标时供应商可登录到交易系统中在开标大厅中点击开标一览表查看自己的投标报价。如对自己的唱标内容有异议的，应在唱标内容显示后10分钟内向系统中质疑。供应商未在规定时间内提出质疑的，视为认可唱标内容。</w:t>
            </w:r>
          </w:p>
          <w:p w14:paraId="10A03A37">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评标时，磋商小组对电子化投标文件有质疑的，将通过电子化交易系统对供应商发起质疑。质疑回复内容确认后，供应商的回复文件必须以经过磋商响应人和其法定代表人签章的PDF格式文件为准，并通过电子化交易系统提交至磋商小组。</w:t>
            </w:r>
          </w:p>
          <w:p w14:paraId="60E981C3">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w:t>
            </w:r>
            <w:r>
              <w:rPr>
                <w:rFonts w:hint="eastAsia" w:ascii="宋体" w:hAnsi="宋体" w:eastAsia="宋体" w:cs="宋体"/>
                <w:color w:val="auto"/>
                <w:sz w:val="24"/>
                <w:szCs w:val="24"/>
                <w:highlight w:val="none"/>
              </w:rPr>
              <w:t>响应人应在开标结束后，应该守在系统前，进行二轮或多轮报价或者磋商小组提出的答疑，报价和答疑时间为30分钟，若供应商错过时间或时间不够无法延时而导致文件无效或废标，由供应商自行承担责任。代理机构无义务必须通知到每个供应商进行报价或答疑。在开标及评审过程中，代理机构、采购人及监督人是无法携带通讯工具，供应商若出现问题导致文件无效或废标，供应商自行承担责任。</w:t>
            </w:r>
          </w:p>
          <w:p w14:paraId="268158EE">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二、相关证书原件的提交</w:t>
            </w:r>
          </w:p>
          <w:p w14:paraId="6627D3A8">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本项目实行资格后审，审查内容以投标截止时间前在三门峡市公共资源交易系统上传的投标文件的信息为准。其上传资料真实性由投标人自行承担。评标委员会对原件的核验工作按以下条款进行：</w:t>
            </w:r>
          </w:p>
          <w:p w14:paraId="626F9BCA">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评标时，评委以投标截止时间前在三门峡市公共资源交易系统上传的投标文件的信息为准。其上传资料真实性由投标人自行承担。否则，由此造成应得分而未得分或资格审查不合格等情况的，由供应商承担责任。开评标现场不接受投标人所提交的任何原件。</w:t>
            </w:r>
          </w:p>
          <w:p w14:paraId="7A9DC2B8">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在项目开标时间起至评标结束至，市场主体库将处于锁定状态。如连续投报多个项目，市场主体库锁定时间也将延长，请供应商合理安排资料上传时间，尽可能早的将所有项目资料上传至三门峡市公共资源交易供应商市场主体库。</w:t>
            </w:r>
          </w:p>
          <w:p w14:paraId="3BD92C83">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具体操作详见《三门峡市公共资源交易平台市场主体信息库操作手册》。链接地址：</w:t>
            </w:r>
            <w:r>
              <w:rPr>
                <w:color w:val="auto"/>
                <w:highlight w:val="none"/>
              </w:rPr>
              <w:fldChar w:fldCharType="begin"/>
            </w:r>
            <w:r>
              <w:rPr>
                <w:color w:val="auto"/>
                <w:highlight w:val="none"/>
              </w:rPr>
              <w:instrText xml:space="preserve"> HYPERLINK "http://gzjy.smx.gov.cn/bzzx/008001/20200325/4a2f9fa3-b923-4ddd-bd6f-138a0b63f7d1.html" </w:instrText>
            </w:r>
            <w:r>
              <w:rPr>
                <w:color w:val="auto"/>
                <w:highlight w:val="none"/>
              </w:rPr>
              <w:fldChar w:fldCharType="separate"/>
            </w:r>
            <w:r>
              <w:rPr>
                <w:rFonts w:hint="eastAsia" w:ascii="宋体" w:hAnsi="宋体" w:eastAsia="宋体" w:cs="宋体"/>
                <w:color w:val="auto"/>
                <w:kern w:val="2"/>
                <w:sz w:val="24"/>
                <w:szCs w:val="24"/>
                <w:highlight w:val="none"/>
              </w:rPr>
              <w:t>http://gzjy.smx.gov.cn/bzzx/008001/20200325/4a2f9fa3-b923-4ddd-bd6f-138a0b63f7d1.html</w:t>
            </w:r>
            <w:r>
              <w:rPr>
                <w:rFonts w:hint="eastAsia" w:ascii="宋体" w:hAnsi="宋体" w:eastAsia="宋体" w:cs="宋体"/>
                <w:color w:val="auto"/>
                <w:kern w:val="2"/>
                <w:sz w:val="24"/>
                <w:szCs w:val="24"/>
                <w:highlight w:val="none"/>
              </w:rPr>
              <w:fldChar w:fldCharType="end"/>
            </w:r>
          </w:p>
          <w:p w14:paraId="3AC90E17">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（二）项目成交结果公示时，将同时公示中标供应商市场主体库信息，接受社会监督。</w:t>
            </w:r>
          </w:p>
          <w:p w14:paraId="205C29E0">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（三）供应商需应仔细阅读操作手册，保证上传内容齐全，真实有效，原件扫描件清晰可辨。因供应商上传原因导致应得分项而未得分或资格审查不合格等情况的，由磋商响应人自行承担责任。</w:t>
            </w:r>
          </w:p>
          <w:p w14:paraId="69156A69">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8"/>
                <w:szCs w:val="28"/>
                <w:highlight w:val="none"/>
                <w:lang w:val="en-US" w:eastAsia="zh-CN" w:bidi="zh-CN"/>
              </w:rPr>
            </w:pPr>
            <w:r>
              <w:rPr>
                <w:rFonts w:hint="eastAsia" w:ascii="宋体" w:hAnsi="宋体" w:eastAsia="宋体" w:cs="宋体"/>
                <w:color w:val="auto"/>
                <w:kern w:val="2"/>
                <w:sz w:val="24"/>
                <w:szCs w:val="24"/>
                <w:highlight w:val="none"/>
              </w:rPr>
              <w:t>提示：本项目为电子化、无纸化交易项目，开标时不再接受任何纸质资料，为保证您能投标成功，请需仔细阅读以上条款。</w:t>
            </w:r>
          </w:p>
        </w:tc>
      </w:tr>
    </w:tbl>
    <w:p w14:paraId="2B894728">
      <w:pPr>
        <w:pStyle w:val="5"/>
        <w:keepNext w:val="0"/>
        <w:keepLines w:val="0"/>
        <w:pageBreakBefore w:val="0"/>
        <w:kinsoku/>
        <w:wordWrap w:val="0"/>
        <w:overflowPunct/>
        <w:topLinePunct w:val="0"/>
        <w:bidi w:val="0"/>
        <w:spacing w:before="66"/>
        <w:ind w:left="0" w:right="105"/>
        <w:jc w:val="both"/>
        <w:rPr>
          <w:color w:val="auto"/>
          <w:highlight w:val="none"/>
        </w:rPr>
        <w:sectPr>
          <w:footerReference r:id="rId5" w:type="default"/>
          <w:pgSz w:w="11910" w:h="16840"/>
          <w:pgMar w:top="1340" w:right="1020" w:bottom="820" w:left="1040" w:header="0" w:footer="640" w:gutter="0"/>
          <w:pgBorders>
            <w:top w:val="none" w:sz="0" w:space="0"/>
            <w:left w:val="none" w:sz="0" w:space="0"/>
            <w:bottom w:val="none" w:sz="0" w:space="0"/>
            <w:right w:val="none" w:sz="0" w:space="0"/>
          </w:pgBorders>
          <w:pgNumType w:fmt="decimal" w:start="1"/>
          <w:cols w:space="720" w:num="1"/>
        </w:sectPr>
      </w:pPr>
    </w:p>
    <w:p w14:paraId="4B3365CF">
      <w:pPr>
        <w:pStyle w:val="5"/>
        <w:keepNext w:val="0"/>
        <w:keepLines w:val="0"/>
        <w:pageBreakBefore w:val="0"/>
        <w:kinsoku/>
        <w:wordWrap w:val="0"/>
        <w:overflowPunct/>
        <w:topLinePunct w:val="0"/>
        <w:bidi w:val="0"/>
        <w:spacing w:before="244"/>
        <w:ind w:left="320"/>
        <w:jc w:val="center"/>
        <w:rPr>
          <w:color w:val="auto"/>
          <w:highlight w:val="none"/>
        </w:rPr>
      </w:pPr>
      <w:r>
        <w:rPr>
          <w:color w:val="auto"/>
          <w:highlight w:val="none"/>
        </w:rPr>
        <w:t>供应商须知</w:t>
      </w:r>
    </w:p>
    <w:p w14:paraId="70EF1730">
      <w:pPr>
        <w:pStyle w:val="18"/>
        <w:keepNext w:val="0"/>
        <w:keepLines w:val="0"/>
        <w:pageBreakBefore w:val="0"/>
        <w:kinsoku/>
        <w:wordWrap w:val="0"/>
        <w:overflowPunct/>
        <w:topLinePunct w:val="0"/>
        <w:bidi w:val="0"/>
        <w:spacing w:line="360" w:lineRule="auto"/>
        <w:ind w:left="0" w:firstLine="482" w:firstLineChars="200"/>
        <w:outlineLvl w:val="0"/>
        <w:rPr>
          <w:rFonts w:ascii="宋体" w:hAnsi="宋体"/>
          <w:b/>
          <w:bCs/>
          <w:color w:val="auto"/>
          <w:sz w:val="24"/>
          <w:szCs w:val="24"/>
          <w:highlight w:val="none"/>
        </w:rPr>
      </w:pPr>
      <w:bookmarkStart w:id="5" w:name="_Toc22449"/>
      <w:bookmarkStart w:id="6" w:name="_Toc487498474"/>
      <w:bookmarkStart w:id="7" w:name="_Toc488504474"/>
      <w:bookmarkStart w:id="8" w:name="_Toc20123_WPSOffice_Level2"/>
      <w:bookmarkStart w:id="9" w:name="_Toc7628"/>
      <w:bookmarkStart w:id="10" w:name="_Toc455080108"/>
      <w:r>
        <w:rPr>
          <w:rFonts w:hint="eastAsia" w:ascii="宋体" w:hAnsi="宋体"/>
          <w:b/>
          <w:bCs/>
          <w:color w:val="auto"/>
          <w:sz w:val="24"/>
          <w:szCs w:val="24"/>
          <w:highlight w:val="none"/>
        </w:rPr>
        <w:t>1. 总则</w:t>
      </w:r>
      <w:bookmarkEnd w:id="5"/>
      <w:bookmarkEnd w:id="6"/>
      <w:bookmarkEnd w:id="7"/>
      <w:bookmarkEnd w:id="8"/>
      <w:bookmarkEnd w:id="9"/>
      <w:bookmarkEnd w:id="10"/>
    </w:p>
    <w:p w14:paraId="1778B3D5">
      <w:pPr>
        <w:keepNext w:val="0"/>
        <w:keepLines w:val="0"/>
        <w:pageBreakBefore w:val="0"/>
        <w:kinsoku/>
        <w:wordWrap w:val="0"/>
        <w:overflowPunct/>
        <w:topLinePunct w:val="0"/>
        <w:bidi w:val="0"/>
        <w:ind w:firstLine="480" w:firstLineChars="200"/>
        <w:rPr>
          <w:color w:val="auto"/>
          <w:sz w:val="24"/>
          <w:highlight w:val="none"/>
        </w:rPr>
      </w:pPr>
      <w:bookmarkStart w:id="11" w:name="_Toc31404"/>
      <w:bookmarkStart w:id="12" w:name="_Toc274409866"/>
      <w:bookmarkStart w:id="13" w:name="_Toc21458"/>
      <w:bookmarkStart w:id="14" w:name="_Toc318450675"/>
      <w:bookmarkStart w:id="15" w:name="_Toc21496_WPSOffice_Level3"/>
      <w:bookmarkStart w:id="16" w:name="_Toc10273"/>
      <w:bookmarkStart w:id="17" w:name="_Toc29023"/>
      <w:bookmarkStart w:id="18" w:name="_Toc1172"/>
      <w:bookmarkStart w:id="19" w:name="_Toc281380952"/>
      <w:bookmarkStart w:id="20" w:name="_Toc455080109"/>
      <w:bookmarkStart w:id="21" w:name="_Toc464035510"/>
      <w:bookmarkStart w:id="22" w:name="_Toc15709"/>
      <w:bookmarkStart w:id="23" w:name="_Toc463701031"/>
      <w:bookmarkStart w:id="24" w:name="_Toc144974499"/>
      <w:bookmarkStart w:id="25" w:name="_Toc152042307"/>
      <w:bookmarkStart w:id="26" w:name="_Toc152045531"/>
      <w:r>
        <w:rPr>
          <w:rFonts w:hint="eastAsia"/>
          <w:color w:val="auto"/>
          <w:sz w:val="24"/>
          <w:highlight w:val="none"/>
        </w:rPr>
        <w:t>1.1 适用范围</w:t>
      </w:r>
      <w:bookmarkEnd w:id="11"/>
      <w:bookmarkEnd w:id="12"/>
      <w:bookmarkEnd w:id="13"/>
      <w:bookmarkEnd w:id="14"/>
      <w:bookmarkEnd w:id="15"/>
      <w:bookmarkEnd w:id="16"/>
      <w:bookmarkEnd w:id="17"/>
      <w:bookmarkEnd w:id="18"/>
      <w:bookmarkEnd w:id="19"/>
      <w:bookmarkEnd w:id="20"/>
      <w:bookmarkEnd w:id="21"/>
      <w:bookmarkEnd w:id="22"/>
      <w:bookmarkEnd w:id="23"/>
    </w:p>
    <w:p w14:paraId="21A1FE8A">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1.1.1根据《中华人民共和国政府采购法》等有关法律、法规和规章的规定，编制本项目磋商文件。</w:t>
      </w:r>
    </w:p>
    <w:p w14:paraId="713FB790">
      <w:pPr>
        <w:keepNext w:val="0"/>
        <w:keepLines w:val="0"/>
        <w:pageBreakBefore w:val="0"/>
        <w:kinsoku/>
        <w:wordWrap w:val="0"/>
        <w:overflowPunct/>
        <w:topLinePunct w:val="0"/>
        <w:bidi w:val="0"/>
        <w:ind w:firstLine="480" w:firstLineChars="200"/>
        <w:rPr>
          <w:color w:val="auto"/>
          <w:sz w:val="24"/>
          <w:highlight w:val="none"/>
        </w:rPr>
      </w:pPr>
      <w:bookmarkStart w:id="27" w:name="_Toc455080110"/>
      <w:bookmarkStart w:id="28" w:name="_Toc281405468"/>
      <w:bookmarkStart w:id="29" w:name="_Toc3336"/>
      <w:bookmarkStart w:id="30" w:name="_Toc274409867"/>
      <w:bookmarkStart w:id="31" w:name="_Toc2929"/>
      <w:bookmarkStart w:id="32" w:name="_Toc25399_WPSOffice_Level3"/>
      <w:bookmarkStart w:id="33" w:name="_Toc463701032"/>
      <w:bookmarkStart w:id="34" w:name="_Toc464035511"/>
      <w:bookmarkStart w:id="35" w:name="_Toc32619"/>
      <w:bookmarkStart w:id="36" w:name="_Toc710"/>
      <w:bookmarkStart w:id="37" w:name="_Toc30891"/>
      <w:bookmarkStart w:id="38" w:name="_Toc318450676"/>
      <w:bookmarkStart w:id="39" w:name="_Toc25773"/>
      <w:r>
        <w:rPr>
          <w:rFonts w:hint="eastAsia"/>
          <w:color w:val="auto"/>
          <w:sz w:val="24"/>
          <w:highlight w:val="none"/>
        </w:rPr>
        <w:t>1.2 采购项目说明</w:t>
      </w:r>
      <w:bookmarkEnd w:id="27"/>
      <w:bookmarkEnd w:id="28"/>
      <w:bookmarkEnd w:id="29"/>
      <w:bookmarkEnd w:id="30"/>
      <w:bookmarkEnd w:id="31"/>
      <w:bookmarkEnd w:id="32"/>
      <w:bookmarkEnd w:id="33"/>
      <w:bookmarkEnd w:id="34"/>
      <w:bookmarkEnd w:id="35"/>
      <w:bookmarkEnd w:id="36"/>
      <w:bookmarkEnd w:id="37"/>
      <w:bookmarkEnd w:id="38"/>
      <w:bookmarkEnd w:id="39"/>
    </w:p>
    <w:p w14:paraId="7A6BAF0E">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1.2.1 本项目采购人：见供应商须知前附表。</w:t>
      </w:r>
    </w:p>
    <w:p w14:paraId="700F646F">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1.2.2 本项目采购代理机构：见供应商须知前附表。</w:t>
      </w:r>
    </w:p>
    <w:p w14:paraId="4A5ABBCE">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1.2.3 本项目名称：见供应商须知前附表。</w:t>
      </w:r>
    </w:p>
    <w:p w14:paraId="03B77DE8">
      <w:pPr>
        <w:keepNext w:val="0"/>
        <w:keepLines w:val="0"/>
        <w:pageBreakBefore w:val="0"/>
        <w:kinsoku/>
        <w:wordWrap w:val="0"/>
        <w:overflowPunct/>
        <w:topLinePunct w:val="0"/>
        <w:bidi w:val="0"/>
        <w:ind w:firstLine="480" w:firstLineChars="200"/>
        <w:rPr>
          <w:color w:val="auto"/>
          <w:sz w:val="24"/>
          <w:highlight w:val="none"/>
        </w:rPr>
      </w:pPr>
      <w:bookmarkStart w:id="40" w:name="_Toc4952"/>
      <w:bookmarkStart w:id="41" w:name="_Toc17016"/>
      <w:bookmarkStart w:id="42" w:name="_Toc16931"/>
      <w:bookmarkStart w:id="43" w:name="_Toc31122_WPSOffice_Level3"/>
      <w:bookmarkStart w:id="44" w:name="_Toc1373"/>
      <w:bookmarkStart w:id="45" w:name="_Toc274409868"/>
      <w:bookmarkStart w:id="46" w:name="_Toc318450677"/>
      <w:bookmarkStart w:id="47" w:name="_Toc281405469"/>
      <w:bookmarkStart w:id="48" w:name="_Toc464035512"/>
      <w:bookmarkStart w:id="49" w:name="_Toc18960"/>
      <w:bookmarkStart w:id="50" w:name="_Toc3477"/>
      <w:bookmarkStart w:id="51" w:name="_Toc455080111"/>
      <w:bookmarkStart w:id="52" w:name="_Toc463701033"/>
      <w:r>
        <w:rPr>
          <w:rFonts w:hint="eastAsia"/>
          <w:color w:val="auto"/>
          <w:sz w:val="24"/>
          <w:highlight w:val="none"/>
        </w:rPr>
        <w:t>1.3 定义及解释</w:t>
      </w:r>
      <w:bookmarkEnd w:id="40"/>
      <w:bookmarkEnd w:id="41"/>
      <w:bookmarkEnd w:id="42"/>
      <w:bookmarkEnd w:id="43"/>
      <w:bookmarkEnd w:id="44"/>
      <w:bookmarkEnd w:id="45"/>
      <w:bookmarkEnd w:id="46"/>
      <w:bookmarkEnd w:id="47"/>
      <w:bookmarkEnd w:id="48"/>
      <w:bookmarkEnd w:id="49"/>
      <w:bookmarkEnd w:id="50"/>
      <w:bookmarkEnd w:id="51"/>
      <w:bookmarkEnd w:id="52"/>
    </w:p>
    <w:p w14:paraId="6C494EE8">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1.3.1采购人：依法进行政府采购的国家机关、事业单位、团体组织。</w:t>
      </w:r>
    </w:p>
    <w:p w14:paraId="637A3DA3">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1.3.2采购代理机构：取得政府采购招标代理资质，受采购人委托组织招标活动的社会中介组织。</w:t>
      </w:r>
    </w:p>
    <w:p w14:paraId="0B8FBFA7">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1.3.3服务：系指根据本磋商文件规定供应商须承担的方案编制以及其他类似的义务等。</w:t>
      </w:r>
    </w:p>
    <w:p w14:paraId="5318936D">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1.3.4供应商：供应商是响应磋商文件、参加磋商竞争的中华人民共和国境内的法人、其它组织。</w:t>
      </w:r>
    </w:p>
    <w:p w14:paraId="302BDD55">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1.3.5响应文件：指供应商根据磋商文件提交的所有文件。</w:t>
      </w:r>
    </w:p>
    <w:p w14:paraId="56063243">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1.3.6磋商小组：依据</w:t>
      </w:r>
      <w:r>
        <w:rPr>
          <w:rFonts w:hint="eastAsia"/>
          <w:color w:val="auto"/>
          <w:sz w:val="24"/>
          <w:highlight w:val="none"/>
          <w:lang w:bidi="en-US"/>
        </w:rPr>
        <w:t>《中华人民共和国政府采购法》及有关法律、法规的规定依法组建的专门负责本次评标工作的临时机构</w:t>
      </w:r>
      <w:r>
        <w:rPr>
          <w:rFonts w:hint="eastAsia"/>
          <w:color w:val="auto"/>
          <w:sz w:val="24"/>
          <w:highlight w:val="none"/>
        </w:rPr>
        <w:t>。</w:t>
      </w:r>
    </w:p>
    <w:p w14:paraId="4929CC71">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1.3.7偏离：响应文件的响应相对于磋商文件要求的偏差，该偏差优于磋商文件要求的为正偏离；劣于的，为负偏离。</w:t>
      </w:r>
    </w:p>
    <w:p w14:paraId="57DB1702">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1.3.8“日期”或“天”：指日历天。</w:t>
      </w:r>
    </w:p>
    <w:p w14:paraId="400CE4F4">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1.3.9合同：指依据本次采购招标结果签订的协议或合约文件。</w:t>
      </w:r>
    </w:p>
    <w:p w14:paraId="1A0DB384">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1.3.10磋商文件中的标题或题名仅起引导作用，而不应视为对磋商文件内容的理解和解释。</w:t>
      </w:r>
    </w:p>
    <w:bookmarkEnd w:id="24"/>
    <w:bookmarkEnd w:id="25"/>
    <w:bookmarkEnd w:id="26"/>
    <w:p w14:paraId="78B1C1BB">
      <w:pPr>
        <w:keepNext w:val="0"/>
        <w:keepLines w:val="0"/>
        <w:pageBreakBefore w:val="0"/>
        <w:kinsoku/>
        <w:wordWrap w:val="0"/>
        <w:overflowPunct/>
        <w:topLinePunct w:val="0"/>
        <w:bidi w:val="0"/>
        <w:spacing w:line="360" w:lineRule="auto"/>
        <w:ind w:firstLine="480" w:firstLineChars="200"/>
        <w:rPr>
          <w:color w:val="auto"/>
          <w:sz w:val="24"/>
          <w:highlight w:val="none"/>
        </w:rPr>
      </w:pPr>
      <w:bookmarkStart w:id="53" w:name="_Toc3626_WPSOffice_Level3"/>
      <w:bookmarkStart w:id="54" w:name="_Toc463701034"/>
      <w:bookmarkStart w:id="55" w:name="_Toc455080112"/>
      <w:bookmarkStart w:id="56" w:name="_Toc464035513"/>
      <w:bookmarkStart w:id="57" w:name="_Toc318450678"/>
      <w:bookmarkStart w:id="58" w:name="_Toc14043"/>
      <w:bookmarkStart w:id="59" w:name="_Toc152045532"/>
      <w:bookmarkStart w:id="60" w:name="_Toc21766"/>
      <w:bookmarkStart w:id="61" w:name="_Toc27407"/>
      <w:bookmarkStart w:id="62" w:name="_Toc12752"/>
      <w:bookmarkStart w:id="63" w:name="_Toc19363"/>
      <w:bookmarkStart w:id="64" w:name="_Toc16470"/>
      <w:bookmarkStart w:id="65" w:name="_Toc144974500"/>
      <w:bookmarkStart w:id="66" w:name="_Toc152042308"/>
      <w:r>
        <w:rPr>
          <w:rFonts w:hint="eastAsia"/>
          <w:color w:val="auto"/>
          <w:sz w:val="24"/>
          <w:highlight w:val="none"/>
        </w:rPr>
        <w:t>1.4 采购内容、数量，供货日期和质量要求</w:t>
      </w:r>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50F99409">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1.4.1 本次采购内容、数量：见供应商须知前附表。</w:t>
      </w:r>
    </w:p>
    <w:p w14:paraId="043E284D">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1.4.2 本项目的供货日期：见供应商须知前附表。</w:t>
      </w:r>
    </w:p>
    <w:p w14:paraId="5FEA095E">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1.4.3 本项目的质量要求：见供应商须知前附表。</w:t>
      </w:r>
    </w:p>
    <w:p w14:paraId="7D2EEB94">
      <w:pPr>
        <w:keepNext w:val="0"/>
        <w:keepLines w:val="0"/>
        <w:pageBreakBefore w:val="0"/>
        <w:kinsoku/>
        <w:wordWrap w:val="0"/>
        <w:overflowPunct/>
        <w:topLinePunct w:val="0"/>
        <w:bidi w:val="0"/>
        <w:ind w:firstLine="480" w:firstLineChars="200"/>
        <w:rPr>
          <w:color w:val="auto"/>
          <w:sz w:val="24"/>
          <w:highlight w:val="none"/>
        </w:rPr>
      </w:pPr>
      <w:bookmarkStart w:id="67" w:name="_Toc152045536"/>
      <w:bookmarkStart w:id="68" w:name="_Toc8055"/>
      <w:bookmarkStart w:id="69" w:name="_Toc32053"/>
      <w:bookmarkStart w:id="70" w:name="_Toc152042312"/>
      <w:bookmarkStart w:id="71" w:name="_Toc7579_WPSOffice_Level3"/>
      <w:bookmarkStart w:id="72" w:name="_Toc463701037"/>
      <w:bookmarkStart w:id="73" w:name="_Toc6014"/>
      <w:bookmarkStart w:id="74" w:name="_Toc318450681"/>
      <w:bookmarkStart w:id="75" w:name="_Toc455080115"/>
      <w:bookmarkStart w:id="76" w:name="_Toc5402"/>
      <w:bookmarkStart w:id="77" w:name="_Toc144974504"/>
      <w:bookmarkStart w:id="78" w:name="_Toc464035516"/>
      <w:bookmarkStart w:id="79" w:name="_Toc2622"/>
      <w:bookmarkStart w:id="80" w:name="_Toc20145"/>
      <w:r>
        <w:rPr>
          <w:rFonts w:hint="eastAsia"/>
          <w:color w:val="auto"/>
          <w:sz w:val="24"/>
          <w:highlight w:val="none"/>
        </w:rPr>
        <w:t>1.</w:t>
      </w:r>
      <w:r>
        <w:rPr>
          <w:rFonts w:hint="eastAsia"/>
          <w:color w:val="auto"/>
          <w:sz w:val="24"/>
          <w:highlight w:val="none"/>
          <w:lang w:val="en-US"/>
        </w:rPr>
        <w:t>5</w:t>
      </w:r>
      <w:r>
        <w:rPr>
          <w:rFonts w:hint="eastAsia"/>
          <w:color w:val="auto"/>
          <w:sz w:val="24"/>
          <w:highlight w:val="none"/>
        </w:rPr>
        <w:t>保密</w:t>
      </w:r>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200029A4">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 xml:space="preserve">参与磋商活动的各方应对磋商文件和响应文件中的商业和技术等秘密保密，违者应对由此造成的后果承担法律责任。 </w:t>
      </w:r>
    </w:p>
    <w:p w14:paraId="4F38C6AD">
      <w:pPr>
        <w:keepNext w:val="0"/>
        <w:keepLines w:val="0"/>
        <w:pageBreakBefore w:val="0"/>
        <w:kinsoku/>
        <w:wordWrap w:val="0"/>
        <w:overflowPunct/>
        <w:topLinePunct w:val="0"/>
        <w:bidi w:val="0"/>
        <w:ind w:firstLine="480" w:firstLineChars="200"/>
        <w:rPr>
          <w:color w:val="auto"/>
          <w:sz w:val="24"/>
          <w:highlight w:val="none"/>
        </w:rPr>
      </w:pPr>
      <w:bookmarkStart w:id="81" w:name="_Toc144974505"/>
      <w:bookmarkStart w:id="82" w:name="_Toc455080116"/>
      <w:bookmarkStart w:id="83" w:name="_Toc152042313"/>
      <w:bookmarkStart w:id="84" w:name="_Toc25517"/>
      <w:bookmarkStart w:id="85" w:name="_Toc19210_WPSOffice_Level3"/>
      <w:bookmarkStart w:id="86" w:name="_Toc152045537"/>
      <w:bookmarkStart w:id="87" w:name="_Toc318450682"/>
      <w:bookmarkStart w:id="88" w:name="_Toc14775"/>
      <w:bookmarkStart w:id="89" w:name="_Toc21089"/>
      <w:bookmarkStart w:id="90" w:name="_Toc30747"/>
      <w:bookmarkStart w:id="91" w:name="_Toc463701038"/>
      <w:bookmarkStart w:id="92" w:name="_Toc3628"/>
      <w:bookmarkStart w:id="93" w:name="_Toc464035517"/>
      <w:bookmarkStart w:id="94" w:name="_Toc30583"/>
      <w:r>
        <w:rPr>
          <w:rFonts w:hint="eastAsia"/>
          <w:color w:val="auto"/>
          <w:sz w:val="24"/>
          <w:highlight w:val="none"/>
        </w:rPr>
        <w:t>1.</w:t>
      </w:r>
      <w:r>
        <w:rPr>
          <w:rFonts w:hint="eastAsia"/>
          <w:color w:val="auto"/>
          <w:sz w:val="24"/>
          <w:highlight w:val="none"/>
          <w:lang w:val="en-US"/>
        </w:rPr>
        <w:t>6</w:t>
      </w:r>
      <w:r>
        <w:rPr>
          <w:rFonts w:hint="eastAsia"/>
          <w:color w:val="auto"/>
          <w:sz w:val="24"/>
          <w:highlight w:val="none"/>
        </w:rPr>
        <w:t>语言</w:t>
      </w:r>
      <w:bookmarkEnd w:id="81"/>
      <w:r>
        <w:rPr>
          <w:rFonts w:hint="eastAsia"/>
          <w:color w:val="auto"/>
          <w:sz w:val="24"/>
          <w:highlight w:val="none"/>
        </w:rPr>
        <w:t>文字</w:t>
      </w:r>
      <w:bookmarkEnd w:id="82"/>
      <w:bookmarkEnd w:id="83"/>
      <w:bookmarkEnd w:id="84"/>
      <w:bookmarkEnd w:id="85"/>
      <w:bookmarkEnd w:id="86"/>
      <w:bookmarkEnd w:id="87"/>
      <w:bookmarkEnd w:id="88"/>
      <w:bookmarkEnd w:id="89"/>
      <w:bookmarkEnd w:id="90"/>
      <w:bookmarkEnd w:id="91"/>
      <w:bookmarkEnd w:id="92"/>
      <w:bookmarkEnd w:id="93"/>
      <w:bookmarkEnd w:id="94"/>
    </w:p>
    <w:p w14:paraId="3769C45D">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除专用术语外，与磋商有关的语言均使用中文。必要时专用术语应附有中文注释，</w:t>
      </w:r>
      <w:r>
        <w:rPr>
          <w:rFonts w:hint="eastAsia"/>
          <w:color w:val="auto"/>
          <w:sz w:val="24"/>
          <w:highlight w:val="none"/>
          <w:lang w:bidi="en-US"/>
        </w:rPr>
        <w:t>对不同文字文本响应文件的解释发生异议的，以中文文本为准。</w:t>
      </w:r>
    </w:p>
    <w:p w14:paraId="6CA0253E">
      <w:pPr>
        <w:keepNext w:val="0"/>
        <w:keepLines w:val="0"/>
        <w:pageBreakBefore w:val="0"/>
        <w:kinsoku/>
        <w:wordWrap w:val="0"/>
        <w:overflowPunct/>
        <w:topLinePunct w:val="0"/>
        <w:bidi w:val="0"/>
        <w:spacing w:line="360" w:lineRule="auto"/>
        <w:ind w:firstLine="480" w:firstLineChars="200"/>
        <w:rPr>
          <w:color w:val="auto"/>
          <w:sz w:val="24"/>
          <w:highlight w:val="none"/>
        </w:rPr>
      </w:pPr>
      <w:bookmarkStart w:id="95" w:name="_Toc152042314"/>
      <w:bookmarkStart w:id="96" w:name="_Toc4237"/>
      <w:bookmarkStart w:id="97" w:name="_Toc9511_WPSOffice_Level3"/>
      <w:bookmarkStart w:id="98" w:name="_Toc152045538"/>
      <w:bookmarkStart w:id="99" w:name="_Toc2702"/>
      <w:bookmarkStart w:id="100" w:name="_Toc318450683"/>
      <w:bookmarkStart w:id="101" w:name="_Toc24337"/>
      <w:bookmarkStart w:id="102" w:name="_Toc9446"/>
      <w:bookmarkStart w:id="103" w:name="_Toc463701039"/>
      <w:bookmarkStart w:id="104" w:name="_Toc32507"/>
      <w:bookmarkStart w:id="105" w:name="_Toc464035518"/>
      <w:bookmarkStart w:id="106" w:name="_Toc144974506"/>
      <w:bookmarkStart w:id="107" w:name="_Toc455080117"/>
      <w:bookmarkStart w:id="108" w:name="_Toc22378"/>
      <w:r>
        <w:rPr>
          <w:rFonts w:hint="eastAsia"/>
          <w:color w:val="auto"/>
          <w:sz w:val="24"/>
          <w:highlight w:val="none"/>
        </w:rPr>
        <w:t>1.</w:t>
      </w:r>
      <w:r>
        <w:rPr>
          <w:rFonts w:hint="eastAsia"/>
          <w:color w:val="auto"/>
          <w:sz w:val="24"/>
          <w:highlight w:val="none"/>
          <w:lang w:val="en-US"/>
        </w:rPr>
        <w:t>7</w:t>
      </w:r>
      <w:r>
        <w:rPr>
          <w:rFonts w:hint="eastAsia"/>
          <w:color w:val="auto"/>
          <w:sz w:val="24"/>
          <w:highlight w:val="none"/>
        </w:rPr>
        <w:t xml:space="preserve"> 计量单位</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577742EF">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所有计量均采用中华人民共和国法定计量单位。</w:t>
      </w:r>
    </w:p>
    <w:p w14:paraId="1B80D9C9">
      <w:pPr>
        <w:pStyle w:val="5"/>
        <w:keepNext w:val="0"/>
        <w:keepLines w:val="0"/>
        <w:pageBreakBefore w:val="0"/>
        <w:kinsoku/>
        <w:wordWrap w:val="0"/>
        <w:overflowPunct/>
        <w:topLinePunct w:val="0"/>
        <w:bidi w:val="0"/>
        <w:spacing w:before="161"/>
        <w:ind w:left="320"/>
        <w:rPr>
          <w:color w:val="auto"/>
          <w:highlight w:val="none"/>
        </w:rPr>
      </w:pPr>
      <w:bookmarkStart w:id="109" w:name="_Toc12366_WPSOffice_Level2"/>
      <w:r>
        <w:rPr>
          <w:color w:val="auto"/>
          <w:highlight w:val="none"/>
        </w:rPr>
        <w:t>2、合格的磋商响应供应商</w:t>
      </w:r>
      <w:bookmarkEnd w:id="109"/>
    </w:p>
    <w:p w14:paraId="35B3F983">
      <w:pPr>
        <w:pStyle w:val="5"/>
        <w:keepNext w:val="0"/>
        <w:keepLines w:val="0"/>
        <w:pageBreakBefore w:val="0"/>
        <w:kinsoku/>
        <w:wordWrap w:val="0"/>
        <w:overflowPunct/>
        <w:topLinePunct w:val="0"/>
        <w:bidi w:val="0"/>
        <w:spacing w:before="161"/>
        <w:rPr>
          <w:color w:val="auto"/>
          <w:highlight w:val="none"/>
        </w:rPr>
      </w:pPr>
      <w:r>
        <w:rPr>
          <w:rFonts w:hint="eastAsia"/>
          <w:b w:val="0"/>
          <w:bCs w:val="0"/>
          <w:color w:val="auto"/>
          <w:highlight w:val="none"/>
        </w:rPr>
        <w:t>见供应商须知前附表</w:t>
      </w:r>
    </w:p>
    <w:p w14:paraId="0C3BB98E">
      <w:pPr>
        <w:pStyle w:val="5"/>
        <w:keepNext w:val="0"/>
        <w:keepLines w:val="0"/>
        <w:pageBreakBefore w:val="0"/>
        <w:kinsoku/>
        <w:wordWrap w:val="0"/>
        <w:overflowPunct/>
        <w:topLinePunct w:val="0"/>
        <w:bidi w:val="0"/>
        <w:spacing w:before="161"/>
        <w:ind w:left="320"/>
        <w:rPr>
          <w:color w:val="auto"/>
          <w:highlight w:val="none"/>
        </w:rPr>
      </w:pPr>
      <w:bookmarkStart w:id="110" w:name="_Toc8655_WPSOffice_Level2"/>
      <w:r>
        <w:rPr>
          <w:color w:val="auto"/>
          <w:highlight w:val="none"/>
        </w:rPr>
        <w:t>3、费用</w:t>
      </w:r>
      <w:bookmarkEnd w:id="110"/>
    </w:p>
    <w:p w14:paraId="2E451645">
      <w:pPr>
        <w:pStyle w:val="7"/>
        <w:keepNext w:val="0"/>
        <w:keepLines w:val="0"/>
        <w:pageBreakBefore w:val="0"/>
        <w:kinsoku/>
        <w:wordWrap w:val="0"/>
        <w:overflowPunct/>
        <w:topLinePunct w:val="0"/>
        <w:bidi w:val="0"/>
        <w:spacing w:before="160" w:line="364" w:lineRule="auto"/>
        <w:ind w:right="338" w:firstLine="120"/>
        <w:rPr>
          <w:color w:val="auto"/>
          <w:highlight w:val="none"/>
        </w:rPr>
      </w:pPr>
      <w:r>
        <w:rPr>
          <w:color w:val="auto"/>
          <w:highlight w:val="none"/>
        </w:rPr>
        <w:t>3.1</w:t>
      </w:r>
      <w:r>
        <w:rPr>
          <w:color w:val="auto"/>
          <w:spacing w:val="-9"/>
          <w:highlight w:val="none"/>
        </w:rPr>
        <w:t xml:space="preserve"> 磋商响应供应商应自行承担参加磋商活动有关的全部费用，采购人在任何情况下均</w:t>
      </w:r>
      <w:r>
        <w:rPr>
          <w:color w:val="auto"/>
          <w:highlight w:val="none"/>
        </w:rPr>
        <w:t>无义务和责任承担上述费用。</w:t>
      </w:r>
    </w:p>
    <w:p w14:paraId="3C1F53F2">
      <w:pPr>
        <w:keepNext w:val="0"/>
        <w:keepLines w:val="0"/>
        <w:pageBreakBefore w:val="0"/>
        <w:kinsoku/>
        <w:wordWrap w:val="0"/>
        <w:overflowPunct/>
        <w:topLinePunct w:val="0"/>
        <w:bidi w:val="0"/>
        <w:spacing w:before="1" w:line="364" w:lineRule="auto"/>
        <w:ind w:left="560" w:right="6753" w:hanging="240"/>
        <w:rPr>
          <w:color w:val="auto"/>
          <w:sz w:val="24"/>
          <w:highlight w:val="none"/>
        </w:rPr>
      </w:pPr>
      <w:bookmarkStart w:id="111" w:name="_Toc4976_WPSOffice_Level2"/>
      <w:r>
        <w:rPr>
          <w:b/>
          <w:color w:val="auto"/>
          <w:sz w:val="24"/>
          <w:highlight w:val="none"/>
        </w:rPr>
        <w:t>4</w:t>
      </w:r>
      <w:r>
        <w:rPr>
          <w:b/>
          <w:color w:val="auto"/>
          <w:spacing w:val="-2"/>
          <w:sz w:val="24"/>
          <w:highlight w:val="none"/>
        </w:rPr>
        <w:t>、竞争性磋商文件的构成</w:t>
      </w:r>
      <w:r>
        <w:rPr>
          <w:color w:val="auto"/>
          <w:sz w:val="24"/>
          <w:highlight w:val="none"/>
        </w:rPr>
        <w:t>第一章 竞争性磋商公告</w:t>
      </w:r>
      <w:bookmarkEnd w:id="111"/>
    </w:p>
    <w:p w14:paraId="15118CFD">
      <w:pPr>
        <w:pStyle w:val="7"/>
        <w:keepNext w:val="0"/>
        <w:keepLines w:val="0"/>
        <w:pageBreakBefore w:val="0"/>
        <w:kinsoku/>
        <w:wordWrap w:val="0"/>
        <w:overflowPunct/>
        <w:topLinePunct w:val="0"/>
        <w:bidi w:val="0"/>
        <w:spacing w:before="2" w:line="364" w:lineRule="auto"/>
        <w:ind w:left="555" w:right="5329"/>
        <w:rPr>
          <w:color w:val="auto"/>
          <w:spacing w:val="-2"/>
          <w:highlight w:val="none"/>
        </w:rPr>
      </w:pPr>
      <w:bookmarkStart w:id="112" w:name="_Toc25399_WPSOffice_Level1"/>
      <w:r>
        <w:rPr>
          <w:color w:val="auto"/>
          <w:spacing w:val="-2"/>
          <w:highlight w:val="none"/>
        </w:rPr>
        <w:t>第二章 供应商须知</w:t>
      </w:r>
    </w:p>
    <w:p w14:paraId="09637564">
      <w:pPr>
        <w:pStyle w:val="7"/>
        <w:keepNext w:val="0"/>
        <w:keepLines w:val="0"/>
        <w:pageBreakBefore w:val="0"/>
        <w:kinsoku/>
        <w:wordWrap w:val="0"/>
        <w:overflowPunct/>
        <w:topLinePunct w:val="0"/>
        <w:bidi w:val="0"/>
        <w:spacing w:before="2" w:line="364" w:lineRule="auto"/>
        <w:ind w:left="555" w:right="5329"/>
        <w:rPr>
          <w:color w:val="auto"/>
          <w:highlight w:val="none"/>
        </w:rPr>
      </w:pPr>
      <w:r>
        <w:rPr>
          <w:color w:val="auto"/>
          <w:highlight w:val="none"/>
        </w:rPr>
        <w:t>第三章 采购</w:t>
      </w:r>
      <w:r>
        <w:rPr>
          <w:rFonts w:hint="eastAsia"/>
          <w:color w:val="auto"/>
          <w:highlight w:val="none"/>
        </w:rPr>
        <w:t>需求及参数</w:t>
      </w:r>
      <w:r>
        <w:rPr>
          <w:color w:val="auto"/>
          <w:highlight w:val="none"/>
        </w:rPr>
        <w:t>要求</w:t>
      </w:r>
      <w:bookmarkEnd w:id="112"/>
    </w:p>
    <w:p w14:paraId="3015CB6C">
      <w:pPr>
        <w:pStyle w:val="7"/>
        <w:keepNext w:val="0"/>
        <w:keepLines w:val="0"/>
        <w:pageBreakBefore w:val="0"/>
        <w:kinsoku/>
        <w:wordWrap w:val="0"/>
        <w:overflowPunct/>
        <w:topLinePunct w:val="0"/>
        <w:bidi w:val="0"/>
        <w:spacing w:before="1"/>
        <w:ind w:left="555"/>
        <w:rPr>
          <w:color w:val="auto"/>
          <w:highlight w:val="none"/>
        </w:rPr>
      </w:pPr>
      <w:bookmarkStart w:id="113" w:name="_Toc3669_WPSOffice_Level2"/>
      <w:r>
        <w:rPr>
          <w:color w:val="auto"/>
          <w:highlight w:val="none"/>
        </w:rPr>
        <w:t>第四章 评审办法</w:t>
      </w:r>
      <w:bookmarkEnd w:id="113"/>
    </w:p>
    <w:p w14:paraId="022D144F">
      <w:pPr>
        <w:pStyle w:val="7"/>
        <w:keepNext w:val="0"/>
        <w:keepLines w:val="0"/>
        <w:pageBreakBefore w:val="0"/>
        <w:kinsoku/>
        <w:wordWrap w:val="0"/>
        <w:overflowPunct/>
        <w:topLinePunct w:val="0"/>
        <w:bidi w:val="0"/>
        <w:spacing w:before="160"/>
        <w:ind w:left="555"/>
        <w:rPr>
          <w:color w:val="auto"/>
          <w:highlight w:val="none"/>
        </w:rPr>
      </w:pPr>
      <w:bookmarkStart w:id="114" w:name="_Toc1982_WPSOffice_Level2"/>
      <w:r>
        <w:rPr>
          <w:color w:val="auto"/>
          <w:highlight w:val="none"/>
        </w:rPr>
        <w:t>第五章 合同主要条款及格式</w:t>
      </w:r>
      <w:bookmarkEnd w:id="114"/>
    </w:p>
    <w:p w14:paraId="5CE16C6B">
      <w:pPr>
        <w:pStyle w:val="7"/>
        <w:keepNext w:val="0"/>
        <w:keepLines w:val="0"/>
        <w:pageBreakBefore w:val="0"/>
        <w:kinsoku/>
        <w:wordWrap w:val="0"/>
        <w:overflowPunct/>
        <w:topLinePunct w:val="0"/>
        <w:bidi w:val="0"/>
        <w:spacing w:before="161"/>
        <w:ind w:left="555"/>
        <w:rPr>
          <w:color w:val="auto"/>
          <w:highlight w:val="none"/>
        </w:rPr>
      </w:pPr>
      <w:bookmarkStart w:id="115" w:name="_Toc4328_WPSOffice_Level2"/>
      <w:r>
        <w:rPr>
          <w:color w:val="auto"/>
          <w:highlight w:val="none"/>
        </w:rPr>
        <w:t>第六章 电子化响应文件内容及格式</w:t>
      </w:r>
      <w:bookmarkEnd w:id="115"/>
    </w:p>
    <w:p w14:paraId="2F4AB5DD">
      <w:pPr>
        <w:pStyle w:val="5"/>
        <w:keepNext w:val="0"/>
        <w:keepLines w:val="0"/>
        <w:pageBreakBefore w:val="0"/>
        <w:kinsoku/>
        <w:wordWrap w:val="0"/>
        <w:overflowPunct/>
        <w:topLinePunct w:val="0"/>
        <w:bidi w:val="0"/>
        <w:spacing w:before="160"/>
        <w:ind w:left="320"/>
        <w:rPr>
          <w:color w:val="auto"/>
          <w:highlight w:val="none"/>
        </w:rPr>
      </w:pPr>
      <w:bookmarkStart w:id="116" w:name="_Toc20095_WPSOffice_Level3"/>
      <w:r>
        <w:rPr>
          <w:color w:val="auto"/>
          <w:highlight w:val="none"/>
        </w:rPr>
        <w:t>5、竞争性磋商文件的澄清</w:t>
      </w:r>
      <w:bookmarkEnd w:id="116"/>
    </w:p>
    <w:p w14:paraId="787ACD8F">
      <w:pPr>
        <w:pStyle w:val="19"/>
        <w:keepNext w:val="0"/>
        <w:keepLines w:val="0"/>
        <w:pageBreakBefore w:val="0"/>
        <w:numPr>
          <w:ilvl w:val="1"/>
          <w:numId w:val="1"/>
        </w:numPr>
        <w:tabs>
          <w:tab w:val="left" w:pos="1101"/>
        </w:tabs>
        <w:kinsoku/>
        <w:wordWrap w:val="0"/>
        <w:overflowPunct/>
        <w:topLinePunct w:val="0"/>
        <w:bidi w:val="0"/>
        <w:spacing w:before="161" w:line="364" w:lineRule="auto"/>
        <w:ind w:right="338" w:firstLine="360"/>
        <w:jc w:val="both"/>
        <w:rPr>
          <w:color w:val="auto"/>
          <w:sz w:val="24"/>
          <w:highlight w:val="none"/>
        </w:rPr>
      </w:pPr>
      <w:r>
        <w:rPr>
          <w:color w:val="auto"/>
          <w:spacing w:val="-2"/>
          <w:sz w:val="24"/>
          <w:highlight w:val="none"/>
        </w:rPr>
        <w:t xml:space="preserve">磋商响应供应商对磋商文件需有澄清或疑问，应在购买竞争性磋商文件后 </w:t>
      </w:r>
      <w:r>
        <w:rPr>
          <w:color w:val="auto"/>
          <w:sz w:val="24"/>
          <w:highlight w:val="none"/>
        </w:rPr>
        <w:t>3</w:t>
      </w:r>
      <w:r>
        <w:rPr>
          <w:color w:val="auto"/>
          <w:spacing w:val="-25"/>
          <w:sz w:val="24"/>
          <w:highlight w:val="none"/>
        </w:rPr>
        <w:t xml:space="preserve"> 日内</w:t>
      </w:r>
      <w:r>
        <w:rPr>
          <w:color w:val="auto"/>
          <w:spacing w:val="-2"/>
          <w:sz w:val="24"/>
          <w:highlight w:val="none"/>
        </w:rPr>
        <w:t xml:space="preserve">向采购人进行询问，采购人在收到磋商响应供应商的疑问后于 </w:t>
      </w:r>
      <w:r>
        <w:rPr>
          <w:color w:val="auto"/>
          <w:sz w:val="24"/>
          <w:highlight w:val="none"/>
        </w:rPr>
        <w:t>2</w:t>
      </w:r>
      <w:r>
        <w:rPr>
          <w:color w:val="auto"/>
          <w:spacing w:val="-6"/>
          <w:sz w:val="24"/>
          <w:highlight w:val="none"/>
        </w:rPr>
        <w:t xml:space="preserve"> 日内将视情况确定采用适当方式予以澄清或以书面形式予以答复，并在其认为必要时，将书面答复发送已购买竞争性磋商文件的所有潜在磋商响应供应商。</w:t>
      </w:r>
    </w:p>
    <w:p w14:paraId="18677AE4">
      <w:pPr>
        <w:pStyle w:val="19"/>
        <w:keepNext w:val="0"/>
        <w:keepLines w:val="0"/>
        <w:pageBreakBefore w:val="0"/>
        <w:numPr>
          <w:ilvl w:val="1"/>
          <w:numId w:val="1"/>
        </w:numPr>
        <w:tabs>
          <w:tab w:val="left" w:pos="1101"/>
        </w:tabs>
        <w:kinsoku/>
        <w:wordWrap w:val="0"/>
        <w:overflowPunct/>
        <w:topLinePunct w:val="0"/>
        <w:bidi w:val="0"/>
        <w:spacing w:before="161" w:line="364" w:lineRule="auto"/>
        <w:ind w:right="338" w:firstLine="360"/>
        <w:jc w:val="both"/>
        <w:rPr>
          <w:color w:val="auto"/>
          <w:highlight w:val="none"/>
        </w:rPr>
      </w:pPr>
      <w:r>
        <w:rPr>
          <w:color w:val="auto"/>
          <w:sz w:val="24"/>
          <w:highlight w:val="none"/>
        </w:rPr>
        <w:t>采购人将视情况在认为必要时于采购截止时间前答疑</w:t>
      </w:r>
      <w:r>
        <w:rPr>
          <w:rFonts w:hint="eastAsia"/>
          <w:color w:val="auto"/>
          <w:sz w:val="24"/>
          <w:highlight w:val="none"/>
        </w:rPr>
        <w:t>。</w:t>
      </w:r>
    </w:p>
    <w:p w14:paraId="708B26B2">
      <w:pPr>
        <w:pStyle w:val="5"/>
        <w:keepNext w:val="0"/>
        <w:keepLines w:val="0"/>
        <w:pageBreakBefore w:val="0"/>
        <w:kinsoku/>
        <w:wordWrap w:val="0"/>
        <w:overflowPunct/>
        <w:topLinePunct w:val="0"/>
        <w:bidi w:val="0"/>
        <w:spacing w:before="160"/>
        <w:ind w:left="320"/>
        <w:rPr>
          <w:color w:val="auto"/>
          <w:highlight w:val="none"/>
        </w:rPr>
      </w:pPr>
      <w:bookmarkStart w:id="117" w:name="_Toc20123_WPSOffice_Level3"/>
      <w:r>
        <w:rPr>
          <w:color w:val="auto"/>
          <w:highlight w:val="none"/>
        </w:rPr>
        <w:t>6、竞争性磋商文件的修改</w:t>
      </w:r>
      <w:bookmarkEnd w:id="117"/>
    </w:p>
    <w:p w14:paraId="05E039A9">
      <w:pPr>
        <w:pStyle w:val="19"/>
        <w:keepNext w:val="0"/>
        <w:keepLines w:val="0"/>
        <w:pageBreakBefore w:val="0"/>
        <w:tabs>
          <w:tab w:val="left" w:pos="1101"/>
        </w:tabs>
        <w:kinsoku/>
        <w:wordWrap w:val="0"/>
        <w:overflowPunct/>
        <w:topLinePunct w:val="0"/>
        <w:bidi w:val="0"/>
        <w:spacing w:before="161" w:line="364" w:lineRule="auto"/>
        <w:ind w:left="680" w:right="338" w:firstLine="0"/>
        <w:jc w:val="both"/>
        <w:rPr>
          <w:color w:val="auto"/>
          <w:spacing w:val="-2"/>
          <w:sz w:val="24"/>
          <w:highlight w:val="none"/>
        </w:rPr>
      </w:pPr>
      <w:r>
        <w:rPr>
          <w:color w:val="auto"/>
          <w:spacing w:val="-2"/>
          <w:sz w:val="24"/>
          <w:highlight w:val="none"/>
        </w:rPr>
        <w:t>6.1 竞争性磋商文件的修改书将构成磋商响应文件的一部分，对所有磋商响应供应商均有约束力。</w:t>
      </w:r>
    </w:p>
    <w:p w14:paraId="4D722D7D">
      <w:pPr>
        <w:pStyle w:val="19"/>
        <w:keepNext w:val="0"/>
        <w:keepLines w:val="0"/>
        <w:pageBreakBefore w:val="0"/>
        <w:tabs>
          <w:tab w:val="left" w:pos="1101"/>
        </w:tabs>
        <w:kinsoku/>
        <w:wordWrap w:val="0"/>
        <w:overflowPunct/>
        <w:topLinePunct w:val="0"/>
        <w:bidi w:val="0"/>
        <w:spacing w:before="161" w:line="364" w:lineRule="auto"/>
        <w:ind w:left="0" w:right="338" w:firstLine="241" w:firstLineChars="100"/>
        <w:jc w:val="both"/>
        <w:rPr>
          <w:b/>
          <w:bCs/>
          <w:color w:val="auto"/>
          <w:sz w:val="24"/>
          <w:szCs w:val="24"/>
          <w:highlight w:val="none"/>
        </w:rPr>
      </w:pPr>
      <w:bookmarkStart w:id="118" w:name="_Toc12366_WPSOffice_Level3"/>
      <w:r>
        <w:rPr>
          <w:b/>
          <w:bCs/>
          <w:color w:val="auto"/>
          <w:sz w:val="24"/>
          <w:szCs w:val="24"/>
          <w:highlight w:val="none"/>
        </w:rPr>
        <w:t>7、要求</w:t>
      </w:r>
      <w:bookmarkEnd w:id="118"/>
    </w:p>
    <w:p w14:paraId="157CD1DD">
      <w:pPr>
        <w:pStyle w:val="7"/>
        <w:keepNext w:val="0"/>
        <w:keepLines w:val="0"/>
        <w:pageBreakBefore w:val="0"/>
        <w:kinsoku/>
        <w:wordWrap w:val="0"/>
        <w:overflowPunct/>
        <w:topLinePunct w:val="0"/>
        <w:bidi w:val="0"/>
        <w:spacing w:before="160" w:line="364" w:lineRule="auto"/>
        <w:ind w:right="338" w:firstLine="240"/>
        <w:jc w:val="both"/>
        <w:rPr>
          <w:color w:val="auto"/>
          <w:highlight w:val="none"/>
        </w:rPr>
      </w:pPr>
      <w:r>
        <w:rPr>
          <w:color w:val="auto"/>
          <w:spacing w:val="-2"/>
          <w:highlight w:val="none"/>
        </w:rPr>
        <w:t>7.1 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14385665">
      <w:pPr>
        <w:pStyle w:val="19"/>
        <w:keepNext w:val="0"/>
        <w:keepLines w:val="0"/>
        <w:pageBreakBefore w:val="0"/>
        <w:tabs>
          <w:tab w:val="left" w:pos="1101"/>
        </w:tabs>
        <w:kinsoku/>
        <w:wordWrap w:val="0"/>
        <w:overflowPunct/>
        <w:topLinePunct w:val="0"/>
        <w:bidi w:val="0"/>
        <w:spacing w:line="500" w:lineRule="exact"/>
        <w:ind w:left="0" w:firstLine="482" w:firstLineChars="200"/>
        <w:jc w:val="both"/>
        <w:rPr>
          <w:b/>
          <w:bCs/>
          <w:color w:val="auto"/>
          <w:sz w:val="24"/>
          <w:szCs w:val="24"/>
          <w:highlight w:val="none"/>
        </w:rPr>
      </w:pPr>
      <w:bookmarkStart w:id="119" w:name="_Toc8655_WPSOffice_Level3"/>
      <w:r>
        <w:rPr>
          <w:b/>
          <w:bCs/>
          <w:color w:val="auto"/>
          <w:sz w:val="24"/>
          <w:szCs w:val="24"/>
          <w:highlight w:val="none"/>
        </w:rPr>
        <w:t>8、电子化磋商响应文件的组成</w:t>
      </w:r>
      <w:bookmarkEnd w:id="119"/>
    </w:p>
    <w:p w14:paraId="6EAEDAC5">
      <w:pPr>
        <w:pStyle w:val="19"/>
        <w:keepNext w:val="0"/>
        <w:keepLines w:val="0"/>
        <w:pageBreakBefore w:val="0"/>
        <w:tabs>
          <w:tab w:val="left" w:pos="1101"/>
        </w:tabs>
        <w:kinsoku/>
        <w:wordWrap w:val="0"/>
        <w:overflowPunct/>
        <w:topLinePunct w:val="0"/>
        <w:bidi w:val="0"/>
        <w:spacing w:line="500" w:lineRule="exact"/>
        <w:ind w:left="0" w:firstLine="480" w:firstLineChars="200"/>
        <w:jc w:val="both"/>
        <w:rPr>
          <w:color w:val="auto"/>
          <w:sz w:val="24"/>
          <w:szCs w:val="24"/>
          <w:highlight w:val="none"/>
        </w:rPr>
      </w:pPr>
      <w:r>
        <w:rPr>
          <w:rFonts w:hint="eastAsia"/>
          <w:color w:val="auto"/>
          <w:sz w:val="24"/>
          <w:szCs w:val="24"/>
          <w:highlight w:val="none"/>
        </w:rPr>
        <w:t>详见第六章响应文件内容及格式</w:t>
      </w:r>
    </w:p>
    <w:p w14:paraId="6CF54B2E">
      <w:pPr>
        <w:pStyle w:val="19"/>
        <w:keepNext w:val="0"/>
        <w:keepLines w:val="0"/>
        <w:pageBreakBefore w:val="0"/>
        <w:tabs>
          <w:tab w:val="left" w:pos="1101"/>
        </w:tabs>
        <w:kinsoku/>
        <w:wordWrap w:val="0"/>
        <w:overflowPunct/>
        <w:topLinePunct w:val="0"/>
        <w:bidi w:val="0"/>
        <w:spacing w:line="500" w:lineRule="exact"/>
        <w:ind w:left="0" w:firstLine="482" w:firstLineChars="200"/>
        <w:jc w:val="both"/>
        <w:rPr>
          <w:b/>
          <w:bCs/>
          <w:color w:val="auto"/>
          <w:sz w:val="24"/>
          <w:szCs w:val="24"/>
          <w:highlight w:val="none"/>
        </w:rPr>
      </w:pPr>
      <w:bookmarkStart w:id="120" w:name="_Toc4976_WPSOffice_Level3"/>
      <w:r>
        <w:rPr>
          <w:b/>
          <w:bCs/>
          <w:color w:val="auto"/>
          <w:sz w:val="24"/>
          <w:szCs w:val="24"/>
          <w:highlight w:val="none"/>
        </w:rPr>
        <w:t>9、电子化磋商响应文件的格式</w:t>
      </w:r>
      <w:bookmarkEnd w:id="120"/>
    </w:p>
    <w:p w14:paraId="1260BEF9">
      <w:pPr>
        <w:pStyle w:val="7"/>
        <w:keepNext w:val="0"/>
        <w:keepLines w:val="0"/>
        <w:pageBreakBefore w:val="0"/>
        <w:kinsoku/>
        <w:wordWrap w:val="0"/>
        <w:overflowPunct/>
        <w:topLinePunct w:val="0"/>
        <w:bidi w:val="0"/>
        <w:spacing w:before="161" w:line="364" w:lineRule="auto"/>
        <w:ind w:right="337" w:firstLine="420"/>
        <w:jc w:val="both"/>
        <w:rPr>
          <w:color w:val="auto"/>
          <w:highlight w:val="none"/>
        </w:rPr>
      </w:pPr>
      <w:r>
        <w:rPr>
          <w:color w:val="auto"/>
          <w:highlight w:val="none"/>
        </w:rPr>
        <w:t>9.1</w:t>
      </w:r>
      <w:r>
        <w:rPr>
          <w:rFonts w:hint="eastAsia"/>
          <w:color w:val="auto"/>
          <w:spacing w:val="-12"/>
          <w:highlight w:val="none"/>
        </w:rPr>
        <w:t>投标供应商所上传的电子化响应文件，应是通过中心响应文件制作系统制作的，经过签章和加密后生成的电子版响应文件。上传投标文件格式后缀为SMXTF。上传完后，为了验证CA锁是否正常，建议模拟解密下</w:t>
      </w:r>
      <w:r>
        <w:rPr>
          <w:color w:val="auto"/>
          <w:highlight w:val="none"/>
        </w:rPr>
        <w:t>。</w:t>
      </w:r>
    </w:p>
    <w:p w14:paraId="758EE10E">
      <w:pPr>
        <w:pStyle w:val="19"/>
        <w:keepNext w:val="0"/>
        <w:keepLines w:val="0"/>
        <w:pageBreakBefore w:val="0"/>
        <w:tabs>
          <w:tab w:val="left" w:pos="1101"/>
        </w:tabs>
        <w:kinsoku/>
        <w:wordWrap w:val="0"/>
        <w:overflowPunct/>
        <w:topLinePunct w:val="0"/>
        <w:bidi w:val="0"/>
        <w:spacing w:line="500" w:lineRule="exact"/>
        <w:ind w:left="0" w:firstLine="482" w:firstLineChars="200"/>
        <w:jc w:val="both"/>
        <w:rPr>
          <w:b/>
          <w:bCs/>
          <w:color w:val="auto"/>
          <w:sz w:val="24"/>
          <w:szCs w:val="24"/>
          <w:highlight w:val="none"/>
        </w:rPr>
      </w:pPr>
      <w:bookmarkStart w:id="121" w:name="_Toc3669_WPSOffice_Level3"/>
      <w:r>
        <w:rPr>
          <w:b/>
          <w:bCs/>
          <w:color w:val="auto"/>
          <w:sz w:val="24"/>
          <w:szCs w:val="24"/>
          <w:highlight w:val="none"/>
        </w:rPr>
        <w:t>10、电子化磋商响应文件的签署</w:t>
      </w:r>
      <w:bookmarkEnd w:id="121"/>
    </w:p>
    <w:p w14:paraId="621A26E0">
      <w:pPr>
        <w:pStyle w:val="7"/>
        <w:keepNext w:val="0"/>
        <w:keepLines w:val="0"/>
        <w:pageBreakBefore w:val="0"/>
        <w:kinsoku/>
        <w:wordWrap w:val="0"/>
        <w:overflowPunct/>
        <w:topLinePunct w:val="0"/>
        <w:bidi w:val="0"/>
        <w:spacing w:before="161" w:line="364" w:lineRule="auto"/>
        <w:ind w:right="337" w:firstLine="420"/>
        <w:jc w:val="both"/>
        <w:rPr>
          <w:color w:val="auto"/>
          <w:spacing w:val="-12"/>
          <w:highlight w:val="none"/>
        </w:rPr>
      </w:pPr>
      <w:r>
        <w:rPr>
          <w:color w:val="auto"/>
          <w:spacing w:val="-12"/>
          <w:highlight w:val="none"/>
        </w:rPr>
        <w:t>10.1 磋商响应供应商在进行电子化磋商响应文件签章时，竞争性磋商文件中要求磋商响应供应商盖章的，以签盖单位章为准；要求法定代表人签章的，以签盖法定代表人签章为准。电子化磋商响应文件具体制作教材请供应商通过三门峡市公共资源</w:t>
      </w:r>
      <w:r>
        <w:rPr>
          <w:rFonts w:hint="eastAsia"/>
          <w:color w:val="auto"/>
          <w:spacing w:val="-12"/>
          <w:highlight w:val="none"/>
        </w:rPr>
        <w:t>交易平台网首页</w:t>
      </w:r>
      <w:r>
        <w:rPr>
          <w:color w:val="auto"/>
          <w:spacing w:val="-12"/>
          <w:highlight w:val="none"/>
        </w:rPr>
        <w:t>“下载</w:t>
      </w:r>
      <w:r>
        <w:rPr>
          <w:rFonts w:hint="eastAsia"/>
          <w:color w:val="auto"/>
          <w:spacing w:val="-12"/>
          <w:highlight w:val="none"/>
        </w:rPr>
        <w:t>专区</w:t>
      </w:r>
      <w:r>
        <w:rPr>
          <w:color w:val="auto"/>
          <w:spacing w:val="-12"/>
          <w:highlight w:val="none"/>
        </w:rPr>
        <w:t>”中查看。</w:t>
      </w:r>
    </w:p>
    <w:p w14:paraId="400D0324">
      <w:pPr>
        <w:pStyle w:val="5"/>
        <w:keepNext w:val="0"/>
        <w:keepLines w:val="0"/>
        <w:pageBreakBefore w:val="0"/>
        <w:tabs>
          <w:tab w:val="left" w:pos="687"/>
        </w:tabs>
        <w:kinsoku/>
        <w:wordWrap w:val="0"/>
        <w:overflowPunct/>
        <w:topLinePunct w:val="0"/>
        <w:bidi w:val="0"/>
        <w:spacing w:before="1"/>
        <w:ind w:left="0" w:firstLine="482" w:firstLineChars="200"/>
        <w:rPr>
          <w:color w:val="auto"/>
          <w:highlight w:val="none"/>
        </w:rPr>
      </w:pPr>
      <w:bookmarkStart w:id="122" w:name="_Toc1982_WPSOffice_Level3"/>
      <w:r>
        <w:rPr>
          <w:color w:val="auto"/>
          <w:highlight w:val="none"/>
        </w:rPr>
        <w:t>11、电子化磋商响应文件的上传</w:t>
      </w:r>
      <w:bookmarkEnd w:id="122"/>
    </w:p>
    <w:p w14:paraId="5EC4352B">
      <w:pPr>
        <w:pStyle w:val="7"/>
        <w:keepNext w:val="0"/>
        <w:keepLines w:val="0"/>
        <w:pageBreakBefore w:val="0"/>
        <w:kinsoku/>
        <w:wordWrap w:val="0"/>
        <w:overflowPunct/>
        <w:topLinePunct w:val="0"/>
        <w:bidi w:val="0"/>
        <w:spacing w:before="161" w:line="364" w:lineRule="auto"/>
        <w:ind w:right="403" w:firstLine="420"/>
        <w:rPr>
          <w:color w:val="auto"/>
          <w:highlight w:val="none"/>
        </w:rPr>
      </w:pPr>
      <w:r>
        <w:rPr>
          <w:color w:val="auto"/>
          <w:highlight w:val="none"/>
        </w:rPr>
        <w:t>11.1</w:t>
      </w:r>
      <w:r>
        <w:rPr>
          <w:color w:val="auto"/>
          <w:spacing w:val="-9"/>
          <w:highlight w:val="none"/>
        </w:rPr>
        <w:t xml:space="preserve"> 电子化磋商响应文件应在磋商截止时间前成功上传至三门峡市公共资源电子化</w:t>
      </w:r>
      <w:r>
        <w:rPr>
          <w:color w:val="auto"/>
          <w:highlight w:val="none"/>
        </w:rPr>
        <w:t>交易系统。至磋商截止时间止，仍未上传成功的电子化磋商响应文件将不予接收。</w:t>
      </w:r>
    </w:p>
    <w:p w14:paraId="16647FDE">
      <w:pPr>
        <w:pStyle w:val="7"/>
        <w:keepNext w:val="0"/>
        <w:keepLines w:val="0"/>
        <w:pageBreakBefore w:val="0"/>
        <w:kinsoku/>
        <w:wordWrap w:val="0"/>
        <w:overflowPunct/>
        <w:topLinePunct w:val="0"/>
        <w:bidi w:val="0"/>
        <w:spacing w:before="1" w:line="364" w:lineRule="auto"/>
        <w:ind w:right="338" w:firstLine="420"/>
        <w:jc w:val="both"/>
        <w:rPr>
          <w:color w:val="auto"/>
          <w:highlight w:val="none"/>
        </w:rPr>
      </w:pPr>
      <w:r>
        <w:rPr>
          <w:b/>
          <w:color w:val="auto"/>
          <w:spacing w:val="-29"/>
          <w:highlight w:val="none"/>
        </w:rPr>
        <w:t>注：</w:t>
      </w:r>
      <w:r>
        <w:rPr>
          <w:color w:val="auto"/>
          <w:spacing w:val="-3"/>
          <w:highlight w:val="none"/>
        </w:rPr>
        <w:t>如按照电子化投标操作教材制作完成的电子化磋商响应文件无法上传的，磋商响</w:t>
      </w:r>
      <w:r>
        <w:rPr>
          <w:color w:val="auto"/>
          <w:highlight w:val="none"/>
        </w:rPr>
        <w:t>应供应商应在磋商截止时间前尽早的联系中心技术人员，以便有充分的时间进行处理。磋商响应供应商应充分考虑到处理技术问题和上传数据等工作的时间问题，磋商响应文件未在磋商截止时间前成功上传的，其磋商响应文件不予接收。</w:t>
      </w:r>
    </w:p>
    <w:p w14:paraId="1EF53EDD">
      <w:pPr>
        <w:pStyle w:val="5"/>
        <w:keepNext w:val="0"/>
        <w:keepLines w:val="0"/>
        <w:pageBreakBefore w:val="0"/>
        <w:kinsoku/>
        <w:wordWrap w:val="0"/>
        <w:overflowPunct/>
        <w:topLinePunct w:val="0"/>
        <w:bidi w:val="0"/>
        <w:spacing w:before="3"/>
        <w:ind w:left="0" w:firstLine="482" w:firstLineChars="200"/>
        <w:rPr>
          <w:color w:val="auto"/>
          <w:highlight w:val="none"/>
        </w:rPr>
      </w:pPr>
      <w:bookmarkStart w:id="123" w:name="_Toc4328_WPSOffice_Level3"/>
      <w:r>
        <w:rPr>
          <w:color w:val="auto"/>
          <w:highlight w:val="none"/>
        </w:rPr>
        <w:t>12、磋商截止时间</w:t>
      </w:r>
      <w:bookmarkEnd w:id="123"/>
    </w:p>
    <w:p w14:paraId="71A9CBF1">
      <w:pPr>
        <w:pStyle w:val="7"/>
        <w:keepNext w:val="0"/>
        <w:keepLines w:val="0"/>
        <w:pageBreakBefore w:val="0"/>
        <w:kinsoku/>
        <w:wordWrap w:val="0"/>
        <w:overflowPunct/>
        <w:topLinePunct w:val="0"/>
        <w:bidi w:val="0"/>
        <w:spacing w:before="160"/>
        <w:ind w:left="740"/>
        <w:rPr>
          <w:color w:val="auto"/>
          <w:highlight w:val="none"/>
        </w:rPr>
      </w:pPr>
      <w:r>
        <w:rPr>
          <w:color w:val="auto"/>
          <w:highlight w:val="none"/>
        </w:rPr>
        <w:t>12.1 电子化磋商响应文件的截止时间见本须知前附表规定。</w:t>
      </w:r>
    </w:p>
    <w:p w14:paraId="31A08FCD">
      <w:pPr>
        <w:pStyle w:val="5"/>
        <w:keepNext w:val="0"/>
        <w:keepLines w:val="0"/>
        <w:pageBreakBefore w:val="0"/>
        <w:kinsoku/>
        <w:wordWrap w:val="0"/>
        <w:overflowPunct/>
        <w:topLinePunct w:val="0"/>
        <w:bidi w:val="0"/>
        <w:spacing w:before="3"/>
        <w:ind w:left="0" w:firstLine="482" w:firstLineChars="200"/>
        <w:rPr>
          <w:color w:val="auto"/>
          <w:highlight w:val="none"/>
        </w:rPr>
      </w:pPr>
      <w:bookmarkStart w:id="124" w:name="_Toc14892_WPSOffice_Level3"/>
      <w:r>
        <w:rPr>
          <w:color w:val="auto"/>
          <w:highlight w:val="none"/>
        </w:rPr>
        <w:t>13、电子化磋商响应文件的补充、修改与撤回</w:t>
      </w:r>
      <w:bookmarkEnd w:id="124"/>
    </w:p>
    <w:p w14:paraId="58FA7300">
      <w:pPr>
        <w:pStyle w:val="7"/>
        <w:keepNext w:val="0"/>
        <w:keepLines w:val="0"/>
        <w:pageBreakBefore w:val="0"/>
        <w:kinsoku/>
        <w:wordWrap w:val="0"/>
        <w:overflowPunct/>
        <w:topLinePunct w:val="0"/>
        <w:bidi w:val="0"/>
        <w:spacing w:before="161" w:line="364" w:lineRule="auto"/>
        <w:ind w:right="337" w:firstLine="420"/>
        <w:jc w:val="both"/>
        <w:rPr>
          <w:color w:val="auto"/>
          <w:spacing w:val="-12"/>
          <w:highlight w:val="none"/>
        </w:rPr>
      </w:pPr>
      <w:r>
        <w:rPr>
          <w:color w:val="auto"/>
          <w:spacing w:val="-12"/>
          <w:highlight w:val="none"/>
        </w:rPr>
        <w:t>13.1 在磋商截止时间之后，磋商响应供应商不得补充、修改电子化磋商响应文件。</w:t>
      </w:r>
    </w:p>
    <w:p w14:paraId="64ADAF2D">
      <w:pPr>
        <w:pStyle w:val="7"/>
        <w:keepNext w:val="0"/>
        <w:keepLines w:val="0"/>
        <w:pageBreakBefore w:val="0"/>
        <w:kinsoku/>
        <w:wordWrap w:val="0"/>
        <w:overflowPunct/>
        <w:topLinePunct w:val="0"/>
        <w:bidi w:val="0"/>
        <w:spacing w:before="161" w:line="364" w:lineRule="auto"/>
        <w:ind w:right="337"/>
        <w:jc w:val="both"/>
        <w:rPr>
          <w:b/>
          <w:bCs/>
          <w:color w:val="auto"/>
          <w:highlight w:val="none"/>
        </w:rPr>
      </w:pPr>
      <w:bookmarkStart w:id="125" w:name="_Toc16713_WPSOffice_Level3"/>
      <w:r>
        <w:rPr>
          <w:b/>
          <w:bCs/>
          <w:color w:val="auto"/>
          <w:highlight w:val="none"/>
        </w:rPr>
        <w:t>14、磋商报价</w:t>
      </w:r>
      <w:bookmarkEnd w:id="125"/>
    </w:p>
    <w:p w14:paraId="2955DAC9">
      <w:pPr>
        <w:pStyle w:val="7"/>
        <w:keepNext w:val="0"/>
        <w:keepLines w:val="0"/>
        <w:pageBreakBefore w:val="0"/>
        <w:kinsoku/>
        <w:wordWrap w:val="0"/>
        <w:overflowPunct/>
        <w:topLinePunct w:val="0"/>
        <w:bidi w:val="0"/>
        <w:spacing w:before="161" w:line="364" w:lineRule="auto"/>
        <w:ind w:right="337" w:firstLine="420"/>
        <w:jc w:val="both"/>
        <w:rPr>
          <w:b/>
          <w:bCs/>
          <w:color w:val="auto"/>
          <w:highlight w:val="none"/>
        </w:rPr>
      </w:pPr>
      <w:r>
        <w:rPr>
          <w:rFonts w:hint="eastAsia"/>
          <w:color w:val="auto"/>
          <w:spacing w:val="-12"/>
          <w:highlight w:val="none"/>
          <w:lang w:val="en-US"/>
        </w:rPr>
        <w:t xml:space="preserve">14.1 </w:t>
      </w:r>
      <w:r>
        <w:rPr>
          <w:color w:val="auto"/>
          <w:spacing w:val="-12"/>
          <w:highlight w:val="none"/>
        </w:rPr>
        <w:t>本次磋商采购的均须以人民币为计算单位。</w:t>
      </w:r>
    </w:p>
    <w:p w14:paraId="648216D4">
      <w:pPr>
        <w:pStyle w:val="7"/>
        <w:keepNext w:val="0"/>
        <w:keepLines w:val="0"/>
        <w:pageBreakBefore w:val="0"/>
        <w:kinsoku/>
        <w:wordWrap w:val="0"/>
        <w:overflowPunct/>
        <w:topLinePunct w:val="0"/>
        <w:bidi w:val="0"/>
        <w:spacing w:before="161" w:line="364" w:lineRule="auto"/>
        <w:ind w:right="337" w:firstLine="420"/>
        <w:jc w:val="both"/>
        <w:rPr>
          <w:color w:val="auto"/>
          <w:spacing w:val="-12"/>
          <w:highlight w:val="none"/>
        </w:rPr>
      </w:pPr>
      <w:r>
        <w:rPr>
          <w:rFonts w:hint="eastAsia"/>
          <w:color w:val="auto"/>
          <w:spacing w:val="-12"/>
          <w:highlight w:val="none"/>
          <w:lang w:val="en-US"/>
        </w:rPr>
        <w:t xml:space="preserve">14.2 </w:t>
      </w:r>
      <w:r>
        <w:rPr>
          <w:color w:val="auto"/>
          <w:spacing w:val="-12"/>
          <w:highlight w:val="none"/>
        </w:rPr>
        <w:t>磋商响应供应商应报出货到交货地点价。其中应包含货物价、备品备件价、检验费、包装费、装卸费、运输费、税金（含关税、增值税）、安装调试费、改造费、检测验收费等各项费用。</w:t>
      </w:r>
    </w:p>
    <w:p w14:paraId="3E88D1B1">
      <w:pPr>
        <w:pStyle w:val="7"/>
        <w:keepNext w:val="0"/>
        <w:keepLines w:val="0"/>
        <w:pageBreakBefore w:val="0"/>
        <w:kinsoku/>
        <w:wordWrap w:val="0"/>
        <w:overflowPunct/>
        <w:topLinePunct w:val="0"/>
        <w:bidi w:val="0"/>
        <w:spacing w:before="161" w:line="364" w:lineRule="auto"/>
        <w:ind w:right="337" w:firstLine="420"/>
        <w:jc w:val="both"/>
        <w:rPr>
          <w:color w:val="auto"/>
          <w:spacing w:val="-12"/>
          <w:highlight w:val="none"/>
        </w:rPr>
      </w:pPr>
      <w:r>
        <w:rPr>
          <w:rFonts w:hint="eastAsia"/>
          <w:color w:val="auto"/>
          <w:spacing w:val="-12"/>
          <w:highlight w:val="none"/>
          <w:lang w:val="en-US"/>
        </w:rPr>
        <w:t xml:space="preserve">14.3 </w:t>
      </w:r>
      <w:r>
        <w:rPr>
          <w:color w:val="auto"/>
          <w:spacing w:val="-12"/>
          <w:highlight w:val="none"/>
        </w:rPr>
        <w:t>磋商响应供应商应充分考虑市场风险和国家政策性风险系数，根据企业具体情况在合理的范围内自主报价，但不得低于企业实际成本。</w:t>
      </w:r>
    </w:p>
    <w:p w14:paraId="7F4B608E">
      <w:pPr>
        <w:pStyle w:val="7"/>
        <w:keepNext w:val="0"/>
        <w:keepLines w:val="0"/>
        <w:pageBreakBefore w:val="0"/>
        <w:kinsoku/>
        <w:wordWrap w:val="0"/>
        <w:overflowPunct/>
        <w:topLinePunct w:val="0"/>
        <w:bidi w:val="0"/>
        <w:spacing w:before="161" w:line="364" w:lineRule="auto"/>
        <w:ind w:right="337" w:firstLine="420"/>
        <w:jc w:val="both"/>
        <w:rPr>
          <w:color w:val="auto"/>
          <w:spacing w:val="-12"/>
          <w:highlight w:val="none"/>
        </w:rPr>
      </w:pPr>
      <w:r>
        <w:rPr>
          <w:rFonts w:hint="eastAsia"/>
          <w:color w:val="auto"/>
          <w:spacing w:val="-12"/>
          <w:highlight w:val="none"/>
          <w:lang w:val="en-US"/>
        </w:rPr>
        <w:t xml:space="preserve">14.4 </w:t>
      </w:r>
      <w:r>
        <w:rPr>
          <w:color w:val="auto"/>
          <w:spacing w:val="-12"/>
          <w:highlight w:val="none"/>
        </w:rPr>
        <w:t>磋商响应供应商的磋商报价应包含验收合格正式交付使用前所发生的一切费用，且磋商响应供应商只能提出一个报价，采购人不接受任何有选择的报价，最后报价不得超过项目采购预算。</w:t>
      </w:r>
    </w:p>
    <w:p w14:paraId="2F58AE25">
      <w:pPr>
        <w:pStyle w:val="7"/>
        <w:keepNext w:val="0"/>
        <w:keepLines w:val="0"/>
        <w:pageBreakBefore w:val="0"/>
        <w:kinsoku/>
        <w:wordWrap w:val="0"/>
        <w:overflowPunct/>
        <w:topLinePunct w:val="0"/>
        <w:bidi w:val="0"/>
        <w:spacing w:before="161" w:line="364" w:lineRule="auto"/>
        <w:ind w:right="337" w:firstLine="420"/>
        <w:jc w:val="both"/>
        <w:rPr>
          <w:color w:val="auto"/>
          <w:spacing w:val="-12"/>
          <w:highlight w:val="none"/>
        </w:rPr>
      </w:pPr>
      <w:r>
        <w:rPr>
          <w:rFonts w:hint="eastAsia"/>
          <w:color w:val="auto"/>
          <w:spacing w:val="-12"/>
          <w:highlight w:val="none"/>
          <w:lang w:val="en-US"/>
        </w:rPr>
        <w:t xml:space="preserve">14.5 </w:t>
      </w:r>
      <w:r>
        <w:rPr>
          <w:color w:val="auto"/>
          <w:spacing w:val="-12"/>
          <w:highlight w:val="none"/>
        </w:rPr>
        <w:t>磋商响应供应商的报价明显低于其他报价，使得其报价可能低于其个别成本的， 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14:paraId="563DAC7B">
      <w:pPr>
        <w:pStyle w:val="7"/>
        <w:keepNext w:val="0"/>
        <w:keepLines w:val="0"/>
        <w:pageBreakBefore w:val="0"/>
        <w:kinsoku/>
        <w:wordWrap w:val="0"/>
        <w:overflowPunct/>
        <w:topLinePunct w:val="0"/>
        <w:bidi w:val="0"/>
        <w:spacing w:before="161" w:line="364" w:lineRule="auto"/>
        <w:ind w:right="337" w:firstLine="420"/>
        <w:jc w:val="both"/>
        <w:rPr>
          <w:color w:val="auto"/>
          <w:spacing w:val="-12"/>
          <w:highlight w:val="none"/>
        </w:rPr>
      </w:pPr>
      <w:r>
        <w:rPr>
          <w:rFonts w:hint="eastAsia"/>
          <w:color w:val="auto"/>
          <w:spacing w:val="-12"/>
          <w:highlight w:val="none"/>
          <w:lang w:val="en-US"/>
        </w:rPr>
        <w:t>14.6</w:t>
      </w:r>
      <w:r>
        <w:rPr>
          <w:color w:val="auto"/>
          <w:spacing w:val="-12"/>
          <w:highlight w:val="none"/>
        </w:rPr>
        <w:t>本次采购为竞争性磋商采购，允许二次报价。</w:t>
      </w:r>
    </w:p>
    <w:p w14:paraId="2BCEC82F">
      <w:pPr>
        <w:pStyle w:val="7"/>
        <w:keepNext w:val="0"/>
        <w:keepLines w:val="0"/>
        <w:pageBreakBefore w:val="0"/>
        <w:kinsoku/>
        <w:wordWrap w:val="0"/>
        <w:overflowPunct/>
        <w:topLinePunct w:val="0"/>
        <w:bidi w:val="0"/>
        <w:spacing w:before="161" w:line="364" w:lineRule="auto"/>
        <w:ind w:right="337" w:firstLine="241" w:firstLineChars="100"/>
        <w:jc w:val="both"/>
        <w:rPr>
          <w:b/>
          <w:bCs/>
          <w:color w:val="auto"/>
          <w:highlight w:val="none"/>
        </w:rPr>
      </w:pPr>
      <w:bookmarkStart w:id="126" w:name="_Toc28583_WPSOffice_Level3"/>
      <w:r>
        <w:rPr>
          <w:rFonts w:hint="eastAsia"/>
          <w:b/>
          <w:bCs/>
          <w:color w:val="auto"/>
          <w:highlight w:val="none"/>
          <w:lang w:val="en-US"/>
        </w:rPr>
        <w:t>15、</w:t>
      </w:r>
      <w:r>
        <w:rPr>
          <w:b/>
          <w:bCs/>
          <w:color w:val="auto"/>
          <w:highlight w:val="none"/>
        </w:rPr>
        <w:t>磋商响应供应商资格的证明文件</w:t>
      </w:r>
      <w:bookmarkEnd w:id="126"/>
    </w:p>
    <w:p w14:paraId="4BF019CE">
      <w:pPr>
        <w:pStyle w:val="7"/>
        <w:keepNext w:val="0"/>
        <w:keepLines w:val="0"/>
        <w:pageBreakBefore w:val="0"/>
        <w:kinsoku/>
        <w:wordWrap w:val="0"/>
        <w:overflowPunct/>
        <w:topLinePunct w:val="0"/>
        <w:bidi w:val="0"/>
        <w:spacing w:before="161" w:line="364" w:lineRule="auto"/>
        <w:ind w:left="0" w:right="337" w:firstLine="432" w:firstLineChars="200"/>
        <w:jc w:val="both"/>
        <w:rPr>
          <w:color w:val="auto"/>
          <w:spacing w:val="-12"/>
          <w:highlight w:val="none"/>
        </w:rPr>
      </w:pPr>
      <w:r>
        <w:rPr>
          <w:rFonts w:hint="eastAsia"/>
          <w:color w:val="auto"/>
          <w:spacing w:val="-12"/>
          <w:highlight w:val="none"/>
          <w:lang w:val="en-US"/>
        </w:rPr>
        <w:t>15.1</w:t>
      </w:r>
      <w:r>
        <w:rPr>
          <w:color w:val="auto"/>
          <w:spacing w:val="-12"/>
          <w:highlight w:val="none"/>
        </w:rPr>
        <w:t>证明磋商响应供应商是有资格参加磋商的。</w:t>
      </w:r>
    </w:p>
    <w:p w14:paraId="674658F1">
      <w:pPr>
        <w:pStyle w:val="7"/>
        <w:keepNext w:val="0"/>
        <w:keepLines w:val="0"/>
        <w:pageBreakBefore w:val="0"/>
        <w:kinsoku/>
        <w:wordWrap w:val="0"/>
        <w:overflowPunct/>
        <w:topLinePunct w:val="0"/>
        <w:bidi w:val="0"/>
        <w:spacing w:before="161" w:line="364" w:lineRule="auto"/>
        <w:ind w:right="337" w:firstLine="216" w:firstLineChars="100"/>
        <w:jc w:val="both"/>
        <w:rPr>
          <w:color w:val="auto"/>
          <w:spacing w:val="-12"/>
          <w:highlight w:val="none"/>
        </w:rPr>
      </w:pPr>
      <w:r>
        <w:rPr>
          <w:rFonts w:hint="eastAsia"/>
          <w:color w:val="auto"/>
          <w:spacing w:val="-12"/>
          <w:highlight w:val="none"/>
          <w:lang w:val="en-US"/>
        </w:rPr>
        <w:t>15.2</w:t>
      </w:r>
      <w:r>
        <w:rPr>
          <w:color w:val="auto"/>
          <w:spacing w:val="-12"/>
          <w:highlight w:val="none"/>
        </w:rPr>
        <w:t>证明磋商响应供应商有能力履行竞争性磋商文件中合同条款和技术要求规定的由磋商响应供应商提供的服务等义务。</w:t>
      </w:r>
    </w:p>
    <w:p w14:paraId="241663A4">
      <w:pPr>
        <w:pStyle w:val="5"/>
        <w:keepNext w:val="0"/>
        <w:keepLines w:val="0"/>
        <w:pageBreakBefore w:val="0"/>
        <w:kinsoku/>
        <w:wordWrap w:val="0"/>
        <w:overflowPunct/>
        <w:topLinePunct w:val="0"/>
        <w:bidi w:val="0"/>
        <w:spacing w:before="1"/>
        <w:ind w:left="0" w:firstLine="723" w:firstLineChars="300"/>
        <w:rPr>
          <w:color w:val="auto"/>
          <w:highlight w:val="none"/>
        </w:rPr>
      </w:pPr>
      <w:bookmarkStart w:id="127" w:name="_Toc29721_WPSOffice_Level3"/>
      <w:r>
        <w:rPr>
          <w:color w:val="auto"/>
          <w:highlight w:val="none"/>
        </w:rPr>
        <w:t>16、磋商保证金</w:t>
      </w:r>
      <w:bookmarkEnd w:id="127"/>
    </w:p>
    <w:p w14:paraId="27DB3A5F">
      <w:pPr>
        <w:pStyle w:val="7"/>
        <w:keepNext w:val="0"/>
        <w:keepLines w:val="0"/>
        <w:pageBreakBefore w:val="0"/>
        <w:kinsoku/>
        <w:wordWrap w:val="0"/>
        <w:overflowPunct/>
        <w:topLinePunct w:val="0"/>
        <w:bidi w:val="0"/>
        <w:spacing w:before="161" w:line="364" w:lineRule="auto"/>
        <w:ind w:right="337" w:firstLine="420"/>
        <w:jc w:val="both"/>
        <w:rPr>
          <w:color w:val="auto"/>
          <w:spacing w:val="-12"/>
          <w:highlight w:val="none"/>
          <w:lang w:val="en-US"/>
        </w:rPr>
      </w:pPr>
      <w:bookmarkStart w:id="128" w:name="_Toc26640_WPSOffice_Level3"/>
      <w:r>
        <w:rPr>
          <w:rFonts w:hint="eastAsia"/>
          <w:color w:val="auto"/>
          <w:spacing w:val="-12"/>
          <w:highlight w:val="none"/>
          <w:lang w:val="en-US"/>
        </w:rPr>
        <w:t>根据《河南省财政厅关于优化政府采购营商环境有关问题的通知》（豫财购【2019】4号）第6条的规定，本项目磋商保证金不再收取，供应商须提供投标承诺书（详见第六章响应文件格式）</w:t>
      </w:r>
    </w:p>
    <w:p w14:paraId="38848543">
      <w:pPr>
        <w:pStyle w:val="5"/>
        <w:keepNext w:val="0"/>
        <w:keepLines w:val="0"/>
        <w:pageBreakBefore w:val="0"/>
        <w:kinsoku/>
        <w:wordWrap w:val="0"/>
        <w:overflowPunct/>
        <w:topLinePunct w:val="0"/>
        <w:bidi w:val="0"/>
        <w:spacing w:before="1"/>
        <w:ind w:left="0" w:firstLine="723" w:firstLineChars="300"/>
        <w:rPr>
          <w:color w:val="auto"/>
          <w:highlight w:val="none"/>
        </w:rPr>
      </w:pPr>
      <w:r>
        <w:rPr>
          <w:color w:val="auto"/>
          <w:highlight w:val="none"/>
        </w:rPr>
        <w:t>17、磋商响应文件有效期</w:t>
      </w:r>
      <w:bookmarkEnd w:id="128"/>
    </w:p>
    <w:p w14:paraId="5F1540FF">
      <w:pPr>
        <w:pStyle w:val="19"/>
        <w:keepNext w:val="0"/>
        <w:keepLines w:val="0"/>
        <w:pageBreakBefore w:val="0"/>
        <w:numPr>
          <w:ilvl w:val="1"/>
          <w:numId w:val="2"/>
        </w:numPr>
        <w:tabs>
          <w:tab w:val="left" w:pos="1281"/>
        </w:tabs>
        <w:kinsoku/>
        <w:wordWrap w:val="0"/>
        <w:overflowPunct/>
        <w:topLinePunct w:val="0"/>
        <w:bidi w:val="0"/>
        <w:spacing w:before="161" w:line="364" w:lineRule="auto"/>
        <w:ind w:right="341" w:firstLine="420"/>
        <w:rPr>
          <w:color w:val="auto"/>
          <w:sz w:val="24"/>
          <w:highlight w:val="none"/>
        </w:rPr>
      </w:pPr>
      <w:r>
        <w:rPr>
          <w:color w:val="auto"/>
          <w:sz w:val="24"/>
          <w:highlight w:val="none"/>
        </w:rPr>
        <w:t>响应性文件从首次递交竞争性磋商响应文件截止时间之日起开始生效，磋商有</w:t>
      </w:r>
      <w:r>
        <w:rPr>
          <w:color w:val="auto"/>
          <w:spacing w:val="-15"/>
          <w:sz w:val="24"/>
          <w:highlight w:val="none"/>
        </w:rPr>
        <w:t xml:space="preserve">效期为 </w:t>
      </w:r>
      <w:r>
        <w:rPr>
          <w:color w:val="auto"/>
          <w:sz w:val="24"/>
          <w:highlight w:val="none"/>
        </w:rPr>
        <w:t>60</w:t>
      </w:r>
      <w:r>
        <w:rPr>
          <w:color w:val="auto"/>
          <w:spacing w:val="-8"/>
          <w:sz w:val="24"/>
          <w:highlight w:val="none"/>
        </w:rPr>
        <w:t xml:space="preserve"> 日历天，有效期短于此规定的响应文件将被视为无效文件。</w:t>
      </w:r>
    </w:p>
    <w:p w14:paraId="7D1FE778">
      <w:pPr>
        <w:pStyle w:val="19"/>
        <w:keepNext w:val="0"/>
        <w:keepLines w:val="0"/>
        <w:pageBreakBefore w:val="0"/>
        <w:numPr>
          <w:ilvl w:val="1"/>
          <w:numId w:val="2"/>
        </w:numPr>
        <w:tabs>
          <w:tab w:val="left" w:pos="1281"/>
        </w:tabs>
        <w:kinsoku/>
        <w:wordWrap w:val="0"/>
        <w:overflowPunct/>
        <w:topLinePunct w:val="0"/>
        <w:bidi w:val="0"/>
        <w:spacing w:before="1" w:line="364" w:lineRule="auto"/>
        <w:ind w:right="338" w:firstLine="420"/>
        <w:jc w:val="both"/>
        <w:rPr>
          <w:color w:val="auto"/>
          <w:sz w:val="24"/>
          <w:highlight w:val="none"/>
        </w:rPr>
      </w:pPr>
      <w:r>
        <w:rPr>
          <w:color w:val="auto"/>
          <w:sz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1963F7FC">
      <w:pPr>
        <w:pStyle w:val="5"/>
        <w:keepNext w:val="0"/>
        <w:keepLines w:val="0"/>
        <w:pageBreakBefore w:val="0"/>
        <w:kinsoku/>
        <w:wordWrap w:val="0"/>
        <w:overflowPunct/>
        <w:topLinePunct w:val="0"/>
        <w:bidi w:val="0"/>
        <w:spacing w:before="2"/>
        <w:rPr>
          <w:color w:val="auto"/>
          <w:highlight w:val="none"/>
        </w:rPr>
      </w:pPr>
      <w:bookmarkStart w:id="129" w:name="_Toc14449_WPSOffice_Level3"/>
      <w:r>
        <w:rPr>
          <w:color w:val="auto"/>
          <w:highlight w:val="none"/>
        </w:rPr>
        <w:t>18、磋商</w:t>
      </w:r>
      <w:bookmarkEnd w:id="129"/>
    </w:p>
    <w:p w14:paraId="1E4F2810">
      <w:pPr>
        <w:pStyle w:val="19"/>
        <w:keepNext w:val="0"/>
        <w:keepLines w:val="0"/>
        <w:pageBreakBefore w:val="0"/>
        <w:numPr>
          <w:ilvl w:val="1"/>
          <w:numId w:val="3"/>
        </w:numPr>
        <w:tabs>
          <w:tab w:val="left" w:pos="1281"/>
        </w:tabs>
        <w:kinsoku/>
        <w:wordWrap w:val="0"/>
        <w:overflowPunct/>
        <w:topLinePunct w:val="0"/>
        <w:bidi w:val="0"/>
        <w:spacing w:before="160"/>
        <w:rPr>
          <w:color w:val="auto"/>
          <w:sz w:val="24"/>
          <w:highlight w:val="none"/>
        </w:rPr>
      </w:pPr>
      <w:r>
        <w:rPr>
          <w:color w:val="auto"/>
          <w:sz w:val="24"/>
          <w:highlight w:val="none"/>
        </w:rPr>
        <w:t>采购人按本须知前附表规定的时间和地点磋商。</w:t>
      </w:r>
    </w:p>
    <w:p w14:paraId="567859EA">
      <w:pPr>
        <w:pStyle w:val="19"/>
        <w:keepNext w:val="0"/>
        <w:keepLines w:val="0"/>
        <w:pageBreakBefore w:val="0"/>
        <w:numPr>
          <w:ilvl w:val="1"/>
          <w:numId w:val="3"/>
        </w:numPr>
        <w:tabs>
          <w:tab w:val="left" w:pos="1222"/>
        </w:tabs>
        <w:kinsoku/>
        <w:wordWrap w:val="0"/>
        <w:overflowPunct/>
        <w:topLinePunct w:val="0"/>
        <w:bidi w:val="0"/>
        <w:spacing w:before="161"/>
        <w:ind w:left="1221" w:hanging="481"/>
        <w:rPr>
          <w:color w:val="auto"/>
          <w:sz w:val="24"/>
          <w:highlight w:val="none"/>
        </w:rPr>
      </w:pPr>
      <w:r>
        <w:rPr>
          <w:color w:val="auto"/>
          <w:sz w:val="24"/>
          <w:highlight w:val="none"/>
        </w:rPr>
        <w:t>磋商会议由采购代理机构主持；</w:t>
      </w:r>
    </w:p>
    <w:p w14:paraId="3266DE83">
      <w:pPr>
        <w:pStyle w:val="19"/>
        <w:keepNext w:val="0"/>
        <w:keepLines w:val="0"/>
        <w:pageBreakBefore w:val="0"/>
        <w:numPr>
          <w:ilvl w:val="1"/>
          <w:numId w:val="3"/>
        </w:numPr>
        <w:tabs>
          <w:tab w:val="left" w:pos="1222"/>
        </w:tabs>
        <w:kinsoku/>
        <w:wordWrap w:val="0"/>
        <w:overflowPunct/>
        <w:topLinePunct w:val="0"/>
        <w:bidi w:val="0"/>
        <w:spacing w:before="160"/>
        <w:ind w:left="1221" w:hanging="481"/>
        <w:rPr>
          <w:color w:val="auto"/>
          <w:sz w:val="24"/>
          <w:highlight w:val="none"/>
        </w:rPr>
      </w:pPr>
      <w:r>
        <w:rPr>
          <w:color w:val="auto"/>
          <w:sz w:val="24"/>
          <w:highlight w:val="none"/>
        </w:rPr>
        <w:t>宣布磋商会议纪律；</w:t>
      </w:r>
    </w:p>
    <w:p w14:paraId="19C09EC9">
      <w:pPr>
        <w:pStyle w:val="19"/>
        <w:keepNext w:val="0"/>
        <w:keepLines w:val="0"/>
        <w:pageBreakBefore w:val="0"/>
        <w:numPr>
          <w:ilvl w:val="1"/>
          <w:numId w:val="3"/>
        </w:numPr>
        <w:tabs>
          <w:tab w:val="left" w:pos="1222"/>
        </w:tabs>
        <w:kinsoku/>
        <w:wordWrap w:val="0"/>
        <w:overflowPunct/>
        <w:topLinePunct w:val="0"/>
        <w:bidi w:val="0"/>
        <w:spacing w:before="160"/>
        <w:ind w:left="1221" w:hanging="481"/>
        <w:rPr>
          <w:color w:val="auto"/>
          <w:sz w:val="24"/>
          <w:highlight w:val="none"/>
        </w:rPr>
      </w:pPr>
      <w:r>
        <w:rPr>
          <w:color w:val="auto"/>
          <w:spacing w:val="-11"/>
          <w:sz w:val="24"/>
          <w:highlight w:val="none"/>
        </w:rPr>
        <w:t>磋商时，电子招标投标交易平台自动提取所有电子化磋商响应文件，按时在线解</w:t>
      </w:r>
      <w:r>
        <w:rPr>
          <w:color w:val="auto"/>
          <w:sz w:val="24"/>
          <w:highlight w:val="none"/>
        </w:rPr>
        <w:t>密</w:t>
      </w:r>
      <w:r>
        <w:rPr>
          <w:rFonts w:hint="eastAsia"/>
          <w:color w:val="auto"/>
          <w:sz w:val="24"/>
          <w:highlight w:val="none"/>
        </w:rPr>
        <w:t>；</w:t>
      </w:r>
    </w:p>
    <w:p w14:paraId="63ACCBF5">
      <w:pPr>
        <w:pStyle w:val="19"/>
        <w:keepNext w:val="0"/>
        <w:keepLines w:val="0"/>
        <w:pageBreakBefore w:val="0"/>
        <w:numPr>
          <w:ilvl w:val="1"/>
          <w:numId w:val="3"/>
        </w:numPr>
        <w:tabs>
          <w:tab w:val="left" w:pos="1222"/>
        </w:tabs>
        <w:kinsoku/>
        <w:wordWrap w:val="0"/>
        <w:overflowPunct/>
        <w:topLinePunct w:val="0"/>
        <w:bidi w:val="0"/>
        <w:spacing w:before="161"/>
        <w:ind w:left="1221" w:hanging="481"/>
        <w:rPr>
          <w:color w:val="auto"/>
          <w:sz w:val="24"/>
          <w:highlight w:val="none"/>
        </w:rPr>
      </w:pPr>
      <w:r>
        <w:rPr>
          <w:color w:val="auto"/>
          <w:sz w:val="24"/>
          <w:highlight w:val="none"/>
        </w:rPr>
        <w:t>电子化磋商响应文件的有效性</w:t>
      </w:r>
    </w:p>
    <w:p w14:paraId="430D8C6A">
      <w:pPr>
        <w:pStyle w:val="19"/>
        <w:keepNext w:val="0"/>
        <w:keepLines w:val="0"/>
        <w:pageBreakBefore w:val="0"/>
        <w:tabs>
          <w:tab w:val="left" w:pos="1222"/>
        </w:tabs>
        <w:kinsoku/>
        <w:wordWrap w:val="0"/>
        <w:overflowPunct/>
        <w:topLinePunct w:val="0"/>
        <w:bidi w:val="0"/>
        <w:spacing w:before="161" w:line="500" w:lineRule="exact"/>
        <w:ind w:left="743" w:firstLine="0"/>
        <w:rPr>
          <w:color w:val="auto"/>
          <w:sz w:val="24"/>
          <w:highlight w:val="none"/>
        </w:rPr>
      </w:pPr>
      <w:r>
        <w:rPr>
          <w:rFonts w:hint="eastAsia"/>
          <w:color w:val="auto"/>
          <w:sz w:val="24"/>
          <w:highlight w:val="none"/>
          <w:lang w:val="en-US"/>
        </w:rPr>
        <w:t>18.5.1</w:t>
      </w:r>
      <w:r>
        <w:rPr>
          <w:color w:val="auto"/>
          <w:sz w:val="24"/>
          <w:highlight w:val="none"/>
        </w:rPr>
        <w:t>电子化磋商响应文件有下列情形的为无效电子化磋商响应文件，采购人不予受理：因磋商响应供应商原因造成磋商响应文件未解密的，视为撤销其磋商响应文件； 因磋商响应供应商之外的原因造成电子化磋商响应文件未解密的，视为撤回其磋商响应文件，磋商响应供应商有权要求责任方赔偿因此遭受的直接损失。部分电子化磋商响应文件未解密的，其他电子化磋商</w:t>
      </w:r>
      <w:r>
        <w:rPr>
          <w:rFonts w:hint="eastAsia"/>
          <w:color w:val="auto"/>
          <w:sz w:val="24"/>
          <w:highlight w:val="none"/>
        </w:rPr>
        <w:t>可以继续进行</w:t>
      </w:r>
      <w:r>
        <w:rPr>
          <w:color w:val="auto"/>
          <w:sz w:val="24"/>
          <w:highlight w:val="none"/>
        </w:rPr>
        <w:t>。</w:t>
      </w:r>
    </w:p>
    <w:p w14:paraId="0FA867F4">
      <w:pPr>
        <w:pStyle w:val="5"/>
        <w:keepNext w:val="0"/>
        <w:keepLines w:val="0"/>
        <w:pageBreakBefore w:val="0"/>
        <w:kinsoku/>
        <w:wordWrap w:val="0"/>
        <w:overflowPunct/>
        <w:topLinePunct w:val="0"/>
        <w:bidi w:val="0"/>
        <w:spacing w:before="3" w:line="500" w:lineRule="exact"/>
        <w:rPr>
          <w:color w:val="auto"/>
          <w:highlight w:val="none"/>
        </w:rPr>
      </w:pPr>
      <w:bookmarkStart w:id="130" w:name="_Toc29167_WPSOffice_Level3"/>
      <w:r>
        <w:rPr>
          <w:color w:val="auto"/>
          <w:highlight w:val="none"/>
        </w:rPr>
        <w:t>19、磋商小组</w:t>
      </w:r>
      <w:bookmarkEnd w:id="130"/>
    </w:p>
    <w:p w14:paraId="4EFDAD56">
      <w:pPr>
        <w:pStyle w:val="19"/>
        <w:keepNext w:val="0"/>
        <w:keepLines w:val="0"/>
        <w:pageBreakBefore w:val="0"/>
        <w:numPr>
          <w:ilvl w:val="1"/>
          <w:numId w:val="4"/>
        </w:numPr>
        <w:tabs>
          <w:tab w:val="left" w:pos="1281"/>
        </w:tabs>
        <w:kinsoku/>
        <w:wordWrap w:val="0"/>
        <w:overflowPunct/>
        <w:topLinePunct w:val="0"/>
        <w:bidi w:val="0"/>
        <w:spacing w:before="161" w:line="364" w:lineRule="auto"/>
        <w:ind w:right="338" w:firstLine="420"/>
        <w:jc w:val="both"/>
        <w:rPr>
          <w:color w:val="auto"/>
          <w:sz w:val="24"/>
          <w:highlight w:val="none"/>
        </w:rPr>
      </w:pPr>
      <w:r>
        <w:rPr>
          <w:color w:val="auto"/>
          <w:spacing w:val="-9"/>
          <w:sz w:val="24"/>
          <w:highlight w:val="none"/>
        </w:rPr>
        <w:t xml:space="preserve">磋商小组由 </w:t>
      </w:r>
      <w:r>
        <w:rPr>
          <w:color w:val="auto"/>
          <w:sz w:val="24"/>
          <w:highlight w:val="none"/>
        </w:rPr>
        <w:t>3</w:t>
      </w:r>
      <w:r>
        <w:rPr>
          <w:color w:val="auto"/>
          <w:spacing w:val="-12"/>
          <w:sz w:val="24"/>
          <w:highlight w:val="none"/>
        </w:rPr>
        <w:t xml:space="preserve"> 人构成：采购人代表 </w:t>
      </w:r>
      <w:r>
        <w:rPr>
          <w:color w:val="auto"/>
          <w:sz w:val="24"/>
          <w:highlight w:val="none"/>
        </w:rPr>
        <w:t>1</w:t>
      </w:r>
      <w:r>
        <w:rPr>
          <w:color w:val="auto"/>
          <w:spacing w:val="-12"/>
          <w:sz w:val="24"/>
          <w:highlight w:val="none"/>
        </w:rPr>
        <w:t xml:space="preserve"> 人，经济、技术方面专家 </w:t>
      </w:r>
      <w:r>
        <w:rPr>
          <w:color w:val="auto"/>
          <w:sz w:val="24"/>
          <w:highlight w:val="none"/>
        </w:rPr>
        <w:t>2</w:t>
      </w:r>
      <w:r>
        <w:rPr>
          <w:color w:val="auto"/>
          <w:spacing w:val="-9"/>
          <w:sz w:val="24"/>
          <w:highlight w:val="none"/>
        </w:rPr>
        <w:t xml:space="preserve"> 人，在磋商会议开始前从</w:t>
      </w:r>
      <w:r>
        <w:rPr>
          <w:rFonts w:hint="eastAsia"/>
          <w:color w:val="auto"/>
          <w:spacing w:val="-9"/>
          <w:sz w:val="24"/>
          <w:highlight w:val="none"/>
          <w:lang w:val="en-US" w:eastAsia="zh-CN"/>
        </w:rPr>
        <w:t>相关</w:t>
      </w:r>
      <w:r>
        <w:rPr>
          <w:rFonts w:hint="eastAsia"/>
          <w:color w:val="auto"/>
          <w:spacing w:val="-9"/>
          <w:sz w:val="24"/>
          <w:highlight w:val="none"/>
        </w:rPr>
        <w:t>评标专家库随机抽取。</w:t>
      </w:r>
    </w:p>
    <w:p w14:paraId="1A9DE97E">
      <w:pPr>
        <w:pStyle w:val="19"/>
        <w:keepNext w:val="0"/>
        <w:keepLines w:val="0"/>
        <w:pageBreakBefore w:val="0"/>
        <w:numPr>
          <w:ilvl w:val="1"/>
          <w:numId w:val="4"/>
        </w:numPr>
        <w:tabs>
          <w:tab w:val="left" w:pos="1281"/>
        </w:tabs>
        <w:kinsoku/>
        <w:wordWrap w:val="0"/>
        <w:overflowPunct/>
        <w:topLinePunct w:val="0"/>
        <w:bidi w:val="0"/>
        <w:spacing w:before="1" w:line="364" w:lineRule="auto"/>
        <w:ind w:right="341" w:firstLine="420"/>
        <w:jc w:val="both"/>
        <w:rPr>
          <w:color w:val="auto"/>
          <w:sz w:val="24"/>
          <w:highlight w:val="none"/>
        </w:rPr>
      </w:pPr>
      <w:r>
        <w:rPr>
          <w:color w:val="auto"/>
          <w:sz w:val="24"/>
          <w:highlight w:val="none"/>
        </w:rPr>
        <w:t>磋商小组对所有磋商响应供应商的磋商响应文件进行评审，按评审后得分由高到低顺序排列，递交给采购人。</w:t>
      </w:r>
    </w:p>
    <w:p w14:paraId="2F55B0A0">
      <w:pPr>
        <w:pStyle w:val="19"/>
        <w:keepNext w:val="0"/>
        <w:keepLines w:val="0"/>
        <w:pageBreakBefore w:val="0"/>
        <w:numPr>
          <w:ilvl w:val="1"/>
          <w:numId w:val="4"/>
        </w:numPr>
        <w:tabs>
          <w:tab w:val="left" w:pos="1281"/>
        </w:tabs>
        <w:kinsoku/>
        <w:wordWrap w:val="0"/>
        <w:overflowPunct/>
        <w:topLinePunct w:val="0"/>
        <w:bidi w:val="0"/>
        <w:spacing w:before="1" w:line="364" w:lineRule="auto"/>
        <w:ind w:right="338" w:firstLine="420"/>
        <w:jc w:val="both"/>
        <w:rPr>
          <w:color w:val="auto"/>
          <w:sz w:val="24"/>
          <w:highlight w:val="none"/>
        </w:rPr>
      </w:pPr>
      <w:r>
        <w:rPr>
          <w:color w:val="auto"/>
          <w:sz w:val="24"/>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0E5687D">
      <w:pPr>
        <w:pStyle w:val="19"/>
        <w:keepNext w:val="0"/>
        <w:keepLines w:val="0"/>
        <w:pageBreakBefore w:val="0"/>
        <w:numPr>
          <w:ilvl w:val="1"/>
          <w:numId w:val="4"/>
        </w:numPr>
        <w:tabs>
          <w:tab w:val="left" w:pos="1281"/>
        </w:tabs>
        <w:kinsoku/>
        <w:wordWrap w:val="0"/>
        <w:overflowPunct/>
        <w:topLinePunct w:val="0"/>
        <w:bidi w:val="0"/>
        <w:spacing w:before="2" w:line="364" w:lineRule="auto"/>
        <w:ind w:right="338" w:firstLine="420"/>
        <w:jc w:val="both"/>
        <w:rPr>
          <w:color w:val="auto"/>
          <w:sz w:val="24"/>
          <w:highlight w:val="none"/>
        </w:rPr>
      </w:pPr>
      <w:r>
        <w:rPr>
          <w:color w:val="auto"/>
          <w:sz w:val="24"/>
          <w:highlight w:val="none"/>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14:paraId="2513DE57">
      <w:pPr>
        <w:pStyle w:val="5"/>
        <w:keepNext w:val="0"/>
        <w:keepLines w:val="0"/>
        <w:pageBreakBefore w:val="0"/>
        <w:kinsoku/>
        <w:wordWrap w:val="0"/>
        <w:overflowPunct/>
        <w:topLinePunct w:val="0"/>
        <w:bidi w:val="0"/>
        <w:spacing w:before="3"/>
        <w:rPr>
          <w:color w:val="auto"/>
          <w:highlight w:val="none"/>
        </w:rPr>
      </w:pPr>
      <w:bookmarkStart w:id="131" w:name="_Toc30532_WPSOffice_Level3"/>
      <w:r>
        <w:rPr>
          <w:color w:val="auto"/>
          <w:highlight w:val="none"/>
        </w:rPr>
        <w:t>20、磋商程序</w:t>
      </w:r>
      <w:bookmarkEnd w:id="131"/>
    </w:p>
    <w:p w14:paraId="1072A4BB">
      <w:pPr>
        <w:pStyle w:val="19"/>
        <w:keepNext w:val="0"/>
        <w:keepLines w:val="0"/>
        <w:pageBreakBefore w:val="0"/>
        <w:numPr>
          <w:ilvl w:val="1"/>
          <w:numId w:val="5"/>
        </w:numPr>
        <w:tabs>
          <w:tab w:val="left" w:pos="1281"/>
        </w:tabs>
        <w:kinsoku/>
        <w:wordWrap w:val="0"/>
        <w:overflowPunct/>
        <w:topLinePunct w:val="0"/>
        <w:bidi w:val="0"/>
        <w:spacing w:before="161" w:line="364" w:lineRule="auto"/>
        <w:ind w:right="341" w:firstLine="420"/>
        <w:jc w:val="both"/>
        <w:rPr>
          <w:color w:val="auto"/>
          <w:sz w:val="24"/>
          <w:highlight w:val="none"/>
        </w:rPr>
      </w:pPr>
      <w:r>
        <w:rPr>
          <w:color w:val="auto"/>
          <w:sz w:val="24"/>
          <w:highlight w:val="none"/>
        </w:rPr>
        <w:t>磋商小组所有成员集中评审磋商响应文件及集中与磋商响应供应商分别进行磋商。</w:t>
      </w:r>
    </w:p>
    <w:p w14:paraId="686D8530">
      <w:pPr>
        <w:pStyle w:val="19"/>
        <w:keepNext w:val="0"/>
        <w:keepLines w:val="0"/>
        <w:pageBreakBefore w:val="0"/>
        <w:numPr>
          <w:ilvl w:val="1"/>
          <w:numId w:val="5"/>
        </w:numPr>
        <w:tabs>
          <w:tab w:val="left" w:pos="1281"/>
        </w:tabs>
        <w:kinsoku/>
        <w:wordWrap w:val="0"/>
        <w:overflowPunct/>
        <w:topLinePunct w:val="0"/>
        <w:bidi w:val="0"/>
        <w:spacing w:before="1" w:line="364" w:lineRule="auto"/>
        <w:ind w:right="218" w:firstLine="420"/>
        <w:rPr>
          <w:color w:val="auto"/>
          <w:highlight w:val="none"/>
        </w:rPr>
      </w:pPr>
      <w:r>
        <w:rPr>
          <w:color w:val="auto"/>
          <w:spacing w:val="-4"/>
          <w:sz w:val="24"/>
          <w:highlight w:val="none"/>
        </w:rPr>
        <w:t>磋商小组首先对所有磋商响应文件进行资格性和</w:t>
      </w:r>
      <w:r>
        <w:rPr>
          <w:rFonts w:hint="eastAsia"/>
          <w:color w:val="auto"/>
          <w:spacing w:val="-4"/>
          <w:sz w:val="24"/>
          <w:highlight w:val="none"/>
        </w:rPr>
        <w:t>初步</w:t>
      </w:r>
      <w:r>
        <w:rPr>
          <w:color w:val="auto"/>
          <w:spacing w:val="-4"/>
          <w:sz w:val="24"/>
          <w:highlight w:val="none"/>
        </w:rPr>
        <w:t xml:space="preserve">审查。资格性审查是指： </w:t>
      </w:r>
      <w:r>
        <w:rPr>
          <w:color w:val="auto"/>
          <w:spacing w:val="-2"/>
          <w:sz w:val="24"/>
          <w:highlight w:val="none"/>
        </w:rPr>
        <w:t>磋商小组按照竞争性磋商文件第</w:t>
      </w:r>
      <w:r>
        <w:rPr>
          <w:rFonts w:hint="eastAsia"/>
          <w:color w:val="auto"/>
          <w:spacing w:val="-2"/>
          <w:sz w:val="24"/>
          <w:highlight w:val="none"/>
        </w:rPr>
        <w:t>四</w:t>
      </w:r>
      <w:r>
        <w:rPr>
          <w:color w:val="auto"/>
          <w:spacing w:val="-2"/>
          <w:sz w:val="24"/>
          <w:highlight w:val="none"/>
        </w:rPr>
        <w:t>章</w:t>
      </w:r>
      <w:r>
        <w:rPr>
          <w:rFonts w:hint="eastAsia"/>
          <w:color w:val="auto"/>
          <w:spacing w:val="-2"/>
          <w:sz w:val="24"/>
          <w:highlight w:val="none"/>
        </w:rPr>
        <w:t>评审办法</w:t>
      </w:r>
      <w:r>
        <w:rPr>
          <w:color w:val="auto"/>
          <w:spacing w:val="-9"/>
          <w:sz w:val="24"/>
          <w:highlight w:val="none"/>
        </w:rPr>
        <w:t>的要求， 对磋商响应供应商进行</w:t>
      </w:r>
      <w:r>
        <w:rPr>
          <w:rFonts w:hint="eastAsia"/>
          <w:color w:val="auto"/>
          <w:spacing w:val="-9"/>
          <w:sz w:val="24"/>
          <w:highlight w:val="none"/>
        </w:rPr>
        <w:t>资格</w:t>
      </w:r>
      <w:r>
        <w:rPr>
          <w:color w:val="auto"/>
          <w:spacing w:val="-9"/>
          <w:sz w:val="24"/>
          <w:highlight w:val="none"/>
        </w:rPr>
        <w:t>审查，有一项不符合的，视为未通过资格审查，不得进入下一评</w:t>
      </w:r>
      <w:r>
        <w:rPr>
          <w:color w:val="auto"/>
          <w:spacing w:val="-10"/>
          <w:sz w:val="24"/>
          <w:highlight w:val="none"/>
        </w:rPr>
        <w:t>审过程。磋商小组按照竞争性磋商文件</w:t>
      </w:r>
      <w:r>
        <w:rPr>
          <w:rFonts w:hint="eastAsia"/>
          <w:color w:val="auto"/>
          <w:spacing w:val="-10"/>
          <w:sz w:val="24"/>
          <w:highlight w:val="none"/>
        </w:rPr>
        <w:t>及第四章评审办法中形式、响应性评审</w:t>
      </w:r>
      <w:r>
        <w:rPr>
          <w:color w:val="auto"/>
          <w:spacing w:val="-10"/>
          <w:sz w:val="24"/>
          <w:highlight w:val="none"/>
        </w:rPr>
        <w:t>的要求，对磋商响应供应商进行审查，有一项不符合的，视为未通过</w:t>
      </w:r>
      <w:r>
        <w:rPr>
          <w:rFonts w:hint="eastAsia"/>
          <w:color w:val="auto"/>
          <w:spacing w:val="-10"/>
          <w:sz w:val="24"/>
          <w:highlight w:val="none"/>
        </w:rPr>
        <w:t>初步</w:t>
      </w:r>
      <w:r>
        <w:rPr>
          <w:color w:val="auto"/>
          <w:spacing w:val="-10"/>
          <w:sz w:val="24"/>
          <w:highlight w:val="none"/>
        </w:rPr>
        <w:t>审查。未通过资格性和</w:t>
      </w:r>
      <w:r>
        <w:rPr>
          <w:rFonts w:hint="eastAsia"/>
          <w:color w:val="auto"/>
          <w:spacing w:val="-10"/>
          <w:sz w:val="24"/>
          <w:highlight w:val="none"/>
        </w:rPr>
        <w:t>初步</w:t>
      </w:r>
      <w:r>
        <w:rPr>
          <w:color w:val="auto"/>
          <w:spacing w:val="-10"/>
          <w:sz w:val="24"/>
          <w:highlight w:val="none"/>
        </w:rPr>
        <w:t>审查的磋商响应文件按无效响应处理，磋商小组应当告知提交磋商响应文件的磋商响</w:t>
      </w:r>
      <w:r>
        <w:rPr>
          <w:color w:val="auto"/>
          <w:highlight w:val="none"/>
        </w:rPr>
        <w:t>应供应商。</w:t>
      </w:r>
    </w:p>
    <w:p w14:paraId="1E330A92">
      <w:pPr>
        <w:pStyle w:val="19"/>
        <w:keepNext w:val="0"/>
        <w:keepLines w:val="0"/>
        <w:pageBreakBefore w:val="0"/>
        <w:numPr>
          <w:ilvl w:val="2"/>
          <w:numId w:val="5"/>
        </w:numPr>
        <w:tabs>
          <w:tab w:val="left" w:pos="1521"/>
        </w:tabs>
        <w:kinsoku/>
        <w:wordWrap w:val="0"/>
        <w:overflowPunct/>
        <w:topLinePunct w:val="0"/>
        <w:bidi w:val="0"/>
        <w:spacing w:before="160" w:line="364" w:lineRule="auto"/>
        <w:ind w:right="341" w:firstLine="420"/>
        <w:rPr>
          <w:color w:val="auto"/>
          <w:sz w:val="24"/>
          <w:highlight w:val="none"/>
        </w:rPr>
      </w:pPr>
      <w:r>
        <w:rPr>
          <w:color w:val="auto"/>
          <w:sz w:val="24"/>
          <w:highlight w:val="none"/>
        </w:rPr>
        <w:t>允许修正磋商响应文件中不构成重大偏离的、微小的、非正规的、不一致或不规则的地方。</w:t>
      </w:r>
    </w:p>
    <w:p w14:paraId="2CEAFE84">
      <w:pPr>
        <w:pStyle w:val="19"/>
        <w:keepNext w:val="0"/>
        <w:keepLines w:val="0"/>
        <w:pageBreakBefore w:val="0"/>
        <w:numPr>
          <w:ilvl w:val="2"/>
          <w:numId w:val="5"/>
        </w:numPr>
        <w:tabs>
          <w:tab w:val="left" w:pos="1581"/>
        </w:tabs>
        <w:kinsoku/>
        <w:wordWrap w:val="0"/>
        <w:overflowPunct/>
        <w:topLinePunct w:val="0"/>
        <w:bidi w:val="0"/>
        <w:spacing w:before="1" w:line="364" w:lineRule="auto"/>
        <w:ind w:right="338" w:firstLine="420"/>
        <w:rPr>
          <w:color w:val="auto"/>
          <w:sz w:val="24"/>
          <w:highlight w:val="none"/>
        </w:rPr>
      </w:pPr>
      <w:r>
        <w:rPr>
          <w:color w:val="auto"/>
          <w:spacing w:val="-1"/>
          <w:sz w:val="24"/>
          <w:highlight w:val="none"/>
        </w:rPr>
        <w:t>磋商小组判断磋商响应文件的响应性仅基于磋商响应文件本身内容而不靠外</w:t>
      </w:r>
      <w:r>
        <w:rPr>
          <w:color w:val="auto"/>
          <w:sz w:val="24"/>
          <w:highlight w:val="none"/>
        </w:rPr>
        <w:t>部证据。</w:t>
      </w:r>
    </w:p>
    <w:p w14:paraId="74DBCCC2">
      <w:pPr>
        <w:pStyle w:val="19"/>
        <w:keepNext w:val="0"/>
        <w:keepLines w:val="0"/>
        <w:pageBreakBefore w:val="0"/>
        <w:numPr>
          <w:ilvl w:val="2"/>
          <w:numId w:val="5"/>
        </w:numPr>
        <w:tabs>
          <w:tab w:val="left" w:pos="1521"/>
        </w:tabs>
        <w:kinsoku/>
        <w:wordWrap w:val="0"/>
        <w:overflowPunct/>
        <w:topLinePunct w:val="0"/>
        <w:bidi w:val="0"/>
        <w:spacing w:before="2" w:line="364" w:lineRule="auto"/>
        <w:ind w:right="341" w:firstLine="420"/>
        <w:rPr>
          <w:color w:val="auto"/>
          <w:sz w:val="24"/>
          <w:highlight w:val="none"/>
        </w:rPr>
      </w:pPr>
      <w:r>
        <w:rPr>
          <w:color w:val="auto"/>
          <w:sz w:val="24"/>
          <w:highlight w:val="none"/>
        </w:rPr>
        <w:t>实质性未响应磋商文件要求的响应将被拒绝，磋商响应供应商不得通过修正或撤消不符之处而使其响应成为实质性响应。</w:t>
      </w:r>
    </w:p>
    <w:p w14:paraId="30F28FCF">
      <w:pPr>
        <w:pStyle w:val="19"/>
        <w:keepNext w:val="0"/>
        <w:keepLines w:val="0"/>
        <w:pageBreakBefore w:val="0"/>
        <w:numPr>
          <w:ilvl w:val="2"/>
          <w:numId w:val="5"/>
        </w:numPr>
        <w:tabs>
          <w:tab w:val="left" w:pos="1521"/>
        </w:tabs>
        <w:kinsoku/>
        <w:wordWrap w:val="0"/>
        <w:overflowPunct/>
        <w:topLinePunct w:val="0"/>
        <w:bidi w:val="0"/>
        <w:spacing w:before="1" w:line="364" w:lineRule="auto"/>
        <w:ind w:right="341" w:firstLine="420"/>
        <w:rPr>
          <w:color w:val="auto"/>
          <w:sz w:val="24"/>
          <w:highlight w:val="none"/>
        </w:rPr>
      </w:pPr>
      <w:r>
        <w:rPr>
          <w:color w:val="auto"/>
          <w:sz w:val="24"/>
          <w:highlight w:val="none"/>
        </w:rPr>
        <w:t>实质性未响应是指磋商响应文件中提出了超出磋商文件中采购标的、规格型号、预算金额、采购数量、交货期、技术和服务要求等内容。</w:t>
      </w:r>
    </w:p>
    <w:p w14:paraId="1B8E6367">
      <w:pPr>
        <w:pStyle w:val="5"/>
        <w:keepNext w:val="0"/>
        <w:keepLines w:val="0"/>
        <w:pageBreakBefore w:val="0"/>
        <w:kinsoku/>
        <w:wordWrap w:val="0"/>
        <w:overflowPunct/>
        <w:topLinePunct w:val="0"/>
        <w:bidi w:val="0"/>
        <w:spacing w:before="81" w:line="500" w:lineRule="exact"/>
        <w:rPr>
          <w:color w:val="auto"/>
          <w:highlight w:val="none"/>
        </w:rPr>
      </w:pPr>
      <w:bookmarkStart w:id="132" w:name="_Toc31948_WPSOffice_Level3"/>
      <w:r>
        <w:rPr>
          <w:color w:val="auto"/>
          <w:highlight w:val="none"/>
        </w:rPr>
        <w:t>21、对磋商响应供应商的评价</w:t>
      </w:r>
      <w:bookmarkEnd w:id="132"/>
    </w:p>
    <w:p w14:paraId="60A07253">
      <w:pPr>
        <w:pStyle w:val="19"/>
        <w:keepNext w:val="0"/>
        <w:keepLines w:val="0"/>
        <w:pageBreakBefore w:val="0"/>
        <w:numPr>
          <w:ilvl w:val="1"/>
          <w:numId w:val="6"/>
        </w:numPr>
        <w:tabs>
          <w:tab w:val="left" w:pos="1281"/>
        </w:tabs>
        <w:kinsoku/>
        <w:wordWrap w:val="0"/>
        <w:overflowPunct/>
        <w:topLinePunct w:val="0"/>
        <w:bidi w:val="0"/>
        <w:spacing w:before="160" w:line="364" w:lineRule="auto"/>
        <w:ind w:right="341" w:firstLine="420"/>
        <w:rPr>
          <w:color w:val="auto"/>
          <w:sz w:val="24"/>
          <w:highlight w:val="none"/>
        </w:rPr>
      </w:pPr>
      <w:r>
        <w:rPr>
          <w:color w:val="auto"/>
          <w:sz w:val="24"/>
          <w:highlight w:val="none"/>
        </w:rPr>
        <w:t>磋商小组只对已判定为实质性响应且通过资格审查的磋商响应文件进行详细评价和比较。</w:t>
      </w:r>
    </w:p>
    <w:p w14:paraId="1914D2D9">
      <w:pPr>
        <w:pStyle w:val="19"/>
        <w:keepNext w:val="0"/>
        <w:keepLines w:val="0"/>
        <w:pageBreakBefore w:val="0"/>
        <w:numPr>
          <w:ilvl w:val="1"/>
          <w:numId w:val="6"/>
        </w:numPr>
        <w:tabs>
          <w:tab w:val="left" w:pos="1281"/>
        </w:tabs>
        <w:kinsoku/>
        <w:wordWrap w:val="0"/>
        <w:overflowPunct/>
        <w:topLinePunct w:val="0"/>
        <w:bidi w:val="0"/>
        <w:spacing w:before="1" w:line="364" w:lineRule="auto"/>
        <w:ind w:right="338" w:firstLine="420"/>
        <w:jc w:val="both"/>
        <w:rPr>
          <w:rFonts w:hint="eastAsia"/>
          <w:color w:val="auto"/>
          <w:sz w:val="24"/>
          <w:highlight w:val="none"/>
        </w:rPr>
      </w:pPr>
      <w:r>
        <w:rPr>
          <w:rFonts w:hint="eastAsia"/>
          <w:color w:val="auto"/>
          <w:sz w:val="24"/>
          <w:highlight w:val="none"/>
        </w:rPr>
        <w:t>在磋商过程中，磋商小组可以根据磋商文件和磋商情况实质性变动采购需求中的技术、服务要求以及合同草案条款，但不得变动磋商文件中的其他内容。</w:t>
      </w:r>
    </w:p>
    <w:p w14:paraId="36891119">
      <w:pPr>
        <w:pStyle w:val="19"/>
        <w:keepNext w:val="0"/>
        <w:keepLines w:val="0"/>
        <w:pageBreakBefore w:val="0"/>
        <w:numPr>
          <w:ilvl w:val="1"/>
          <w:numId w:val="6"/>
        </w:numPr>
        <w:tabs>
          <w:tab w:val="left" w:pos="1281"/>
        </w:tabs>
        <w:kinsoku/>
        <w:wordWrap w:val="0"/>
        <w:overflowPunct/>
        <w:topLinePunct w:val="0"/>
        <w:bidi w:val="0"/>
        <w:spacing w:before="1" w:line="364" w:lineRule="auto"/>
        <w:ind w:right="338" w:firstLine="420"/>
        <w:jc w:val="both"/>
        <w:rPr>
          <w:color w:val="auto"/>
          <w:sz w:val="24"/>
          <w:highlight w:val="none"/>
        </w:rPr>
      </w:pPr>
      <w:r>
        <w:rPr>
          <w:rFonts w:hint="eastAsia"/>
          <w:color w:val="auto"/>
          <w:sz w:val="24"/>
          <w:highlight w:val="none"/>
        </w:rPr>
        <w:t>磋商文件能够详细列明采购标的的技术、服务要求的，磋商结束后，磋商小组应当要求所有实质性响应的供应商在规定时间内提交最后报价，提交最后报价的供应商不得少于3家。最后报价是</w:t>
      </w:r>
      <w:r>
        <w:rPr>
          <w:rFonts w:hint="eastAsia"/>
          <w:color w:val="auto"/>
          <w:sz w:val="24"/>
          <w:highlight w:val="none"/>
          <w:lang w:eastAsia="zh-CN"/>
        </w:rPr>
        <w:t>响应人</w:t>
      </w:r>
      <w:r>
        <w:rPr>
          <w:rFonts w:hint="eastAsia"/>
          <w:color w:val="auto"/>
          <w:sz w:val="24"/>
          <w:highlight w:val="none"/>
        </w:rPr>
        <w:t>响应文件的有效组成部分。</w:t>
      </w:r>
    </w:p>
    <w:p w14:paraId="45EC00D9">
      <w:pPr>
        <w:pStyle w:val="19"/>
        <w:keepNext w:val="0"/>
        <w:keepLines w:val="0"/>
        <w:pageBreakBefore w:val="0"/>
        <w:numPr>
          <w:ilvl w:val="1"/>
          <w:numId w:val="6"/>
        </w:numPr>
        <w:tabs>
          <w:tab w:val="left" w:pos="1281"/>
        </w:tabs>
        <w:kinsoku/>
        <w:wordWrap w:val="0"/>
        <w:overflowPunct/>
        <w:topLinePunct w:val="0"/>
        <w:bidi w:val="0"/>
        <w:spacing w:before="1" w:line="364" w:lineRule="auto"/>
        <w:ind w:right="338" w:firstLine="420"/>
        <w:jc w:val="both"/>
        <w:rPr>
          <w:color w:val="auto"/>
          <w:sz w:val="24"/>
          <w:highlight w:val="none"/>
        </w:rPr>
      </w:pPr>
      <w:r>
        <w:rPr>
          <w:rFonts w:hint="eastAsia"/>
          <w:color w:val="auto"/>
          <w:sz w:val="24"/>
          <w:highlight w:val="none"/>
        </w:rPr>
        <w:t>已提交响应文件的</w:t>
      </w:r>
      <w:r>
        <w:rPr>
          <w:rFonts w:hint="eastAsia"/>
          <w:color w:val="auto"/>
          <w:sz w:val="24"/>
          <w:highlight w:val="none"/>
          <w:lang w:eastAsia="zh-CN"/>
        </w:rPr>
        <w:t>响应人</w:t>
      </w:r>
      <w:r>
        <w:rPr>
          <w:rFonts w:hint="eastAsia"/>
          <w:color w:val="auto"/>
          <w:sz w:val="24"/>
          <w:highlight w:val="none"/>
        </w:rPr>
        <w:t>，在提交最后报价之前，可以根据情况退出磋商。</w:t>
      </w:r>
    </w:p>
    <w:p w14:paraId="78EE8789">
      <w:pPr>
        <w:pStyle w:val="19"/>
        <w:keepNext w:val="0"/>
        <w:keepLines w:val="0"/>
        <w:pageBreakBefore w:val="0"/>
        <w:numPr>
          <w:ilvl w:val="1"/>
          <w:numId w:val="6"/>
        </w:numPr>
        <w:tabs>
          <w:tab w:val="left" w:pos="1281"/>
        </w:tabs>
        <w:kinsoku/>
        <w:wordWrap w:val="0"/>
        <w:overflowPunct/>
        <w:topLinePunct w:val="0"/>
        <w:bidi w:val="0"/>
        <w:spacing w:before="1" w:line="364" w:lineRule="auto"/>
        <w:ind w:right="338" w:firstLine="420"/>
        <w:jc w:val="both"/>
        <w:rPr>
          <w:color w:val="auto"/>
          <w:sz w:val="24"/>
          <w:highlight w:val="none"/>
        </w:rPr>
      </w:pPr>
      <w:r>
        <w:rPr>
          <w:color w:val="auto"/>
          <w:sz w:val="24"/>
          <w:highlight w:val="none"/>
        </w:rPr>
        <w:t>经磋商确定最终采购需求和提交最后报价的磋商响应供应商后，磋商小组采用</w:t>
      </w:r>
      <w:r>
        <w:rPr>
          <w:color w:val="auto"/>
          <w:spacing w:val="6"/>
          <w:sz w:val="24"/>
          <w:highlight w:val="none"/>
        </w:rPr>
        <w:t>综合评分法对提交最后报价的磋商响应供应商的磋商响应文件和最后报价进行综合评分。</w:t>
      </w:r>
    </w:p>
    <w:p w14:paraId="6D6E4124">
      <w:pPr>
        <w:pStyle w:val="7"/>
        <w:keepNext w:val="0"/>
        <w:keepLines w:val="0"/>
        <w:pageBreakBefore w:val="0"/>
        <w:kinsoku/>
        <w:wordWrap w:val="0"/>
        <w:overflowPunct/>
        <w:topLinePunct w:val="0"/>
        <w:bidi w:val="0"/>
        <w:spacing w:before="43" w:line="365" w:lineRule="auto"/>
        <w:ind w:left="318" w:right="340" w:firstLine="456" w:firstLineChars="200"/>
        <w:rPr>
          <w:color w:val="auto"/>
          <w:highlight w:val="none"/>
        </w:rPr>
      </w:pPr>
      <w:r>
        <w:rPr>
          <w:rFonts w:hint="eastAsia"/>
          <w:color w:val="auto"/>
          <w:spacing w:val="-6"/>
          <w:highlight w:val="none"/>
        </w:rPr>
        <w:t>21.</w:t>
      </w:r>
      <w:r>
        <w:rPr>
          <w:rFonts w:hint="eastAsia"/>
          <w:color w:val="auto"/>
          <w:spacing w:val="-6"/>
          <w:highlight w:val="none"/>
          <w:lang w:val="en-US" w:eastAsia="zh-CN"/>
        </w:rPr>
        <w:t>6</w:t>
      </w:r>
      <w:r>
        <w:rPr>
          <w:color w:val="auto"/>
          <w:spacing w:val="-6"/>
          <w:highlight w:val="none"/>
        </w:rPr>
        <w:t xml:space="preserve">磋商小组根据综合评分情况，按评审得分由高到低的顺序确定成交候选供应商， </w:t>
      </w:r>
      <w:r>
        <w:rPr>
          <w:color w:val="auto"/>
          <w:highlight w:val="none"/>
        </w:rPr>
        <w:t>确定排名第一的为成交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FEDD1DE">
      <w:pPr>
        <w:pStyle w:val="7"/>
        <w:keepNext w:val="0"/>
        <w:keepLines w:val="0"/>
        <w:pageBreakBefore w:val="0"/>
        <w:kinsoku/>
        <w:wordWrap w:val="0"/>
        <w:overflowPunct/>
        <w:topLinePunct w:val="0"/>
        <w:bidi w:val="0"/>
        <w:spacing w:before="43" w:line="365" w:lineRule="auto"/>
        <w:ind w:left="318" w:right="340" w:firstLine="480" w:firstLineChars="200"/>
        <w:rPr>
          <w:color w:val="auto"/>
          <w:highlight w:val="none"/>
        </w:rPr>
      </w:pPr>
      <w:r>
        <w:rPr>
          <w:rFonts w:hint="eastAsia"/>
          <w:color w:val="auto"/>
          <w:highlight w:val="none"/>
        </w:rPr>
        <w:t>21.</w:t>
      </w:r>
      <w:r>
        <w:rPr>
          <w:rFonts w:hint="eastAsia"/>
          <w:color w:val="auto"/>
          <w:highlight w:val="none"/>
          <w:lang w:val="en-US" w:eastAsia="zh-CN"/>
        </w:rPr>
        <w:t>7</w:t>
      </w:r>
      <w:r>
        <w:rPr>
          <w:color w:val="auto"/>
          <w:highlight w:val="none"/>
        </w:rPr>
        <w:t>如果第一名供应商放弃成交资格或因不可抗力提出不能履行合同、竞争性磋商文件规定应当提交履约担保而在规定的期限内未能提交的，采购人将依序确定排名第二名的供应商为成交供应商，也可以重新开展政府采购活动。</w:t>
      </w:r>
    </w:p>
    <w:p w14:paraId="4126BBF1">
      <w:pPr>
        <w:pStyle w:val="5"/>
        <w:keepNext w:val="0"/>
        <w:keepLines w:val="0"/>
        <w:pageBreakBefore w:val="0"/>
        <w:kinsoku/>
        <w:wordWrap w:val="0"/>
        <w:overflowPunct/>
        <w:topLinePunct w:val="0"/>
        <w:bidi w:val="0"/>
        <w:spacing w:before="2"/>
        <w:rPr>
          <w:color w:val="auto"/>
          <w:highlight w:val="none"/>
        </w:rPr>
      </w:pPr>
      <w:bookmarkStart w:id="133" w:name="_Toc27346_WPSOffice_Level3"/>
      <w:r>
        <w:rPr>
          <w:color w:val="auto"/>
          <w:highlight w:val="none"/>
        </w:rPr>
        <w:t>22、磋商响应文件的澄清</w:t>
      </w:r>
      <w:bookmarkEnd w:id="133"/>
    </w:p>
    <w:p w14:paraId="463AB004">
      <w:pPr>
        <w:pStyle w:val="19"/>
        <w:keepNext w:val="0"/>
        <w:keepLines w:val="0"/>
        <w:pageBreakBefore w:val="0"/>
        <w:numPr>
          <w:ilvl w:val="1"/>
          <w:numId w:val="7"/>
        </w:numPr>
        <w:tabs>
          <w:tab w:val="left" w:pos="1281"/>
        </w:tabs>
        <w:kinsoku/>
        <w:wordWrap w:val="0"/>
        <w:overflowPunct/>
        <w:topLinePunct w:val="0"/>
        <w:bidi w:val="0"/>
        <w:spacing w:before="160" w:line="364" w:lineRule="auto"/>
        <w:ind w:right="340" w:firstLine="420"/>
        <w:jc w:val="both"/>
        <w:rPr>
          <w:color w:val="auto"/>
          <w:sz w:val="24"/>
          <w:highlight w:val="none"/>
        </w:rPr>
      </w:pPr>
      <w:r>
        <w:rPr>
          <w:color w:val="auto"/>
          <w:sz w:val="24"/>
          <w:highlight w:val="none"/>
        </w:rPr>
        <w:t>为了有助于对磋商响应文件进行审查、评估和比较，磋商小组有权向磋商响应供应商质疑。请磋商响应供应商澄清其磋商内容。磋商响应供应商有责任按照磋商小组通知的时间、地点、方式指派委托代理人进行答疑和澄清。</w:t>
      </w:r>
    </w:p>
    <w:p w14:paraId="4751D302">
      <w:pPr>
        <w:pStyle w:val="19"/>
        <w:keepNext w:val="0"/>
        <w:keepLines w:val="0"/>
        <w:pageBreakBefore w:val="0"/>
        <w:numPr>
          <w:ilvl w:val="1"/>
          <w:numId w:val="7"/>
        </w:numPr>
        <w:tabs>
          <w:tab w:val="left" w:pos="1281"/>
        </w:tabs>
        <w:kinsoku/>
        <w:wordWrap w:val="0"/>
        <w:overflowPunct/>
        <w:topLinePunct w:val="0"/>
        <w:bidi w:val="0"/>
        <w:spacing w:before="2"/>
        <w:ind w:left="1280"/>
        <w:rPr>
          <w:color w:val="auto"/>
          <w:sz w:val="24"/>
          <w:highlight w:val="none"/>
        </w:rPr>
      </w:pPr>
      <w:r>
        <w:rPr>
          <w:color w:val="auto"/>
          <w:sz w:val="24"/>
          <w:highlight w:val="none"/>
        </w:rPr>
        <w:t>重要澄清的答复应是书面的，并由法定代表人或其委托代理人签字。</w:t>
      </w:r>
    </w:p>
    <w:p w14:paraId="301F4597">
      <w:pPr>
        <w:pStyle w:val="19"/>
        <w:keepNext w:val="0"/>
        <w:keepLines w:val="0"/>
        <w:pageBreakBefore w:val="0"/>
        <w:numPr>
          <w:ilvl w:val="1"/>
          <w:numId w:val="7"/>
        </w:numPr>
        <w:tabs>
          <w:tab w:val="left" w:pos="1281"/>
        </w:tabs>
        <w:kinsoku/>
        <w:wordWrap w:val="0"/>
        <w:overflowPunct/>
        <w:topLinePunct w:val="0"/>
        <w:bidi w:val="0"/>
        <w:spacing w:before="161" w:line="364" w:lineRule="auto"/>
        <w:ind w:right="341" w:firstLine="420"/>
        <w:rPr>
          <w:color w:val="auto"/>
          <w:sz w:val="24"/>
          <w:highlight w:val="none"/>
        </w:rPr>
      </w:pPr>
      <w:r>
        <w:rPr>
          <w:color w:val="auto"/>
          <w:sz w:val="24"/>
          <w:highlight w:val="none"/>
        </w:rPr>
        <w:t>磋商响应供应商的澄清文件是磋商响应文件的组成部分，并取代磋商响应文件中被澄清的部分。</w:t>
      </w:r>
    </w:p>
    <w:p w14:paraId="3C582104">
      <w:pPr>
        <w:pStyle w:val="19"/>
        <w:keepNext w:val="0"/>
        <w:keepLines w:val="0"/>
        <w:pageBreakBefore w:val="0"/>
        <w:numPr>
          <w:ilvl w:val="1"/>
          <w:numId w:val="7"/>
        </w:numPr>
        <w:tabs>
          <w:tab w:val="left" w:pos="1281"/>
        </w:tabs>
        <w:kinsoku/>
        <w:wordWrap w:val="0"/>
        <w:overflowPunct/>
        <w:topLinePunct w:val="0"/>
        <w:bidi w:val="0"/>
        <w:spacing w:before="1"/>
        <w:ind w:left="1280"/>
        <w:rPr>
          <w:color w:val="auto"/>
          <w:sz w:val="24"/>
          <w:highlight w:val="none"/>
        </w:rPr>
      </w:pPr>
      <w:r>
        <w:rPr>
          <w:color w:val="auto"/>
          <w:sz w:val="24"/>
          <w:highlight w:val="none"/>
        </w:rPr>
        <w:t>磋商响应文件澄清部分不得对磋商内容进行实质性修改。</w:t>
      </w:r>
    </w:p>
    <w:p w14:paraId="2EB009A9">
      <w:pPr>
        <w:pStyle w:val="5"/>
        <w:keepNext w:val="0"/>
        <w:keepLines w:val="0"/>
        <w:pageBreakBefore w:val="0"/>
        <w:kinsoku/>
        <w:wordWrap w:val="0"/>
        <w:overflowPunct/>
        <w:topLinePunct w:val="0"/>
        <w:bidi w:val="0"/>
        <w:spacing w:before="160"/>
        <w:rPr>
          <w:color w:val="auto"/>
          <w:highlight w:val="none"/>
        </w:rPr>
      </w:pPr>
      <w:bookmarkStart w:id="134" w:name="_Toc10070_WPSOffice_Level3"/>
      <w:r>
        <w:rPr>
          <w:color w:val="auto"/>
          <w:highlight w:val="none"/>
        </w:rPr>
        <w:t>23、磋商原则和方法</w:t>
      </w:r>
      <w:bookmarkEnd w:id="134"/>
    </w:p>
    <w:p w14:paraId="6813E903">
      <w:pPr>
        <w:pStyle w:val="19"/>
        <w:keepNext w:val="0"/>
        <w:keepLines w:val="0"/>
        <w:pageBreakBefore w:val="0"/>
        <w:numPr>
          <w:ilvl w:val="1"/>
          <w:numId w:val="8"/>
        </w:numPr>
        <w:tabs>
          <w:tab w:val="left" w:pos="1281"/>
        </w:tabs>
        <w:kinsoku/>
        <w:wordWrap w:val="0"/>
        <w:overflowPunct/>
        <w:topLinePunct w:val="0"/>
        <w:bidi w:val="0"/>
        <w:spacing w:before="161"/>
        <w:rPr>
          <w:color w:val="auto"/>
          <w:sz w:val="24"/>
          <w:highlight w:val="none"/>
        </w:rPr>
      </w:pPr>
      <w:r>
        <w:rPr>
          <w:color w:val="auto"/>
          <w:sz w:val="24"/>
          <w:highlight w:val="none"/>
        </w:rPr>
        <w:t>坚持公开、公平、公正的原则。</w:t>
      </w:r>
    </w:p>
    <w:p w14:paraId="500D6E5B">
      <w:pPr>
        <w:pStyle w:val="19"/>
        <w:keepNext w:val="0"/>
        <w:keepLines w:val="0"/>
        <w:pageBreakBefore w:val="0"/>
        <w:numPr>
          <w:ilvl w:val="1"/>
          <w:numId w:val="8"/>
        </w:numPr>
        <w:tabs>
          <w:tab w:val="left" w:pos="1281"/>
        </w:tabs>
        <w:kinsoku/>
        <w:wordWrap w:val="0"/>
        <w:overflowPunct/>
        <w:topLinePunct w:val="0"/>
        <w:bidi w:val="0"/>
        <w:spacing w:before="160" w:line="364" w:lineRule="auto"/>
        <w:ind w:left="320" w:right="341" w:firstLine="420"/>
        <w:rPr>
          <w:color w:val="auto"/>
          <w:sz w:val="24"/>
          <w:highlight w:val="none"/>
        </w:rPr>
      </w:pPr>
      <w:r>
        <w:rPr>
          <w:color w:val="auto"/>
          <w:sz w:val="24"/>
          <w:highlight w:val="none"/>
        </w:rPr>
        <w:t>磋商在磋商小组应当集中与单一磋商响应供应商分别进行磋商，磋商小组将遵照磋商原则，公正、平等地对待所有磋商响应供应商。</w:t>
      </w:r>
    </w:p>
    <w:p w14:paraId="446972FC">
      <w:pPr>
        <w:pStyle w:val="19"/>
        <w:keepNext w:val="0"/>
        <w:keepLines w:val="0"/>
        <w:pageBreakBefore w:val="0"/>
        <w:numPr>
          <w:ilvl w:val="1"/>
          <w:numId w:val="8"/>
        </w:numPr>
        <w:tabs>
          <w:tab w:val="left" w:pos="1281"/>
        </w:tabs>
        <w:kinsoku/>
        <w:wordWrap w:val="0"/>
        <w:overflowPunct/>
        <w:topLinePunct w:val="0"/>
        <w:bidi w:val="0"/>
        <w:spacing w:before="1"/>
        <w:rPr>
          <w:color w:val="auto"/>
          <w:sz w:val="24"/>
          <w:highlight w:val="none"/>
        </w:rPr>
      </w:pPr>
      <w:r>
        <w:rPr>
          <w:color w:val="auto"/>
          <w:sz w:val="24"/>
          <w:highlight w:val="none"/>
        </w:rPr>
        <w:t>评审方法</w:t>
      </w:r>
    </w:p>
    <w:p w14:paraId="6A80D100">
      <w:pPr>
        <w:pStyle w:val="19"/>
        <w:keepNext w:val="0"/>
        <w:keepLines w:val="0"/>
        <w:pageBreakBefore w:val="0"/>
        <w:numPr>
          <w:ilvl w:val="2"/>
          <w:numId w:val="8"/>
        </w:numPr>
        <w:tabs>
          <w:tab w:val="left" w:pos="1521"/>
        </w:tabs>
        <w:kinsoku/>
        <w:wordWrap w:val="0"/>
        <w:overflowPunct/>
        <w:topLinePunct w:val="0"/>
        <w:bidi w:val="0"/>
        <w:spacing w:before="161"/>
        <w:rPr>
          <w:color w:val="auto"/>
          <w:sz w:val="24"/>
          <w:highlight w:val="none"/>
        </w:rPr>
      </w:pPr>
      <w:r>
        <w:rPr>
          <w:color w:val="auto"/>
          <w:sz w:val="24"/>
          <w:highlight w:val="none"/>
        </w:rPr>
        <w:t>初步评审（是否响应竞争性磋商文件的要求</w:t>
      </w:r>
      <w:r>
        <w:rPr>
          <w:color w:val="auto"/>
          <w:spacing w:val="-120"/>
          <w:sz w:val="24"/>
          <w:highlight w:val="none"/>
        </w:rPr>
        <w:t>）</w:t>
      </w:r>
      <w:r>
        <w:rPr>
          <w:color w:val="auto"/>
          <w:sz w:val="24"/>
          <w:highlight w:val="none"/>
        </w:rPr>
        <w:t>，确定合格的磋商响应供应商。</w:t>
      </w:r>
    </w:p>
    <w:p w14:paraId="270BB4C2">
      <w:pPr>
        <w:pStyle w:val="19"/>
        <w:keepNext w:val="0"/>
        <w:keepLines w:val="0"/>
        <w:pageBreakBefore w:val="0"/>
        <w:numPr>
          <w:ilvl w:val="2"/>
          <w:numId w:val="8"/>
        </w:numPr>
        <w:tabs>
          <w:tab w:val="left" w:pos="1521"/>
        </w:tabs>
        <w:kinsoku/>
        <w:wordWrap w:val="0"/>
        <w:overflowPunct/>
        <w:topLinePunct w:val="0"/>
        <w:bidi w:val="0"/>
        <w:spacing w:before="161"/>
        <w:rPr>
          <w:color w:val="auto"/>
          <w:sz w:val="24"/>
          <w:highlight w:val="none"/>
        </w:rPr>
      </w:pPr>
      <w:r>
        <w:rPr>
          <w:color w:val="auto"/>
          <w:sz w:val="24"/>
          <w:highlight w:val="none"/>
        </w:rPr>
        <w:t>各磋商响应供应商依据各自情况进行最后报价。</w:t>
      </w:r>
    </w:p>
    <w:p w14:paraId="12DE2FC6">
      <w:pPr>
        <w:pStyle w:val="19"/>
        <w:keepNext w:val="0"/>
        <w:keepLines w:val="0"/>
        <w:pageBreakBefore w:val="0"/>
        <w:numPr>
          <w:ilvl w:val="2"/>
          <w:numId w:val="8"/>
        </w:numPr>
        <w:tabs>
          <w:tab w:val="left" w:pos="1521"/>
        </w:tabs>
        <w:kinsoku/>
        <w:wordWrap w:val="0"/>
        <w:overflowPunct/>
        <w:topLinePunct w:val="0"/>
        <w:bidi w:val="0"/>
        <w:spacing w:before="160" w:line="364" w:lineRule="auto"/>
        <w:ind w:left="320" w:right="341" w:firstLine="420"/>
        <w:rPr>
          <w:color w:val="auto"/>
          <w:sz w:val="24"/>
          <w:highlight w:val="none"/>
        </w:rPr>
      </w:pPr>
      <w:r>
        <w:rPr>
          <w:color w:val="auto"/>
          <w:sz w:val="24"/>
          <w:highlight w:val="none"/>
        </w:rPr>
        <w:t>经磋商确定最终采购需求和提交最后报价的磋商响应供应商，有磋商小组采用综合评分法对提交最后报价的磋商响应供应商的响应文件和最后报价进行综合评分。</w:t>
      </w:r>
    </w:p>
    <w:p w14:paraId="5FCBAD3E">
      <w:pPr>
        <w:pStyle w:val="5"/>
        <w:keepNext w:val="0"/>
        <w:keepLines w:val="0"/>
        <w:pageBreakBefore w:val="0"/>
        <w:kinsoku/>
        <w:wordWrap w:val="0"/>
        <w:overflowPunct/>
        <w:topLinePunct w:val="0"/>
        <w:bidi w:val="0"/>
        <w:spacing w:before="2"/>
        <w:rPr>
          <w:color w:val="auto"/>
          <w:highlight w:val="none"/>
        </w:rPr>
      </w:pPr>
      <w:bookmarkStart w:id="135" w:name="_Toc5813_WPSOffice_Level3"/>
      <w:r>
        <w:rPr>
          <w:color w:val="auto"/>
          <w:highlight w:val="none"/>
        </w:rPr>
        <w:t>24、</w:t>
      </w:r>
      <w:r>
        <w:rPr>
          <w:rFonts w:hint="eastAsia"/>
          <w:color w:val="auto"/>
          <w:highlight w:val="none"/>
        </w:rPr>
        <w:t>推荐</w:t>
      </w:r>
      <w:r>
        <w:rPr>
          <w:color w:val="auto"/>
          <w:highlight w:val="none"/>
        </w:rPr>
        <w:t>成交供应商</w:t>
      </w:r>
      <w:bookmarkEnd w:id="135"/>
      <w:r>
        <w:rPr>
          <w:rFonts w:hint="eastAsia"/>
          <w:color w:val="auto"/>
          <w:highlight w:val="none"/>
        </w:rPr>
        <w:t>候选人</w:t>
      </w:r>
    </w:p>
    <w:p w14:paraId="7066AFC7">
      <w:pPr>
        <w:pStyle w:val="7"/>
        <w:keepNext w:val="0"/>
        <w:keepLines w:val="0"/>
        <w:pageBreakBefore w:val="0"/>
        <w:kinsoku/>
        <w:wordWrap w:val="0"/>
        <w:overflowPunct/>
        <w:topLinePunct w:val="0"/>
        <w:bidi w:val="0"/>
        <w:spacing w:before="160" w:line="364" w:lineRule="auto"/>
        <w:ind w:right="338" w:firstLine="420"/>
        <w:jc w:val="both"/>
        <w:rPr>
          <w:color w:val="auto"/>
          <w:highlight w:val="none"/>
        </w:rPr>
      </w:pPr>
      <w:r>
        <w:rPr>
          <w:color w:val="auto"/>
          <w:highlight w:val="none"/>
        </w:rPr>
        <w:t>24.1</w:t>
      </w:r>
      <w:r>
        <w:rPr>
          <w:color w:val="auto"/>
          <w:spacing w:val="-5"/>
          <w:highlight w:val="none"/>
        </w:rPr>
        <w:t xml:space="preserve"> 磋商小组应当根据综合评分情况，按照评审有高到低的顺序推荐</w:t>
      </w:r>
      <w:r>
        <w:rPr>
          <w:rFonts w:hint="eastAsia"/>
          <w:color w:val="auto"/>
          <w:spacing w:val="-5"/>
          <w:highlight w:val="none"/>
        </w:rPr>
        <w:t>3名</w:t>
      </w:r>
      <w:r>
        <w:rPr>
          <w:color w:val="auto"/>
          <w:spacing w:val="-5"/>
          <w:highlight w:val="none"/>
        </w:rPr>
        <w:t>成交候选供应商，并向采购人提供书面评审报告</w:t>
      </w:r>
      <w:r>
        <w:rPr>
          <w:rFonts w:hint="eastAsia"/>
          <w:color w:val="auto"/>
          <w:spacing w:val="-5"/>
          <w:highlight w:val="none"/>
        </w:rPr>
        <w:t>。</w:t>
      </w:r>
    </w:p>
    <w:p w14:paraId="2BF7D074">
      <w:pPr>
        <w:pStyle w:val="5"/>
        <w:keepNext w:val="0"/>
        <w:keepLines w:val="0"/>
        <w:pageBreakBefore w:val="0"/>
        <w:kinsoku/>
        <w:wordWrap w:val="0"/>
        <w:overflowPunct/>
        <w:topLinePunct w:val="0"/>
        <w:bidi w:val="0"/>
        <w:spacing w:before="2"/>
        <w:rPr>
          <w:color w:val="auto"/>
          <w:highlight w:val="none"/>
        </w:rPr>
      </w:pPr>
      <w:bookmarkStart w:id="136" w:name="_Toc28609_WPSOffice_Level3"/>
      <w:r>
        <w:rPr>
          <w:color w:val="auto"/>
          <w:highlight w:val="none"/>
        </w:rPr>
        <w:t>25、保密及其它注意事项</w:t>
      </w:r>
      <w:bookmarkEnd w:id="136"/>
    </w:p>
    <w:p w14:paraId="5BCD38AE">
      <w:pPr>
        <w:pStyle w:val="19"/>
        <w:keepNext w:val="0"/>
        <w:keepLines w:val="0"/>
        <w:pageBreakBefore w:val="0"/>
        <w:numPr>
          <w:ilvl w:val="1"/>
          <w:numId w:val="9"/>
        </w:numPr>
        <w:tabs>
          <w:tab w:val="left" w:pos="1281"/>
        </w:tabs>
        <w:kinsoku/>
        <w:wordWrap w:val="0"/>
        <w:overflowPunct/>
        <w:topLinePunct w:val="0"/>
        <w:bidi w:val="0"/>
        <w:spacing w:before="160" w:line="500" w:lineRule="exact"/>
        <w:rPr>
          <w:color w:val="auto"/>
          <w:sz w:val="24"/>
          <w:highlight w:val="none"/>
        </w:rPr>
      </w:pPr>
      <w:r>
        <w:rPr>
          <w:color w:val="auto"/>
          <w:sz w:val="24"/>
          <w:highlight w:val="none"/>
        </w:rPr>
        <w:t>评审工作是磋商工作的重要环节，评审工作在磋商小组内独立进行。</w:t>
      </w:r>
    </w:p>
    <w:p w14:paraId="7A8D34F5">
      <w:pPr>
        <w:pStyle w:val="7"/>
        <w:keepNext w:val="0"/>
        <w:keepLines w:val="0"/>
        <w:pageBreakBefore w:val="0"/>
        <w:kinsoku/>
        <w:wordWrap w:val="0"/>
        <w:overflowPunct/>
        <w:topLinePunct w:val="0"/>
        <w:bidi w:val="0"/>
        <w:spacing w:before="43" w:line="500" w:lineRule="exact"/>
        <w:rPr>
          <w:color w:val="auto"/>
          <w:highlight w:val="none"/>
        </w:rPr>
      </w:pPr>
      <w:r>
        <w:rPr>
          <w:color w:val="auto"/>
          <w:highlight w:val="none"/>
        </w:rPr>
        <w:t>在评审期间，磋商响应供应商不得向磋商小组成员询问评审情况，不得进行影响评审结果的活动。否则其响应将会被拒绝。</w:t>
      </w:r>
    </w:p>
    <w:p w14:paraId="11017DF7">
      <w:pPr>
        <w:pStyle w:val="19"/>
        <w:keepNext w:val="0"/>
        <w:keepLines w:val="0"/>
        <w:pageBreakBefore w:val="0"/>
        <w:numPr>
          <w:ilvl w:val="1"/>
          <w:numId w:val="9"/>
        </w:numPr>
        <w:tabs>
          <w:tab w:val="left" w:pos="1281"/>
        </w:tabs>
        <w:kinsoku/>
        <w:wordWrap w:val="0"/>
        <w:overflowPunct/>
        <w:topLinePunct w:val="0"/>
        <w:bidi w:val="0"/>
        <w:spacing w:before="160" w:line="364" w:lineRule="auto"/>
        <w:ind w:left="320" w:right="341" w:firstLine="420"/>
        <w:rPr>
          <w:color w:val="auto"/>
          <w:sz w:val="24"/>
          <w:highlight w:val="none"/>
        </w:rPr>
      </w:pPr>
      <w:r>
        <w:rPr>
          <w:color w:val="auto"/>
          <w:sz w:val="24"/>
          <w:highlight w:val="none"/>
        </w:rPr>
        <w:t>为保证评审的公正性，磋商开始后直至授予成交供应商合同，磋商小组成员不得与供应商私下交换意见。</w:t>
      </w:r>
    </w:p>
    <w:p w14:paraId="764671B8">
      <w:pPr>
        <w:pStyle w:val="19"/>
        <w:keepNext w:val="0"/>
        <w:keepLines w:val="0"/>
        <w:pageBreakBefore w:val="0"/>
        <w:numPr>
          <w:ilvl w:val="1"/>
          <w:numId w:val="9"/>
        </w:numPr>
        <w:tabs>
          <w:tab w:val="left" w:pos="1281"/>
        </w:tabs>
        <w:kinsoku/>
        <w:wordWrap w:val="0"/>
        <w:overflowPunct/>
        <w:topLinePunct w:val="0"/>
        <w:bidi w:val="0"/>
        <w:spacing w:before="1" w:line="364" w:lineRule="auto"/>
        <w:ind w:left="320" w:right="341" w:firstLine="420"/>
        <w:rPr>
          <w:color w:val="auto"/>
          <w:sz w:val="24"/>
          <w:highlight w:val="none"/>
        </w:rPr>
      </w:pPr>
      <w:r>
        <w:rPr>
          <w:color w:val="auto"/>
          <w:sz w:val="24"/>
          <w:highlight w:val="none"/>
        </w:rPr>
        <w:t>在评审工作结束后，凡与评审情况有接触的任何人不得擅自将评审情况扩散出评审人员之外。</w:t>
      </w:r>
    </w:p>
    <w:p w14:paraId="10A565C5">
      <w:pPr>
        <w:pStyle w:val="5"/>
        <w:keepNext w:val="0"/>
        <w:keepLines w:val="0"/>
        <w:pageBreakBefore w:val="0"/>
        <w:kinsoku/>
        <w:wordWrap w:val="0"/>
        <w:overflowPunct/>
        <w:topLinePunct w:val="0"/>
        <w:bidi w:val="0"/>
        <w:spacing w:before="2"/>
        <w:rPr>
          <w:color w:val="auto"/>
          <w:highlight w:val="none"/>
        </w:rPr>
      </w:pPr>
      <w:bookmarkStart w:id="137" w:name="_Toc27984_WPSOffice_Level3"/>
      <w:r>
        <w:rPr>
          <w:color w:val="auto"/>
          <w:highlight w:val="none"/>
        </w:rPr>
        <w:t>26、</w:t>
      </w:r>
      <w:r>
        <w:rPr>
          <w:rFonts w:hint="eastAsia"/>
          <w:color w:val="auto"/>
          <w:highlight w:val="none"/>
        </w:rPr>
        <w:t>定标、</w:t>
      </w:r>
      <w:r>
        <w:rPr>
          <w:color w:val="auto"/>
          <w:highlight w:val="none"/>
        </w:rPr>
        <w:t>成交通知</w:t>
      </w:r>
      <w:bookmarkEnd w:id="137"/>
    </w:p>
    <w:p w14:paraId="1E7D0B2D">
      <w:pPr>
        <w:pStyle w:val="5"/>
        <w:keepNext w:val="0"/>
        <w:keepLines w:val="0"/>
        <w:pageBreakBefore w:val="0"/>
        <w:kinsoku/>
        <w:wordWrap w:val="0"/>
        <w:overflowPunct/>
        <w:topLinePunct w:val="0"/>
        <w:bidi w:val="0"/>
        <w:spacing w:before="2" w:line="520" w:lineRule="exact"/>
        <w:ind w:left="0" w:leftChars="0" w:firstLine="654" w:firstLineChars="300"/>
        <w:rPr>
          <w:b w:val="0"/>
          <w:bCs w:val="0"/>
          <w:color w:val="auto"/>
          <w:spacing w:val="-11"/>
          <w:szCs w:val="22"/>
          <w:highlight w:val="none"/>
        </w:rPr>
      </w:pPr>
      <w:r>
        <w:rPr>
          <w:rFonts w:hint="eastAsia"/>
          <w:b w:val="0"/>
          <w:bCs w:val="0"/>
          <w:color w:val="auto"/>
          <w:spacing w:val="-11"/>
          <w:szCs w:val="22"/>
          <w:highlight w:val="none"/>
        </w:rPr>
        <w:t>26.1采购人依据磋商小组推荐的成交候选人确定成交人，磋商小组推荐3名成交候选人。采购人将依序确定排名第一的供应商为成交人，若排名第一的成交候选人放弃中标、因不可抗力不能履行合同，或者被查实存在影响成交结果的违法行为等情形，不符合成交条件的，采购人可以按照磋商小组提出的成交候选人名单排序依次确定其他成交候选人为成交人，也可以重新招标。</w:t>
      </w:r>
    </w:p>
    <w:p w14:paraId="2F728BB2">
      <w:pPr>
        <w:pStyle w:val="19"/>
        <w:keepNext w:val="0"/>
        <w:keepLines w:val="0"/>
        <w:pageBreakBefore w:val="0"/>
        <w:tabs>
          <w:tab w:val="left" w:pos="1281"/>
        </w:tabs>
        <w:kinsoku/>
        <w:wordWrap w:val="0"/>
        <w:overflowPunct/>
        <w:topLinePunct w:val="0"/>
        <w:bidi w:val="0"/>
        <w:spacing w:before="160" w:line="364" w:lineRule="auto"/>
        <w:ind w:left="0" w:leftChars="0" w:right="338" w:firstLine="436" w:firstLineChars="200"/>
        <w:rPr>
          <w:color w:val="auto"/>
          <w:sz w:val="24"/>
          <w:highlight w:val="none"/>
        </w:rPr>
      </w:pPr>
      <w:r>
        <w:rPr>
          <w:rFonts w:hint="eastAsia"/>
          <w:color w:val="auto"/>
          <w:spacing w:val="-11"/>
          <w:sz w:val="24"/>
          <w:highlight w:val="none"/>
        </w:rPr>
        <w:t>26.2</w:t>
      </w:r>
      <w:r>
        <w:rPr>
          <w:color w:val="auto"/>
          <w:spacing w:val="-11"/>
          <w:sz w:val="24"/>
          <w:highlight w:val="none"/>
        </w:rPr>
        <w:t>成交供应商确定后，采购人向成交供应商签发《成交通知书》，并将成交结果通</w:t>
      </w:r>
      <w:r>
        <w:rPr>
          <w:color w:val="auto"/>
          <w:sz w:val="24"/>
          <w:highlight w:val="none"/>
        </w:rPr>
        <w:t>知所有未成交的磋商响应供应商。</w:t>
      </w:r>
    </w:p>
    <w:p w14:paraId="084BEDDD">
      <w:pPr>
        <w:pStyle w:val="19"/>
        <w:keepNext w:val="0"/>
        <w:keepLines w:val="0"/>
        <w:pageBreakBefore w:val="0"/>
        <w:tabs>
          <w:tab w:val="left" w:pos="1281"/>
        </w:tabs>
        <w:kinsoku/>
        <w:wordWrap w:val="0"/>
        <w:overflowPunct/>
        <w:topLinePunct w:val="0"/>
        <w:bidi w:val="0"/>
        <w:spacing w:before="160" w:line="364" w:lineRule="auto"/>
        <w:ind w:left="0" w:leftChars="0" w:right="338" w:firstLine="476" w:firstLineChars="200"/>
        <w:rPr>
          <w:color w:val="auto"/>
          <w:sz w:val="24"/>
          <w:highlight w:val="none"/>
        </w:rPr>
      </w:pPr>
      <w:r>
        <w:rPr>
          <w:rFonts w:hint="eastAsia"/>
          <w:color w:val="auto"/>
          <w:spacing w:val="-1"/>
          <w:sz w:val="24"/>
          <w:highlight w:val="none"/>
        </w:rPr>
        <w:t>26.3</w:t>
      </w:r>
      <w:r>
        <w:rPr>
          <w:color w:val="auto"/>
          <w:spacing w:val="-1"/>
          <w:sz w:val="24"/>
          <w:highlight w:val="none"/>
        </w:rPr>
        <w:t xml:space="preserve">《成交通知书》作为签订合同的依据，对采购人和成交供应商均具有法律效力， </w:t>
      </w:r>
      <w:r>
        <w:rPr>
          <w:color w:val="auto"/>
          <w:sz w:val="24"/>
          <w:highlight w:val="none"/>
        </w:rPr>
        <w:t>成交通知书发出后，采购人改变成交结果或者成交供应商放弃项目，应依法承担法律责任。</w:t>
      </w:r>
    </w:p>
    <w:p w14:paraId="5C892FA7">
      <w:pPr>
        <w:pStyle w:val="5"/>
        <w:keepNext w:val="0"/>
        <w:keepLines w:val="0"/>
        <w:pageBreakBefore w:val="0"/>
        <w:kinsoku/>
        <w:wordWrap w:val="0"/>
        <w:overflowPunct/>
        <w:topLinePunct w:val="0"/>
        <w:bidi w:val="0"/>
        <w:spacing w:before="2"/>
        <w:rPr>
          <w:color w:val="auto"/>
          <w:highlight w:val="none"/>
        </w:rPr>
      </w:pPr>
      <w:bookmarkStart w:id="138" w:name="_Toc8188_WPSOffice_Level3"/>
      <w:r>
        <w:rPr>
          <w:color w:val="auto"/>
          <w:highlight w:val="none"/>
        </w:rPr>
        <w:t>27、授予合同时变更数量的权力</w:t>
      </w:r>
      <w:bookmarkEnd w:id="138"/>
    </w:p>
    <w:p w14:paraId="385F685F">
      <w:pPr>
        <w:pStyle w:val="7"/>
        <w:keepNext w:val="0"/>
        <w:keepLines w:val="0"/>
        <w:pageBreakBefore w:val="0"/>
        <w:kinsoku/>
        <w:wordWrap w:val="0"/>
        <w:overflowPunct/>
        <w:topLinePunct w:val="0"/>
        <w:bidi w:val="0"/>
        <w:spacing w:before="177" w:line="328" w:lineRule="auto"/>
        <w:ind w:right="341" w:firstLine="420"/>
        <w:rPr>
          <w:color w:val="auto"/>
          <w:highlight w:val="none"/>
        </w:rPr>
      </w:pPr>
      <w:r>
        <w:rPr>
          <w:color w:val="auto"/>
          <w:highlight w:val="none"/>
        </w:rPr>
        <w:t>27.1 采购人在授予合同时，保留对货物数量予以适当增减的权利。成交供应商不得在此情况下对磋商响应文件做出修改，如价格、服务承诺等。</w:t>
      </w:r>
    </w:p>
    <w:p w14:paraId="3B93471D">
      <w:pPr>
        <w:pStyle w:val="5"/>
        <w:keepNext w:val="0"/>
        <w:keepLines w:val="0"/>
        <w:pageBreakBefore w:val="0"/>
        <w:kinsoku/>
        <w:wordWrap w:val="0"/>
        <w:overflowPunct/>
        <w:topLinePunct w:val="0"/>
        <w:bidi w:val="0"/>
        <w:spacing w:line="305" w:lineRule="exact"/>
        <w:rPr>
          <w:color w:val="auto"/>
          <w:highlight w:val="none"/>
        </w:rPr>
      </w:pPr>
      <w:bookmarkStart w:id="139" w:name="_Toc30112_WPSOffice_Level3"/>
      <w:r>
        <w:rPr>
          <w:color w:val="auto"/>
          <w:highlight w:val="none"/>
        </w:rPr>
        <w:t>28、签订合同</w:t>
      </w:r>
      <w:bookmarkEnd w:id="139"/>
    </w:p>
    <w:p w14:paraId="51CFD7C0">
      <w:pPr>
        <w:pStyle w:val="19"/>
        <w:keepNext w:val="0"/>
        <w:keepLines w:val="0"/>
        <w:pageBreakBefore w:val="0"/>
        <w:numPr>
          <w:ilvl w:val="1"/>
          <w:numId w:val="10"/>
        </w:numPr>
        <w:tabs>
          <w:tab w:val="left" w:pos="1281"/>
        </w:tabs>
        <w:kinsoku/>
        <w:wordWrap w:val="0"/>
        <w:overflowPunct/>
        <w:topLinePunct w:val="0"/>
        <w:bidi w:val="0"/>
        <w:spacing w:before="113" w:line="328" w:lineRule="auto"/>
        <w:ind w:right="218" w:firstLine="420"/>
        <w:rPr>
          <w:color w:val="auto"/>
          <w:sz w:val="24"/>
          <w:highlight w:val="none"/>
        </w:rPr>
      </w:pPr>
      <w:r>
        <w:rPr>
          <w:color w:val="auto"/>
          <w:spacing w:val="-10"/>
          <w:sz w:val="24"/>
          <w:highlight w:val="none"/>
        </w:rPr>
        <w:t>成交供应商接到《成交通知书》后</w:t>
      </w:r>
      <w:r>
        <w:rPr>
          <w:color w:val="auto"/>
          <w:spacing w:val="-1"/>
          <w:sz w:val="24"/>
          <w:highlight w:val="none"/>
        </w:rPr>
        <w:t>按指定地点与采购人签订采购合同</w:t>
      </w:r>
      <w:r>
        <w:rPr>
          <w:rFonts w:hint="eastAsia"/>
          <w:color w:val="auto"/>
          <w:spacing w:val="-1"/>
          <w:sz w:val="24"/>
          <w:highlight w:val="none"/>
        </w:rPr>
        <w:t>；</w:t>
      </w:r>
    </w:p>
    <w:p w14:paraId="50C46A85">
      <w:pPr>
        <w:pStyle w:val="19"/>
        <w:keepNext w:val="0"/>
        <w:keepLines w:val="0"/>
        <w:pageBreakBefore w:val="0"/>
        <w:numPr>
          <w:ilvl w:val="1"/>
          <w:numId w:val="10"/>
        </w:numPr>
        <w:tabs>
          <w:tab w:val="left" w:pos="1281"/>
        </w:tabs>
        <w:kinsoku/>
        <w:wordWrap w:val="0"/>
        <w:overflowPunct/>
        <w:topLinePunct w:val="0"/>
        <w:bidi w:val="0"/>
        <w:spacing w:line="328" w:lineRule="auto"/>
        <w:ind w:right="341" w:firstLine="420"/>
        <w:rPr>
          <w:color w:val="auto"/>
          <w:sz w:val="24"/>
          <w:highlight w:val="none"/>
        </w:rPr>
      </w:pPr>
      <w:r>
        <w:rPr>
          <w:color w:val="auto"/>
          <w:sz w:val="24"/>
          <w:highlight w:val="none"/>
        </w:rPr>
        <w:t>采购人签发的成交通知书、竞争性磋商文件、成交供应商的磋商响应文件及其澄清文件等，均为签订合同的依据。</w:t>
      </w:r>
    </w:p>
    <w:p w14:paraId="01CC2BFE">
      <w:pPr>
        <w:pStyle w:val="19"/>
        <w:keepNext w:val="0"/>
        <w:keepLines w:val="0"/>
        <w:pageBreakBefore w:val="0"/>
        <w:numPr>
          <w:ilvl w:val="1"/>
          <w:numId w:val="10"/>
        </w:numPr>
        <w:tabs>
          <w:tab w:val="left" w:pos="1281"/>
        </w:tabs>
        <w:kinsoku/>
        <w:wordWrap w:val="0"/>
        <w:overflowPunct/>
        <w:topLinePunct w:val="0"/>
        <w:bidi w:val="0"/>
        <w:spacing w:line="328" w:lineRule="auto"/>
        <w:ind w:right="340" w:firstLine="420"/>
        <w:rPr>
          <w:color w:val="auto"/>
          <w:sz w:val="24"/>
          <w:highlight w:val="none"/>
        </w:rPr>
      </w:pPr>
      <w:r>
        <w:rPr>
          <w:color w:val="auto"/>
          <w:spacing w:val="-2"/>
          <w:sz w:val="24"/>
          <w:highlight w:val="none"/>
        </w:rPr>
        <w:t xml:space="preserve">如成交供应商拒签合同，则按违约处理，采购人对违约方收取成交金额 </w:t>
      </w:r>
      <w:r>
        <w:rPr>
          <w:color w:val="auto"/>
          <w:sz w:val="24"/>
          <w:highlight w:val="none"/>
        </w:rPr>
        <w:t>2%</w:t>
      </w:r>
      <w:r>
        <w:rPr>
          <w:color w:val="auto"/>
          <w:spacing w:val="-8"/>
          <w:sz w:val="24"/>
          <w:highlight w:val="none"/>
        </w:rPr>
        <w:t>的违</w:t>
      </w:r>
      <w:r>
        <w:rPr>
          <w:color w:val="auto"/>
          <w:sz w:val="24"/>
          <w:highlight w:val="none"/>
        </w:rPr>
        <w:t>约金。</w:t>
      </w:r>
    </w:p>
    <w:p w14:paraId="57960ACD">
      <w:pPr>
        <w:pStyle w:val="5"/>
        <w:keepNext w:val="0"/>
        <w:keepLines w:val="0"/>
        <w:pageBreakBefore w:val="0"/>
        <w:kinsoku/>
        <w:wordWrap w:val="0"/>
        <w:overflowPunct/>
        <w:topLinePunct w:val="0"/>
        <w:bidi w:val="0"/>
        <w:spacing w:line="305" w:lineRule="exact"/>
        <w:rPr>
          <w:color w:val="auto"/>
          <w:highlight w:val="none"/>
        </w:rPr>
      </w:pPr>
      <w:bookmarkStart w:id="140" w:name="_Toc7342_WPSOffice_Level3"/>
      <w:r>
        <w:rPr>
          <w:rFonts w:hint="eastAsia"/>
          <w:color w:val="auto"/>
          <w:highlight w:val="none"/>
          <w:lang w:val="en-US"/>
        </w:rPr>
        <w:t>29、</w:t>
      </w:r>
      <w:r>
        <w:rPr>
          <w:color w:val="auto"/>
          <w:highlight w:val="none"/>
        </w:rPr>
        <w:t>特别注意事项：</w:t>
      </w:r>
      <w:bookmarkEnd w:id="140"/>
    </w:p>
    <w:p w14:paraId="5BAA2247">
      <w:pPr>
        <w:pStyle w:val="19"/>
        <w:keepNext w:val="0"/>
        <w:keepLines w:val="0"/>
        <w:pageBreakBefore w:val="0"/>
        <w:numPr>
          <w:ilvl w:val="1"/>
          <w:numId w:val="11"/>
        </w:numPr>
        <w:tabs>
          <w:tab w:val="left" w:pos="1341"/>
        </w:tabs>
        <w:kinsoku/>
        <w:wordWrap w:val="0"/>
        <w:overflowPunct/>
        <w:topLinePunct w:val="0"/>
        <w:bidi w:val="0"/>
        <w:spacing w:before="113"/>
        <w:rPr>
          <w:color w:val="auto"/>
          <w:sz w:val="24"/>
          <w:highlight w:val="none"/>
        </w:rPr>
      </w:pPr>
      <w:r>
        <w:rPr>
          <w:color w:val="auto"/>
          <w:sz w:val="24"/>
          <w:highlight w:val="none"/>
        </w:rPr>
        <w:t>磋商响应供应商出现下列情形之一的，磋商小组可取消其磋商资格：</w:t>
      </w:r>
    </w:p>
    <w:p w14:paraId="29F863DF">
      <w:pPr>
        <w:pStyle w:val="19"/>
        <w:keepNext w:val="0"/>
        <w:keepLines w:val="0"/>
        <w:pageBreakBefore w:val="0"/>
        <w:numPr>
          <w:ilvl w:val="0"/>
          <w:numId w:val="12"/>
        </w:numPr>
        <w:tabs>
          <w:tab w:val="left" w:pos="1342"/>
        </w:tabs>
        <w:kinsoku/>
        <w:wordWrap w:val="0"/>
        <w:overflowPunct/>
        <w:topLinePunct w:val="0"/>
        <w:bidi w:val="0"/>
        <w:spacing w:before="112"/>
        <w:rPr>
          <w:color w:val="auto"/>
          <w:sz w:val="24"/>
          <w:highlight w:val="none"/>
        </w:rPr>
      </w:pPr>
      <w:r>
        <w:rPr>
          <w:color w:val="auto"/>
          <w:sz w:val="24"/>
          <w:highlight w:val="none"/>
        </w:rPr>
        <w:t>未按磋商文件要求和规定提交实质性响应材料的；</w:t>
      </w:r>
    </w:p>
    <w:p w14:paraId="09159037">
      <w:pPr>
        <w:pStyle w:val="19"/>
        <w:keepNext w:val="0"/>
        <w:keepLines w:val="0"/>
        <w:pageBreakBefore w:val="0"/>
        <w:numPr>
          <w:ilvl w:val="0"/>
          <w:numId w:val="12"/>
        </w:numPr>
        <w:tabs>
          <w:tab w:val="left" w:pos="1342"/>
        </w:tabs>
        <w:kinsoku/>
        <w:wordWrap w:val="0"/>
        <w:overflowPunct/>
        <w:topLinePunct w:val="0"/>
        <w:bidi w:val="0"/>
        <w:spacing w:before="113"/>
        <w:rPr>
          <w:color w:val="auto"/>
          <w:sz w:val="24"/>
          <w:highlight w:val="none"/>
        </w:rPr>
      </w:pPr>
      <w:r>
        <w:rPr>
          <w:color w:val="auto"/>
          <w:sz w:val="24"/>
          <w:highlight w:val="none"/>
        </w:rPr>
        <w:t>相互串通磋商的（有下列情形之一的，视为磋商响应供应商相互串通磋商</w:t>
      </w:r>
      <w:r>
        <w:rPr>
          <w:color w:val="auto"/>
          <w:spacing w:val="-120"/>
          <w:sz w:val="24"/>
          <w:highlight w:val="none"/>
        </w:rPr>
        <w:t>）</w:t>
      </w:r>
      <w:r>
        <w:rPr>
          <w:color w:val="auto"/>
          <w:sz w:val="24"/>
          <w:highlight w:val="none"/>
        </w:rPr>
        <w:t>；</w:t>
      </w:r>
    </w:p>
    <w:p w14:paraId="393BFCA0">
      <w:pPr>
        <w:pStyle w:val="7"/>
        <w:keepNext w:val="0"/>
        <w:keepLines w:val="0"/>
        <w:pageBreakBefore w:val="0"/>
        <w:kinsoku/>
        <w:wordWrap w:val="0"/>
        <w:overflowPunct/>
        <w:topLinePunct w:val="0"/>
        <w:bidi w:val="0"/>
        <w:spacing w:before="112"/>
        <w:ind w:left="740"/>
        <w:rPr>
          <w:color w:val="auto"/>
          <w:highlight w:val="none"/>
        </w:rPr>
      </w:pPr>
      <w:r>
        <w:rPr>
          <w:color w:val="auto"/>
          <w:highlight w:val="none"/>
        </w:rPr>
        <w:t>A、不同磋商响应供应商的响应文件由同一单位或者个人编制</w:t>
      </w:r>
    </w:p>
    <w:p w14:paraId="54D45313">
      <w:pPr>
        <w:pStyle w:val="7"/>
        <w:keepNext w:val="0"/>
        <w:keepLines w:val="0"/>
        <w:pageBreakBefore w:val="0"/>
        <w:kinsoku/>
        <w:wordWrap w:val="0"/>
        <w:overflowPunct/>
        <w:topLinePunct w:val="0"/>
        <w:bidi w:val="0"/>
        <w:spacing w:before="113"/>
        <w:ind w:left="740"/>
        <w:rPr>
          <w:color w:val="auto"/>
          <w:highlight w:val="none"/>
        </w:rPr>
      </w:pPr>
      <w:r>
        <w:rPr>
          <w:color w:val="auto"/>
          <w:highlight w:val="none"/>
        </w:rPr>
        <w:t>B、不同磋商响应供应商委托同一单位或者个人办理磋商事宜</w:t>
      </w:r>
    </w:p>
    <w:p w14:paraId="29996A3E">
      <w:pPr>
        <w:pStyle w:val="7"/>
        <w:keepNext w:val="0"/>
        <w:keepLines w:val="0"/>
        <w:pageBreakBefore w:val="0"/>
        <w:kinsoku/>
        <w:wordWrap w:val="0"/>
        <w:overflowPunct/>
        <w:topLinePunct w:val="0"/>
        <w:bidi w:val="0"/>
        <w:spacing w:before="112"/>
        <w:ind w:left="740"/>
        <w:rPr>
          <w:color w:val="auto"/>
          <w:highlight w:val="none"/>
        </w:rPr>
      </w:pPr>
      <w:r>
        <w:rPr>
          <w:color w:val="auto"/>
          <w:highlight w:val="none"/>
        </w:rPr>
        <w:t>C、不同磋商响应供应商的响应文件载明的项目管理成员为同一人</w:t>
      </w:r>
    </w:p>
    <w:p w14:paraId="4214FAA1">
      <w:pPr>
        <w:pStyle w:val="7"/>
        <w:keepNext w:val="0"/>
        <w:keepLines w:val="0"/>
        <w:pageBreakBefore w:val="0"/>
        <w:kinsoku/>
        <w:wordWrap w:val="0"/>
        <w:overflowPunct/>
        <w:topLinePunct w:val="0"/>
        <w:bidi w:val="0"/>
        <w:spacing w:before="113"/>
        <w:ind w:left="740"/>
        <w:rPr>
          <w:color w:val="auto"/>
          <w:highlight w:val="none"/>
        </w:rPr>
      </w:pPr>
      <w:r>
        <w:rPr>
          <w:color w:val="auto"/>
          <w:highlight w:val="none"/>
        </w:rPr>
        <w:t>D、不同磋商响应供应商的响应文件异常一致或者磋商报价呈规律性差异</w:t>
      </w:r>
    </w:p>
    <w:p w14:paraId="2F868767">
      <w:pPr>
        <w:pStyle w:val="7"/>
        <w:keepNext w:val="0"/>
        <w:keepLines w:val="0"/>
        <w:pageBreakBefore w:val="0"/>
        <w:kinsoku/>
        <w:wordWrap w:val="0"/>
        <w:overflowPunct/>
        <w:topLinePunct w:val="0"/>
        <w:bidi w:val="0"/>
        <w:spacing w:before="113"/>
        <w:ind w:left="740"/>
        <w:rPr>
          <w:color w:val="auto"/>
          <w:highlight w:val="none"/>
        </w:rPr>
      </w:pPr>
      <w:r>
        <w:rPr>
          <w:rFonts w:hint="eastAsia"/>
          <w:color w:val="auto"/>
          <w:highlight w:val="none"/>
          <w:lang w:val="en-US"/>
        </w:rPr>
        <w:t>E</w:t>
      </w:r>
      <w:r>
        <w:rPr>
          <w:color w:val="auto"/>
          <w:highlight w:val="none"/>
        </w:rPr>
        <w:t>、不同磋商响应供应商的磋商保证金从同一单位的账户转出</w:t>
      </w:r>
    </w:p>
    <w:p w14:paraId="1AA513E2">
      <w:pPr>
        <w:pStyle w:val="19"/>
        <w:keepNext w:val="0"/>
        <w:keepLines w:val="0"/>
        <w:pageBreakBefore w:val="0"/>
        <w:numPr>
          <w:ilvl w:val="1"/>
          <w:numId w:val="11"/>
        </w:numPr>
        <w:tabs>
          <w:tab w:val="left" w:pos="1341"/>
        </w:tabs>
        <w:kinsoku/>
        <w:wordWrap w:val="0"/>
        <w:overflowPunct/>
        <w:topLinePunct w:val="0"/>
        <w:bidi w:val="0"/>
        <w:spacing w:before="112"/>
        <w:rPr>
          <w:color w:val="auto"/>
          <w:sz w:val="24"/>
          <w:highlight w:val="none"/>
        </w:rPr>
      </w:pPr>
      <w:r>
        <w:rPr>
          <w:color w:val="auto"/>
          <w:sz w:val="24"/>
          <w:highlight w:val="none"/>
        </w:rPr>
        <w:t>磋商响应供应商出现下列情形之一的，将被视为非实质性响应磋商文件要求：</w:t>
      </w:r>
    </w:p>
    <w:p w14:paraId="6204B70F">
      <w:pPr>
        <w:pStyle w:val="19"/>
        <w:keepNext w:val="0"/>
        <w:keepLines w:val="0"/>
        <w:pageBreakBefore w:val="0"/>
        <w:numPr>
          <w:ilvl w:val="0"/>
          <w:numId w:val="13"/>
        </w:numPr>
        <w:tabs>
          <w:tab w:val="left" w:pos="1221"/>
        </w:tabs>
        <w:kinsoku/>
        <w:wordWrap w:val="0"/>
        <w:overflowPunct/>
        <w:topLinePunct w:val="0"/>
        <w:bidi w:val="0"/>
        <w:spacing w:before="113"/>
        <w:rPr>
          <w:color w:val="auto"/>
          <w:sz w:val="24"/>
          <w:highlight w:val="none"/>
        </w:rPr>
      </w:pPr>
      <w:r>
        <w:rPr>
          <w:color w:val="auto"/>
          <w:sz w:val="24"/>
          <w:highlight w:val="none"/>
        </w:rPr>
        <w:t>交货（完成）期限不确切或不符合磋商文件要求的；</w:t>
      </w:r>
    </w:p>
    <w:p w14:paraId="7981B2D5">
      <w:pPr>
        <w:pStyle w:val="19"/>
        <w:keepNext w:val="0"/>
        <w:keepLines w:val="0"/>
        <w:pageBreakBefore w:val="0"/>
        <w:numPr>
          <w:ilvl w:val="0"/>
          <w:numId w:val="13"/>
        </w:numPr>
        <w:tabs>
          <w:tab w:val="left" w:pos="1221"/>
        </w:tabs>
        <w:kinsoku/>
        <w:wordWrap w:val="0"/>
        <w:overflowPunct/>
        <w:topLinePunct w:val="0"/>
        <w:bidi w:val="0"/>
        <w:spacing w:before="112"/>
        <w:rPr>
          <w:color w:val="auto"/>
          <w:sz w:val="24"/>
          <w:highlight w:val="none"/>
        </w:rPr>
      </w:pPr>
      <w:r>
        <w:rPr>
          <w:color w:val="auto"/>
          <w:sz w:val="24"/>
          <w:highlight w:val="none"/>
        </w:rPr>
        <w:t>最后报价有选择性的；</w:t>
      </w:r>
    </w:p>
    <w:p w14:paraId="5747A906">
      <w:pPr>
        <w:pStyle w:val="19"/>
        <w:keepNext w:val="0"/>
        <w:keepLines w:val="0"/>
        <w:pageBreakBefore w:val="0"/>
        <w:numPr>
          <w:ilvl w:val="0"/>
          <w:numId w:val="13"/>
        </w:numPr>
        <w:tabs>
          <w:tab w:val="left" w:pos="1221"/>
        </w:tabs>
        <w:kinsoku/>
        <w:wordWrap w:val="0"/>
        <w:overflowPunct/>
        <w:topLinePunct w:val="0"/>
        <w:bidi w:val="0"/>
        <w:spacing w:before="113"/>
        <w:rPr>
          <w:color w:val="auto"/>
          <w:sz w:val="24"/>
          <w:highlight w:val="none"/>
        </w:rPr>
      </w:pPr>
      <w:r>
        <w:rPr>
          <w:color w:val="auto"/>
          <w:sz w:val="24"/>
          <w:highlight w:val="none"/>
        </w:rPr>
        <w:t>最后报价超过采购预算金额的；</w:t>
      </w:r>
    </w:p>
    <w:p w14:paraId="7E09314E">
      <w:pPr>
        <w:pStyle w:val="19"/>
        <w:keepNext w:val="0"/>
        <w:keepLines w:val="0"/>
        <w:pageBreakBefore w:val="0"/>
        <w:numPr>
          <w:ilvl w:val="0"/>
          <w:numId w:val="13"/>
        </w:numPr>
        <w:tabs>
          <w:tab w:val="left" w:pos="1221"/>
        </w:tabs>
        <w:kinsoku/>
        <w:wordWrap w:val="0"/>
        <w:overflowPunct/>
        <w:topLinePunct w:val="0"/>
        <w:bidi w:val="0"/>
        <w:spacing w:before="112"/>
        <w:rPr>
          <w:color w:val="auto"/>
          <w:sz w:val="24"/>
          <w:highlight w:val="none"/>
        </w:rPr>
      </w:pPr>
      <w:r>
        <w:rPr>
          <w:color w:val="auto"/>
          <w:sz w:val="24"/>
          <w:highlight w:val="none"/>
        </w:rPr>
        <w:t>被磋商小组认定存在重大负偏离的；</w:t>
      </w:r>
    </w:p>
    <w:p w14:paraId="3B982CD2">
      <w:pPr>
        <w:pStyle w:val="7"/>
        <w:keepNext w:val="0"/>
        <w:keepLines w:val="0"/>
        <w:pageBreakBefore w:val="0"/>
        <w:kinsoku/>
        <w:wordWrap w:val="0"/>
        <w:overflowPunct/>
        <w:topLinePunct w:val="0"/>
        <w:bidi w:val="0"/>
        <w:spacing w:before="113" w:line="328" w:lineRule="auto"/>
        <w:ind w:right="338" w:firstLine="420"/>
        <w:jc w:val="both"/>
        <w:rPr>
          <w:color w:val="auto"/>
          <w:highlight w:val="none"/>
        </w:rPr>
      </w:pPr>
      <w:r>
        <w:rPr>
          <w:color w:val="auto"/>
          <w:spacing w:val="-11"/>
          <w:highlight w:val="none"/>
        </w:rPr>
        <w:t>注：所谓重大负偏离是指磋商响应供应商对磋商文件的响应在范围、质量、数量和交</w:t>
      </w:r>
      <w:r>
        <w:rPr>
          <w:color w:val="auto"/>
          <w:highlight w:val="none"/>
        </w:rPr>
        <w:t>货（完成）期限、技术规格要求等方面明显不能满足采购需求的。重大负偏离的认定须经磋商小组三分之二以上同意。</w:t>
      </w:r>
    </w:p>
    <w:p w14:paraId="3D36EEEB">
      <w:pPr>
        <w:pStyle w:val="5"/>
        <w:keepNext w:val="0"/>
        <w:keepLines w:val="0"/>
        <w:pageBreakBefore w:val="0"/>
        <w:numPr>
          <w:ilvl w:val="0"/>
          <w:numId w:val="11"/>
        </w:numPr>
        <w:tabs>
          <w:tab w:val="left" w:pos="1222"/>
        </w:tabs>
        <w:kinsoku/>
        <w:wordWrap w:val="0"/>
        <w:overflowPunct/>
        <w:topLinePunct w:val="0"/>
        <w:bidi w:val="0"/>
        <w:spacing w:line="304" w:lineRule="exact"/>
        <w:rPr>
          <w:color w:val="auto"/>
          <w:sz w:val="22"/>
          <w:highlight w:val="none"/>
        </w:rPr>
      </w:pPr>
      <w:bookmarkStart w:id="141" w:name="_Toc7366_WPSOffice_Level3"/>
      <w:r>
        <w:rPr>
          <w:color w:val="auto"/>
          <w:highlight w:val="none"/>
        </w:rPr>
        <w:t>询问</w:t>
      </w:r>
      <w:bookmarkEnd w:id="141"/>
    </w:p>
    <w:p w14:paraId="5F6B72C3">
      <w:pPr>
        <w:pStyle w:val="19"/>
        <w:keepNext w:val="0"/>
        <w:keepLines w:val="0"/>
        <w:pageBreakBefore w:val="0"/>
        <w:numPr>
          <w:ilvl w:val="1"/>
          <w:numId w:val="11"/>
        </w:numPr>
        <w:tabs>
          <w:tab w:val="left" w:pos="1341"/>
        </w:tabs>
        <w:kinsoku/>
        <w:wordWrap w:val="0"/>
        <w:overflowPunct/>
        <w:topLinePunct w:val="0"/>
        <w:bidi w:val="0"/>
        <w:spacing w:before="112" w:line="328" w:lineRule="auto"/>
        <w:ind w:left="320" w:right="338" w:firstLine="420"/>
        <w:rPr>
          <w:color w:val="auto"/>
          <w:sz w:val="24"/>
          <w:highlight w:val="none"/>
        </w:rPr>
      </w:pPr>
      <w:r>
        <w:rPr>
          <w:color w:val="auto"/>
          <w:spacing w:val="-1"/>
          <w:sz w:val="24"/>
          <w:highlight w:val="none"/>
        </w:rPr>
        <w:t>磋商响应供应商对采购事项有疑问，可以按照《政府采购法》的相关规定向采</w:t>
      </w:r>
      <w:r>
        <w:rPr>
          <w:color w:val="auto"/>
          <w:sz w:val="24"/>
          <w:highlight w:val="none"/>
        </w:rPr>
        <w:t>购人或采购机构提出询问。</w:t>
      </w:r>
    </w:p>
    <w:p w14:paraId="632CA531">
      <w:pPr>
        <w:pStyle w:val="5"/>
        <w:keepNext w:val="0"/>
        <w:keepLines w:val="0"/>
        <w:pageBreakBefore w:val="0"/>
        <w:numPr>
          <w:ilvl w:val="0"/>
          <w:numId w:val="11"/>
        </w:numPr>
        <w:tabs>
          <w:tab w:val="left" w:pos="1222"/>
        </w:tabs>
        <w:kinsoku/>
        <w:wordWrap w:val="0"/>
        <w:overflowPunct/>
        <w:topLinePunct w:val="0"/>
        <w:bidi w:val="0"/>
        <w:spacing w:line="304" w:lineRule="exact"/>
        <w:rPr>
          <w:rFonts w:ascii="宋体" w:hAnsi="宋体" w:eastAsia="宋体" w:cs="宋体"/>
          <w:color w:val="auto"/>
          <w:highlight w:val="none"/>
        </w:rPr>
      </w:pPr>
      <w:r>
        <w:rPr>
          <w:rFonts w:hint="eastAsia" w:ascii="宋体" w:hAnsi="宋体" w:eastAsia="宋体" w:cs="宋体"/>
          <w:color w:val="auto"/>
          <w:highlight w:val="none"/>
        </w:rPr>
        <w:t>重新招标</w:t>
      </w:r>
    </w:p>
    <w:p w14:paraId="61FCA80D">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kern w:val="1"/>
          <w:sz w:val="24"/>
          <w:szCs w:val="24"/>
          <w:highlight w:val="none"/>
          <w:lang w:val="en-US" w:eastAsia="zh-CN" w:bidi="ar-SA"/>
        </w:rPr>
      </w:pPr>
      <w:bookmarkStart w:id="142" w:name="_Toc438797980"/>
      <w:bookmarkStart w:id="143" w:name="_Toc438797215"/>
      <w:bookmarkStart w:id="144" w:name="_Toc391284777"/>
      <w:r>
        <w:rPr>
          <w:rFonts w:hint="eastAsia" w:ascii="宋体" w:hAnsi="宋体" w:eastAsia="宋体" w:cs="宋体"/>
          <w:b w:val="0"/>
          <w:bCs w:val="0"/>
          <w:color w:val="auto"/>
          <w:kern w:val="1"/>
          <w:sz w:val="24"/>
          <w:szCs w:val="24"/>
          <w:highlight w:val="none"/>
          <w:lang w:val="en-US" w:eastAsia="zh-CN" w:bidi="ar-SA"/>
        </w:rPr>
        <w:t xml:space="preserve">出现下列情形之一的，将终止竞争性磋商磋商活动，发布项目终止公告并说明原因，重新开展磋商活动： </w:t>
      </w:r>
    </w:p>
    <w:p w14:paraId="6060CC54">
      <w:pPr>
        <w:keepNext w:val="0"/>
        <w:keepLines w:val="0"/>
        <w:pageBreakBefore w:val="0"/>
        <w:widowControl w:val="0"/>
        <w:kinsoku/>
        <w:wordWrap w:val="0"/>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 xml:space="preserve">（1）因情况变化，不再符合规定的竞争性磋商磋商方式,适用情形的；出现 </w:t>
      </w:r>
    </w:p>
    <w:p w14:paraId="3C8A366E">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 xml:space="preserve">影响磋商公正的违法、违规行为的； </w:t>
      </w:r>
    </w:p>
    <w:p w14:paraId="1F159EEB">
      <w:pPr>
        <w:keepNext w:val="0"/>
        <w:keepLines w:val="0"/>
        <w:pageBreakBefore w:val="0"/>
        <w:widowControl w:val="0"/>
        <w:kinsoku/>
        <w:wordWrap w:val="0"/>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 xml:space="preserve">（2）不符合法律、法规和竞争性磋商文件规定的其他实质性要求的； </w:t>
      </w:r>
    </w:p>
    <w:p w14:paraId="6DD65FD2">
      <w:pPr>
        <w:keepNext w:val="0"/>
        <w:keepLines w:val="0"/>
        <w:pageBreakBefore w:val="0"/>
        <w:widowControl w:val="0"/>
        <w:kinsoku/>
        <w:wordWrap w:val="0"/>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（3）其他法律、法规及本竞争性磋商文件规定的属响应无效的情形，终止竞争性磋商磋商活动的条款等；</w:t>
      </w:r>
    </w:p>
    <w:p w14:paraId="5CDBFF73">
      <w:pPr>
        <w:keepNext w:val="0"/>
        <w:keepLines w:val="0"/>
        <w:pageBreakBefore w:val="0"/>
        <w:widowControl w:val="0"/>
        <w:kinsoku/>
        <w:wordWrap w:val="0"/>
        <w:overflowPunct/>
        <w:topLinePunct w:val="0"/>
        <w:autoSpaceDE/>
        <w:autoSpaceDN/>
        <w:bidi w:val="0"/>
        <w:adjustRightInd/>
        <w:snapToGrid/>
        <w:spacing w:line="440" w:lineRule="exact"/>
        <w:ind w:firstLine="482"/>
        <w:textAlignment w:val="auto"/>
        <w:rPr>
          <w:color w:val="auto"/>
          <w:sz w:val="24"/>
          <w:highlight w:val="none"/>
        </w:rPr>
      </w:pPr>
      <w:r>
        <w:rPr>
          <w:rFonts w:hint="eastAsia" w:ascii="宋体" w:hAnsi="宋体" w:eastAsia="宋体" w:cs="宋体"/>
          <w:b w:val="0"/>
          <w:bCs w:val="0"/>
          <w:color w:val="auto"/>
          <w:kern w:val="1"/>
          <w:sz w:val="24"/>
          <w:szCs w:val="24"/>
          <w:highlight w:val="none"/>
          <w:lang w:val="en-US" w:eastAsia="zh-CN" w:bidi="ar-SA"/>
        </w:rPr>
        <w:t>（4）磋商截止时间后参加</w:t>
      </w:r>
      <w:r>
        <w:rPr>
          <w:rFonts w:hint="eastAsia" w:ascii="宋体" w:hAnsi="宋体" w:cs="宋体"/>
          <w:b w:val="0"/>
          <w:bCs w:val="0"/>
          <w:color w:val="auto"/>
          <w:kern w:val="1"/>
          <w:sz w:val="24"/>
          <w:szCs w:val="24"/>
          <w:highlight w:val="none"/>
          <w:lang w:val="en-US" w:eastAsia="zh-CN" w:bidi="ar-SA"/>
        </w:rPr>
        <w:t>开标的</w:t>
      </w:r>
      <w:r>
        <w:rPr>
          <w:rFonts w:hint="eastAsia" w:ascii="宋体" w:hAnsi="宋体" w:eastAsia="宋体" w:cs="宋体"/>
          <w:b w:val="0"/>
          <w:bCs w:val="0"/>
          <w:color w:val="auto"/>
          <w:kern w:val="1"/>
          <w:sz w:val="24"/>
          <w:szCs w:val="24"/>
          <w:highlight w:val="none"/>
          <w:lang w:val="en-US" w:eastAsia="zh-CN" w:bidi="ar-SA"/>
        </w:rPr>
        <w:t>供应商不足3家的，应重新组织采购，评审期间</w:t>
      </w:r>
      <w:r>
        <w:rPr>
          <w:rFonts w:hint="eastAsia" w:ascii="宋体" w:hAnsi="宋体" w:cs="宋体"/>
          <w:b w:val="0"/>
          <w:bCs w:val="0"/>
          <w:color w:val="auto"/>
          <w:kern w:val="1"/>
          <w:sz w:val="24"/>
          <w:szCs w:val="24"/>
          <w:highlight w:val="none"/>
          <w:lang w:val="en-US" w:eastAsia="zh-CN" w:bidi="ar-SA"/>
        </w:rPr>
        <w:t>通过资格审查</w:t>
      </w:r>
      <w:r>
        <w:rPr>
          <w:rFonts w:hint="eastAsia" w:ascii="宋体" w:hAnsi="宋体" w:eastAsia="宋体" w:cs="宋体"/>
          <w:b w:val="0"/>
          <w:bCs w:val="0"/>
          <w:color w:val="auto"/>
          <w:kern w:val="1"/>
          <w:sz w:val="24"/>
          <w:szCs w:val="24"/>
          <w:highlight w:val="none"/>
          <w:lang w:val="en-US" w:eastAsia="zh-CN" w:bidi="ar-SA"/>
        </w:rPr>
        <w:t>的供应商或者对磋商响应文件作出实质响应的供应商不足3家的，应重新组织采购。</w:t>
      </w:r>
      <w:bookmarkEnd w:id="142"/>
      <w:bookmarkEnd w:id="143"/>
      <w:bookmarkEnd w:id="144"/>
    </w:p>
    <w:p w14:paraId="3A30054D">
      <w:pPr>
        <w:pStyle w:val="5"/>
        <w:keepNext w:val="0"/>
        <w:keepLines w:val="0"/>
        <w:pageBreakBefore w:val="0"/>
        <w:numPr>
          <w:ilvl w:val="0"/>
          <w:numId w:val="11"/>
        </w:numPr>
        <w:tabs>
          <w:tab w:val="left" w:pos="1105"/>
        </w:tabs>
        <w:kinsoku/>
        <w:wordWrap w:val="0"/>
        <w:overflowPunct/>
        <w:topLinePunct w:val="0"/>
        <w:bidi w:val="0"/>
        <w:spacing w:line="305" w:lineRule="exact"/>
        <w:ind w:left="1104" w:hanging="364"/>
        <w:rPr>
          <w:color w:val="auto"/>
          <w:sz w:val="22"/>
          <w:highlight w:val="none"/>
        </w:rPr>
      </w:pPr>
      <w:bookmarkStart w:id="145" w:name="_Toc13604_WPSOffice_Level3"/>
      <w:r>
        <w:rPr>
          <w:color w:val="auto"/>
          <w:highlight w:val="none"/>
        </w:rPr>
        <w:t>质疑程序及处理</w:t>
      </w:r>
      <w:bookmarkEnd w:id="145"/>
    </w:p>
    <w:p w14:paraId="61F52A58">
      <w:pPr>
        <w:pStyle w:val="19"/>
        <w:keepNext w:val="0"/>
        <w:keepLines w:val="0"/>
        <w:pageBreakBefore w:val="0"/>
        <w:numPr>
          <w:ilvl w:val="1"/>
          <w:numId w:val="11"/>
        </w:numPr>
        <w:tabs>
          <w:tab w:val="left" w:pos="1341"/>
        </w:tabs>
        <w:kinsoku/>
        <w:wordWrap w:val="0"/>
        <w:overflowPunct/>
        <w:topLinePunct w:val="0"/>
        <w:bidi w:val="0"/>
        <w:spacing w:before="113" w:line="328" w:lineRule="auto"/>
        <w:ind w:left="320" w:right="338" w:firstLine="420"/>
        <w:jc w:val="both"/>
        <w:rPr>
          <w:color w:val="auto"/>
          <w:sz w:val="24"/>
          <w:highlight w:val="none"/>
        </w:rPr>
      </w:pPr>
      <w:r>
        <w:rPr>
          <w:color w:val="auto"/>
          <w:spacing w:val="-1"/>
          <w:sz w:val="24"/>
          <w:highlight w:val="none"/>
        </w:rPr>
        <w:t>若竞争性磋商响应人认为其磋商未获公平评审或磋商文件、采购过程和成交结</w:t>
      </w:r>
      <w:r>
        <w:rPr>
          <w:color w:val="auto"/>
          <w:spacing w:val="-4"/>
          <w:sz w:val="24"/>
          <w:highlight w:val="none"/>
        </w:rPr>
        <w:t xml:space="preserve">果使自己的合法权益受到损害，可以在知道或者应知其权益受到损害之日起 </w:t>
      </w:r>
      <w:r>
        <w:rPr>
          <w:color w:val="auto"/>
          <w:sz w:val="24"/>
          <w:highlight w:val="none"/>
        </w:rPr>
        <w:t>7</w:t>
      </w:r>
      <w:r>
        <w:rPr>
          <w:color w:val="auto"/>
          <w:spacing w:val="-4"/>
          <w:sz w:val="24"/>
          <w:highlight w:val="none"/>
        </w:rPr>
        <w:t xml:space="preserve"> 个工作日</w:t>
      </w:r>
      <w:r>
        <w:rPr>
          <w:color w:val="auto"/>
          <w:sz w:val="24"/>
          <w:highlight w:val="none"/>
        </w:rPr>
        <w:t>内，将质疑书原件送达采购人或采购代理机构。提出质疑期限的计算，依照下列规定办理：</w:t>
      </w:r>
    </w:p>
    <w:p w14:paraId="71DBB625">
      <w:pPr>
        <w:pStyle w:val="7"/>
        <w:keepNext w:val="0"/>
        <w:keepLines w:val="0"/>
        <w:pageBreakBefore w:val="0"/>
        <w:kinsoku/>
        <w:wordWrap w:val="0"/>
        <w:overflowPunct/>
        <w:topLinePunct w:val="0"/>
        <w:bidi w:val="0"/>
        <w:spacing w:line="328" w:lineRule="auto"/>
        <w:ind w:right="338" w:firstLine="420"/>
        <w:rPr>
          <w:color w:val="auto"/>
          <w:highlight w:val="none"/>
        </w:rPr>
      </w:pPr>
      <w:r>
        <w:rPr>
          <w:color w:val="auto"/>
          <w:highlight w:val="none"/>
        </w:rPr>
        <w:t>（一</w:t>
      </w:r>
      <w:r>
        <w:rPr>
          <w:color w:val="auto"/>
          <w:spacing w:val="-58"/>
          <w:highlight w:val="none"/>
        </w:rPr>
        <w:t>）</w:t>
      </w:r>
      <w:r>
        <w:rPr>
          <w:color w:val="auto"/>
          <w:spacing w:val="-5"/>
          <w:highlight w:val="none"/>
        </w:rPr>
        <w:t>对可以质疑的磋商文件提出质疑的，为收到磋商文件之日或者磋商文件公告期</w:t>
      </w:r>
      <w:r>
        <w:rPr>
          <w:color w:val="auto"/>
          <w:highlight w:val="none"/>
        </w:rPr>
        <w:t>限届满之日；</w:t>
      </w:r>
    </w:p>
    <w:p w14:paraId="56D21350">
      <w:pPr>
        <w:pStyle w:val="7"/>
        <w:keepNext w:val="0"/>
        <w:keepLines w:val="0"/>
        <w:pageBreakBefore w:val="0"/>
        <w:kinsoku/>
        <w:wordWrap w:val="0"/>
        <w:overflowPunct/>
        <w:topLinePunct w:val="0"/>
        <w:bidi w:val="0"/>
        <w:spacing w:line="305" w:lineRule="exact"/>
        <w:ind w:left="740"/>
        <w:rPr>
          <w:color w:val="auto"/>
          <w:highlight w:val="none"/>
        </w:rPr>
      </w:pPr>
      <w:r>
        <w:rPr>
          <w:color w:val="auto"/>
          <w:highlight w:val="none"/>
        </w:rPr>
        <w:t>（二）对采购过程提出质疑的，为各采购程序环节结束之日；</w:t>
      </w:r>
    </w:p>
    <w:p w14:paraId="4596F865">
      <w:pPr>
        <w:pStyle w:val="7"/>
        <w:keepNext w:val="0"/>
        <w:keepLines w:val="0"/>
        <w:pageBreakBefore w:val="0"/>
        <w:kinsoku/>
        <w:wordWrap w:val="0"/>
        <w:overflowPunct/>
        <w:topLinePunct w:val="0"/>
        <w:bidi w:val="0"/>
        <w:spacing w:before="107"/>
        <w:ind w:left="740"/>
        <w:rPr>
          <w:color w:val="auto"/>
          <w:highlight w:val="none"/>
        </w:rPr>
      </w:pPr>
      <w:r>
        <w:rPr>
          <w:color w:val="auto"/>
          <w:highlight w:val="none"/>
        </w:rPr>
        <w:t>（三）对成交结果提出质疑的，为成交结果公告期限届满之日。</w:t>
      </w:r>
    </w:p>
    <w:p w14:paraId="61B29354">
      <w:pPr>
        <w:pStyle w:val="19"/>
        <w:keepNext w:val="0"/>
        <w:keepLines w:val="0"/>
        <w:pageBreakBefore w:val="0"/>
        <w:numPr>
          <w:ilvl w:val="1"/>
          <w:numId w:val="11"/>
        </w:numPr>
        <w:tabs>
          <w:tab w:val="left" w:pos="1341"/>
        </w:tabs>
        <w:kinsoku/>
        <w:wordWrap w:val="0"/>
        <w:overflowPunct/>
        <w:topLinePunct w:val="0"/>
        <w:bidi w:val="0"/>
        <w:spacing w:before="113" w:line="328" w:lineRule="auto"/>
        <w:ind w:left="320" w:right="340" w:firstLine="420"/>
        <w:rPr>
          <w:color w:val="auto"/>
          <w:sz w:val="24"/>
          <w:highlight w:val="none"/>
        </w:rPr>
      </w:pPr>
      <w:r>
        <w:rPr>
          <w:color w:val="auto"/>
          <w:spacing w:val="-1"/>
          <w:sz w:val="24"/>
          <w:highlight w:val="none"/>
        </w:rPr>
        <w:t>质疑书应当包括下列主要内容，并按照“谁主张、谁举证”的原则，附上相关</w:t>
      </w:r>
      <w:r>
        <w:rPr>
          <w:color w:val="auto"/>
          <w:sz w:val="24"/>
          <w:highlight w:val="none"/>
        </w:rPr>
        <w:t>证明材料。否则，采购人不予受理：</w:t>
      </w:r>
    </w:p>
    <w:p w14:paraId="46F339AF">
      <w:pPr>
        <w:pStyle w:val="7"/>
        <w:keepNext w:val="0"/>
        <w:keepLines w:val="0"/>
        <w:pageBreakBefore w:val="0"/>
        <w:kinsoku/>
        <w:wordWrap w:val="0"/>
        <w:overflowPunct/>
        <w:topLinePunct w:val="0"/>
        <w:bidi w:val="0"/>
        <w:spacing w:line="328" w:lineRule="auto"/>
        <w:ind w:right="337" w:firstLine="420"/>
        <w:rPr>
          <w:color w:val="auto"/>
          <w:highlight w:val="none"/>
        </w:rPr>
      </w:pPr>
      <w:r>
        <w:rPr>
          <w:color w:val="auto"/>
          <w:highlight w:val="none"/>
        </w:rPr>
        <w:t>（一</w:t>
      </w:r>
      <w:r>
        <w:rPr>
          <w:color w:val="auto"/>
          <w:spacing w:val="-24"/>
          <w:highlight w:val="none"/>
        </w:rPr>
        <w:t>）</w:t>
      </w:r>
      <w:r>
        <w:rPr>
          <w:color w:val="auto"/>
          <w:spacing w:val="-7"/>
          <w:highlight w:val="none"/>
        </w:rPr>
        <w:t>质疑磋商响应供应商全称、地址、法定代表人、联系人及联系电话、邮政编码</w:t>
      </w:r>
      <w:r>
        <w:rPr>
          <w:color w:val="auto"/>
          <w:highlight w:val="none"/>
        </w:rPr>
        <w:t>等；</w:t>
      </w:r>
    </w:p>
    <w:p w14:paraId="51F59891">
      <w:pPr>
        <w:pStyle w:val="7"/>
        <w:keepNext w:val="0"/>
        <w:keepLines w:val="0"/>
        <w:pageBreakBefore w:val="0"/>
        <w:kinsoku/>
        <w:wordWrap w:val="0"/>
        <w:overflowPunct/>
        <w:topLinePunct w:val="0"/>
        <w:bidi w:val="0"/>
        <w:spacing w:line="305" w:lineRule="exact"/>
        <w:ind w:left="740"/>
        <w:rPr>
          <w:color w:val="auto"/>
          <w:highlight w:val="none"/>
        </w:rPr>
      </w:pPr>
      <w:r>
        <w:rPr>
          <w:color w:val="auto"/>
          <w:highlight w:val="none"/>
        </w:rPr>
        <w:t>（二）被质疑采购项目的名称、编号；</w:t>
      </w:r>
    </w:p>
    <w:p w14:paraId="2C6D8C29">
      <w:pPr>
        <w:pStyle w:val="7"/>
        <w:keepNext w:val="0"/>
        <w:keepLines w:val="0"/>
        <w:pageBreakBefore w:val="0"/>
        <w:kinsoku/>
        <w:wordWrap w:val="0"/>
        <w:overflowPunct/>
        <w:topLinePunct w:val="0"/>
        <w:bidi w:val="0"/>
        <w:spacing w:before="110"/>
        <w:ind w:left="740"/>
        <w:rPr>
          <w:color w:val="auto"/>
          <w:highlight w:val="none"/>
        </w:rPr>
      </w:pPr>
      <w:r>
        <w:rPr>
          <w:color w:val="auto"/>
          <w:highlight w:val="none"/>
        </w:rPr>
        <w:t>（三）质疑的具体事项、明确的请求和主张；</w:t>
      </w:r>
    </w:p>
    <w:p w14:paraId="74142F77">
      <w:pPr>
        <w:pStyle w:val="7"/>
        <w:keepNext w:val="0"/>
        <w:keepLines w:val="0"/>
        <w:pageBreakBefore w:val="0"/>
        <w:kinsoku/>
        <w:wordWrap w:val="0"/>
        <w:overflowPunct/>
        <w:topLinePunct w:val="0"/>
        <w:bidi w:val="0"/>
        <w:spacing w:before="112" w:line="328" w:lineRule="auto"/>
        <w:ind w:right="338" w:firstLine="420"/>
        <w:rPr>
          <w:color w:val="auto"/>
          <w:highlight w:val="none"/>
        </w:rPr>
      </w:pPr>
      <w:r>
        <w:rPr>
          <w:color w:val="auto"/>
          <w:highlight w:val="none"/>
        </w:rPr>
        <w:t>（四）质疑所依据的法律依据（具体条款</w:t>
      </w:r>
      <w:r>
        <w:rPr>
          <w:color w:val="auto"/>
          <w:spacing w:val="-120"/>
          <w:highlight w:val="none"/>
        </w:rPr>
        <w:t>）</w:t>
      </w:r>
      <w:r>
        <w:rPr>
          <w:color w:val="auto"/>
          <w:spacing w:val="-1"/>
          <w:highlight w:val="none"/>
        </w:rPr>
        <w:t>、具体事实和具体理由。质疑书依据理由</w:t>
      </w:r>
      <w:r>
        <w:rPr>
          <w:color w:val="auto"/>
          <w:highlight w:val="none"/>
        </w:rPr>
        <w:t>部分只有主观陈述、推理、猜测等，而没有提供客观事实依据、法律依据的；</w:t>
      </w:r>
    </w:p>
    <w:p w14:paraId="00983400">
      <w:pPr>
        <w:pStyle w:val="7"/>
        <w:keepNext w:val="0"/>
        <w:keepLines w:val="0"/>
        <w:pageBreakBefore w:val="0"/>
        <w:kinsoku/>
        <w:wordWrap w:val="0"/>
        <w:overflowPunct/>
        <w:topLinePunct w:val="0"/>
        <w:bidi w:val="0"/>
        <w:spacing w:line="328" w:lineRule="auto"/>
        <w:ind w:right="337" w:firstLine="420"/>
        <w:rPr>
          <w:color w:val="auto"/>
          <w:highlight w:val="none"/>
        </w:rPr>
      </w:pPr>
      <w:r>
        <w:rPr>
          <w:color w:val="auto"/>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463C476D">
      <w:pPr>
        <w:pStyle w:val="7"/>
        <w:keepNext w:val="0"/>
        <w:keepLines w:val="0"/>
        <w:pageBreakBefore w:val="0"/>
        <w:kinsoku/>
        <w:wordWrap w:val="0"/>
        <w:overflowPunct/>
        <w:topLinePunct w:val="0"/>
        <w:bidi w:val="0"/>
        <w:spacing w:line="328" w:lineRule="auto"/>
        <w:ind w:right="337" w:firstLine="420"/>
        <w:rPr>
          <w:color w:val="auto"/>
          <w:highlight w:val="none"/>
        </w:rPr>
      </w:pPr>
      <w:r>
        <w:rPr>
          <w:color w:val="auto"/>
          <w:highlight w:val="none"/>
        </w:rPr>
        <w:t>（六）充足有效的相关证明材料；如果涉及到产品功能或技术指标的，应出具相关制造商的证明文件；</w:t>
      </w:r>
    </w:p>
    <w:p w14:paraId="78035A00">
      <w:pPr>
        <w:pStyle w:val="7"/>
        <w:keepNext w:val="0"/>
        <w:keepLines w:val="0"/>
        <w:pageBreakBefore w:val="0"/>
        <w:kinsoku/>
        <w:wordWrap w:val="0"/>
        <w:overflowPunct/>
        <w:topLinePunct w:val="0"/>
        <w:bidi w:val="0"/>
        <w:spacing w:line="328" w:lineRule="auto"/>
        <w:ind w:right="337" w:firstLine="420"/>
        <w:rPr>
          <w:color w:val="auto"/>
          <w:highlight w:val="none"/>
        </w:rPr>
      </w:pPr>
      <w:r>
        <w:rPr>
          <w:color w:val="auto"/>
          <w:highlight w:val="none"/>
        </w:rPr>
        <w:t>（七）质疑材料中有外文资料的，应一并附上中文译本，并以中文译本为准。</w:t>
      </w:r>
    </w:p>
    <w:p w14:paraId="76A99C79">
      <w:pPr>
        <w:pStyle w:val="7"/>
        <w:keepNext w:val="0"/>
        <w:keepLines w:val="0"/>
        <w:pageBreakBefore w:val="0"/>
        <w:kinsoku/>
        <w:wordWrap w:val="0"/>
        <w:overflowPunct/>
        <w:topLinePunct w:val="0"/>
        <w:bidi w:val="0"/>
        <w:spacing w:line="328" w:lineRule="auto"/>
        <w:ind w:right="337" w:firstLine="420"/>
        <w:rPr>
          <w:color w:val="auto"/>
          <w:highlight w:val="none"/>
        </w:rPr>
      </w:pPr>
      <w:r>
        <w:rPr>
          <w:color w:val="auto"/>
          <w:highlight w:val="none"/>
        </w:rPr>
        <w:t>（八）提起质疑的日期</w:t>
      </w:r>
    </w:p>
    <w:p w14:paraId="20150F72">
      <w:pPr>
        <w:pStyle w:val="7"/>
        <w:keepNext w:val="0"/>
        <w:keepLines w:val="0"/>
        <w:pageBreakBefore w:val="0"/>
        <w:kinsoku/>
        <w:wordWrap w:val="0"/>
        <w:overflowPunct/>
        <w:topLinePunct w:val="0"/>
        <w:bidi w:val="0"/>
        <w:spacing w:line="328" w:lineRule="auto"/>
        <w:ind w:right="337" w:firstLine="420"/>
        <w:rPr>
          <w:color w:val="auto"/>
          <w:highlight w:val="none"/>
        </w:rPr>
      </w:pPr>
      <w:r>
        <w:rPr>
          <w:color w:val="auto"/>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0DF22C37">
      <w:pPr>
        <w:pStyle w:val="19"/>
        <w:keepNext w:val="0"/>
        <w:keepLines w:val="0"/>
        <w:pageBreakBefore w:val="0"/>
        <w:numPr>
          <w:ilvl w:val="1"/>
          <w:numId w:val="11"/>
        </w:numPr>
        <w:tabs>
          <w:tab w:val="left" w:pos="1341"/>
        </w:tabs>
        <w:kinsoku/>
        <w:wordWrap w:val="0"/>
        <w:overflowPunct/>
        <w:topLinePunct w:val="0"/>
        <w:bidi w:val="0"/>
        <w:spacing w:line="328" w:lineRule="auto"/>
        <w:ind w:left="320" w:right="338" w:firstLine="420"/>
        <w:jc w:val="both"/>
        <w:rPr>
          <w:color w:val="auto"/>
          <w:sz w:val="24"/>
          <w:highlight w:val="none"/>
        </w:rPr>
      </w:pPr>
      <w:r>
        <w:rPr>
          <w:color w:val="auto"/>
          <w:spacing w:val="-1"/>
          <w:sz w:val="24"/>
          <w:highlight w:val="none"/>
        </w:rPr>
        <w:t>磋商响应供应商委托代理人办理质疑事宜，应当提交授权委托书，并载明委托</w:t>
      </w:r>
      <w:r>
        <w:rPr>
          <w:color w:val="auto"/>
          <w:sz w:val="24"/>
          <w:highlight w:val="none"/>
        </w:rPr>
        <w:t>代理的具体权限和事项。授权委托书应当由委托人签字并加盖单位公章。</w:t>
      </w:r>
    </w:p>
    <w:p w14:paraId="4449C68F">
      <w:pPr>
        <w:pStyle w:val="19"/>
        <w:keepNext w:val="0"/>
        <w:keepLines w:val="0"/>
        <w:pageBreakBefore w:val="0"/>
        <w:numPr>
          <w:ilvl w:val="1"/>
          <w:numId w:val="11"/>
        </w:numPr>
        <w:tabs>
          <w:tab w:val="left" w:pos="1341"/>
        </w:tabs>
        <w:kinsoku/>
        <w:wordWrap w:val="0"/>
        <w:overflowPunct/>
        <w:topLinePunct w:val="0"/>
        <w:bidi w:val="0"/>
        <w:spacing w:line="328" w:lineRule="auto"/>
        <w:ind w:left="320" w:right="338" w:firstLine="420"/>
        <w:jc w:val="both"/>
        <w:rPr>
          <w:color w:val="auto"/>
          <w:sz w:val="24"/>
          <w:highlight w:val="none"/>
        </w:rPr>
      </w:pPr>
      <w:r>
        <w:rPr>
          <w:color w:val="auto"/>
          <w:spacing w:val="-1"/>
          <w:sz w:val="24"/>
          <w:highlight w:val="none"/>
        </w:rPr>
        <w:t>提交质疑书时，磋商响应供应商应同时提交本人身份证，委托他人代理质疑事</w:t>
      </w:r>
      <w:r>
        <w:rPr>
          <w:color w:val="auto"/>
          <w:sz w:val="24"/>
          <w:highlight w:val="none"/>
        </w:rPr>
        <w:t>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2F41312D">
      <w:pPr>
        <w:pStyle w:val="19"/>
        <w:keepNext w:val="0"/>
        <w:keepLines w:val="0"/>
        <w:pageBreakBefore w:val="0"/>
        <w:numPr>
          <w:ilvl w:val="1"/>
          <w:numId w:val="11"/>
        </w:numPr>
        <w:tabs>
          <w:tab w:val="left" w:pos="1341"/>
        </w:tabs>
        <w:kinsoku/>
        <w:wordWrap w:val="0"/>
        <w:overflowPunct/>
        <w:topLinePunct w:val="0"/>
        <w:bidi w:val="0"/>
        <w:spacing w:line="328" w:lineRule="auto"/>
        <w:ind w:left="320" w:right="338" w:firstLine="420"/>
        <w:jc w:val="both"/>
        <w:rPr>
          <w:color w:val="auto"/>
          <w:sz w:val="24"/>
          <w:highlight w:val="none"/>
        </w:rPr>
      </w:pPr>
      <w:r>
        <w:rPr>
          <w:color w:val="auto"/>
          <w:spacing w:val="-1"/>
          <w:sz w:val="24"/>
          <w:highlight w:val="none"/>
        </w:rPr>
        <w:t>质疑书提交方式。磋商响应供应商或者其委托代理人应当当面提交质疑书及相</w:t>
      </w:r>
      <w:r>
        <w:rPr>
          <w:color w:val="auto"/>
          <w:sz w:val="24"/>
          <w:highlight w:val="none"/>
        </w:rPr>
        <w:t>关证明材料。磋商响应供应商以电子邮件、传真等其他方式提交质疑书及相关证明材料的，或者不是磋商响应供应商或者其委托代理人提交质疑书及相关证明材料的，采购人或采购机构可以拒收。</w:t>
      </w:r>
    </w:p>
    <w:p w14:paraId="00FE20FC">
      <w:pPr>
        <w:pStyle w:val="19"/>
        <w:keepNext w:val="0"/>
        <w:keepLines w:val="0"/>
        <w:pageBreakBefore w:val="0"/>
        <w:numPr>
          <w:ilvl w:val="1"/>
          <w:numId w:val="11"/>
        </w:numPr>
        <w:tabs>
          <w:tab w:val="left" w:pos="1341"/>
        </w:tabs>
        <w:kinsoku/>
        <w:wordWrap w:val="0"/>
        <w:overflowPunct/>
        <w:topLinePunct w:val="0"/>
        <w:bidi w:val="0"/>
        <w:spacing w:line="328" w:lineRule="auto"/>
        <w:ind w:left="320" w:right="338" w:firstLine="420"/>
        <w:jc w:val="both"/>
        <w:rPr>
          <w:color w:val="auto"/>
          <w:sz w:val="24"/>
          <w:highlight w:val="none"/>
        </w:rPr>
      </w:pPr>
      <w:r>
        <w:rPr>
          <w:color w:val="auto"/>
          <w:spacing w:val="-1"/>
          <w:sz w:val="24"/>
          <w:highlight w:val="none"/>
        </w:rPr>
        <w:t>磋商响应供应商不得虚假质疑和恶意质疑，并对质疑内容的真实性承担责任。</w:t>
      </w:r>
      <w:r>
        <w:rPr>
          <w:color w:val="auto"/>
          <w:sz w:val="24"/>
          <w:highlight w:val="none"/>
        </w:rPr>
        <w:t>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39AD3091">
      <w:pPr>
        <w:pStyle w:val="19"/>
        <w:keepNext w:val="0"/>
        <w:keepLines w:val="0"/>
        <w:pageBreakBefore w:val="0"/>
        <w:numPr>
          <w:ilvl w:val="1"/>
          <w:numId w:val="11"/>
        </w:numPr>
        <w:tabs>
          <w:tab w:val="left" w:pos="1341"/>
        </w:tabs>
        <w:kinsoku/>
        <w:wordWrap w:val="0"/>
        <w:overflowPunct/>
        <w:topLinePunct w:val="0"/>
        <w:bidi w:val="0"/>
        <w:spacing w:line="328" w:lineRule="auto"/>
        <w:ind w:left="320" w:right="218" w:firstLine="420"/>
        <w:jc w:val="both"/>
        <w:rPr>
          <w:color w:val="auto"/>
          <w:sz w:val="24"/>
          <w:highlight w:val="none"/>
        </w:rPr>
      </w:pPr>
      <w:r>
        <w:rPr>
          <w:color w:val="auto"/>
          <w:sz w:val="24"/>
          <w:highlight w:val="none"/>
        </w:rPr>
        <w:t>采购人将在收到符合上述条件的书面质疑后 7</w:t>
      </w:r>
      <w:r>
        <w:rPr>
          <w:color w:val="auto"/>
          <w:spacing w:val="-9"/>
          <w:sz w:val="24"/>
          <w:highlight w:val="none"/>
        </w:rPr>
        <w:t xml:space="preserve"> 个工作日内审查质疑事项，作出答复或相关处理决定，并以书面形式通知质疑磋商响应供应商和其他有关磋商响应供应商，但答复的内容不涉及商业秘密。若质疑涉及磋商制度或程序，将被转交政府采购的</w:t>
      </w:r>
      <w:r>
        <w:rPr>
          <w:color w:val="auto"/>
          <w:spacing w:val="-12"/>
          <w:sz w:val="24"/>
          <w:highlight w:val="none"/>
        </w:rPr>
        <w:t>管理部门审查。采购人遵循“谁过错谁负担”的原则，有过错的一方承担调查论证费用。</w:t>
      </w:r>
    </w:p>
    <w:p w14:paraId="611F4276">
      <w:pPr>
        <w:pStyle w:val="19"/>
        <w:keepNext w:val="0"/>
        <w:keepLines w:val="0"/>
        <w:pageBreakBefore w:val="0"/>
        <w:numPr>
          <w:ilvl w:val="1"/>
          <w:numId w:val="11"/>
        </w:numPr>
        <w:tabs>
          <w:tab w:val="left" w:pos="1341"/>
        </w:tabs>
        <w:kinsoku/>
        <w:wordWrap w:val="0"/>
        <w:overflowPunct/>
        <w:topLinePunct w:val="0"/>
        <w:bidi w:val="0"/>
        <w:spacing w:line="328" w:lineRule="auto"/>
        <w:ind w:left="320" w:right="338" w:firstLine="420"/>
        <w:jc w:val="both"/>
        <w:rPr>
          <w:color w:val="auto"/>
          <w:highlight w:val="none"/>
        </w:rPr>
      </w:pPr>
      <w:r>
        <w:rPr>
          <w:color w:val="auto"/>
          <w:spacing w:val="-1"/>
          <w:sz w:val="24"/>
          <w:highlight w:val="none"/>
        </w:rPr>
        <w:t xml:space="preserve">质疑供应商对采购人的答复不满意以及采购人未在规定的时间内做出答复的， </w:t>
      </w:r>
      <w:r>
        <w:rPr>
          <w:color w:val="auto"/>
          <w:spacing w:val="-7"/>
          <w:sz w:val="24"/>
          <w:highlight w:val="none"/>
        </w:rPr>
        <w:t xml:space="preserve">可以在答复期满后 </w:t>
      </w:r>
      <w:r>
        <w:rPr>
          <w:color w:val="auto"/>
          <w:sz w:val="24"/>
          <w:highlight w:val="none"/>
        </w:rPr>
        <w:t>15</w:t>
      </w:r>
      <w:r>
        <w:rPr>
          <w:color w:val="auto"/>
          <w:spacing w:val="-8"/>
          <w:sz w:val="24"/>
          <w:highlight w:val="none"/>
        </w:rPr>
        <w:t xml:space="preserve"> 个工作日内向财政部门投诉。</w:t>
      </w:r>
    </w:p>
    <w:p w14:paraId="762DA620">
      <w:pPr>
        <w:pStyle w:val="19"/>
        <w:keepNext w:val="0"/>
        <w:keepLines w:val="0"/>
        <w:pageBreakBefore w:val="0"/>
        <w:widowControl w:val="0"/>
        <w:numPr>
          <w:ilvl w:val="0"/>
          <w:numId w:val="0"/>
        </w:numPr>
        <w:tabs>
          <w:tab w:val="left" w:pos="1341"/>
        </w:tabs>
        <w:kinsoku/>
        <w:wordWrap w:val="0"/>
        <w:overflowPunct/>
        <w:topLinePunct w:val="0"/>
        <w:autoSpaceDE w:val="0"/>
        <w:autoSpaceDN w:val="0"/>
        <w:bidi w:val="0"/>
        <w:spacing w:line="240" w:lineRule="auto"/>
        <w:ind w:right="0" w:rightChars="0" w:firstLine="717" w:firstLineChars="300"/>
        <w:jc w:val="both"/>
        <w:rPr>
          <w:rFonts w:hint="eastAsia" w:ascii="宋体" w:hAnsi="宋体" w:eastAsia="宋体" w:cs="宋体"/>
          <w:b/>
          <w:bCs/>
          <w:color w:val="auto"/>
          <w:spacing w:val="-1"/>
          <w:sz w:val="24"/>
          <w:highlight w:val="none"/>
          <w:lang w:val="en-US" w:eastAsia="zh-CN"/>
        </w:rPr>
      </w:pPr>
      <w:r>
        <w:rPr>
          <w:rFonts w:hint="eastAsia" w:ascii="宋体" w:hAnsi="宋体" w:eastAsia="宋体" w:cs="宋体"/>
          <w:b/>
          <w:bCs/>
          <w:color w:val="auto"/>
          <w:spacing w:val="-1"/>
          <w:sz w:val="24"/>
          <w:highlight w:val="none"/>
          <w:lang w:val="en-US" w:eastAsia="zh-CN"/>
        </w:rPr>
        <w:t>33.招标代理服务收费参照豫招协[2023]002号河南省招标投标协会关于印发《河南省招标代理服务收费指导意见》规定的收费标准收取中标服务费。</w:t>
      </w:r>
    </w:p>
    <w:p w14:paraId="3716EB95">
      <w:pPr>
        <w:pStyle w:val="19"/>
        <w:keepNext w:val="0"/>
        <w:keepLines w:val="0"/>
        <w:pageBreakBefore w:val="0"/>
        <w:widowControl w:val="0"/>
        <w:numPr>
          <w:ilvl w:val="0"/>
          <w:numId w:val="0"/>
        </w:numPr>
        <w:tabs>
          <w:tab w:val="left" w:pos="1341"/>
        </w:tabs>
        <w:kinsoku/>
        <w:wordWrap w:val="0"/>
        <w:overflowPunct/>
        <w:topLinePunct w:val="0"/>
        <w:autoSpaceDE w:val="0"/>
        <w:autoSpaceDN w:val="0"/>
        <w:bidi w:val="0"/>
        <w:spacing w:line="240" w:lineRule="auto"/>
        <w:ind w:left="0" w:leftChars="0" w:right="0" w:rightChars="0"/>
        <w:jc w:val="both"/>
        <w:rPr>
          <w:rFonts w:hint="default" w:ascii="宋体" w:hAnsi="宋体" w:eastAsia="宋体" w:cs="宋体"/>
          <w:b/>
          <w:bCs/>
          <w:color w:val="auto"/>
          <w:spacing w:val="-1"/>
          <w:sz w:val="24"/>
          <w:highlight w:val="none"/>
          <w:lang w:val="en-US" w:eastAsia="zh-CN"/>
        </w:rPr>
      </w:pPr>
    </w:p>
    <w:p w14:paraId="19681FCD">
      <w:pPr>
        <w:pStyle w:val="19"/>
        <w:keepNext w:val="0"/>
        <w:keepLines w:val="0"/>
        <w:pageBreakBefore w:val="0"/>
        <w:widowControl w:val="0"/>
        <w:numPr>
          <w:ilvl w:val="0"/>
          <w:numId w:val="0"/>
        </w:numPr>
        <w:tabs>
          <w:tab w:val="left" w:pos="1341"/>
        </w:tabs>
        <w:kinsoku/>
        <w:wordWrap w:val="0"/>
        <w:overflowPunct/>
        <w:topLinePunct w:val="0"/>
        <w:autoSpaceDE w:val="0"/>
        <w:autoSpaceDN w:val="0"/>
        <w:bidi w:val="0"/>
        <w:spacing w:line="240" w:lineRule="auto"/>
        <w:ind w:right="0" w:rightChars="0" w:firstLine="717" w:firstLineChars="300"/>
        <w:jc w:val="both"/>
        <w:rPr>
          <w:rFonts w:hint="default" w:ascii="宋体" w:hAnsi="宋体" w:eastAsia="宋体" w:cs="宋体"/>
          <w:b/>
          <w:bCs/>
          <w:color w:val="auto"/>
          <w:spacing w:val="-1"/>
          <w:sz w:val="24"/>
          <w:highlight w:val="none"/>
          <w:lang w:val="en-US" w:eastAsia="zh-CN"/>
        </w:rPr>
      </w:pPr>
      <w:r>
        <w:rPr>
          <w:rFonts w:hint="eastAsia" w:ascii="宋体" w:hAnsi="宋体" w:eastAsia="宋体" w:cs="宋体"/>
          <w:b/>
          <w:bCs/>
          <w:color w:val="auto"/>
          <w:spacing w:val="-1"/>
          <w:sz w:val="24"/>
          <w:highlight w:val="none"/>
          <w:lang w:val="en-US" w:eastAsia="zh-CN"/>
        </w:rPr>
        <w:t>河南省招标代理服务费计算标准</w:t>
      </w:r>
    </w:p>
    <w:tbl>
      <w:tblPr>
        <w:tblStyle w:val="14"/>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0FA9B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81711D4">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0B74F7A">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D058DA0">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50B162F">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服务</w:t>
            </w:r>
          </w:p>
        </w:tc>
      </w:tr>
      <w:tr w14:paraId="27EC5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1AAA711">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5E88045">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D2ED0AF">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95911D5">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r>
      <w:tr w14:paraId="204DC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8B481D3">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1B98C73">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137B1E9">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3EEAE27">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r>
      <w:tr w14:paraId="4D333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4A08A90">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B120F50">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6B4170">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917FE54">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r>
      <w:tr w14:paraId="6537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4B6C716">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F25A81F">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84C79BE">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CEF23E8">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r>
      <w:tr w14:paraId="316DB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BA32D80">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31EC94B">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8767E35">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33B7917">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r>
      <w:tr w14:paraId="31BAA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C69558C">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16BCBA8">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86C86FD">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9C826D2">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r>
      <w:tr w14:paraId="43F90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67B8EC15">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16321448">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7F0C8D61">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25290C44">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r>
      <w:tr w14:paraId="1220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20146FC">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FBB7DEE">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BCA70E2">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5A9F721">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r>
      <w:tr w14:paraId="3220A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3BC109B">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50亿--100亿元（含</w:t>
            </w:r>
            <w:r>
              <w:rPr>
                <w:rFonts w:hint="eastAsia" w:ascii="宋体" w:hAnsi="宋体"/>
                <w:b w:val="0"/>
                <w:i w:val="0"/>
                <w:snapToGrid/>
                <w:color w:val="auto"/>
                <w:sz w:val="24"/>
                <w:szCs w:val="18"/>
                <w:highlight w:val="none"/>
                <w:u w:val="none"/>
                <w:lang w:val="en-US" w:eastAsia="zh-CN"/>
              </w:rPr>
              <w:t>100</w:t>
            </w:r>
            <w:r>
              <w:rPr>
                <w:rFonts w:hint="default" w:ascii="宋体" w:hAnsi="宋体" w:eastAsia="宋体"/>
                <w:b w:val="0"/>
                <w:i w:val="0"/>
                <w:snapToGrid/>
                <w:color w:val="auto"/>
                <w:sz w:val="24"/>
                <w:szCs w:val="18"/>
                <w:highlight w:val="none"/>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7CA7909">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A74392B">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3CCB5CF">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r>
      <w:tr w14:paraId="6891F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5B7C000">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1C80FD7">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BE1D400">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506ED3A">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r>
      <w:tr w14:paraId="697DE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27A12AF4">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注：1.按本表费率计算的收费金额为招标代理服务费的基准价格，不含工程量清单、最高投标限价（招标控制价）或标底的编制费用。</w:t>
            </w:r>
          </w:p>
          <w:p w14:paraId="3EF5E265">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val="en-US" w:eastAsia="zh-CN"/>
              </w:rPr>
            </w:pPr>
            <w:r>
              <w:rPr>
                <w:rFonts w:hint="eastAsia" w:ascii="宋体" w:hAnsi="宋体" w:eastAsia="宋体"/>
                <w:b w:val="0"/>
                <w:i w:val="0"/>
                <w:snapToGrid/>
                <w:color w:val="auto"/>
                <w:sz w:val="24"/>
                <w:szCs w:val="24"/>
                <w:highlight w:val="none"/>
                <w:u w:val="none"/>
                <w:lang w:val="en-US" w:eastAsia="zh-CN"/>
              </w:rPr>
              <w:t>2.招标代理服务收费按差额定率累进法计算。</w:t>
            </w:r>
          </w:p>
          <w:p w14:paraId="30F8BD83">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例如: 某工程招标代理业务，项目预算金额（招标控制价）为10000 万元，招标代理服务收费计算如下:</w:t>
            </w:r>
          </w:p>
          <w:p w14:paraId="3C7159BE">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eastAsia" w:ascii="宋体" w:hAnsi="宋体"/>
                <w:b w:val="0"/>
                <w:i w:val="0"/>
                <w:snapToGrid/>
                <w:color w:val="auto"/>
                <w:sz w:val="24"/>
                <w:szCs w:val="24"/>
                <w:highlight w:val="none"/>
                <w:u w:val="none"/>
                <w:lang w:val="en-US" w:eastAsia="zh-CN"/>
              </w:rPr>
              <w:t xml:space="preserve"> </w:t>
            </w:r>
            <w:r>
              <w:rPr>
                <w:rFonts w:hint="default" w:ascii="宋体" w:hAnsi="宋体" w:eastAsia="宋体"/>
                <w:b w:val="0"/>
                <w:i w:val="0"/>
                <w:snapToGrid/>
                <w:color w:val="auto"/>
                <w:sz w:val="24"/>
                <w:szCs w:val="24"/>
                <w:highlight w:val="none"/>
                <w:u w:val="none"/>
                <w:lang w:eastAsia="zh-CN"/>
              </w:rPr>
              <w:t>100万元×1.2%=1.2万元</w:t>
            </w:r>
          </w:p>
          <w:p w14:paraId="411D1073">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（500-100）万元×1.0%=4万元</w:t>
            </w:r>
          </w:p>
          <w:p w14:paraId="553AFD38">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（1000-500）×0.7%=3.5万元</w:t>
            </w:r>
          </w:p>
          <w:p w14:paraId="217B75DF">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（5000-1000）×0.4%=16万元</w:t>
            </w:r>
          </w:p>
          <w:p w14:paraId="5A445E40">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highlight w:val="none"/>
                <w:u w:val="none"/>
                <w:lang w:eastAsia="zh-CN"/>
              </w:rPr>
            </w:pPr>
            <w:r>
              <w:rPr>
                <w:rFonts w:hint="default" w:ascii="宋体" w:hAnsi="宋体" w:eastAsia="宋体"/>
                <w:b w:val="0"/>
                <w:i w:val="0"/>
                <w:snapToGrid/>
                <w:color w:val="auto"/>
                <w:sz w:val="24"/>
                <w:szCs w:val="24"/>
                <w:highlight w:val="none"/>
                <w:u w:val="none"/>
                <w:lang w:eastAsia="zh-CN"/>
              </w:rPr>
              <w:t>（10000-5000）×0.25%=12.5万元合计收费=1.2+4+3.5+16+12.5=37.2万元</w:t>
            </w:r>
          </w:p>
        </w:tc>
      </w:tr>
    </w:tbl>
    <w:p w14:paraId="47C23668">
      <w:pPr>
        <w:pStyle w:val="19"/>
        <w:keepNext w:val="0"/>
        <w:keepLines w:val="0"/>
        <w:pageBreakBefore w:val="0"/>
        <w:widowControl w:val="0"/>
        <w:numPr>
          <w:ilvl w:val="0"/>
          <w:numId w:val="0"/>
        </w:numPr>
        <w:tabs>
          <w:tab w:val="left" w:pos="1341"/>
        </w:tabs>
        <w:kinsoku/>
        <w:wordWrap w:val="0"/>
        <w:overflowPunct/>
        <w:topLinePunct w:val="0"/>
        <w:autoSpaceDE w:val="0"/>
        <w:autoSpaceDN w:val="0"/>
        <w:bidi w:val="0"/>
        <w:spacing w:line="328" w:lineRule="auto"/>
        <w:ind w:right="338" w:rightChars="0"/>
        <w:jc w:val="both"/>
        <w:rPr>
          <w:color w:val="auto"/>
          <w:highlight w:val="none"/>
        </w:rPr>
      </w:pPr>
    </w:p>
    <w:p w14:paraId="051CD3AC">
      <w:pPr>
        <w:pStyle w:val="19"/>
        <w:keepNext w:val="0"/>
        <w:keepLines w:val="0"/>
        <w:pageBreakBefore w:val="0"/>
        <w:widowControl w:val="0"/>
        <w:numPr>
          <w:ilvl w:val="0"/>
          <w:numId w:val="0"/>
        </w:numPr>
        <w:tabs>
          <w:tab w:val="left" w:pos="1341"/>
        </w:tabs>
        <w:kinsoku/>
        <w:wordWrap w:val="0"/>
        <w:overflowPunct/>
        <w:topLinePunct w:val="0"/>
        <w:autoSpaceDE w:val="0"/>
        <w:autoSpaceDN w:val="0"/>
        <w:bidi w:val="0"/>
        <w:spacing w:line="328" w:lineRule="auto"/>
        <w:ind w:right="338" w:rightChars="0"/>
        <w:jc w:val="both"/>
        <w:rPr>
          <w:color w:val="auto"/>
          <w:highlight w:val="none"/>
        </w:rPr>
      </w:pPr>
    </w:p>
    <w:p w14:paraId="39C3F50E">
      <w:pPr>
        <w:pStyle w:val="19"/>
        <w:keepNext w:val="0"/>
        <w:keepLines w:val="0"/>
        <w:pageBreakBefore w:val="0"/>
        <w:widowControl w:val="0"/>
        <w:numPr>
          <w:ilvl w:val="0"/>
          <w:numId w:val="0"/>
        </w:numPr>
        <w:tabs>
          <w:tab w:val="left" w:pos="1341"/>
        </w:tabs>
        <w:kinsoku/>
        <w:wordWrap w:val="0"/>
        <w:overflowPunct/>
        <w:topLinePunct w:val="0"/>
        <w:autoSpaceDE w:val="0"/>
        <w:autoSpaceDN w:val="0"/>
        <w:bidi w:val="0"/>
        <w:spacing w:line="328" w:lineRule="auto"/>
        <w:ind w:right="338" w:rightChars="0"/>
        <w:jc w:val="both"/>
        <w:rPr>
          <w:color w:val="auto"/>
          <w:highlight w:val="none"/>
        </w:rPr>
      </w:pPr>
    </w:p>
    <w:p w14:paraId="56A4151D">
      <w:pPr>
        <w:pStyle w:val="19"/>
        <w:keepNext w:val="0"/>
        <w:keepLines w:val="0"/>
        <w:pageBreakBefore w:val="0"/>
        <w:widowControl w:val="0"/>
        <w:numPr>
          <w:ilvl w:val="0"/>
          <w:numId w:val="0"/>
        </w:numPr>
        <w:tabs>
          <w:tab w:val="left" w:pos="1341"/>
        </w:tabs>
        <w:kinsoku/>
        <w:wordWrap w:val="0"/>
        <w:overflowPunct/>
        <w:topLinePunct w:val="0"/>
        <w:autoSpaceDE w:val="0"/>
        <w:autoSpaceDN w:val="0"/>
        <w:bidi w:val="0"/>
        <w:spacing w:line="328" w:lineRule="auto"/>
        <w:ind w:right="338" w:rightChars="0"/>
        <w:jc w:val="both"/>
        <w:rPr>
          <w:color w:val="auto"/>
          <w:highlight w:val="none"/>
        </w:rPr>
        <w:sectPr>
          <w:footerReference r:id="rId6" w:type="default"/>
          <w:pgSz w:w="11910" w:h="16840"/>
          <w:pgMar w:top="1400" w:right="1020" w:bottom="900" w:left="1040" w:header="0" w:footer="640" w:gutter="0"/>
          <w:pgBorders>
            <w:top w:val="none" w:sz="0" w:space="0"/>
            <w:left w:val="none" w:sz="0" w:space="0"/>
            <w:bottom w:val="none" w:sz="0" w:space="0"/>
            <w:right w:val="none" w:sz="0" w:space="0"/>
          </w:pgBorders>
          <w:pgNumType w:fmt="decimal"/>
          <w:cols w:space="720" w:num="1"/>
        </w:sectPr>
      </w:pPr>
    </w:p>
    <w:p w14:paraId="6CC7522D">
      <w:pPr>
        <w:pStyle w:val="2"/>
        <w:keepNext w:val="0"/>
        <w:keepLines w:val="0"/>
        <w:pageBreakBefore w:val="0"/>
        <w:numPr>
          <w:ilvl w:val="0"/>
          <w:numId w:val="0"/>
        </w:numPr>
        <w:kinsoku/>
        <w:wordWrap w:val="0"/>
        <w:overflowPunct/>
        <w:topLinePunct w:val="0"/>
        <w:bidi w:val="0"/>
        <w:spacing w:before="31"/>
        <w:jc w:val="center"/>
        <w:rPr>
          <w:color w:val="auto"/>
          <w:highlight w:val="none"/>
        </w:rPr>
      </w:pPr>
      <w:bookmarkStart w:id="146" w:name="_Toc25877"/>
      <w:r>
        <w:rPr>
          <w:rFonts w:hint="eastAsia"/>
          <w:color w:val="auto"/>
          <w:highlight w:val="none"/>
          <w:lang w:eastAsia="zh-CN"/>
        </w:rPr>
        <w:t>第三章</w:t>
      </w:r>
      <w:r>
        <w:rPr>
          <w:rFonts w:hint="eastAsia"/>
          <w:color w:val="auto"/>
          <w:highlight w:val="none"/>
          <w:lang w:val="en-US" w:eastAsia="zh-CN"/>
        </w:rPr>
        <w:t xml:space="preserve"> </w:t>
      </w:r>
      <w:r>
        <w:rPr>
          <w:color w:val="auto"/>
          <w:highlight w:val="none"/>
        </w:rPr>
        <w:t>采购需求及参数要求</w:t>
      </w:r>
      <w:bookmarkEnd w:id="146"/>
    </w:p>
    <w:p w14:paraId="6685411D">
      <w:pPr>
        <w:keepNext w:val="0"/>
        <w:keepLines w:val="0"/>
        <w:pageBreakBefore w:val="0"/>
        <w:kinsoku/>
        <w:wordWrap w:val="0"/>
        <w:overflowPunct/>
        <w:topLinePunct w:val="0"/>
        <w:bidi w:val="0"/>
        <w:rPr>
          <w:b/>
          <w:bCs/>
          <w:color w:val="auto"/>
          <w:highlight w:val="none"/>
        </w:rPr>
      </w:pPr>
    </w:p>
    <w:p w14:paraId="240EBF64">
      <w:pPr>
        <w:pStyle w:val="19"/>
        <w:keepNext w:val="0"/>
        <w:keepLines w:val="0"/>
        <w:pageBreakBefore w:val="0"/>
        <w:numPr>
          <w:ilvl w:val="0"/>
          <w:numId w:val="0"/>
        </w:numPr>
        <w:tabs>
          <w:tab w:val="left" w:pos="1341"/>
        </w:tabs>
        <w:kinsoku/>
        <w:wordWrap w:val="0"/>
        <w:overflowPunct/>
        <w:topLinePunct w:val="0"/>
        <w:bidi w:val="0"/>
        <w:spacing w:line="328" w:lineRule="auto"/>
        <w:ind w:right="218" w:rightChars="0" w:firstLine="432" w:firstLineChars="200"/>
        <w:jc w:val="both"/>
        <w:rPr>
          <w:rFonts w:hint="eastAsia"/>
          <w:color w:val="auto"/>
          <w:spacing w:val="-12"/>
          <w:sz w:val="24"/>
          <w:highlight w:val="none"/>
          <w:lang w:val="en-US"/>
        </w:rPr>
      </w:pPr>
      <w:r>
        <w:rPr>
          <w:rFonts w:hint="eastAsia" w:ascii="宋体" w:hAnsi="宋体" w:eastAsia="宋体" w:cs="宋体"/>
          <w:color w:val="auto"/>
          <w:spacing w:val="-12"/>
          <w:sz w:val="24"/>
          <w:szCs w:val="22"/>
          <w:highlight w:val="none"/>
          <w:lang w:val="en-US" w:eastAsia="zh-CN" w:bidi="zh-CN"/>
        </w:rPr>
        <w:t>一、</w:t>
      </w:r>
      <w:r>
        <w:rPr>
          <w:rFonts w:hint="eastAsia"/>
          <w:b/>
          <w:bCs/>
          <w:color w:val="auto"/>
          <w:spacing w:val="-12"/>
          <w:sz w:val="24"/>
          <w:highlight w:val="none"/>
          <w:lang w:val="en-US"/>
        </w:rPr>
        <w:t>项目概况</w:t>
      </w:r>
      <w:r>
        <w:rPr>
          <w:rFonts w:hint="eastAsia"/>
          <w:color w:val="auto"/>
          <w:spacing w:val="-12"/>
          <w:sz w:val="24"/>
          <w:highlight w:val="none"/>
          <w:lang w:val="en-US"/>
        </w:rPr>
        <w:t>：</w:t>
      </w:r>
    </w:p>
    <w:p w14:paraId="07E18925">
      <w:pPr>
        <w:pStyle w:val="7"/>
        <w:keepNext w:val="0"/>
        <w:keepLines w:val="0"/>
        <w:pageBreakBefore w:val="0"/>
        <w:widowControl w:val="0"/>
        <w:kinsoku/>
        <w:wordWrap w:val="0"/>
        <w:overflowPunct/>
        <w:topLinePunct w:val="0"/>
        <w:autoSpaceDE w:val="0"/>
        <w:autoSpaceDN w:val="0"/>
        <w:bidi w:val="0"/>
        <w:adjustRightInd/>
        <w:snapToGrid/>
        <w:spacing w:before="244" w:line="360" w:lineRule="exact"/>
        <w:ind w:left="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项目名称：</w:t>
      </w:r>
      <w:r>
        <w:rPr>
          <w:rFonts w:hint="eastAsia" w:ascii="宋体" w:hAnsi="宋体" w:eastAsia="宋体" w:cs="宋体"/>
          <w:color w:val="auto"/>
          <w:sz w:val="24"/>
          <w:szCs w:val="24"/>
          <w:highlight w:val="none"/>
          <w:lang w:val="en-US" w:eastAsia="zh-CN"/>
        </w:rPr>
        <w:t>卢氏县重点非煤矿山视频智能监控系统及尾矿库在线监测系统建设项目</w:t>
      </w:r>
    </w:p>
    <w:p w14:paraId="60E24222">
      <w:pPr>
        <w:pStyle w:val="7"/>
        <w:keepNext w:val="0"/>
        <w:keepLines w:val="0"/>
        <w:pageBreakBefore w:val="0"/>
        <w:widowControl w:val="0"/>
        <w:kinsoku/>
        <w:wordWrap w:val="0"/>
        <w:overflowPunct/>
        <w:topLinePunct w:val="0"/>
        <w:autoSpaceDE w:val="0"/>
        <w:autoSpaceDN w:val="0"/>
        <w:bidi w:val="0"/>
        <w:adjustRightInd/>
        <w:snapToGrid/>
        <w:spacing w:before="244" w:line="360" w:lineRule="exact"/>
        <w:ind w:left="0" w:firstLine="480" w:firstLineChars="2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项目编号：三卢竞磋采购-2025-60、LSGZ[2025]129-ZC091</w:t>
      </w:r>
    </w:p>
    <w:p w14:paraId="38D88B83">
      <w:pPr>
        <w:pStyle w:val="7"/>
        <w:keepNext w:val="0"/>
        <w:keepLines w:val="0"/>
        <w:pageBreakBefore w:val="0"/>
        <w:widowControl w:val="0"/>
        <w:kinsoku/>
        <w:wordWrap w:val="0"/>
        <w:overflowPunct/>
        <w:topLinePunct w:val="0"/>
        <w:autoSpaceDE w:val="0"/>
        <w:autoSpaceDN w:val="0"/>
        <w:bidi w:val="0"/>
        <w:adjustRightInd/>
        <w:snapToGrid/>
        <w:spacing w:before="244" w:line="36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3、采购人：卢氏县应急管理局</w:t>
      </w:r>
    </w:p>
    <w:p w14:paraId="344B0913">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360" w:lineRule="exact"/>
        <w:ind w:firstLine="480" w:firstLineChars="200"/>
        <w:textAlignment w:val="auto"/>
        <w:rPr>
          <w:bCs/>
          <w:color w:val="auto"/>
          <w:sz w:val="24"/>
          <w:szCs w:val="24"/>
          <w:highlight w:val="none"/>
        </w:rPr>
      </w:pPr>
      <w:r>
        <w:rPr>
          <w:rFonts w:hint="eastAsia" w:ascii="宋体" w:hAnsi="宋体" w:eastAsia="宋体" w:cs="宋体"/>
          <w:color w:val="auto"/>
          <w:sz w:val="24"/>
          <w:szCs w:val="24"/>
          <w:highlight w:val="none"/>
          <w:lang w:val="en-US" w:eastAsia="zh-CN"/>
        </w:rPr>
        <w:t xml:space="preserve">4、采购内容: </w:t>
      </w:r>
      <w:r>
        <w:rPr>
          <w:rFonts w:hint="eastAsia" w:cs="宋体"/>
          <w:color w:val="auto"/>
          <w:sz w:val="24"/>
          <w:szCs w:val="24"/>
          <w:highlight w:val="none"/>
          <w:lang w:val="en-US" w:eastAsia="zh-CN"/>
        </w:rPr>
        <w:t>三标段</w:t>
      </w:r>
      <w:r>
        <w:rPr>
          <w:rFonts w:hint="eastAsia" w:ascii="宋体" w:hAnsi="宋体" w:eastAsia="宋体" w:cs="宋体"/>
          <w:color w:val="auto"/>
          <w:sz w:val="24"/>
          <w:szCs w:val="24"/>
          <w:highlight w:val="none"/>
          <w:lang w:val="en-US" w:eastAsia="zh-CN"/>
        </w:rPr>
        <w:t>主要内容为</w:t>
      </w:r>
      <w:r>
        <w:rPr>
          <w:rFonts w:hint="eastAsia"/>
          <w:bCs/>
          <w:color w:val="auto"/>
          <w:sz w:val="24"/>
          <w:szCs w:val="24"/>
          <w:highlight w:val="none"/>
          <w:lang w:val="en-US" w:eastAsia="zh-CN"/>
        </w:rPr>
        <w:t>建设</w:t>
      </w:r>
      <w:r>
        <w:rPr>
          <w:rFonts w:hint="eastAsia" w:ascii="宋体" w:hAnsi="宋体" w:eastAsia="宋体" w:cs="宋体"/>
          <w:color w:val="auto"/>
          <w:sz w:val="24"/>
          <w:szCs w:val="24"/>
          <w:highlight w:val="none"/>
          <w:lang w:val="en-US" w:eastAsia="zh-CN"/>
        </w:rPr>
        <w:t>地下矿山</w:t>
      </w:r>
      <w:r>
        <w:rPr>
          <w:rFonts w:hint="eastAsia"/>
          <w:bCs/>
          <w:color w:val="auto"/>
          <w:sz w:val="24"/>
          <w:szCs w:val="24"/>
          <w:highlight w:val="none"/>
        </w:rPr>
        <w:t>八宝山铁铜矿一采区</w:t>
      </w:r>
      <w:r>
        <w:rPr>
          <w:rFonts w:hint="eastAsia"/>
          <w:bCs/>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安全监测监控系统及白马沟尾矿库、石窑沟尾矿库的在线监测系统；</w:t>
      </w:r>
    </w:p>
    <w:p w14:paraId="48DE7D62">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244" w:line="360" w:lineRule="exact"/>
        <w:ind w:left="0" w:leftChars="0" w:firstLine="480" w:firstLineChars="200"/>
        <w:jc w:val="both"/>
        <w:textAlignment w:val="auto"/>
        <w:rPr>
          <w:rFonts w:hint="default" w:ascii="宋体" w:hAnsi="宋体" w:eastAsia="宋体" w:cs="宋体"/>
          <w:bCs/>
          <w:color w:val="auto"/>
          <w:sz w:val="24"/>
          <w:szCs w:val="24"/>
          <w:highlight w:val="none"/>
          <w:lang w:val="en-US" w:eastAsia="zh-CN" w:bidi="zh-CN"/>
        </w:rPr>
      </w:pPr>
      <w:r>
        <w:rPr>
          <w:rFonts w:hint="eastAsia" w:cs="宋体"/>
          <w:bCs/>
          <w:color w:val="auto"/>
          <w:sz w:val="24"/>
          <w:szCs w:val="24"/>
          <w:highlight w:val="none"/>
          <w:lang w:val="en-US" w:eastAsia="zh-CN" w:bidi="zh-CN"/>
        </w:rPr>
        <w:t>5</w:t>
      </w:r>
      <w:r>
        <w:rPr>
          <w:rFonts w:ascii="宋体" w:hAnsi="宋体" w:eastAsia="宋体" w:cs="宋体"/>
          <w:bCs/>
          <w:color w:val="auto"/>
          <w:sz w:val="24"/>
          <w:szCs w:val="24"/>
          <w:highlight w:val="none"/>
          <w:lang w:val="zh-CN" w:eastAsia="zh-CN" w:bidi="zh-CN"/>
        </w:rPr>
        <w:t>、</w:t>
      </w:r>
      <w:r>
        <w:rPr>
          <w:rFonts w:hint="eastAsia" w:ascii="宋体" w:hAnsi="宋体" w:eastAsia="宋体" w:cs="宋体"/>
          <w:color w:val="auto"/>
          <w:sz w:val="24"/>
          <w:szCs w:val="24"/>
          <w:highlight w:val="none"/>
          <w:lang w:val="en-US" w:eastAsia="zh-CN"/>
        </w:rPr>
        <w:t>采购预算：三标段：446152.00元</w:t>
      </w:r>
    </w:p>
    <w:p w14:paraId="75B96503">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244" w:line="360" w:lineRule="exact"/>
        <w:ind w:left="0" w:leftChars="0" w:firstLine="480" w:firstLineChars="200"/>
        <w:jc w:val="both"/>
        <w:textAlignment w:val="auto"/>
        <w:rPr>
          <w:rFonts w:hint="default"/>
          <w:bCs/>
          <w:color w:val="auto"/>
          <w:sz w:val="24"/>
          <w:szCs w:val="24"/>
          <w:highlight w:val="none"/>
          <w:lang w:val="en-US"/>
        </w:rPr>
      </w:pPr>
      <w:r>
        <w:rPr>
          <w:rFonts w:hint="eastAsia" w:cs="宋体"/>
          <w:bCs/>
          <w:color w:val="auto"/>
          <w:sz w:val="24"/>
          <w:szCs w:val="24"/>
          <w:highlight w:val="none"/>
          <w:lang w:val="en-US" w:eastAsia="zh-CN" w:bidi="zh-CN"/>
        </w:rPr>
        <w:t>6</w:t>
      </w:r>
      <w:r>
        <w:rPr>
          <w:rFonts w:ascii="宋体" w:hAnsi="宋体" w:eastAsia="宋体" w:cs="宋体"/>
          <w:bCs/>
          <w:color w:val="auto"/>
          <w:sz w:val="24"/>
          <w:szCs w:val="24"/>
          <w:highlight w:val="none"/>
          <w:lang w:val="zh-CN" w:eastAsia="zh-CN" w:bidi="zh-CN"/>
        </w:rPr>
        <w:t>、</w:t>
      </w:r>
      <w:r>
        <w:rPr>
          <w:rFonts w:hint="eastAsia"/>
          <w:bCs/>
          <w:color w:val="auto"/>
          <w:sz w:val="24"/>
          <w:szCs w:val="24"/>
          <w:highlight w:val="none"/>
        </w:rPr>
        <w:t>资金</w:t>
      </w:r>
      <w:r>
        <w:rPr>
          <w:rFonts w:hint="eastAsia" w:ascii="宋体" w:hAnsi="宋体" w:eastAsia="宋体" w:cs="宋体"/>
          <w:bCs/>
          <w:color w:val="auto"/>
          <w:sz w:val="24"/>
          <w:szCs w:val="24"/>
          <w:highlight w:val="none"/>
        </w:rPr>
        <w:t>来源：</w:t>
      </w:r>
      <w:r>
        <w:rPr>
          <w:rFonts w:hint="eastAsia" w:ascii="宋体" w:hAnsi="宋体" w:eastAsia="宋体" w:cs="宋体"/>
          <w:bCs/>
          <w:color w:val="auto"/>
          <w:sz w:val="24"/>
          <w:szCs w:val="24"/>
          <w:highlight w:val="none"/>
          <w:lang w:eastAsia="zh-CN"/>
        </w:rPr>
        <w:t>财政</w:t>
      </w:r>
      <w:r>
        <w:rPr>
          <w:rFonts w:hint="eastAsia" w:ascii="宋体" w:hAnsi="宋体" w:eastAsia="宋体" w:cs="宋体"/>
          <w:bCs/>
          <w:color w:val="auto"/>
          <w:sz w:val="24"/>
          <w:szCs w:val="24"/>
          <w:highlight w:val="none"/>
        </w:rPr>
        <w:t>资金，已落实</w:t>
      </w:r>
    </w:p>
    <w:p w14:paraId="58A2A27E">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244" w:line="360" w:lineRule="exact"/>
        <w:ind w:left="0" w:leftChars="0" w:firstLine="480" w:firstLineChars="200"/>
        <w:jc w:val="both"/>
        <w:textAlignment w:val="auto"/>
        <w:rPr>
          <w:rFonts w:hint="eastAsia"/>
          <w:bCs/>
          <w:color w:val="auto"/>
          <w:sz w:val="24"/>
          <w:szCs w:val="24"/>
          <w:highlight w:val="none"/>
        </w:rPr>
      </w:pPr>
      <w:r>
        <w:rPr>
          <w:rFonts w:hint="eastAsia" w:cs="宋体"/>
          <w:bCs/>
          <w:color w:val="auto"/>
          <w:sz w:val="24"/>
          <w:szCs w:val="24"/>
          <w:highlight w:val="none"/>
          <w:lang w:val="en-US" w:eastAsia="zh-CN" w:bidi="zh-CN"/>
        </w:rPr>
        <w:t>7</w:t>
      </w:r>
      <w:r>
        <w:rPr>
          <w:rFonts w:ascii="宋体" w:hAnsi="宋体" w:eastAsia="宋体" w:cs="宋体"/>
          <w:bCs/>
          <w:color w:val="auto"/>
          <w:sz w:val="24"/>
          <w:szCs w:val="24"/>
          <w:highlight w:val="none"/>
          <w:lang w:val="zh-CN" w:eastAsia="zh-CN" w:bidi="zh-CN"/>
        </w:rPr>
        <w:t>、</w:t>
      </w:r>
      <w:r>
        <w:rPr>
          <w:rFonts w:hint="eastAsia"/>
          <w:bCs/>
          <w:color w:val="auto"/>
          <w:sz w:val="24"/>
          <w:szCs w:val="24"/>
          <w:highlight w:val="none"/>
        </w:rPr>
        <w:t>质量要求：</w:t>
      </w:r>
      <w:r>
        <w:rPr>
          <w:rFonts w:hint="eastAsia"/>
          <w:bCs/>
          <w:color w:val="auto"/>
          <w:sz w:val="24"/>
          <w:szCs w:val="24"/>
          <w:highlight w:val="none"/>
          <w:lang w:eastAsia="zh-CN"/>
        </w:rPr>
        <w:t>合格且满足采购人需求，</w:t>
      </w:r>
      <w:r>
        <w:rPr>
          <w:rFonts w:hint="eastAsia"/>
          <w:bCs/>
          <w:color w:val="auto"/>
          <w:sz w:val="24"/>
          <w:szCs w:val="24"/>
          <w:highlight w:val="none"/>
          <w:lang w:val="en-US" w:eastAsia="zh-CN"/>
        </w:rPr>
        <w:t>并通过验收</w:t>
      </w:r>
    </w:p>
    <w:p w14:paraId="7F2D9AB2">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244" w:line="360" w:lineRule="exact"/>
        <w:ind w:left="0" w:leftChars="0" w:firstLine="480" w:firstLineChars="200"/>
        <w:jc w:val="both"/>
        <w:textAlignment w:val="auto"/>
        <w:rPr>
          <w:bCs/>
          <w:color w:val="auto"/>
          <w:sz w:val="24"/>
          <w:szCs w:val="24"/>
          <w:highlight w:val="none"/>
        </w:rPr>
      </w:pPr>
      <w:r>
        <w:rPr>
          <w:rFonts w:hint="eastAsia" w:cs="宋体"/>
          <w:bCs/>
          <w:color w:val="auto"/>
          <w:sz w:val="24"/>
          <w:szCs w:val="24"/>
          <w:highlight w:val="none"/>
          <w:lang w:val="en-US" w:eastAsia="zh-CN" w:bidi="zh-CN"/>
        </w:rPr>
        <w:t>8</w:t>
      </w:r>
      <w:r>
        <w:rPr>
          <w:rFonts w:ascii="宋体" w:hAnsi="宋体" w:eastAsia="宋体" w:cs="宋体"/>
          <w:bCs/>
          <w:color w:val="auto"/>
          <w:sz w:val="24"/>
          <w:szCs w:val="24"/>
          <w:highlight w:val="none"/>
          <w:lang w:val="zh-CN" w:eastAsia="zh-CN" w:bidi="zh-CN"/>
        </w:rPr>
        <w:t>、</w:t>
      </w:r>
      <w:r>
        <w:rPr>
          <w:rFonts w:hint="eastAsia"/>
          <w:bCs/>
          <w:color w:val="auto"/>
          <w:sz w:val="24"/>
          <w:szCs w:val="24"/>
          <w:highlight w:val="none"/>
        </w:rPr>
        <w:t>供货期：合同签订后</w:t>
      </w:r>
      <w:r>
        <w:rPr>
          <w:rFonts w:hint="eastAsia"/>
          <w:bCs/>
          <w:color w:val="auto"/>
          <w:sz w:val="24"/>
          <w:szCs w:val="24"/>
          <w:highlight w:val="none"/>
          <w:lang w:val="en-US" w:eastAsia="zh-CN"/>
        </w:rPr>
        <w:t>30</w:t>
      </w:r>
      <w:r>
        <w:rPr>
          <w:rFonts w:hint="eastAsia"/>
          <w:bCs/>
          <w:color w:val="auto"/>
          <w:sz w:val="24"/>
          <w:szCs w:val="24"/>
          <w:highlight w:val="none"/>
          <w:lang w:eastAsia="zh-CN"/>
        </w:rPr>
        <w:t>日历天</w:t>
      </w:r>
      <w:r>
        <w:rPr>
          <w:rFonts w:hint="eastAsia"/>
          <w:bCs/>
          <w:color w:val="auto"/>
          <w:sz w:val="24"/>
          <w:szCs w:val="24"/>
          <w:highlight w:val="none"/>
        </w:rPr>
        <w:t>内供货并安装、调试完毕至正常运行</w:t>
      </w:r>
    </w:p>
    <w:p w14:paraId="43A6F276">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244" w:line="360" w:lineRule="exact"/>
        <w:ind w:left="0" w:leftChars="0" w:firstLine="480" w:firstLineChars="200"/>
        <w:jc w:val="both"/>
        <w:textAlignment w:val="auto"/>
        <w:rPr>
          <w:rFonts w:hint="eastAsia"/>
          <w:color w:val="auto"/>
          <w:spacing w:val="-12"/>
          <w:sz w:val="24"/>
          <w:highlight w:val="none"/>
          <w:lang w:val="en-US"/>
        </w:rPr>
      </w:pPr>
      <w:r>
        <w:rPr>
          <w:rFonts w:hint="eastAsia" w:cs="宋体"/>
          <w:color w:val="auto"/>
          <w:sz w:val="24"/>
          <w:szCs w:val="24"/>
          <w:highlight w:val="none"/>
          <w:lang w:val="en-US" w:eastAsia="zh-CN" w:bidi="zh-CN"/>
        </w:rPr>
        <w:t>9</w:t>
      </w:r>
      <w:r>
        <w:rPr>
          <w:rFonts w:ascii="宋体" w:hAnsi="宋体" w:eastAsia="宋体" w:cs="宋体"/>
          <w:color w:val="auto"/>
          <w:sz w:val="24"/>
          <w:szCs w:val="24"/>
          <w:highlight w:val="none"/>
          <w:lang w:val="zh-CN" w:eastAsia="zh-CN" w:bidi="zh-CN"/>
        </w:rPr>
        <w:t>、</w:t>
      </w:r>
      <w:r>
        <w:rPr>
          <w:rFonts w:hint="eastAsia"/>
          <w:bCs/>
          <w:color w:val="auto"/>
          <w:sz w:val="24"/>
          <w:szCs w:val="24"/>
          <w:highlight w:val="none"/>
        </w:rPr>
        <w:t>质保期：</w:t>
      </w:r>
      <w:r>
        <w:rPr>
          <w:rFonts w:hint="eastAsia"/>
          <w:bCs/>
          <w:color w:val="auto"/>
          <w:sz w:val="24"/>
          <w:szCs w:val="24"/>
          <w:highlight w:val="none"/>
          <w:lang w:val="en-US" w:eastAsia="zh-CN"/>
        </w:rPr>
        <w:t>一年</w:t>
      </w:r>
    </w:p>
    <w:p w14:paraId="271CCEC5">
      <w:pPr>
        <w:pStyle w:val="19"/>
        <w:keepNext w:val="0"/>
        <w:keepLines w:val="0"/>
        <w:pageBreakBefore w:val="0"/>
        <w:tabs>
          <w:tab w:val="left" w:pos="1341"/>
        </w:tabs>
        <w:kinsoku/>
        <w:wordWrap w:val="0"/>
        <w:overflowPunct/>
        <w:topLinePunct w:val="0"/>
        <w:bidi w:val="0"/>
        <w:spacing w:line="328" w:lineRule="auto"/>
        <w:ind w:left="0" w:leftChars="0" w:right="218" w:firstLine="0" w:firstLineChars="0"/>
        <w:jc w:val="both"/>
        <w:rPr>
          <w:rFonts w:hint="eastAsia"/>
          <w:b/>
          <w:bCs/>
          <w:color w:val="auto"/>
          <w:spacing w:val="-12"/>
          <w:sz w:val="24"/>
          <w:highlight w:val="none"/>
        </w:rPr>
      </w:pPr>
      <w:bookmarkStart w:id="344" w:name="_GoBack"/>
      <w:bookmarkEnd w:id="344"/>
    </w:p>
    <w:p w14:paraId="019C7AD0">
      <w:pPr>
        <w:pStyle w:val="19"/>
        <w:keepNext w:val="0"/>
        <w:keepLines w:val="0"/>
        <w:pageBreakBefore w:val="0"/>
        <w:tabs>
          <w:tab w:val="left" w:pos="1341"/>
        </w:tabs>
        <w:kinsoku/>
        <w:wordWrap w:val="0"/>
        <w:overflowPunct/>
        <w:topLinePunct w:val="0"/>
        <w:bidi w:val="0"/>
        <w:spacing w:line="328" w:lineRule="auto"/>
        <w:ind w:left="0" w:leftChars="0" w:right="218" w:firstLine="434" w:firstLineChars="200"/>
        <w:jc w:val="both"/>
        <w:rPr>
          <w:rFonts w:hint="eastAsia"/>
          <w:b/>
          <w:bCs/>
          <w:color w:val="auto"/>
          <w:spacing w:val="-12"/>
          <w:sz w:val="24"/>
          <w:highlight w:val="none"/>
        </w:rPr>
      </w:pPr>
      <w:r>
        <w:rPr>
          <w:rFonts w:hint="eastAsia"/>
          <w:b/>
          <w:bCs/>
          <w:color w:val="auto"/>
          <w:spacing w:val="-12"/>
          <w:sz w:val="24"/>
          <w:highlight w:val="none"/>
        </w:rPr>
        <w:t>二、</w:t>
      </w:r>
      <w:r>
        <w:rPr>
          <w:rFonts w:hint="eastAsia"/>
          <w:b/>
          <w:bCs/>
          <w:color w:val="auto"/>
          <w:spacing w:val="-12"/>
          <w:sz w:val="24"/>
          <w:highlight w:val="none"/>
          <w:lang w:eastAsia="zh-CN"/>
        </w:rPr>
        <w:t>采购内容及参数要求</w:t>
      </w:r>
      <w:r>
        <w:rPr>
          <w:rFonts w:hint="eastAsia"/>
          <w:b/>
          <w:bCs/>
          <w:color w:val="auto"/>
          <w:spacing w:val="-12"/>
          <w:sz w:val="24"/>
          <w:highlight w:val="none"/>
        </w:rPr>
        <w:t>：</w:t>
      </w:r>
      <w:bookmarkStart w:id="147" w:name="_1656825103"/>
      <w:bookmarkEnd w:id="147"/>
      <w:bookmarkStart w:id="148" w:name="_Toc30570"/>
      <w:bookmarkStart w:id="149" w:name="_Toc2414"/>
    </w:p>
    <w:p w14:paraId="3ABE3160">
      <w:pPr>
        <w:keepNext w:val="0"/>
        <w:keepLines w:val="0"/>
        <w:pageBreakBefore w:val="0"/>
        <w:kinsoku/>
        <w:wordWrap w:val="0"/>
        <w:overflowPunct/>
        <w:topLinePunct w:val="0"/>
        <w:bidi w:val="0"/>
        <w:rPr>
          <w:rFonts w:hint="eastAsia"/>
          <w:color w:val="auto"/>
          <w:highlight w:val="none"/>
        </w:rPr>
      </w:pPr>
    </w:p>
    <w:tbl>
      <w:tblPr>
        <w:tblStyle w:val="14"/>
        <w:tblW w:w="13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40"/>
      </w:tblGrid>
      <w:tr w14:paraId="4FAD3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3740" w:type="dxa"/>
            <w:tcBorders>
              <w:top w:val="nil"/>
              <w:left w:val="nil"/>
              <w:bottom w:val="single" w:color="000000" w:sz="4" w:space="0"/>
              <w:right w:val="nil"/>
            </w:tcBorders>
            <w:noWrap/>
            <w:vAlign w:val="center"/>
          </w:tcPr>
          <w:p w14:paraId="2422F355">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卢氏县重点非煤矿山视频智能监控系统及尾矿库在线监测系统建设项目</w:t>
            </w:r>
          </w:p>
        </w:tc>
      </w:tr>
    </w:tbl>
    <w:p w14:paraId="0A7D81C2">
      <w:pPr>
        <w:keepNext w:val="0"/>
        <w:keepLines w:val="0"/>
        <w:pageBreakBefore w:val="0"/>
        <w:kinsoku/>
        <w:wordWrap w:val="0"/>
        <w:overflowPunct/>
        <w:topLinePunct w:val="0"/>
        <w:bidi w:val="0"/>
        <w:rPr>
          <w:rFonts w:hint="eastAsia"/>
          <w:highlight w:val="none"/>
        </w:rPr>
      </w:pPr>
    </w:p>
    <w:tbl>
      <w:tblPr>
        <w:tblStyle w:val="14"/>
        <w:tblW w:w="14061"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0"/>
        <w:gridCol w:w="2160"/>
        <w:gridCol w:w="9711"/>
        <w:gridCol w:w="720"/>
        <w:gridCol w:w="660"/>
      </w:tblGrid>
      <w:tr w14:paraId="68D20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061" w:type="dxa"/>
            <w:gridSpan w:val="5"/>
            <w:tcBorders>
              <w:bottom w:val="single" w:color="000000" w:sz="4" w:space="0"/>
            </w:tcBorders>
            <w:noWrap/>
            <w:vAlign w:val="center"/>
          </w:tcPr>
          <w:p w14:paraId="45412775">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 xml:space="preserve">三 标 段 </w:t>
            </w:r>
          </w:p>
        </w:tc>
      </w:tr>
      <w:tr w14:paraId="12A75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061" w:type="dxa"/>
            <w:gridSpan w:val="5"/>
            <w:tcBorders>
              <w:top w:val="single" w:color="000000" w:sz="4" w:space="0"/>
              <w:bottom w:val="single" w:color="000000" w:sz="4" w:space="0"/>
            </w:tcBorders>
            <w:noWrap/>
            <w:vAlign w:val="center"/>
          </w:tcPr>
          <w:p w14:paraId="0992CFD2">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卢氏县北方矿业有限公司-八宝山铁铜矿</w:t>
            </w:r>
          </w:p>
        </w:tc>
      </w:tr>
      <w:tr w14:paraId="0AE8B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10" w:type="dxa"/>
            <w:tcBorders>
              <w:top w:val="single" w:color="000000" w:sz="4" w:space="0"/>
              <w:bottom w:val="single" w:color="000000" w:sz="4" w:space="0"/>
              <w:right w:val="single" w:color="000000" w:sz="4" w:space="0"/>
            </w:tcBorders>
            <w:shd w:val="clear" w:color="auto" w:fill="C00000"/>
            <w:noWrap w:val="0"/>
            <w:vAlign w:val="center"/>
          </w:tcPr>
          <w:p w14:paraId="42FE2C9E">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序号</w:t>
            </w:r>
          </w:p>
        </w:tc>
        <w:tc>
          <w:tcPr>
            <w:tcW w:w="2160" w:type="dxa"/>
            <w:tcBorders>
              <w:top w:val="single" w:color="000000" w:sz="4" w:space="0"/>
              <w:left w:val="single" w:color="000000" w:sz="4" w:space="0"/>
              <w:bottom w:val="single" w:color="000000" w:sz="4" w:space="0"/>
              <w:right w:val="single" w:color="000000" w:sz="4" w:space="0"/>
            </w:tcBorders>
            <w:shd w:val="clear" w:color="auto" w:fill="C00000"/>
            <w:noWrap w:val="0"/>
            <w:vAlign w:val="center"/>
          </w:tcPr>
          <w:p w14:paraId="2BCDEE6B">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产品类别</w:t>
            </w:r>
          </w:p>
        </w:tc>
        <w:tc>
          <w:tcPr>
            <w:tcW w:w="9711" w:type="dxa"/>
            <w:tcBorders>
              <w:top w:val="single" w:color="000000" w:sz="4" w:space="0"/>
              <w:left w:val="single" w:color="000000" w:sz="4" w:space="0"/>
              <w:bottom w:val="single" w:color="000000" w:sz="4" w:space="0"/>
              <w:right w:val="single" w:color="000000" w:sz="4" w:space="0"/>
            </w:tcBorders>
            <w:shd w:val="clear" w:color="auto" w:fill="C00000"/>
            <w:noWrap w:val="0"/>
            <w:vAlign w:val="center"/>
          </w:tcPr>
          <w:p w14:paraId="14F2B174">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技术规格</w:t>
            </w:r>
          </w:p>
        </w:tc>
        <w:tc>
          <w:tcPr>
            <w:tcW w:w="720" w:type="dxa"/>
            <w:tcBorders>
              <w:top w:val="single" w:color="000000" w:sz="4" w:space="0"/>
              <w:left w:val="single" w:color="000000" w:sz="4" w:space="0"/>
              <w:bottom w:val="single" w:color="000000" w:sz="4" w:space="0"/>
              <w:right w:val="single" w:color="000000" w:sz="4" w:space="0"/>
            </w:tcBorders>
            <w:shd w:val="clear" w:color="auto" w:fill="C00000"/>
            <w:noWrap w:val="0"/>
            <w:vAlign w:val="center"/>
          </w:tcPr>
          <w:p w14:paraId="0D46D6EE">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单位</w:t>
            </w:r>
          </w:p>
        </w:tc>
        <w:tc>
          <w:tcPr>
            <w:tcW w:w="660" w:type="dxa"/>
            <w:tcBorders>
              <w:top w:val="single" w:color="000000" w:sz="4" w:space="0"/>
              <w:left w:val="single" w:color="000000" w:sz="4" w:space="0"/>
              <w:bottom w:val="single" w:color="000000" w:sz="4" w:space="0"/>
            </w:tcBorders>
            <w:shd w:val="clear" w:color="auto" w:fill="C00000"/>
            <w:noWrap w:val="0"/>
            <w:vAlign w:val="center"/>
          </w:tcPr>
          <w:p w14:paraId="7DE811F4">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数量</w:t>
            </w:r>
          </w:p>
        </w:tc>
      </w:tr>
      <w:tr w14:paraId="787F3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810" w:type="dxa"/>
            <w:tcBorders>
              <w:top w:val="single" w:color="000000" w:sz="4" w:space="0"/>
              <w:bottom w:val="single" w:color="000000" w:sz="4" w:space="0"/>
              <w:right w:val="single" w:color="000000" w:sz="4" w:space="0"/>
            </w:tcBorders>
            <w:noWrap w:val="0"/>
            <w:vAlign w:val="center"/>
          </w:tcPr>
          <w:p w14:paraId="339F0AC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C92813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监控分站</w:t>
            </w:r>
          </w:p>
        </w:tc>
        <w:tc>
          <w:tcPr>
            <w:tcW w:w="9711" w:type="dxa"/>
            <w:tcBorders>
              <w:top w:val="single" w:color="000000" w:sz="4" w:space="0"/>
              <w:left w:val="single" w:color="000000" w:sz="4" w:space="0"/>
              <w:bottom w:val="single" w:color="000000" w:sz="4" w:space="0"/>
              <w:right w:val="single" w:color="000000" w:sz="4" w:space="0"/>
            </w:tcBorders>
            <w:noWrap w:val="0"/>
            <w:vAlign w:val="center"/>
          </w:tcPr>
          <w:p w14:paraId="501735DF">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1.1防爆形式：矿用本质安全型，防爆标志：ExibIMb。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1.2工作电源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a)工作电压：直流9 V~24V；b) 最大工作电流：≤350mA。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1.3输入输出的信号制式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 RS485传输：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 传输端口数量：1路；b) 传输方式：主从式、半双工、RS485、双极性； c) 传输速率：2400bps； d) 传输信号工作电流峰峰值：不大于100mA；e) 传输信号工作电压峰峰值：2V～12V；f) 传输距离：≥10km(使用MHYVP 1×4电缆，单芯截面积不小于1.5mm2)。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1.5以太网电口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 接口数量：1个；b）连接方式：RJ45；c) 传输方式：以太网电信号，全双工；d) 传输速率：10/100 Mbps自适应；e) 信号工作电压峰峰值：1V~5V；f) 传输距离：≥100m（使用MHYV2×2×0.75 mm2型矿用通讯电缆）。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1.6分站到传感器和执行器的最大传输距离：≥3km，(使用MHYVP 1×4电缆，单芯截面积不小于1.5mm2)。</w:t>
            </w:r>
          </w:p>
          <w:p w14:paraId="17B0A27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容量：16路。</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3C18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tcBorders>
            <w:noWrap/>
            <w:vAlign w:val="center"/>
          </w:tcPr>
          <w:p w14:paraId="225377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14:paraId="46AB6E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810" w:type="dxa"/>
            <w:tcBorders>
              <w:top w:val="single" w:color="000000" w:sz="4" w:space="0"/>
              <w:bottom w:val="single" w:color="000000" w:sz="4" w:space="0"/>
              <w:right w:val="single" w:color="000000" w:sz="4" w:space="0"/>
            </w:tcBorders>
            <w:noWrap w:val="0"/>
            <w:vAlign w:val="center"/>
          </w:tcPr>
          <w:p w14:paraId="565DE5B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1F6228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开停传感器</w:t>
            </w:r>
          </w:p>
        </w:tc>
        <w:tc>
          <w:tcPr>
            <w:tcW w:w="9711" w:type="dxa"/>
            <w:tcBorders>
              <w:top w:val="single" w:color="000000" w:sz="4" w:space="0"/>
              <w:left w:val="single" w:color="000000" w:sz="4" w:space="0"/>
              <w:bottom w:val="single" w:color="000000" w:sz="4" w:space="0"/>
              <w:right w:val="single" w:color="000000" w:sz="4" w:space="0"/>
            </w:tcBorders>
            <w:noWrap w:val="0"/>
            <w:vAlign w:val="center"/>
          </w:tcPr>
          <w:p w14:paraId="3E7DBD8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 防爆形式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矿用本质安全型，防爆标志为“ExiaⅠMa”。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 供电电源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a）工作电压：直流9V~24V；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b）工作电流：≤25mA。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 输出信号(出厂时只有一种)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1.3.1 RS485信号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 a) 半双工传输方式；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b) 最大传输距离：3km（使用MHYV煤矿用阻燃电缆，其单芯截面积为1.5mm2）；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c) 信号电压峰峰值：2V~12V。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1.3.2 电流信号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a)电流类型:1mA/5mA、0mA/5mA、5mA/-5mA、5mA/10mA、0mA/10mA (对应设备的停/开)可选（电路板右侧中间处的跳线J-1,拨下时输出1mA/5mA，接上时输出0mA/5mA）；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b)信号范围：0mA时，≤0.05mA；1mA时，1mA～1.4mA；5mA时，4.5mA～5.5mA；10mA时，9mA～11mA；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c)负载阻抗：≥1kΩ（10mA时，≥500Ω）。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 动作电流：3A（默认值），偏差：±1A（单相）。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3.5 响应时间：&lt;1s。</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9B0C5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tcBorders>
            <w:noWrap/>
            <w:vAlign w:val="center"/>
          </w:tcPr>
          <w:p w14:paraId="1C169D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r>
      <w:tr w14:paraId="14D80D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40" w:hRule="atLeast"/>
        </w:trPr>
        <w:tc>
          <w:tcPr>
            <w:tcW w:w="810" w:type="dxa"/>
            <w:tcBorders>
              <w:top w:val="single" w:color="000000" w:sz="4" w:space="0"/>
              <w:bottom w:val="single" w:color="000000" w:sz="4" w:space="0"/>
              <w:right w:val="single" w:color="000000" w:sz="4" w:space="0"/>
            </w:tcBorders>
            <w:noWrap w:val="0"/>
            <w:vAlign w:val="center"/>
          </w:tcPr>
          <w:p w14:paraId="497F42D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434AD3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一氧化碳传感器</w:t>
            </w:r>
          </w:p>
        </w:tc>
        <w:tc>
          <w:tcPr>
            <w:tcW w:w="9711" w:type="dxa"/>
            <w:tcBorders>
              <w:top w:val="single" w:color="000000" w:sz="4" w:space="0"/>
              <w:left w:val="single" w:color="000000" w:sz="4" w:space="0"/>
              <w:bottom w:val="single" w:color="000000" w:sz="4" w:space="0"/>
              <w:right w:val="single" w:color="000000" w:sz="4" w:space="0"/>
            </w:tcBorders>
            <w:noWrap w:val="0"/>
            <w:vAlign w:val="center"/>
          </w:tcPr>
          <w:p w14:paraId="0C939C8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 防爆型式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矿用本质安全型，防爆标志为“ExiaⅠMa”。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 工作电源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a) 工作电压：直流9V~24V；b) 工作电流: ≤50mA。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 输出信号(出厂时只有一种)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1.3.1 RS485信号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 a) 半双工传输方式；b) 传输距离：不小于3km（使用MHYV煤矿用阻燃电缆，其单芯截面积为1.5mm2）；c) 信号电压峰峰值：2V~12V。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1.3.2 频率信号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 a) 信号范围：200Hz~1000Hz(线性对应0到满量程)频率信号；b) 信号的正、负脉冲宽度：≥0.3ms；c) 高电平不小于3.0V（拉电流为2mA时），低电平不大于0.5V（灌电流为2mA时）。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1.3.3 电流信号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a) 1mA～5mA或4mA～20mA电流信号(线性对应0到满量程,也可选择0mA～5mA或0mA～20mA)；b) 负载能力：1mA～5mA时≥800Ω；4mA～20mA时≥200Ω。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 量程：（0～1000）×10-6，可选（0～500）×10-6。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注：10-6表示体积浓度比为百万分之一。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 显示分辨率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传感器以百分体积浓度表示一氧化碳测量值，采用数字显示，在量程范围内，其分辨率为1×10-6。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1.6 一氧化碳显示值稳定性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在量程范围内，当一氧化碳浓度保持恒定时，传感器的显示值或输出信号值（换算为一氧化碳浓度值）的变化量不超过4×10-6。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1.7 风速影响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传感器在8m/s风速条件下，其指示值的漂移量不超过±2×10-6。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1.8 基本误差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测量范围1×10-6 基本误差，0～100 ±4×10-6；100～500 真值的±5%；500～1000 真值的±6%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1.9 响应时间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传感器的响应时间≤25s。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1.10 声光报警功能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 传感器能在测量范围内可任意设置4级报警点,报警显示值与设定值的差值≤±2×10-6。b) 报警声级强度在其1 m远处的声响信号的声级≥80dB（A）；光信号在黑暗环境中20m远处清晰可见。</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FA2F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tcBorders>
            <w:noWrap/>
            <w:vAlign w:val="center"/>
          </w:tcPr>
          <w:p w14:paraId="055D81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738F0B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40" w:hRule="atLeast"/>
        </w:trPr>
        <w:tc>
          <w:tcPr>
            <w:tcW w:w="810" w:type="dxa"/>
            <w:tcBorders>
              <w:top w:val="single" w:color="000000" w:sz="4" w:space="0"/>
              <w:bottom w:val="single" w:color="000000" w:sz="4" w:space="0"/>
              <w:right w:val="single" w:color="000000" w:sz="4" w:space="0"/>
            </w:tcBorders>
            <w:noWrap w:val="0"/>
            <w:vAlign w:val="center"/>
          </w:tcPr>
          <w:p w14:paraId="21CA59F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C740E6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硫化氢</w:t>
            </w:r>
          </w:p>
        </w:tc>
        <w:tc>
          <w:tcPr>
            <w:tcW w:w="9711" w:type="dxa"/>
            <w:tcBorders>
              <w:top w:val="single" w:color="000000" w:sz="4" w:space="0"/>
              <w:left w:val="single" w:color="000000" w:sz="4" w:space="0"/>
              <w:bottom w:val="single" w:color="000000" w:sz="4" w:space="0"/>
              <w:right w:val="single" w:color="000000" w:sz="4" w:space="0"/>
            </w:tcBorders>
            <w:noWrap w:val="0"/>
            <w:vAlign w:val="center"/>
          </w:tcPr>
          <w:p w14:paraId="628D2CC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 防爆型式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矿用本质安全型，防爆标志为“ExiaⅠMa”。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3.2 工作电源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a) 工作电压：直流9V~24V；b) 工作电流: ≤50mA。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3.3 输出信号(出厂时只有一种)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3.3.1 RS485信号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 a) 半双工传输方式；b) 最大传输距离：3km（使用MHYV煤矿用阻燃电缆，其单芯截面积为1.5mm2）；c) 信号电压峰峰值：2V~12V。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3.3.2 频率信号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 a) 信号范围：200Hz~1000Hz(线性对应0到满量程)频率信号；b) 信号的正、负脉冲宽度：≥0.3ms；c) 高电平不小于3.0V（拉电流为2mA时），低电平不大于0.5V（灌电流为2mA时）。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3.3.3 电流信号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a) 1mA～5mA或4mA～20mA电流信号(线性对应0到满量程,也可选择0mA～5mA或0mA～20mA)；b) 负载能力：1mA～5mA时≥800Ω；4mA～20mA时≥200Ω。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3.4 量程：（0～100）×10-6。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注：10-6表示体积浓度比为百万分之一。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3.5 基本误差：≤±4.0×10-6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3.6 显示分辨率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传感器以百分体积浓度表示硫化氢测量值，采用数字显示，在量程范围内，其分辨率为0.1×10-6。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3.7 显示值稳定性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在量程范围内，当硫化氢浓度保持恒定时，传感器的显示值或输出信号值（换算为硫化氢浓度值）的变化量不超过1×10-6。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3.8 风速影响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传感器在8m/s风速条件下，其指示值的漂移量不超过±0.5×10-6。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3.9 响应时间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传感器的响应时间≤45s。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3.10 声光报警功能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 传感器能在（0~99.9）×10-6测量范围内任意设置报警点,报警显示值与设定值的差值≤±0.5×10-6。b) 报警声级强度在其1m远处的声响信号的声级≥80dB（A）；光信号在黑暗环境中20m远处清晰可见。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3.11 传感器的标定流量：400ml/min。</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24C8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tcBorders>
            <w:noWrap/>
            <w:vAlign w:val="center"/>
          </w:tcPr>
          <w:p w14:paraId="75BDD6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584E29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0" w:hRule="atLeast"/>
        </w:trPr>
        <w:tc>
          <w:tcPr>
            <w:tcW w:w="810" w:type="dxa"/>
            <w:tcBorders>
              <w:top w:val="single" w:color="000000" w:sz="4" w:space="0"/>
              <w:bottom w:val="single" w:color="000000" w:sz="4" w:space="0"/>
              <w:right w:val="single" w:color="000000" w:sz="4" w:space="0"/>
            </w:tcBorders>
            <w:noWrap w:val="0"/>
            <w:vAlign w:val="center"/>
          </w:tcPr>
          <w:p w14:paraId="1342BE6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9BF580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二氧化硫传感器</w:t>
            </w:r>
          </w:p>
        </w:tc>
        <w:tc>
          <w:tcPr>
            <w:tcW w:w="9711" w:type="dxa"/>
            <w:tcBorders>
              <w:top w:val="single" w:color="000000" w:sz="4" w:space="0"/>
              <w:left w:val="single" w:color="000000" w:sz="4" w:space="0"/>
              <w:bottom w:val="single" w:color="000000" w:sz="4" w:space="0"/>
              <w:right w:val="single" w:color="000000" w:sz="4" w:space="0"/>
            </w:tcBorders>
            <w:noWrap w:val="0"/>
            <w:vAlign w:val="center"/>
          </w:tcPr>
          <w:p w14:paraId="09773EC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 防爆型式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矿用本质安全型，防爆标志为“ExiaⅠMa”。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 工作电源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 工作电压：直流9V~25V；    b) 最大工作电流: ≤50mA。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 输出信号(出厂时只有一种)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1.3.1 RS485信号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 a) 半双工传输方式；  b) 最大传输距离：3km（使用MHYV煤矿用阻燃电缆，其单芯截面积为1.5mm2）；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c) 信号电压峰峰值：2V~12V。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1.3.2频率信号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a)信号范围：200Hz~1000Hz(线性对应0~20.0)频率信号；  b) 信号的正、负脉冲宽度：≥0.3ms；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c) 高电平不小于3.0V（拉电流为2mA时），低电平不大于0.5V（灌电流为2mA时）。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1.3.3 电流信号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 1mA～5mA或4mA～20mA电流信号(线性对应0~20×10-6,也可选0mA～5mA或0mA～20mA)；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b) 负载能力：1mA～5mA时≥800Ω；4mA～20mA时≥200Ω。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 传感器具有采用遥控器调校的功能；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1.5量程：（0～20）×10-6。注：10-6表示体积浓度比为百万分之一。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1.6 显示分辨率：传感器以百分体积浓度表示二氧化氮测量值，采用数字显示，在量程范围内，其分辨率为0.1×10-6。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1.7 二氧化氮显示值稳定性：在量程范围内，当二氧化氮浓度保持恒定时，传感器的显示值或输出信号值（换算为二氧化氮浓度值）的变化量应不超过0.4×10-6。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1.8 风速影响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传感器在8m/s风速条件下试验时，其指示值的漂移量不超过±0.2×10-6。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1.9 基本误差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传感器的基本误差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测量范围1×10-6 基本误差   0～9 ±3×10-6   10～20 ±4×10-6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1.10 响应时间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传感器的响应时间≤45s。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1.11 声光报警功能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 传感器能在（0~20）×10-6测量范围内可任意设置报警点,报警显示值与设定值的差值≤±2×10-6。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b) 报警声级强度在其1 m远处的声响信号的声级≥80 dB（A）；光信号在黑暗环境中20 m远处清晰可见。</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EF97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tcBorders>
            <w:noWrap/>
            <w:vAlign w:val="center"/>
          </w:tcPr>
          <w:p w14:paraId="629977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511411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0" w:hRule="atLeast"/>
        </w:trPr>
        <w:tc>
          <w:tcPr>
            <w:tcW w:w="810" w:type="dxa"/>
            <w:tcBorders>
              <w:top w:val="single" w:color="000000" w:sz="4" w:space="0"/>
              <w:bottom w:val="single" w:color="000000" w:sz="4" w:space="0"/>
              <w:right w:val="single" w:color="000000" w:sz="4" w:space="0"/>
            </w:tcBorders>
            <w:noWrap w:val="0"/>
            <w:vAlign w:val="center"/>
          </w:tcPr>
          <w:p w14:paraId="28AE7D6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564215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风速传感器</w:t>
            </w:r>
          </w:p>
        </w:tc>
        <w:tc>
          <w:tcPr>
            <w:tcW w:w="9711" w:type="dxa"/>
            <w:tcBorders>
              <w:top w:val="single" w:color="000000" w:sz="4" w:space="0"/>
              <w:left w:val="single" w:color="000000" w:sz="4" w:space="0"/>
              <w:bottom w:val="single" w:color="000000" w:sz="4" w:space="0"/>
              <w:right w:val="single" w:color="000000" w:sz="4" w:space="0"/>
            </w:tcBorders>
            <w:noWrap w:val="0"/>
            <w:vAlign w:val="center"/>
          </w:tcPr>
          <w:p w14:paraId="36041FF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 防爆型式：矿用本质安全型，防爆标志为：“ExiaⅠMa”。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1.2 供电电源：a）工作电压：直流 9V~24V；  b）工作电流：≤50mA。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1.3  测量范围：0.4m/s～15m/s。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1.4  基本误差：在测量范围内不超过±0.3m/s。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  分辨率：10m/s以下0.01m/s；10m/s及以上为0.1m/s。  1.6  输出信号(出厂时只有一种)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1.6.1 RS485信号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 半双工通信方式；   b) 信号电压峰峰值：2V～12V；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c) 最大传输距离：不小于3km（使用MHYV煤矿用电缆，其单芯截面积为1.5mm2)。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1.6.2 频率信号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 信号范围：200Hz~1000Hz(线性对应0 m/s～15m/s)频率信号；  b) 信号的正、负脉冲宽度：≥0.3ms；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c) 高电平不小于3.0V（拉电流为2mA时），低电平不大于0.5V（灌电流为2mA时）。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1.6.3 电流信号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 1mA～5mA或4mA～20mA 电流信号(线性对应0 m/s~15m/s,也可选为0~5mA或者0~20mA)；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b) 负载能力：1mA～5mA时≥800Ω；4mA～20mA时≥200Ω。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1.7 响应时间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传感器的响应时间：≤8s。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1.8 声光报警功能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 传感器能在测量范围内设置上限报警点,在4m/s以下设置下限报警点，报警显示值与设定值的差值不大于0.1m/s；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b) 报警声级强度在其1m远处的声响信号的声级不小于80dB（A）；光信号在黑暗环境中20m远处清晰可见。</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8981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tcBorders>
            <w:noWrap/>
            <w:vAlign w:val="center"/>
          </w:tcPr>
          <w:p w14:paraId="3FA6EE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14:paraId="08932B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810" w:type="dxa"/>
            <w:tcBorders>
              <w:top w:val="single" w:color="000000" w:sz="4" w:space="0"/>
              <w:bottom w:val="single" w:color="000000" w:sz="4" w:space="0"/>
              <w:right w:val="single" w:color="000000" w:sz="4" w:space="0"/>
            </w:tcBorders>
            <w:noWrap w:val="0"/>
            <w:vAlign w:val="center"/>
          </w:tcPr>
          <w:p w14:paraId="501A655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08C9A6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枪形摄像机</w:t>
            </w:r>
          </w:p>
        </w:tc>
        <w:tc>
          <w:tcPr>
            <w:tcW w:w="9711" w:type="dxa"/>
            <w:tcBorders>
              <w:top w:val="single" w:color="000000" w:sz="4" w:space="0"/>
              <w:left w:val="single" w:color="000000" w:sz="4" w:space="0"/>
              <w:bottom w:val="single" w:color="000000" w:sz="4" w:space="0"/>
              <w:right w:val="single" w:color="000000" w:sz="4" w:space="0"/>
            </w:tcBorders>
            <w:noWrap w:val="0"/>
            <w:vAlign w:val="center"/>
          </w:tcPr>
          <w:p w14:paraId="3E02596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全彩级高灵敏度传感器，F1.0超大光圈镜头，最高分辨率可达400万像素，并在此分辨率下可输出25 fps实时图像，图像更流畅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支持1个RJ45 10 M/100 M自适应以太网口，1个内置麦克风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支持区域入侵侦测，越界侦测，进入区域侦测，离开区域侦测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支持背光补偿，强光抑制，3D数字降噪，120 dB宽动态，适应不同环境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支持柔光灯补光，照射距离最远可达30 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符合IP67防尘防水设计，可靠性高</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3FFF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60" w:type="dxa"/>
            <w:tcBorders>
              <w:top w:val="single" w:color="000000" w:sz="4" w:space="0"/>
              <w:left w:val="single" w:color="000000" w:sz="4" w:space="0"/>
              <w:bottom w:val="single" w:color="000000" w:sz="4" w:space="0"/>
            </w:tcBorders>
            <w:noWrap w:val="0"/>
            <w:vAlign w:val="center"/>
          </w:tcPr>
          <w:p w14:paraId="4FE105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r>
      <w:tr w14:paraId="6D652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810" w:type="dxa"/>
            <w:tcBorders>
              <w:top w:val="single" w:color="000000" w:sz="4" w:space="0"/>
              <w:bottom w:val="single" w:color="000000" w:sz="4" w:space="0"/>
              <w:right w:val="single" w:color="000000" w:sz="4" w:space="0"/>
            </w:tcBorders>
            <w:noWrap w:val="0"/>
            <w:vAlign w:val="center"/>
          </w:tcPr>
          <w:p w14:paraId="1B3332E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82DCA3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球形摄像机</w:t>
            </w:r>
          </w:p>
        </w:tc>
        <w:tc>
          <w:tcPr>
            <w:tcW w:w="9711" w:type="dxa"/>
            <w:tcBorders>
              <w:top w:val="single" w:color="000000" w:sz="4" w:space="0"/>
              <w:left w:val="single" w:color="000000" w:sz="4" w:space="0"/>
              <w:bottom w:val="single" w:color="000000" w:sz="4" w:space="0"/>
              <w:right w:val="single" w:color="000000" w:sz="4" w:space="0"/>
            </w:tcBorders>
            <w:noWrap w:val="0"/>
            <w:vAlign w:val="center"/>
          </w:tcPr>
          <w:p w14:paraId="12327F4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支持区域入侵侦测，越界侦测，进入区域侦测和离开区域侦测等智能侦测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采用高效补光阵列，低功耗，红外补光150 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内置加热玻璃，有效除雾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支持超低照度，0.005 Lux @F1.6（彩色），0.001 Lux @F1.6（黑白），0 Lux with IR</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支持20倍光学变倍，16倍数字变倍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支持三码流技术，每路码流可独立配置分辨率及帧率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支持3D数字降噪，支持真宽动态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支持定时抓图与事件抓图功能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支持定时任务，一键守望，一键巡航功能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最大支持512 GB MicroSD卡存储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IP66，抗干扰能力强，适用于严酷的电磁环境，符合GB/T17626.2/3/4/5/6四级标准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A639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tcBorders>
            <w:noWrap/>
            <w:vAlign w:val="center"/>
          </w:tcPr>
          <w:p w14:paraId="59B2F1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089874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0" w:hRule="atLeast"/>
        </w:trPr>
        <w:tc>
          <w:tcPr>
            <w:tcW w:w="810" w:type="dxa"/>
            <w:tcBorders>
              <w:top w:val="single" w:color="000000" w:sz="4" w:space="0"/>
              <w:bottom w:val="single" w:color="000000" w:sz="4" w:space="0"/>
              <w:right w:val="single" w:color="000000" w:sz="4" w:space="0"/>
            </w:tcBorders>
            <w:noWrap w:val="0"/>
            <w:vAlign w:val="center"/>
          </w:tcPr>
          <w:p w14:paraId="4C3B3C7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11EF6A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温度传感器</w:t>
            </w:r>
          </w:p>
        </w:tc>
        <w:tc>
          <w:tcPr>
            <w:tcW w:w="9711" w:type="dxa"/>
            <w:tcBorders>
              <w:top w:val="single" w:color="000000" w:sz="4" w:space="0"/>
              <w:left w:val="single" w:color="000000" w:sz="4" w:space="0"/>
              <w:bottom w:val="single" w:color="000000" w:sz="4" w:space="0"/>
              <w:right w:val="single" w:color="000000" w:sz="4" w:space="0"/>
            </w:tcBorders>
            <w:noWrap w:val="0"/>
            <w:vAlign w:val="center"/>
          </w:tcPr>
          <w:p w14:paraId="738AF62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 防爆型式：矿用本质安全型，防爆标志为“ExiaⅠMa”。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 供电电源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a）工作电压：直流9V～24V；b）工作电流：≤50mA。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 输出信号(出厂时只有一种)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1.3.1 RS485信号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 a) 半双工传输方式；b) 最大传输距离：3km（使用MHYV煤矿用阻燃电缆，其单芯截面积为1.5mm2）；c) 信号电压峰峰值：2V~12V。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1.3.2频率信号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 信号范围：200Hz~1000Hz(线性对应起点到满量程)频率信号；b) 信号的正、负脉冲宽度：≥0.3ms；c) 高电平不小于3.0V（拉电流为2mA时），低电平不大于0.5V（灌电流为2mA时）。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1.3.3 电流信号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 1mA～5mA或4mA～20mA电流信号(线性对应0到满量程,也可选择0mA～5mA或0mA～20mA)；b) 负载能力：1mA～5mA时≥800Ω；4mA～20mA时≥200Ω。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1.4 测量范围：0～50℃，可选为0～100℃或者-5℃～45℃。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 基本误差：±1℃（满量程范围内）。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1.6 分辨率：0.1℃。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1.7 传感器的响应时间：≤10s（测温元件直接置于水中）。</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3.8 声光报警功能：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 传感器能在测量范围内设置报警点,报警显示值与设定值的差值不大于±0.5℃。b)报警声级强度在其1m远处的声响信号的声级不小于80dB（A）；光信号在黑暗环境中20m远处清晰可见。</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9DA6C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tcBorders>
            <w:noWrap/>
            <w:vAlign w:val="center"/>
          </w:tcPr>
          <w:p w14:paraId="745EDA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14:paraId="03C05A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0" w:hRule="atLeast"/>
        </w:trPr>
        <w:tc>
          <w:tcPr>
            <w:tcW w:w="810" w:type="dxa"/>
            <w:tcBorders>
              <w:top w:val="single" w:color="000000" w:sz="4" w:space="0"/>
              <w:bottom w:val="single" w:color="000000" w:sz="4" w:space="0"/>
              <w:right w:val="single" w:color="000000" w:sz="4" w:space="0"/>
            </w:tcBorders>
            <w:noWrap w:val="0"/>
            <w:vAlign w:val="center"/>
          </w:tcPr>
          <w:p w14:paraId="1EE0DB1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F29C84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硬盘录像机</w:t>
            </w:r>
          </w:p>
        </w:tc>
        <w:tc>
          <w:tcPr>
            <w:tcW w:w="9711" w:type="dxa"/>
            <w:tcBorders>
              <w:top w:val="single" w:color="000000" w:sz="4" w:space="0"/>
              <w:left w:val="single" w:color="000000" w:sz="4" w:space="0"/>
              <w:bottom w:val="single" w:color="000000" w:sz="4" w:space="0"/>
              <w:right w:val="single" w:color="000000" w:sz="4" w:space="0"/>
            </w:tcBorders>
            <w:noWrap w:val="0"/>
            <w:vAlign w:val="center"/>
          </w:tcPr>
          <w:p w14:paraId="256E80D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1、具有2个HDMI接口、2个VGA接口、2个RJ45 千兆网络接口；2个USB2.0接口、2个USB3.0接口、1个RS232接口、1个RS485接口；具有1路音频输入接口、2路音频输出接口、16路报警输入接口、9路报警输出接口、具有1路直流12V输出接口、可内置16块SATA接口硬盘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2、可接入 1T、2T、3T、4T、6T、8T、10T、12TB、14TB、16TB、18TB、20TB 容量的 SATA接口硬盘；可接入 AI 硬盘； 支持不同品牌、不同转速的监控级和企业级硬盘混合接入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3、支持最大接入带宽 384Mbps，最大存储带宽  384Mbps，最大转发带宽  384Mbps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4、可同时显示输出24路2MP、 H.265 编码、25fps、1920×1080 格式的视频图像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5、支持报警事件、异常事件计数提醒功能，以图标形式在监控界面上提醒用户，异常事件包括硬盘满、硬盘错误、网络断开、IP 冲突、非法访问、视频信号丢失、录像/抓图异常、IP 通道冲突、热备异常、子码流分辨率/码率超限、配件板异常、硬盘高温异常、硬盘低温异常、硬盘坏块异常、硬盘撞击异常、硬盘严重故障异常、无码流异常等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6、可接入带有温度报警、烟雾报警、障碍物遮挡报警、移动报警、防拆报警、紧急报警的智慧消防摄像机进行报警联动</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6DBA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60" w:type="dxa"/>
            <w:tcBorders>
              <w:top w:val="single" w:color="000000" w:sz="4" w:space="0"/>
              <w:left w:val="single" w:color="000000" w:sz="4" w:space="0"/>
              <w:bottom w:val="single" w:color="000000" w:sz="4" w:space="0"/>
            </w:tcBorders>
            <w:noWrap w:val="0"/>
            <w:vAlign w:val="center"/>
          </w:tcPr>
          <w:p w14:paraId="10FE9D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762CC1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10" w:type="dxa"/>
            <w:tcBorders>
              <w:top w:val="single" w:color="000000" w:sz="4" w:space="0"/>
              <w:bottom w:val="single" w:color="000000" w:sz="4" w:space="0"/>
              <w:right w:val="single" w:color="000000" w:sz="4" w:space="0"/>
            </w:tcBorders>
            <w:noWrap w:val="0"/>
            <w:vAlign w:val="center"/>
          </w:tcPr>
          <w:p w14:paraId="253D570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7E3957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监控硬盘</w:t>
            </w:r>
          </w:p>
        </w:tc>
        <w:tc>
          <w:tcPr>
            <w:tcW w:w="9711" w:type="dxa"/>
            <w:tcBorders>
              <w:top w:val="single" w:color="000000" w:sz="4" w:space="0"/>
              <w:left w:val="single" w:color="000000" w:sz="4" w:space="0"/>
              <w:bottom w:val="single" w:color="000000" w:sz="4" w:space="0"/>
              <w:right w:val="single" w:color="000000" w:sz="4" w:space="0"/>
            </w:tcBorders>
            <w:noWrap w:val="0"/>
            <w:vAlign w:val="center"/>
          </w:tcPr>
          <w:p w14:paraId="7D25D22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8TB容量，3.5英寸，SATA3.0接口，5400RPM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C7BA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660" w:type="dxa"/>
            <w:tcBorders>
              <w:top w:val="single" w:color="000000" w:sz="4" w:space="0"/>
              <w:left w:val="single" w:color="000000" w:sz="4" w:space="0"/>
              <w:bottom w:val="single" w:color="000000" w:sz="4" w:space="0"/>
            </w:tcBorders>
            <w:noWrap w:val="0"/>
            <w:vAlign w:val="center"/>
          </w:tcPr>
          <w:p w14:paraId="628BCC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14:paraId="08B16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10" w:type="dxa"/>
            <w:tcBorders>
              <w:top w:val="single" w:color="000000" w:sz="4" w:space="0"/>
              <w:bottom w:val="single" w:color="000000" w:sz="4" w:space="0"/>
              <w:right w:val="single" w:color="000000" w:sz="4" w:space="0"/>
            </w:tcBorders>
            <w:noWrap w:val="0"/>
            <w:vAlign w:val="center"/>
          </w:tcPr>
          <w:p w14:paraId="5D88446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A222C1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技术维护费用</w:t>
            </w:r>
          </w:p>
        </w:tc>
        <w:tc>
          <w:tcPr>
            <w:tcW w:w="9711" w:type="dxa"/>
            <w:tcBorders>
              <w:top w:val="single" w:color="000000" w:sz="4" w:space="0"/>
              <w:left w:val="single" w:color="000000" w:sz="4" w:space="0"/>
              <w:bottom w:val="single" w:color="000000" w:sz="4" w:space="0"/>
              <w:right w:val="single" w:color="000000" w:sz="4" w:space="0"/>
            </w:tcBorders>
            <w:noWrap w:val="0"/>
            <w:vAlign w:val="center"/>
          </w:tcPr>
          <w:p w14:paraId="6D5483D9">
            <w:pPr>
              <w:jc w:val="lef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7DFC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tcBorders>
            <w:noWrap/>
            <w:vAlign w:val="center"/>
          </w:tcPr>
          <w:p w14:paraId="2ADEF7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58C10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061" w:type="dxa"/>
            <w:gridSpan w:val="5"/>
            <w:tcBorders>
              <w:top w:val="single" w:color="000000" w:sz="4" w:space="0"/>
              <w:bottom w:val="single" w:color="000000" w:sz="4" w:space="0"/>
            </w:tcBorders>
            <w:noWrap/>
            <w:vAlign w:val="center"/>
          </w:tcPr>
          <w:p w14:paraId="607314CA">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卢氏县北方矿业有限公司-白马沟尾矿库</w:t>
            </w:r>
          </w:p>
        </w:tc>
      </w:tr>
      <w:tr w14:paraId="02DC0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10" w:type="dxa"/>
            <w:tcBorders>
              <w:top w:val="single" w:color="000000" w:sz="4" w:space="0"/>
              <w:bottom w:val="single" w:color="000000" w:sz="4" w:space="0"/>
              <w:right w:val="single" w:color="000000" w:sz="4" w:space="0"/>
            </w:tcBorders>
            <w:shd w:val="clear" w:color="auto" w:fill="C00000"/>
            <w:noWrap w:val="0"/>
            <w:vAlign w:val="center"/>
          </w:tcPr>
          <w:p w14:paraId="4766CE2B">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序号</w:t>
            </w:r>
          </w:p>
        </w:tc>
        <w:tc>
          <w:tcPr>
            <w:tcW w:w="2160" w:type="dxa"/>
            <w:tcBorders>
              <w:top w:val="single" w:color="000000" w:sz="4" w:space="0"/>
              <w:left w:val="single" w:color="000000" w:sz="4" w:space="0"/>
              <w:bottom w:val="single" w:color="000000" w:sz="4" w:space="0"/>
              <w:right w:val="single" w:color="000000" w:sz="4" w:space="0"/>
            </w:tcBorders>
            <w:shd w:val="clear" w:color="auto" w:fill="C00000"/>
            <w:noWrap w:val="0"/>
            <w:vAlign w:val="center"/>
          </w:tcPr>
          <w:p w14:paraId="2C22D4EB">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产品类别</w:t>
            </w:r>
          </w:p>
        </w:tc>
        <w:tc>
          <w:tcPr>
            <w:tcW w:w="9711" w:type="dxa"/>
            <w:tcBorders>
              <w:top w:val="single" w:color="000000" w:sz="4" w:space="0"/>
              <w:left w:val="single" w:color="000000" w:sz="4" w:space="0"/>
              <w:bottom w:val="single" w:color="000000" w:sz="4" w:space="0"/>
              <w:right w:val="single" w:color="000000" w:sz="4" w:space="0"/>
            </w:tcBorders>
            <w:shd w:val="clear" w:color="auto" w:fill="C00000"/>
            <w:noWrap w:val="0"/>
            <w:vAlign w:val="center"/>
          </w:tcPr>
          <w:p w14:paraId="4B8F5688">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技术规格</w:t>
            </w:r>
          </w:p>
        </w:tc>
        <w:tc>
          <w:tcPr>
            <w:tcW w:w="720" w:type="dxa"/>
            <w:tcBorders>
              <w:top w:val="single" w:color="000000" w:sz="4" w:space="0"/>
              <w:left w:val="single" w:color="000000" w:sz="4" w:space="0"/>
              <w:bottom w:val="single" w:color="000000" w:sz="4" w:space="0"/>
              <w:right w:val="single" w:color="000000" w:sz="4" w:space="0"/>
            </w:tcBorders>
            <w:shd w:val="clear" w:color="auto" w:fill="C00000"/>
            <w:noWrap w:val="0"/>
            <w:vAlign w:val="center"/>
          </w:tcPr>
          <w:p w14:paraId="489CB81B">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单位</w:t>
            </w:r>
          </w:p>
        </w:tc>
        <w:tc>
          <w:tcPr>
            <w:tcW w:w="660" w:type="dxa"/>
            <w:tcBorders>
              <w:top w:val="single" w:color="000000" w:sz="4" w:space="0"/>
              <w:left w:val="single" w:color="000000" w:sz="4" w:space="0"/>
              <w:bottom w:val="single" w:color="000000" w:sz="4" w:space="0"/>
            </w:tcBorders>
            <w:shd w:val="clear" w:color="auto" w:fill="C00000"/>
            <w:noWrap w:val="0"/>
            <w:vAlign w:val="center"/>
          </w:tcPr>
          <w:p w14:paraId="61EABFDA">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数量</w:t>
            </w:r>
          </w:p>
        </w:tc>
      </w:tr>
      <w:tr w14:paraId="5A867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4061" w:type="dxa"/>
            <w:gridSpan w:val="5"/>
            <w:tcBorders>
              <w:top w:val="single" w:color="000000" w:sz="4" w:space="0"/>
              <w:bottom w:val="single" w:color="000000" w:sz="4" w:space="0"/>
            </w:tcBorders>
            <w:noWrap w:val="0"/>
            <w:vAlign w:val="center"/>
          </w:tcPr>
          <w:p w14:paraId="3FAC4B6E">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一、管控平台</w:t>
            </w:r>
          </w:p>
        </w:tc>
      </w:tr>
      <w:tr w14:paraId="3A791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10" w:type="dxa"/>
            <w:tcBorders>
              <w:top w:val="single" w:color="000000" w:sz="4" w:space="0"/>
              <w:bottom w:val="single" w:color="000000" w:sz="4" w:space="0"/>
              <w:right w:val="single" w:color="000000" w:sz="4" w:space="0"/>
            </w:tcBorders>
            <w:noWrap w:val="0"/>
            <w:vAlign w:val="center"/>
          </w:tcPr>
          <w:p w14:paraId="08D8C4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51E557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智能在线监控系统</w:t>
            </w:r>
          </w:p>
        </w:tc>
        <w:tc>
          <w:tcPr>
            <w:tcW w:w="9711" w:type="dxa"/>
            <w:tcBorders>
              <w:top w:val="single" w:color="000000" w:sz="4" w:space="0"/>
              <w:left w:val="single" w:color="000000" w:sz="4" w:space="0"/>
              <w:bottom w:val="single" w:color="000000" w:sz="4" w:space="0"/>
              <w:right w:val="single" w:color="000000" w:sz="4" w:space="0"/>
            </w:tcBorders>
            <w:noWrap w:val="0"/>
            <w:vAlign w:val="center"/>
          </w:tcPr>
          <w:p w14:paraId="6E8B540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表面位移、内部位移、浸润线、干滩、库水位、降雨量和视频监控点位等相关监测点的点位分布和数据展示，以及数据变化趋势展示。</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1E914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60" w:type="dxa"/>
            <w:tcBorders>
              <w:top w:val="single" w:color="000000" w:sz="4" w:space="0"/>
              <w:left w:val="single" w:color="000000" w:sz="4" w:space="0"/>
              <w:bottom w:val="single" w:color="000000" w:sz="4" w:space="0"/>
            </w:tcBorders>
            <w:noWrap w:val="0"/>
            <w:vAlign w:val="center"/>
          </w:tcPr>
          <w:p w14:paraId="61AC45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6B718D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10" w:type="dxa"/>
            <w:tcBorders>
              <w:top w:val="single" w:color="000000" w:sz="4" w:space="0"/>
              <w:bottom w:val="single" w:color="000000" w:sz="4" w:space="0"/>
              <w:right w:val="single" w:color="000000" w:sz="4" w:space="0"/>
            </w:tcBorders>
            <w:noWrap w:val="0"/>
            <w:vAlign w:val="center"/>
          </w:tcPr>
          <w:p w14:paraId="64575B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1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4B888A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智能3D建模</w:t>
            </w:r>
          </w:p>
        </w:tc>
        <w:tc>
          <w:tcPr>
            <w:tcW w:w="9711" w:type="dxa"/>
            <w:tcBorders>
              <w:top w:val="single" w:color="000000" w:sz="4" w:space="0"/>
              <w:left w:val="single" w:color="000000" w:sz="4" w:space="0"/>
              <w:bottom w:val="single" w:color="000000" w:sz="4" w:space="0"/>
              <w:right w:val="single" w:color="000000" w:sz="4" w:space="0"/>
            </w:tcBorders>
            <w:noWrap w:val="0"/>
            <w:vAlign w:val="center"/>
          </w:tcPr>
          <w:p w14:paraId="2DBD1C2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维模型系统：实现库区动态三维可视化、数字化管理和动态管理，可直观反映尾矿库的三维空间分布规律。基础数据管理，三维地图引擎，模型动态更新。（软件功能后审）；三维模型支持：距离、体积测量，漫游等功能。（软件功能后审）。</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630A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60" w:type="dxa"/>
            <w:tcBorders>
              <w:top w:val="single" w:color="000000" w:sz="4" w:space="0"/>
              <w:left w:val="single" w:color="000000" w:sz="4" w:space="0"/>
              <w:bottom w:val="single" w:color="000000" w:sz="4" w:space="0"/>
            </w:tcBorders>
            <w:noWrap w:val="0"/>
            <w:vAlign w:val="center"/>
          </w:tcPr>
          <w:p w14:paraId="286853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0400D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10" w:type="dxa"/>
            <w:tcBorders>
              <w:top w:val="single" w:color="000000" w:sz="4" w:space="0"/>
              <w:bottom w:val="single" w:color="000000" w:sz="4" w:space="0"/>
              <w:right w:val="single" w:color="000000" w:sz="4" w:space="0"/>
            </w:tcBorders>
            <w:noWrap w:val="0"/>
            <w:vAlign w:val="center"/>
          </w:tcPr>
          <w:p w14:paraId="00E053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1BD99E">
            <w:pPr>
              <w:jc w:val="left"/>
              <w:rPr>
                <w:rFonts w:hint="eastAsia" w:ascii="宋体" w:hAnsi="宋体" w:eastAsia="宋体" w:cs="宋体"/>
                <w:i w:val="0"/>
                <w:iCs w:val="0"/>
                <w:color w:val="000000"/>
                <w:sz w:val="20"/>
                <w:szCs w:val="20"/>
                <w:highlight w:val="none"/>
                <w:u w:val="none"/>
              </w:rPr>
            </w:pPr>
          </w:p>
        </w:tc>
        <w:tc>
          <w:tcPr>
            <w:tcW w:w="9711" w:type="dxa"/>
            <w:tcBorders>
              <w:top w:val="single" w:color="000000" w:sz="4" w:space="0"/>
              <w:left w:val="single" w:color="000000" w:sz="4" w:space="0"/>
              <w:bottom w:val="single" w:color="000000" w:sz="4" w:space="0"/>
              <w:right w:val="single" w:color="000000" w:sz="4" w:space="0"/>
            </w:tcBorders>
            <w:noWrap w:val="0"/>
            <w:vAlign w:val="center"/>
          </w:tcPr>
          <w:p w14:paraId="5FBDFF0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稳定性分析和调洪演算数字化</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776E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60" w:type="dxa"/>
            <w:tcBorders>
              <w:top w:val="single" w:color="000000" w:sz="4" w:space="0"/>
              <w:left w:val="single" w:color="000000" w:sz="4" w:space="0"/>
              <w:bottom w:val="single" w:color="000000" w:sz="4" w:space="0"/>
            </w:tcBorders>
            <w:noWrap w:val="0"/>
            <w:vAlign w:val="center"/>
          </w:tcPr>
          <w:p w14:paraId="5681B8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47FD6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10" w:type="dxa"/>
            <w:tcBorders>
              <w:top w:val="single" w:color="000000" w:sz="4" w:space="0"/>
              <w:bottom w:val="single" w:color="000000" w:sz="4" w:space="0"/>
              <w:right w:val="single" w:color="000000" w:sz="4" w:space="0"/>
            </w:tcBorders>
            <w:noWrap w:val="0"/>
            <w:vAlign w:val="center"/>
          </w:tcPr>
          <w:p w14:paraId="4C470D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6ED2C">
            <w:pPr>
              <w:jc w:val="left"/>
              <w:rPr>
                <w:rFonts w:hint="eastAsia" w:ascii="宋体" w:hAnsi="宋体" w:eastAsia="宋体" w:cs="宋体"/>
                <w:i w:val="0"/>
                <w:iCs w:val="0"/>
                <w:color w:val="000000"/>
                <w:sz w:val="20"/>
                <w:szCs w:val="20"/>
                <w:highlight w:val="none"/>
                <w:u w:val="none"/>
              </w:rPr>
            </w:pPr>
          </w:p>
        </w:tc>
        <w:tc>
          <w:tcPr>
            <w:tcW w:w="9711" w:type="dxa"/>
            <w:tcBorders>
              <w:top w:val="single" w:color="000000" w:sz="4" w:space="0"/>
              <w:left w:val="single" w:color="000000" w:sz="4" w:space="0"/>
              <w:bottom w:val="single" w:color="000000" w:sz="4" w:space="0"/>
              <w:right w:val="single" w:color="000000" w:sz="4" w:space="0"/>
            </w:tcBorders>
            <w:noWrap w:val="0"/>
            <w:vAlign w:val="center"/>
          </w:tcPr>
          <w:p w14:paraId="7365D4C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自动化对尾矿库调洪、排洪、泄洪能力预测预报预警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6728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60" w:type="dxa"/>
            <w:tcBorders>
              <w:top w:val="single" w:color="000000" w:sz="4" w:space="0"/>
              <w:left w:val="single" w:color="000000" w:sz="4" w:space="0"/>
              <w:bottom w:val="single" w:color="000000" w:sz="4" w:space="0"/>
            </w:tcBorders>
            <w:noWrap w:val="0"/>
            <w:vAlign w:val="center"/>
          </w:tcPr>
          <w:p w14:paraId="374515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001E8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10" w:type="dxa"/>
            <w:tcBorders>
              <w:top w:val="single" w:color="000000" w:sz="4" w:space="0"/>
              <w:bottom w:val="single" w:color="000000" w:sz="4" w:space="0"/>
              <w:right w:val="single" w:color="000000" w:sz="4" w:space="0"/>
            </w:tcBorders>
            <w:noWrap w:val="0"/>
            <w:vAlign w:val="center"/>
          </w:tcPr>
          <w:p w14:paraId="27EE78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3531A5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视频AI分析系统</w:t>
            </w:r>
          </w:p>
        </w:tc>
        <w:tc>
          <w:tcPr>
            <w:tcW w:w="9711" w:type="dxa"/>
            <w:tcBorders>
              <w:top w:val="single" w:color="000000" w:sz="4" w:space="0"/>
              <w:left w:val="single" w:color="000000" w:sz="4" w:space="0"/>
              <w:bottom w:val="single" w:color="000000" w:sz="4" w:space="0"/>
              <w:right w:val="single" w:color="000000" w:sz="4" w:space="0"/>
            </w:tcBorders>
            <w:noWrap w:val="0"/>
            <w:vAlign w:val="center"/>
          </w:tcPr>
          <w:p w14:paraId="1C328EB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视频AI分析模块；告警快照、详情显示以及告警视频录制和回放。支持按视频来源、检测类型、起止时间告警筛选。支持告警删除。支持告警总数和告警类型排行统计。</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2EE6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60" w:type="dxa"/>
            <w:tcBorders>
              <w:top w:val="single" w:color="000000" w:sz="4" w:space="0"/>
              <w:left w:val="single" w:color="000000" w:sz="4" w:space="0"/>
              <w:bottom w:val="single" w:color="000000" w:sz="4" w:space="0"/>
            </w:tcBorders>
            <w:noWrap w:val="0"/>
            <w:vAlign w:val="center"/>
          </w:tcPr>
          <w:p w14:paraId="38074F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76363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4061" w:type="dxa"/>
            <w:gridSpan w:val="5"/>
            <w:tcBorders>
              <w:top w:val="single" w:color="000000" w:sz="4" w:space="0"/>
              <w:bottom w:val="single" w:color="000000" w:sz="4" w:space="0"/>
            </w:tcBorders>
            <w:noWrap w:val="0"/>
            <w:vAlign w:val="center"/>
          </w:tcPr>
          <w:p w14:paraId="3D34412A">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二、AI视频监控</w:t>
            </w:r>
          </w:p>
        </w:tc>
      </w:tr>
      <w:tr w14:paraId="1163F8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810" w:type="dxa"/>
            <w:tcBorders>
              <w:top w:val="single" w:color="000000" w:sz="4" w:space="0"/>
              <w:bottom w:val="single" w:color="000000" w:sz="4" w:space="0"/>
              <w:right w:val="single" w:color="000000" w:sz="4" w:space="0"/>
            </w:tcBorders>
            <w:noWrap w:val="0"/>
            <w:vAlign w:val="center"/>
          </w:tcPr>
          <w:p w14:paraId="099B07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88C874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视频AI智能分析系统</w:t>
            </w:r>
          </w:p>
        </w:tc>
        <w:tc>
          <w:tcPr>
            <w:tcW w:w="9711" w:type="dxa"/>
            <w:tcBorders>
              <w:top w:val="single" w:color="000000" w:sz="4" w:space="0"/>
              <w:left w:val="single" w:color="000000" w:sz="4" w:space="0"/>
              <w:bottom w:val="single" w:color="000000" w:sz="4" w:space="0"/>
              <w:right w:val="single" w:color="000000" w:sz="4" w:space="0"/>
            </w:tcBorders>
            <w:noWrap w:val="0"/>
            <w:vAlign w:val="center"/>
          </w:tcPr>
          <w:p w14:paraId="784E405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视频AI分析系统：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1、CPU：Rockchip RK3588 Quad Cores A76+Quad Cores A55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2、NPU：6Tops@INT8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3、内存：8GB(2*4GB)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4、硬盘：64GB eMMC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5、接口：2个RS232，2个RS485，1个MINI-PCIe，2个USB3.0，2个USB2.0，1个DEBUG，1个TF，1个HDMI OUT，2个千兆网口，1个AUDIO OUT；</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对库尾水上作业人员的行为识别，包括：安全帽佩戴；工作服穿戴；抽烟；人员入侵；烟雾明火。</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F068F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tcBorders>
            <w:noWrap/>
            <w:vAlign w:val="center"/>
          </w:tcPr>
          <w:p w14:paraId="70C2E1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328DC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4061" w:type="dxa"/>
            <w:gridSpan w:val="5"/>
            <w:tcBorders>
              <w:top w:val="single" w:color="000000" w:sz="4" w:space="0"/>
              <w:bottom w:val="single" w:color="000000" w:sz="4" w:space="0"/>
            </w:tcBorders>
            <w:noWrap w:val="0"/>
            <w:vAlign w:val="center"/>
          </w:tcPr>
          <w:p w14:paraId="293EFA66">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三、智能在线监控系统</w:t>
            </w:r>
          </w:p>
        </w:tc>
      </w:tr>
      <w:tr w14:paraId="39CA1F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10" w:type="dxa"/>
            <w:tcBorders>
              <w:top w:val="single" w:color="000000" w:sz="4" w:space="0"/>
              <w:bottom w:val="single" w:color="000000" w:sz="4" w:space="0"/>
              <w:right w:val="single" w:color="000000" w:sz="4" w:space="0"/>
            </w:tcBorders>
            <w:noWrap w:val="0"/>
            <w:vAlign w:val="center"/>
          </w:tcPr>
          <w:p w14:paraId="7921E7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55BAEB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在线监测数据接口</w:t>
            </w:r>
          </w:p>
        </w:tc>
        <w:tc>
          <w:tcPr>
            <w:tcW w:w="9711" w:type="dxa"/>
            <w:tcBorders>
              <w:top w:val="single" w:color="000000" w:sz="4" w:space="0"/>
              <w:left w:val="single" w:color="000000" w:sz="4" w:space="0"/>
              <w:bottom w:val="single" w:color="000000" w:sz="4" w:space="0"/>
              <w:right w:val="single" w:color="000000" w:sz="4" w:space="0"/>
            </w:tcBorders>
            <w:noWrap w:val="0"/>
            <w:vAlign w:val="center"/>
          </w:tcPr>
          <w:p w14:paraId="5EEAD31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浸润线、内外部位移布置与监测、表面位移、视频监控等常规监测，能对异常信息进行预测预报预警。</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A8F94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tcBorders>
            <w:noWrap/>
            <w:vAlign w:val="center"/>
          </w:tcPr>
          <w:p w14:paraId="2DED4E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0A138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10" w:type="dxa"/>
            <w:tcBorders>
              <w:top w:val="single" w:color="000000" w:sz="4" w:space="0"/>
              <w:bottom w:val="single" w:color="000000" w:sz="4" w:space="0"/>
              <w:right w:val="single" w:color="000000" w:sz="4" w:space="0"/>
            </w:tcBorders>
            <w:noWrap w:val="0"/>
            <w:vAlign w:val="center"/>
          </w:tcPr>
          <w:p w14:paraId="66126D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C584FD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声光报警器</w:t>
            </w:r>
          </w:p>
        </w:tc>
        <w:tc>
          <w:tcPr>
            <w:tcW w:w="9711" w:type="dxa"/>
            <w:tcBorders>
              <w:top w:val="single" w:color="000000" w:sz="4" w:space="0"/>
              <w:left w:val="single" w:color="000000" w:sz="4" w:space="0"/>
              <w:bottom w:val="single" w:color="000000" w:sz="4" w:space="0"/>
              <w:right w:val="single" w:color="000000" w:sz="4" w:space="0"/>
            </w:tcBorders>
            <w:noWrap w:val="0"/>
            <w:vAlign w:val="center"/>
          </w:tcPr>
          <w:p w14:paraId="2313492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触发报警，可产生声音播放，同时报警灯闪烁。</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BF65E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tcBorders>
            <w:noWrap/>
            <w:vAlign w:val="center"/>
          </w:tcPr>
          <w:p w14:paraId="1EBD8E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008ED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4061" w:type="dxa"/>
            <w:gridSpan w:val="5"/>
            <w:tcBorders>
              <w:top w:val="single" w:color="000000" w:sz="4" w:space="0"/>
              <w:bottom w:val="single" w:color="000000" w:sz="4" w:space="0"/>
            </w:tcBorders>
            <w:noWrap w:val="0"/>
            <w:vAlign w:val="center"/>
          </w:tcPr>
          <w:p w14:paraId="4E584D99">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四、终端设备</w:t>
            </w:r>
          </w:p>
        </w:tc>
      </w:tr>
      <w:tr w14:paraId="05C4B5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10" w:type="dxa"/>
            <w:tcBorders>
              <w:top w:val="single" w:color="000000" w:sz="4" w:space="0"/>
              <w:bottom w:val="single" w:color="000000" w:sz="4" w:space="0"/>
              <w:right w:val="single" w:color="000000" w:sz="4" w:space="0"/>
            </w:tcBorders>
            <w:noWrap w:val="0"/>
            <w:vAlign w:val="center"/>
          </w:tcPr>
          <w:p w14:paraId="5ADF74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D0B324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服务器-数据展示服务器</w:t>
            </w:r>
          </w:p>
        </w:tc>
        <w:tc>
          <w:tcPr>
            <w:tcW w:w="9711" w:type="dxa"/>
            <w:tcBorders>
              <w:top w:val="single" w:color="000000" w:sz="4" w:space="0"/>
              <w:left w:val="single" w:color="000000" w:sz="4" w:space="0"/>
              <w:bottom w:val="single" w:color="000000" w:sz="4" w:space="0"/>
              <w:right w:val="single" w:color="000000" w:sz="4" w:space="0"/>
            </w:tcBorders>
            <w:noWrap w:val="0"/>
            <w:vAlign w:val="center"/>
          </w:tcPr>
          <w:p w14:paraId="4BE2B80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CPU I7-12700；内存 32G；硬盘 1T；显卡RTX3070TI(8G )；显示器尺寸27寸。</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B769B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tcBorders>
            <w:noWrap/>
            <w:vAlign w:val="center"/>
          </w:tcPr>
          <w:p w14:paraId="77698A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363128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10" w:type="dxa"/>
            <w:tcBorders>
              <w:top w:val="single" w:color="000000" w:sz="4" w:space="0"/>
              <w:bottom w:val="single" w:color="000000" w:sz="4" w:space="0"/>
              <w:right w:val="single" w:color="000000" w:sz="4" w:space="0"/>
            </w:tcBorders>
            <w:noWrap w:val="0"/>
            <w:vAlign w:val="center"/>
          </w:tcPr>
          <w:p w14:paraId="20FA7A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8A1B2C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工作站-数据解析服务器</w:t>
            </w:r>
          </w:p>
        </w:tc>
        <w:tc>
          <w:tcPr>
            <w:tcW w:w="9711" w:type="dxa"/>
            <w:tcBorders>
              <w:top w:val="single" w:color="000000" w:sz="4" w:space="0"/>
              <w:left w:val="single" w:color="000000" w:sz="4" w:space="0"/>
              <w:bottom w:val="single" w:color="000000" w:sz="4" w:space="0"/>
              <w:right w:val="single" w:color="000000" w:sz="4" w:space="0"/>
            </w:tcBorders>
            <w:noWrap w:val="0"/>
            <w:vAlign w:val="center"/>
          </w:tcPr>
          <w:p w14:paraId="2890A34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CPU I5-13500；内存32G；磁盘256G+1T；2G独显；27寸显示器。</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919D0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tcBorders>
            <w:noWrap/>
            <w:vAlign w:val="center"/>
          </w:tcPr>
          <w:p w14:paraId="59493C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1C893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10" w:type="dxa"/>
            <w:tcBorders>
              <w:top w:val="single" w:color="000000" w:sz="4" w:space="0"/>
              <w:bottom w:val="single" w:color="000000" w:sz="4" w:space="0"/>
              <w:right w:val="single" w:color="000000" w:sz="4" w:space="0"/>
            </w:tcBorders>
            <w:noWrap w:val="0"/>
            <w:vAlign w:val="center"/>
          </w:tcPr>
          <w:p w14:paraId="12C2B9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145E8F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交换机-千兆交换机</w:t>
            </w:r>
          </w:p>
        </w:tc>
        <w:tc>
          <w:tcPr>
            <w:tcW w:w="9711" w:type="dxa"/>
            <w:tcBorders>
              <w:top w:val="single" w:color="000000" w:sz="4" w:space="0"/>
              <w:left w:val="single" w:color="000000" w:sz="4" w:space="0"/>
              <w:bottom w:val="single" w:color="000000" w:sz="4" w:space="0"/>
              <w:right w:val="single" w:color="000000" w:sz="4" w:space="0"/>
            </w:tcBorders>
            <w:noWrap/>
            <w:vAlign w:val="center"/>
          </w:tcPr>
          <w:p w14:paraId="05BA156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24口千兆交换机。</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2063D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tcBorders>
            <w:noWrap/>
            <w:vAlign w:val="center"/>
          </w:tcPr>
          <w:p w14:paraId="18A493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0ED40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14061" w:type="dxa"/>
            <w:gridSpan w:val="5"/>
            <w:tcBorders>
              <w:top w:val="single" w:color="000000" w:sz="4" w:space="0"/>
              <w:bottom w:val="single" w:color="000000" w:sz="4" w:space="0"/>
            </w:tcBorders>
            <w:noWrap w:val="0"/>
            <w:vAlign w:val="center"/>
          </w:tcPr>
          <w:p w14:paraId="5F030596">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五、监测设备</w:t>
            </w:r>
          </w:p>
        </w:tc>
      </w:tr>
      <w:tr w14:paraId="27ECD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810" w:type="dxa"/>
            <w:tcBorders>
              <w:top w:val="single" w:color="000000" w:sz="4" w:space="0"/>
              <w:bottom w:val="single" w:color="000000" w:sz="4" w:space="0"/>
              <w:right w:val="single" w:color="000000" w:sz="4" w:space="0"/>
            </w:tcBorders>
            <w:noWrap w:val="0"/>
            <w:vAlign w:val="center"/>
          </w:tcPr>
          <w:p w14:paraId="228C80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5D039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GNSS接收机</w:t>
            </w:r>
          </w:p>
        </w:tc>
        <w:tc>
          <w:tcPr>
            <w:tcW w:w="9711" w:type="dxa"/>
            <w:tcBorders>
              <w:top w:val="single" w:color="000000" w:sz="4" w:space="0"/>
              <w:left w:val="single" w:color="000000" w:sz="4" w:space="0"/>
              <w:bottom w:val="single" w:color="000000" w:sz="4" w:space="0"/>
              <w:right w:val="single" w:color="000000" w:sz="4" w:space="0"/>
            </w:tcBorders>
            <w:noWrap w:val="0"/>
            <w:vAlign w:val="center"/>
          </w:tcPr>
          <w:p w14:paraId="27C82625">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信号跟踪：BDS-1/BDS-2/BDS-3/GPS/GLONASS/Galileo。</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静态数据精度：平面：±(2.5+1x10-6D)mm ；高程：±(5.0+1x10-6D)mm。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差分数据格式：RTCM2.X/RTCM3.X。</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网络：TCP/MQTT/Ntrip。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串口：RS232/RS485协议。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电源：支持DC9-36V。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工作温度：-40℃-﹢75℃。</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76ED0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tcBorders>
            <w:noWrap/>
            <w:vAlign w:val="center"/>
          </w:tcPr>
          <w:p w14:paraId="49F116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45B72C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10" w:type="dxa"/>
            <w:tcBorders>
              <w:top w:val="single" w:color="000000" w:sz="4" w:space="0"/>
              <w:bottom w:val="single" w:color="000000" w:sz="4" w:space="0"/>
              <w:right w:val="single" w:color="000000" w:sz="4" w:space="0"/>
            </w:tcBorders>
            <w:noWrap w:val="0"/>
            <w:vAlign w:val="center"/>
          </w:tcPr>
          <w:p w14:paraId="2AC55A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C6F0C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单点沉降仪</w:t>
            </w:r>
          </w:p>
        </w:tc>
        <w:tc>
          <w:tcPr>
            <w:tcW w:w="9711" w:type="dxa"/>
            <w:tcBorders>
              <w:top w:val="single" w:color="000000" w:sz="4" w:space="0"/>
              <w:left w:val="single" w:color="000000" w:sz="4" w:space="0"/>
              <w:bottom w:val="single" w:color="000000" w:sz="4" w:space="0"/>
              <w:right w:val="single" w:color="000000" w:sz="4" w:space="0"/>
            </w:tcBorders>
            <w:noWrap/>
            <w:vAlign w:val="center"/>
          </w:tcPr>
          <w:p w14:paraId="1BE14B9E">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量程：200mm；测量误差：0.5%FS；长期稳定性：0.5%FS；灵敏度：0.01%FS。</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8589A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tcBorders>
            <w:noWrap/>
            <w:vAlign w:val="center"/>
          </w:tcPr>
          <w:p w14:paraId="05EDBA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14:paraId="585C81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10" w:type="dxa"/>
            <w:tcBorders>
              <w:top w:val="single" w:color="000000" w:sz="4" w:space="0"/>
              <w:bottom w:val="single" w:color="000000" w:sz="4" w:space="0"/>
              <w:right w:val="single" w:color="000000" w:sz="4" w:space="0"/>
            </w:tcBorders>
            <w:noWrap w:val="0"/>
            <w:vAlign w:val="center"/>
          </w:tcPr>
          <w:p w14:paraId="0B05D7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584C9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电子气压计</w:t>
            </w:r>
          </w:p>
        </w:tc>
        <w:tc>
          <w:tcPr>
            <w:tcW w:w="9711" w:type="dxa"/>
            <w:tcBorders>
              <w:top w:val="single" w:color="000000" w:sz="4" w:space="0"/>
              <w:left w:val="single" w:color="000000" w:sz="4" w:space="0"/>
              <w:bottom w:val="single" w:color="000000" w:sz="4" w:space="0"/>
              <w:right w:val="single" w:color="000000" w:sz="4" w:space="0"/>
            </w:tcBorders>
            <w:noWrap/>
            <w:vAlign w:val="center"/>
          </w:tcPr>
          <w:p w14:paraId="36D9907B">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测量范围：0-120KPa；气压响应时间：≤2S；供电：10-30VDC；测量温度：-20℃-+80℃。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A3006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tcBorders>
            <w:noWrap/>
            <w:vAlign w:val="center"/>
          </w:tcPr>
          <w:p w14:paraId="39E26C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15D64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10" w:type="dxa"/>
            <w:tcBorders>
              <w:top w:val="single" w:color="000000" w:sz="4" w:space="0"/>
              <w:bottom w:val="single" w:color="000000" w:sz="4" w:space="0"/>
              <w:right w:val="single" w:color="000000" w:sz="4" w:space="0"/>
            </w:tcBorders>
            <w:noWrap w:val="0"/>
            <w:vAlign w:val="center"/>
          </w:tcPr>
          <w:p w14:paraId="68BBD0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F7D59B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技术维护费用</w:t>
            </w:r>
          </w:p>
        </w:tc>
        <w:tc>
          <w:tcPr>
            <w:tcW w:w="9711" w:type="dxa"/>
            <w:tcBorders>
              <w:top w:val="single" w:color="000000" w:sz="4" w:space="0"/>
              <w:left w:val="single" w:color="000000" w:sz="4" w:space="0"/>
              <w:bottom w:val="single" w:color="000000" w:sz="4" w:space="0"/>
              <w:right w:val="single" w:color="000000" w:sz="4" w:space="0"/>
            </w:tcBorders>
            <w:noWrap w:val="0"/>
            <w:vAlign w:val="center"/>
          </w:tcPr>
          <w:p w14:paraId="5F12433B">
            <w:pPr>
              <w:jc w:val="center"/>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3BEC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14:paraId="786902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r>
      <w:tr w14:paraId="42F89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061" w:type="dxa"/>
            <w:gridSpan w:val="5"/>
            <w:tcBorders>
              <w:top w:val="single" w:color="000000" w:sz="4" w:space="0"/>
              <w:bottom w:val="single" w:color="000000" w:sz="4" w:space="0"/>
            </w:tcBorders>
            <w:noWrap w:val="0"/>
            <w:vAlign w:val="center"/>
          </w:tcPr>
          <w:p w14:paraId="49BC15C2">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卢氏隆祥矿业有限公司石窑沟尾矿库</w:t>
            </w:r>
          </w:p>
        </w:tc>
      </w:tr>
      <w:tr w14:paraId="1B8EF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0" w:type="dxa"/>
            <w:tcBorders>
              <w:top w:val="nil"/>
              <w:bottom w:val="nil"/>
              <w:right w:val="single" w:color="000000" w:sz="4" w:space="0"/>
            </w:tcBorders>
            <w:shd w:val="clear" w:color="auto" w:fill="C00000"/>
            <w:noWrap w:val="0"/>
            <w:vAlign w:val="center"/>
          </w:tcPr>
          <w:p w14:paraId="08838386">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序号</w:t>
            </w:r>
          </w:p>
        </w:tc>
        <w:tc>
          <w:tcPr>
            <w:tcW w:w="2160" w:type="dxa"/>
            <w:tcBorders>
              <w:top w:val="nil"/>
              <w:left w:val="single" w:color="000000" w:sz="4" w:space="0"/>
              <w:bottom w:val="nil"/>
              <w:right w:val="single" w:color="000000" w:sz="4" w:space="0"/>
            </w:tcBorders>
            <w:shd w:val="clear" w:color="auto" w:fill="C00000"/>
            <w:noWrap w:val="0"/>
            <w:vAlign w:val="center"/>
          </w:tcPr>
          <w:p w14:paraId="0E9DE038">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产品类别</w:t>
            </w:r>
          </w:p>
        </w:tc>
        <w:tc>
          <w:tcPr>
            <w:tcW w:w="9711" w:type="dxa"/>
            <w:tcBorders>
              <w:top w:val="nil"/>
              <w:left w:val="single" w:color="000000" w:sz="4" w:space="0"/>
              <w:bottom w:val="nil"/>
              <w:right w:val="single" w:color="000000" w:sz="4" w:space="0"/>
            </w:tcBorders>
            <w:shd w:val="clear" w:color="auto" w:fill="C00000"/>
            <w:noWrap w:val="0"/>
            <w:vAlign w:val="center"/>
          </w:tcPr>
          <w:p w14:paraId="28F02E53">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技术规格</w:t>
            </w:r>
          </w:p>
        </w:tc>
        <w:tc>
          <w:tcPr>
            <w:tcW w:w="720" w:type="dxa"/>
            <w:tcBorders>
              <w:top w:val="nil"/>
              <w:left w:val="single" w:color="000000" w:sz="4" w:space="0"/>
              <w:bottom w:val="nil"/>
              <w:right w:val="single" w:color="000000" w:sz="4" w:space="0"/>
            </w:tcBorders>
            <w:shd w:val="clear" w:color="auto" w:fill="C00000"/>
            <w:noWrap w:val="0"/>
            <w:vAlign w:val="center"/>
          </w:tcPr>
          <w:p w14:paraId="166A2DB1">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单位</w:t>
            </w:r>
          </w:p>
        </w:tc>
        <w:tc>
          <w:tcPr>
            <w:tcW w:w="660" w:type="dxa"/>
            <w:tcBorders>
              <w:top w:val="nil"/>
              <w:left w:val="single" w:color="000000" w:sz="4" w:space="0"/>
              <w:bottom w:val="nil"/>
            </w:tcBorders>
            <w:shd w:val="clear" w:color="auto" w:fill="C00000"/>
            <w:noWrap w:val="0"/>
            <w:vAlign w:val="center"/>
          </w:tcPr>
          <w:p w14:paraId="3B355A9F">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数量</w:t>
            </w:r>
          </w:p>
        </w:tc>
      </w:tr>
      <w:tr w14:paraId="56CA1E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061" w:type="dxa"/>
            <w:gridSpan w:val="5"/>
            <w:tcBorders>
              <w:top w:val="single" w:color="000000" w:sz="4" w:space="0"/>
              <w:bottom w:val="single" w:color="000000" w:sz="4" w:space="0"/>
            </w:tcBorders>
            <w:noWrap w:val="0"/>
            <w:vAlign w:val="center"/>
          </w:tcPr>
          <w:p w14:paraId="4CF85E56">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一、尾矿库在线监测设备</w:t>
            </w:r>
          </w:p>
        </w:tc>
      </w:tr>
      <w:tr w14:paraId="5350D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0" w:hRule="atLeast"/>
        </w:trPr>
        <w:tc>
          <w:tcPr>
            <w:tcW w:w="810" w:type="dxa"/>
            <w:tcBorders>
              <w:top w:val="single" w:color="000000" w:sz="4" w:space="0"/>
              <w:bottom w:val="single" w:color="000000" w:sz="4" w:space="0"/>
              <w:right w:val="single" w:color="000000" w:sz="4" w:space="0"/>
            </w:tcBorders>
            <w:noWrap w:val="0"/>
            <w:vAlign w:val="center"/>
          </w:tcPr>
          <w:p w14:paraId="5DABCB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A62CF3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倾斜度/位移监测</w:t>
            </w:r>
          </w:p>
        </w:tc>
        <w:tc>
          <w:tcPr>
            <w:tcW w:w="9711" w:type="dxa"/>
            <w:tcBorders>
              <w:top w:val="single" w:color="000000" w:sz="4" w:space="0"/>
              <w:left w:val="single" w:color="000000" w:sz="4" w:space="0"/>
              <w:bottom w:val="single" w:color="000000" w:sz="4" w:space="0"/>
              <w:right w:val="single" w:color="000000" w:sz="4" w:space="0"/>
            </w:tcBorders>
            <w:noWrap w:val="0"/>
            <w:vAlign w:val="center"/>
          </w:tcPr>
          <w:p w14:paraId="69C84F7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静态相对定位精度：水平:+(2.5mm+0.5ppm)RMS垂直:±(5mm+0.5ppm)RMS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动态相对定位精度：水平:+(8mm+1ppm)RMS垂直:±(15mm+1ppm)RMS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采样间隔：0s~24h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上传间隔：0s~72h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输出信号：NB-IOT 支持外接通讯模块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工作模式：BDS+GPS+GLONASS/三星六频支持动态调整监测频率，MEMS传感器触发功能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数据格式：支持RTCM32原始数据及实时动态结果数据上传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功耗：在采样间隔不低于155且上传间隔不低于15s情况下，接收机正常工作的平均功耗≤2W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测量范围：+30°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测量精度：0.1°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采样间隔：0s~24h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上传间隔：0s~72h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测量范围：±2g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测量精度：+1mg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采样间隔：0s~24h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上传间隔：0s~72h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输出参数：振动加速度、倾角、自振频率、最大振幅等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工作温度：-40~+65°C可定制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安装方式：标准观测墩、现浇混凝土墩、钢结构等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供电方式：按需供电方式，满足连续30个阴雨日正常工作过压机欠压保护</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DE80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60" w:type="dxa"/>
            <w:tcBorders>
              <w:top w:val="single" w:color="000000" w:sz="4" w:space="0"/>
              <w:left w:val="single" w:color="000000" w:sz="4" w:space="0"/>
              <w:bottom w:val="single" w:color="000000" w:sz="4" w:space="0"/>
            </w:tcBorders>
            <w:noWrap w:val="0"/>
            <w:vAlign w:val="center"/>
          </w:tcPr>
          <w:p w14:paraId="6DC2A0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 </w:t>
            </w:r>
          </w:p>
        </w:tc>
      </w:tr>
      <w:tr w14:paraId="52F43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10" w:type="dxa"/>
            <w:tcBorders>
              <w:top w:val="single" w:color="000000" w:sz="4" w:space="0"/>
              <w:bottom w:val="single" w:color="000000" w:sz="4" w:space="0"/>
              <w:right w:val="single" w:color="000000" w:sz="4" w:space="0"/>
            </w:tcBorders>
            <w:noWrap w:val="0"/>
            <w:vAlign w:val="center"/>
          </w:tcPr>
          <w:p w14:paraId="24D6CF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941141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无线采集仪</w:t>
            </w:r>
          </w:p>
        </w:tc>
        <w:tc>
          <w:tcPr>
            <w:tcW w:w="9711" w:type="dxa"/>
            <w:tcBorders>
              <w:top w:val="single" w:color="000000" w:sz="4" w:space="0"/>
              <w:left w:val="single" w:color="000000" w:sz="4" w:space="0"/>
              <w:bottom w:val="single" w:color="000000" w:sz="4" w:space="0"/>
              <w:right w:val="single" w:color="000000" w:sz="4" w:space="0"/>
            </w:tcBorders>
            <w:noWrap w:val="0"/>
            <w:vAlign w:val="center"/>
          </w:tcPr>
          <w:p w14:paraId="3F5D051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数据采集器，物联网无线传输</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DFDB7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60" w:type="dxa"/>
            <w:tcBorders>
              <w:top w:val="single" w:color="000000" w:sz="4" w:space="0"/>
              <w:left w:val="single" w:color="000000" w:sz="4" w:space="0"/>
              <w:bottom w:val="single" w:color="000000" w:sz="4" w:space="0"/>
            </w:tcBorders>
            <w:noWrap w:val="0"/>
            <w:vAlign w:val="center"/>
          </w:tcPr>
          <w:p w14:paraId="117C4F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 </w:t>
            </w:r>
          </w:p>
        </w:tc>
      </w:tr>
      <w:tr w14:paraId="6372D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10" w:type="dxa"/>
            <w:tcBorders>
              <w:top w:val="single" w:color="000000" w:sz="4" w:space="0"/>
              <w:bottom w:val="single" w:color="000000" w:sz="4" w:space="0"/>
              <w:right w:val="single" w:color="000000" w:sz="4" w:space="0"/>
            </w:tcBorders>
            <w:noWrap w:val="0"/>
            <w:vAlign w:val="center"/>
          </w:tcPr>
          <w:p w14:paraId="7167F5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F73719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浊度计</w:t>
            </w:r>
          </w:p>
        </w:tc>
        <w:tc>
          <w:tcPr>
            <w:tcW w:w="9711" w:type="dxa"/>
            <w:tcBorders>
              <w:top w:val="single" w:color="000000" w:sz="4" w:space="0"/>
              <w:left w:val="single" w:color="000000" w:sz="4" w:space="0"/>
              <w:bottom w:val="single" w:color="000000" w:sz="4" w:space="0"/>
              <w:right w:val="single" w:color="000000" w:sz="4" w:space="0"/>
            </w:tcBorders>
            <w:noWrap w:val="0"/>
            <w:vAlign w:val="center"/>
          </w:tcPr>
          <w:p w14:paraId="4D2CBA1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量程：0.01-3000 NTU；精度：小于测量值的±5%，或±0.5NTU；温度：0到45℃（不结冰）；输出信号：R485；IP等级：IP68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4779F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60" w:type="dxa"/>
            <w:tcBorders>
              <w:top w:val="single" w:color="000000" w:sz="4" w:space="0"/>
              <w:left w:val="single" w:color="000000" w:sz="4" w:space="0"/>
              <w:bottom w:val="single" w:color="000000" w:sz="4" w:space="0"/>
            </w:tcBorders>
            <w:noWrap w:val="0"/>
            <w:vAlign w:val="center"/>
          </w:tcPr>
          <w:p w14:paraId="3C772C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 </w:t>
            </w:r>
          </w:p>
        </w:tc>
      </w:tr>
      <w:tr w14:paraId="3E9E7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10" w:type="dxa"/>
            <w:tcBorders>
              <w:top w:val="single" w:color="000000" w:sz="4" w:space="0"/>
              <w:right w:val="single" w:color="000000" w:sz="4" w:space="0"/>
            </w:tcBorders>
            <w:noWrap w:val="0"/>
            <w:vAlign w:val="center"/>
          </w:tcPr>
          <w:p w14:paraId="4FE7ED3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二</w:t>
            </w:r>
          </w:p>
        </w:tc>
        <w:tc>
          <w:tcPr>
            <w:tcW w:w="2160" w:type="dxa"/>
            <w:tcBorders>
              <w:top w:val="single" w:color="000000" w:sz="4" w:space="0"/>
              <w:left w:val="single" w:color="000000" w:sz="4" w:space="0"/>
              <w:right w:val="single" w:color="000000" w:sz="4" w:space="0"/>
            </w:tcBorders>
            <w:noWrap w:val="0"/>
            <w:vAlign w:val="center"/>
          </w:tcPr>
          <w:p w14:paraId="72FA093B">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库区辅材及现有设备配套技术服务与对接</w:t>
            </w:r>
          </w:p>
        </w:tc>
        <w:tc>
          <w:tcPr>
            <w:tcW w:w="9711" w:type="dxa"/>
            <w:tcBorders>
              <w:top w:val="single" w:color="000000" w:sz="4" w:space="0"/>
              <w:left w:val="single" w:color="000000" w:sz="4" w:space="0"/>
              <w:right w:val="single" w:color="000000" w:sz="4" w:space="0"/>
            </w:tcBorders>
            <w:noWrap w:val="0"/>
            <w:vAlign w:val="center"/>
          </w:tcPr>
          <w:p w14:paraId="1A2D336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库区辅材及现有设备配套技术服务与对接，包含设备安装、AR摄相机立杆、布线及设备调试等技术服务。</w:t>
            </w:r>
          </w:p>
        </w:tc>
        <w:tc>
          <w:tcPr>
            <w:tcW w:w="720" w:type="dxa"/>
            <w:tcBorders>
              <w:top w:val="single" w:color="000000" w:sz="4" w:space="0"/>
              <w:left w:val="single" w:color="000000" w:sz="4" w:space="0"/>
              <w:right w:val="single" w:color="000000" w:sz="4" w:space="0"/>
            </w:tcBorders>
            <w:noWrap w:val="0"/>
            <w:vAlign w:val="center"/>
          </w:tcPr>
          <w:p w14:paraId="393B81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60" w:type="dxa"/>
            <w:tcBorders>
              <w:top w:val="single" w:color="000000" w:sz="4" w:space="0"/>
              <w:left w:val="single" w:color="000000" w:sz="4" w:space="0"/>
            </w:tcBorders>
            <w:noWrap w:val="0"/>
            <w:vAlign w:val="center"/>
          </w:tcPr>
          <w:p w14:paraId="74DAFD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bl>
    <w:p w14:paraId="598EEC70">
      <w:pPr>
        <w:keepNext w:val="0"/>
        <w:keepLines w:val="0"/>
        <w:pageBreakBefore w:val="0"/>
        <w:kinsoku/>
        <w:wordWrap w:val="0"/>
        <w:overflowPunct/>
        <w:topLinePunct w:val="0"/>
        <w:bidi w:val="0"/>
        <w:rPr>
          <w:rFonts w:hint="eastAsia"/>
          <w:color w:val="auto"/>
          <w:highlight w:val="none"/>
        </w:rPr>
        <w:sectPr>
          <w:footerReference r:id="rId7" w:type="default"/>
          <w:pgSz w:w="16840" w:h="11910" w:orient="landscape"/>
          <w:pgMar w:top="1040" w:right="1400" w:bottom="1020" w:left="1120" w:header="0" w:footer="640" w:gutter="0"/>
          <w:pgBorders>
            <w:top w:val="none" w:sz="0" w:space="0"/>
            <w:left w:val="none" w:sz="0" w:space="0"/>
            <w:bottom w:val="none" w:sz="0" w:space="0"/>
            <w:right w:val="none" w:sz="0" w:space="0"/>
          </w:pgBorders>
          <w:pgNumType w:fmt="decimal"/>
          <w:cols w:space="720" w:num="1"/>
        </w:sectPr>
      </w:pPr>
    </w:p>
    <w:p w14:paraId="2D036609">
      <w:pPr>
        <w:pStyle w:val="2"/>
        <w:keepNext w:val="0"/>
        <w:keepLines w:val="0"/>
        <w:pageBreakBefore w:val="0"/>
        <w:kinsoku/>
        <w:wordWrap w:val="0"/>
        <w:overflowPunct/>
        <w:topLinePunct w:val="0"/>
        <w:bidi w:val="0"/>
        <w:spacing w:before="31" w:line="460" w:lineRule="exact"/>
        <w:ind w:left="0" w:leftChars="0" w:firstLine="0" w:firstLineChars="0"/>
        <w:jc w:val="center"/>
        <w:rPr>
          <w:color w:val="auto"/>
          <w:highlight w:val="none"/>
        </w:rPr>
      </w:pPr>
      <w:r>
        <w:rPr>
          <w:rFonts w:hint="eastAsia"/>
          <w:color w:val="auto"/>
          <w:highlight w:val="none"/>
        </w:rPr>
        <w:t>第四章</w:t>
      </w:r>
      <w:r>
        <w:rPr>
          <w:rFonts w:hint="eastAsia"/>
          <w:color w:val="auto"/>
          <w:highlight w:val="none"/>
          <w:lang w:val="en-US" w:eastAsia="zh-CN"/>
        </w:rPr>
        <w:t xml:space="preserve"> </w:t>
      </w:r>
      <w:r>
        <w:rPr>
          <w:color w:val="auto"/>
          <w:highlight w:val="none"/>
        </w:rPr>
        <w:t>评审办法</w:t>
      </w:r>
      <w:bookmarkEnd w:id="148"/>
    </w:p>
    <w:p w14:paraId="7CBA736D">
      <w:pPr>
        <w:keepNext w:val="0"/>
        <w:keepLines w:val="0"/>
        <w:pageBreakBefore w:val="0"/>
        <w:kinsoku/>
        <w:wordWrap w:val="0"/>
        <w:overflowPunct/>
        <w:topLinePunct w:val="0"/>
        <w:bidi w:val="0"/>
        <w:rPr>
          <w:color w:val="auto"/>
          <w:highlight w:val="none"/>
        </w:rPr>
      </w:pPr>
    </w:p>
    <w:p w14:paraId="4CFB3477">
      <w:pPr>
        <w:keepNext w:val="0"/>
        <w:keepLines w:val="0"/>
        <w:pageBreakBefore w:val="0"/>
        <w:kinsoku/>
        <w:wordWrap w:val="0"/>
        <w:overflowPunct/>
        <w:topLinePunct w:val="0"/>
        <w:bidi w:val="0"/>
        <w:spacing w:line="460" w:lineRule="exact"/>
        <w:jc w:val="center"/>
        <w:rPr>
          <w:color w:val="auto"/>
          <w:highlight w:val="none"/>
        </w:rPr>
      </w:pPr>
      <w:bookmarkStart w:id="150" w:name="_Toc28583_WPSOffice_Level2"/>
      <w:r>
        <w:rPr>
          <w:rFonts w:hint="eastAsia"/>
          <w:color w:val="auto"/>
          <w:sz w:val="28"/>
          <w:szCs w:val="28"/>
          <w:highlight w:val="none"/>
        </w:rPr>
        <w:t>评标办法前附表</w:t>
      </w:r>
      <w:bookmarkEnd w:id="150"/>
    </w:p>
    <w:tbl>
      <w:tblPr>
        <w:tblStyle w:val="14"/>
        <w:tblW w:w="0" w:type="auto"/>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183"/>
        <w:gridCol w:w="2040"/>
        <w:gridCol w:w="5295"/>
      </w:tblGrid>
      <w:tr w14:paraId="2078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128" w:type="dxa"/>
            <w:gridSpan w:val="2"/>
            <w:noWrap/>
            <w:vAlign w:val="center"/>
          </w:tcPr>
          <w:p w14:paraId="5024B41B">
            <w:pPr>
              <w:keepNext w:val="0"/>
              <w:keepLines w:val="0"/>
              <w:pageBreakBefore w:val="0"/>
              <w:kinsoku/>
              <w:wordWrap w:val="0"/>
              <w:overflowPunct/>
              <w:topLinePunct w:val="0"/>
              <w:bidi w:val="0"/>
              <w:jc w:val="center"/>
              <w:rPr>
                <w:b/>
                <w:color w:val="auto"/>
                <w:szCs w:val="21"/>
                <w:highlight w:val="none"/>
              </w:rPr>
            </w:pPr>
            <w:r>
              <w:rPr>
                <w:rFonts w:hint="eastAsia"/>
                <w:b/>
                <w:color w:val="auto"/>
                <w:szCs w:val="21"/>
                <w:highlight w:val="none"/>
              </w:rPr>
              <w:t>条款号</w:t>
            </w:r>
          </w:p>
        </w:tc>
        <w:tc>
          <w:tcPr>
            <w:tcW w:w="2040" w:type="dxa"/>
            <w:noWrap/>
            <w:vAlign w:val="center"/>
          </w:tcPr>
          <w:p w14:paraId="760CE964">
            <w:pPr>
              <w:keepNext w:val="0"/>
              <w:keepLines w:val="0"/>
              <w:pageBreakBefore w:val="0"/>
              <w:kinsoku/>
              <w:wordWrap w:val="0"/>
              <w:overflowPunct/>
              <w:topLinePunct w:val="0"/>
              <w:bidi w:val="0"/>
              <w:jc w:val="center"/>
              <w:rPr>
                <w:b/>
                <w:color w:val="auto"/>
                <w:szCs w:val="21"/>
                <w:highlight w:val="none"/>
              </w:rPr>
            </w:pPr>
            <w:r>
              <w:rPr>
                <w:rFonts w:hint="eastAsia"/>
                <w:b/>
                <w:color w:val="auto"/>
                <w:szCs w:val="21"/>
                <w:highlight w:val="none"/>
              </w:rPr>
              <w:t>评审因素</w:t>
            </w:r>
          </w:p>
        </w:tc>
        <w:tc>
          <w:tcPr>
            <w:tcW w:w="5295" w:type="dxa"/>
            <w:noWrap/>
            <w:vAlign w:val="center"/>
          </w:tcPr>
          <w:p w14:paraId="0EFB7320">
            <w:pPr>
              <w:keepNext w:val="0"/>
              <w:keepLines w:val="0"/>
              <w:pageBreakBefore w:val="0"/>
              <w:kinsoku/>
              <w:wordWrap w:val="0"/>
              <w:overflowPunct/>
              <w:topLinePunct w:val="0"/>
              <w:bidi w:val="0"/>
              <w:jc w:val="center"/>
              <w:rPr>
                <w:b/>
                <w:color w:val="auto"/>
                <w:szCs w:val="21"/>
                <w:highlight w:val="none"/>
              </w:rPr>
            </w:pPr>
            <w:r>
              <w:rPr>
                <w:rFonts w:hint="eastAsia"/>
                <w:b/>
                <w:color w:val="auto"/>
                <w:szCs w:val="21"/>
                <w:highlight w:val="none"/>
              </w:rPr>
              <w:t>评审标准</w:t>
            </w:r>
          </w:p>
        </w:tc>
      </w:tr>
      <w:tr w14:paraId="0DD2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rPr>
        <w:tc>
          <w:tcPr>
            <w:tcW w:w="945" w:type="dxa"/>
            <w:vMerge w:val="restart"/>
            <w:noWrap/>
            <w:vAlign w:val="center"/>
          </w:tcPr>
          <w:p w14:paraId="6EB307CB">
            <w:pPr>
              <w:keepNext w:val="0"/>
              <w:keepLines w:val="0"/>
              <w:pageBreakBefore w:val="0"/>
              <w:kinsoku/>
              <w:wordWrap w:val="0"/>
              <w:overflowPunct/>
              <w:topLinePunct w:val="0"/>
              <w:bidi w:val="0"/>
              <w:jc w:val="center"/>
              <w:rPr>
                <w:color w:val="auto"/>
                <w:szCs w:val="21"/>
                <w:highlight w:val="none"/>
              </w:rPr>
            </w:pPr>
            <w:r>
              <w:rPr>
                <w:rFonts w:hint="eastAsia"/>
                <w:color w:val="auto"/>
                <w:szCs w:val="21"/>
                <w:highlight w:val="none"/>
                <w:lang w:val="en-US" w:eastAsia="zh-CN"/>
              </w:rPr>
              <w:t>1</w:t>
            </w:r>
            <w:r>
              <w:rPr>
                <w:rFonts w:hint="eastAsia"/>
                <w:color w:val="auto"/>
                <w:szCs w:val="21"/>
                <w:highlight w:val="none"/>
              </w:rPr>
              <w:t>.1.1</w:t>
            </w:r>
          </w:p>
        </w:tc>
        <w:tc>
          <w:tcPr>
            <w:tcW w:w="1183" w:type="dxa"/>
            <w:vMerge w:val="restart"/>
            <w:noWrap/>
            <w:vAlign w:val="center"/>
          </w:tcPr>
          <w:p w14:paraId="5CE98275">
            <w:pPr>
              <w:keepNext w:val="0"/>
              <w:keepLines w:val="0"/>
              <w:pageBreakBefore w:val="0"/>
              <w:kinsoku/>
              <w:wordWrap w:val="0"/>
              <w:overflowPunct/>
              <w:topLinePunct w:val="0"/>
              <w:bidi w:val="0"/>
              <w:jc w:val="center"/>
              <w:rPr>
                <w:color w:val="auto"/>
                <w:szCs w:val="21"/>
                <w:highlight w:val="none"/>
              </w:rPr>
            </w:pPr>
            <w:r>
              <w:rPr>
                <w:rFonts w:hint="eastAsia"/>
                <w:color w:val="auto"/>
                <w:szCs w:val="21"/>
                <w:highlight w:val="none"/>
              </w:rPr>
              <w:t>形式评审标准</w:t>
            </w:r>
          </w:p>
        </w:tc>
        <w:tc>
          <w:tcPr>
            <w:tcW w:w="2040" w:type="dxa"/>
            <w:noWrap/>
            <w:vAlign w:val="center"/>
          </w:tcPr>
          <w:p w14:paraId="1092AB9C">
            <w:pPr>
              <w:keepNext w:val="0"/>
              <w:keepLines w:val="0"/>
              <w:pageBreakBefore w:val="0"/>
              <w:kinsoku/>
              <w:wordWrap w:val="0"/>
              <w:overflowPunct/>
              <w:topLinePunct w:val="0"/>
              <w:bidi w:val="0"/>
              <w:spacing w:line="360" w:lineRule="auto"/>
              <w:ind w:firstLine="220" w:firstLineChars="100"/>
              <w:jc w:val="both"/>
              <w:rPr>
                <w:color w:val="auto"/>
                <w:szCs w:val="21"/>
                <w:highlight w:val="none"/>
              </w:rPr>
            </w:pPr>
            <w:r>
              <w:rPr>
                <w:rFonts w:hint="eastAsia"/>
                <w:color w:val="auto"/>
                <w:szCs w:val="21"/>
                <w:highlight w:val="none"/>
              </w:rPr>
              <w:t>供应商名称</w:t>
            </w:r>
          </w:p>
        </w:tc>
        <w:tc>
          <w:tcPr>
            <w:tcW w:w="5295" w:type="dxa"/>
            <w:noWrap/>
            <w:vAlign w:val="center"/>
          </w:tcPr>
          <w:p w14:paraId="52D6DCDE">
            <w:pPr>
              <w:keepNext w:val="0"/>
              <w:keepLines w:val="0"/>
              <w:pageBreakBefore w:val="0"/>
              <w:kinsoku/>
              <w:wordWrap w:val="0"/>
              <w:overflowPunct/>
              <w:topLinePunct w:val="0"/>
              <w:bidi w:val="0"/>
              <w:spacing w:line="360" w:lineRule="auto"/>
              <w:rPr>
                <w:bCs/>
                <w:color w:val="auto"/>
                <w:szCs w:val="21"/>
                <w:highlight w:val="none"/>
                <w:lang w:val="en-US"/>
              </w:rPr>
            </w:pPr>
            <w:r>
              <w:rPr>
                <w:rFonts w:hint="eastAsia"/>
                <w:bCs/>
                <w:color w:val="auto"/>
                <w:szCs w:val="21"/>
                <w:highlight w:val="none"/>
                <w:lang w:val="en-US"/>
              </w:rPr>
              <w:t>与营业执照等一致</w:t>
            </w:r>
          </w:p>
        </w:tc>
      </w:tr>
      <w:tr w14:paraId="7562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945" w:type="dxa"/>
            <w:vMerge w:val="continue"/>
            <w:noWrap/>
            <w:vAlign w:val="top"/>
          </w:tcPr>
          <w:p w14:paraId="2497A968">
            <w:pPr>
              <w:keepNext w:val="0"/>
              <w:keepLines w:val="0"/>
              <w:pageBreakBefore w:val="0"/>
              <w:kinsoku/>
              <w:wordWrap w:val="0"/>
              <w:overflowPunct/>
              <w:topLinePunct w:val="0"/>
              <w:bidi w:val="0"/>
              <w:rPr>
                <w:color w:val="auto"/>
                <w:szCs w:val="21"/>
                <w:highlight w:val="none"/>
              </w:rPr>
            </w:pPr>
          </w:p>
        </w:tc>
        <w:tc>
          <w:tcPr>
            <w:tcW w:w="1183" w:type="dxa"/>
            <w:vMerge w:val="continue"/>
            <w:noWrap/>
            <w:vAlign w:val="top"/>
          </w:tcPr>
          <w:p w14:paraId="58FA4874">
            <w:pPr>
              <w:keepNext w:val="0"/>
              <w:keepLines w:val="0"/>
              <w:pageBreakBefore w:val="0"/>
              <w:kinsoku/>
              <w:wordWrap w:val="0"/>
              <w:overflowPunct/>
              <w:topLinePunct w:val="0"/>
              <w:bidi w:val="0"/>
              <w:rPr>
                <w:color w:val="auto"/>
                <w:szCs w:val="21"/>
                <w:highlight w:val="none"/>
              </w:rPr>
            </w:pPr>
          </w:p>
        </w:tc>
        <w:tc>
          <w:tcPr>
            <w:tcW w:w="2040" w:type="dxa"/>
            <w:noWrap/>
            <w:vAlign w:val="center"/>
          </w:tcPr>
          <w:p w14:paraId="5DBFF72E">
            <w:pPr>
              <w:keepNext w:val="0"/>
              <w:keepLines w:val="0"/>
              <w:pageBreakBefore w:val="0"/>
              <w:kinsoku/>
              <w:wordWrap w:val="0"/>
              <w:overflowPunct/>
              <w:topLinePunct w:val="0"/>
              <w:bidi w:val="0"/>
              <w:spacing w:line="360" w:lineRule="auto"/>
              <w:jc w:val="center"/>
              <w:rPr>
                <w:color w:val="auto"/>
                <w:szCs w:val="21"/>
                <w:highlight w:val="none"/>
              </w:rPr>
            </w:pPr>
            <w:r>
              <w:rPr>
                <w:rFonts w:hint="eastAsia"/>
                <w:color w:val="auto"/>
                <w:szCs w:val="21"/>
                <w:highlight w:val="none"/>
              </w:rPr>
              <w:t>投标函签章</w:t>
            </w:r>
          </w:p>
        </w:tc>
        <w:tc>
          <w:tcPr>
            <w:tcW w:w="5295" w:type="dxa"/>
            <w:noWrap/>
            <w:vAlign w:val="center"/>
          </w:tcPr>
          <w:p w14:paraId="7D3A580E">
            <w:pPr>
              <w:keepNext w:val="0"/>
              <w:keepLines w:val="0"/>
              <w:pageBreakBefore w:val="0"/>
              <w:kinsoku/>
              <w:wordWrap w:val="0"/>
              <w:overflowPunct/>
              <w:topLinePunct w:val="0"/>
              <w:bidi w:val="0"/>
              <w:spacing w:line="360" w:lineRule="auto"/>
              <w:rPr>
                <w:bCs/>
                <w:color w:val="auto"/>
                <w:szCs w:val="21"/>
                <w:highlight w:val="none"/>
                <w:lang w:val="en-US"/>
              </w:rPr>
            </w:pPr>
            <w:r>
              <w:rPr>
                <w:rFonts w:hint="eastAsia"/>
                <w:bCs/>
                <w:color w:val="auto"/>
                <w:szCs w:val="21"/>
                <w:highlight w:val="none"/>
                <w:lang w:val="en-US"/>
              </w:rPr>
              <w:t>符合竞争性磋商文件要求的签章或标注的内容</w:t>
            </w:r>
          </w:p>
        </w:tc>
      </w:tr>
      <w:tr w14:paraId="468E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945" w:type="dxa"/>
            <w:vMerge w:val="continue"/>
            <w:noWrap/>
            <w:vAlign w:val="top"/>
          </w:tcPr>
          <w:p w14:paraId="5FC9F58A">
            <w:pPr>
              <w:keepNext w:val="0"/>
              <w:keepLines w:val="0"/>
              <w:pageBreakBefore w:val="0"/>
              <w:kinsoku/>
              <w:wordWrap w:val="0"/>
              <w:overflowPunct/>
              <w:topLinePunct w:val="0"/>
              <w:bidi w:val="0"/>
              <w:rPr>
                <w:color w:val="auto"/>
                <w:szCs w:val="21"/>
                <w:highlight w:val="none"/>
              </w:rPr>
            </w:pPr>
          </w:p>
        </w:tc>
        <w:tc>
          <w:tcPr>
            <w:tcW w:w="1183" w:type="dxa"/>
            <w:vMerge w:val="continue"/>
            <w:noWrap/>
            <w:vAlign w:val="top"/>
          </w:tcPr>
          <w:p w14:paraId="284F0D0F">
            <w:pPr>
              <w:keepNext w:val="0"/>
              <w:keepLines w:val="0"/>
              <w:pageBreakBefore w:val="0"/>
              <w:kinsoku/>
              <w:wordWrap w:val="0"/>
              <w:overflowPunct/>
              <w:topLinePunct w:val="0"/>
              <w:bidi w:val="0"/>
              <w:rPr>
                <w:color w:val="auto"/>
                <w:szCs w:val="21"/>
                <w:highlight w:val="none"/>
              </w:rPr>
            </w:pPr>
          </w:p>
        </w:tc>
        <w:tc>
          <w:tcPr>
            <w:tcW w:w="2040" w:type="dxa"/>
            <w:noWrap/>
            <w:vAlign w:val="center"/>
          </w:tcPr>
          <w:p w14:paraId="1181357E">
            <w:pPr>
              <w:keepNext w:val="0"/>
              <w:keepLines w:val="0"/>
              <w:pageBreakBefore w:val="0"/>
              <w:kinsoku/>
              <w:wordWrap w:val="0"/>
              <w:overflowPunct/>
              <w:topLinePunct w:val="0"/>
              <w:bidi w:val="0"/>
              <w:spacing w:line="360" w:lineRule="auto"/>
              <w:ind w:firstLine="220" w:firstLineChars="100"/>
              <w:jc w:val="both"/>
              <w:rPr>
                <w:color w:val="auto"/>
                <w:szCs w:val="21"/>
                <w:highlight w:val="none"/>
              </w:rPr>
            </w:pPr>
            <w:r>
              <w:rPr>
                <w:rFonts w:hint="eastAsia"/>
                <w:color w:val="auto"/>
                <w:szCs w:val="21"/>
                <w:highlight w:val="none"/>
              </w:rPr>
              <w:t>响应文件格式</w:t>
            </w:r>
          </w:p>
        </w:tc>
        <w:tc>
          <w:tcPr>
            <w:tcW w:w="5295" w:type="dxa"/>
            <w:noWrap/>
            <w:vAlign w:val="center"/>
          </w:tcPr>
          <w:p w14:paraId="76A747D8">
            <w:pPr>
              <w:keepNext w:val="0"/>
              <w:keepLines w:val="0"/>
              <w:pageBreakBefore w:val="0"/>
              <w:kinsoku/>
              <w:wordWrap w:val="0"/>
              <w:overflowPunct/>
              <w:topLinePunct w:val="0"/>
              <w:bidi w:val="0"/>
              <w:spacing w:line="360" w:lineRule="auto"/>
              <w:rPr>
                <w:bCs/>
                <w:color w:val="auto"/>
                <w:szCs w:val="21"/>
                <w:highlight w:val="none"/>
                <w:lang w:val="en-US"/>
              </w:rPr>
            </w:pPr>
            <w:r>
              <w:rPr>
                <w:rFonts w:hint="eastAsia"/>
                <w:bCs/>
                <w:color w:val="auto"/>
                <w:szCs w:val="21"/>
                <w:highlight w:val="none"/>
                <w:lang w:val="en-US"/>
              </w:rPr>
              <w:t>符合“响应文件格式”的要求</w:t>
            </w:r>
          </w:p>
        </w:tc>
      </w:tr>
      <w:tr w14:paraId="4628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945" w:type="dxa"/>
            <w:vMerge w:val="continue"/>
            <w:noWrap/>
            <w:vAlign w:val="top"/>
          </w:tcPr>
          <w:p w14:paraId="14359B7E">
            <w:pPr>
              <w:keepNext w:val="0"/>
              <w:keepLines w:val="0"/>
              <w:pageBreakBefore w:val="0"/>
              <w:kinsoku/>
              <w:wordWrap w:val="0"/>
              <w:overflowPunct/>
              <w:topLinePunct w:val="0"/>
              <w:bidi w:val="0"/>
              <w:rPr>
                <w:color w:val="auto"/>
                <w:szCs w:val="21"/>
                <w:highlight w:val="none"/>
              </w:rPr>
            </w:pPr>
          </w:p>
        </w:tc>
        <w:tc>
          <w:tcPr>
            <w:tcW w:w="1183" w:type="dxa"/>
            <w:vMerge w:val="continue"/>
            <w:noWrap/>
            <w:vAlign w:val="top"/>
          </w:tcPr>
          <w:p w14:paraId="2155A19D">
            <w:pPr>
              <w:keepNext w:val="0"/>
              <w:keepLines w:val="0"/>
              <w:pageBreakBefore w:val="0"/>
              <w:kinsoku/>
              <w:wordWrap w:val="0"/>
              <w:overflowPunct/>
              <w:topLinePunct w:val="0"/>
              <w:bidi w:val="0"/>
              <w:rPr>
                <w:color w:val="auto"/>
                <w:szCs w:val="21"/>
                <w:highlight w:val="none"/>
              </w:rPr>
            </w:pPr>
          </w:p>
        </w:tc>
        <w:tc>
          <w:tcPr>
            <w:tcW w:w="2040" w:type="dxa"/>
            <w:noWrap/>
            <w:vAlign w:val="center"/>
          </w:tcPr>
          <w:p w14:paraId="5622726E">
            <w:pPr>
              <w:keepNext w:val="0"/>
              <w:keepLines w:val="0"/>
              <w:pageBreakBefore w:val="0"/>
              <w:kinsoku/>
              <w:wordWrap w:val="0"/>
              <w:overflowPunct/>
              <w:topLinePunct w:val="0"/>
              <w:bidi w:val="0"/>
              <w:spacing w:line="360" w:lineRule="auto"/>
              <w:ind w:firstLine="440" w:firstLineChars="200"/>
              <w:jc w:val="center"/>
              <w:rPr>
                <w:color w:val="auto"/>
                <w:szCs w:val="21"/>
                <w:highlight w:val="none"/>
              </w:rPr>
            </w:pPr>
            <w:r>
              <w:rPr>
                <w:rFonts w:hint="eastAsia"/>
                <w:color w:val="auto"/>
                <w:szCs w:val="21"/>
                <w:highlight w:val="none"/>
              </w:rPr>
              <w:t>报价唯一</w:t>
            </w:r>
          </w:p>
        </w:tc>
        <w:tc>
          <w:tcPr>
            <w:tcW w:w="5295" w:type="dxa"/>
            <w:noWrap/>
            <w:vAlign w:val="center"/>
          </w:tcPr>
          <w:p w14:paraId="45352F3F">
            <w:pPr>
              <w:keepNext w:val="0"/>
              <w:keepLines w:val="0"/>
              <w:pageBreakBefore w:val="0"/>
              <w:kinsoku/>
              <w:wordWrap w:val="0"/>
              <w:overflowPunct/>
              <w:topLinePunct w:val="0"/>
              <w:bidi w:val="0"/>
              <w:spacing w:line="360" w:lineRule="auto"/>
              <w:rPr>
                <w:bCs/>
                <w:color w:val="auto"/>
                <w:szCs w:val="21"/>
                <w:highlight w:val="none"/>
                <w:lang w:val="en-US"/>
              </w:rPr>
            </w:pPr>
            <w:r>
              <w:rPr>
                <w:rFonts w:hint="eastAsia"/>
                <w:bCs/>
                <w:color w:val="auto"/>
                <w:szCs w:val="21"/>
                <w:highlight w:val="none"/>
                <w:lang w:val="en-US"/>
              </w:rPr>
              <w:t>只能有一个有效报价</w:t>
            </w:r>
          </w:p>
        </w:tc>
      </w:tr>
      <w:tr w14:paraId="29FB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945" w:type="dxa"/>
            <w:vMerge w:val="restart"/>
            <w:noWrap/>
            <w:vAlign w:val="center"/>
          </w:tcPr>
          <w:p w14:paraId="5F2652FE">
            <w:pPr>
              <w:keepNext w:val="0"/>
              <w:keepLines w:val="0"/>
              <w:pageBreakBefore w:val="0"/>
              <w:kinsoku/>
              <w:wordWrap w:val="0"/>
              <w:overflowPunct/>
              <w:topLinePunct w:val="0"/>
              <w:bidi w:val="0"/>
              <w:jc w:val="center"/>
              <w:rPr>
                <w:color w:val="auto"/>
                <w:szCs w:val="21"/>
                <w:highlight w:val="none"/>
              </w:rPr>
            </w:pPr>
            <w:r>
              <w:rPr>
                <w:rFonts w:hint="eastAsia"/>
                <w:color w:val="auto"/>
                <w:szCs w:val="21"/>
                <w:highlight w:val="none"/>
                <w:lang w:val="en-US" w:eastAsia="zh-CN"/>
              </w:rPr>
              <w:t>1</w:t>
            </w:r>
            <w:r>
              <w:rPr>
                <w:rFonts w:hint="eastAsia"/>
                <w:color w:val="auto"/>
                <w:szCs w:val="21"/>
                <w:highlight w:val="none"/>
              </w:rPr>
              <w:t>.1.2</w:t>
            </w:r>
          </w:p>
        </w:tc>
        <w:tc>
          <w:tcPr>
            <w:tcW w:w="1183" w:type="dxa"/>
            <w:vMerge w:val="restart"/>
            <w:noWrap/>
            <w:vAlign w:val="center"/>
          </w:tcPr>
          <w:p w14:paraId="5DA363EB">
            <w:pPr>
              <w:keepNext w:val="0"/>
              <w:keepLines w:val="0"/>
              <w:pageBreakBefore w:val="0"/>
              <w:kinsoku/>
              <w:wordWrap w:val="0"/>
              <w:overflowPunct/>
              <w:topLinePunct w:val="0"/>
              <w:bidi w:val="0"/>
              <w:jc w:val="center"/>
              <w:rPr>
                <w:color w:val="auto"/>
                <w:szCs w:val="21"/>
                <w:highlight w:val="none"/>
              </w:rPr>
            </w:pPr>
            <w:r>
              <w:rPr>
                <w:rFonts w:hint="eastAsia"/>
                <w:color w:val="auto"/>
                <w:szCs w:val="21"/>
                <w:highlight w:val="none"/>
              </w:rPr>
              <w:t>资格评审标准</w:t>
            </w:r>
          </w:p>
        </w:tc>
        <w:tc>
          <w:tcPr>
            <w:tcW w:w="2040" w:type="dxa"/>
            <w:noWrap/>
            <w:vAlign w:val="center"/>
          </w:tcPr>
          <w:p w14:paraId="1A9E0142">
            <w:pPr>
              <w:keepNext w:val="0"/>
              <w:keepLines w:val="0"/>
              <w:pageBreakBefore w:val="0"/>
              <w:kinsoku/>
              <w:wordWrap w:val="0"/>
              <w:overflowPunct/>
              <w:topLinePunct w:val="0"/>
              <w:bidi w:val="0"/>
              <w:spacing w:line="360" w:lineRule="auto"/>
              <w:ind w:firstLine="440" w:firstLineChars="200"/>
              <w:rPr>
                <w:rFonts w:hint="eastAsia" w:ascii="宋体" w:hAnsi="宋体" w:eastAsia="宋体" w:cs="宋体"/>
                <w:color w:val="auto"/>
                <w:sz w:val="22"/>
                <w:szCs w:val="21"/>
                <w:highlight w:val="none"/>
                <w:lang w:val="zh-CN" w:eastAsia="zh-CN" w:bidi="zh-CN"/>
              </w:rPr>
            </w:pPr>
            <w:r>
              <w:rPr>
                <w:rFonts w:hint="eastAsia"/>
                <w:color w:val="auto"/>
                <w:szCs w:val="21"/>
                <w:highlight w:val="none"/>
              </w:rPr>
              <w:t>营业执照</w:t>
            </w:r>
          </w:p>
        </w:tc>
        <w:tc>
          <w:tcPr>
            <w:tcW w:w="5295" w:type="dxa"/>
            <w:noWrap/>
            <w:vAlign w:val="center"/>
          </w:tcPr>
          <w:p w14:paraId="56C933D5">
            <w:pPr>
              <w:keepNext w:val="0"/>
              <w:keepLines w:val="0"/>
              <w:pageBreakBefore w:val="0"/>
              <w:kinsoku/>
              <w:wordWrap w:val="0"/>
              <w:overflowPunct/>
              <w:topLinePunct w:val="0"/>
              <w:bidi w:val="0"/>
              <w:spacing w:line="360" w:lineRule="auto"/>
              <w:jc w:val="left"/>
              <w:rPr>
                <w:rFonts w:ascii="宋体" w:hAnsi="宋体" w:eastAsia="宋体" w:cs="宋体"/>
                <w:bCs/>
                <w:color w:val="auto"/>
                <w:sz w:val="22"/>
                <w:szCs w:val="21"/>
                <w:highlight w:val="none"/>
                <w:lang w:val="en-US" w:eastAsia="zh-CN" w:bidi="zh-CN"/>
              </w:rPr>
            </w:pPr>
            <w:r>
              <w:rPr>
                <w:rFonts w:hint="eastAsia" w:ascii="宋体" w:hAnsi="宋体" w:eastAsia="宋体" w:cs="宋体"/>
                <w:bCs/>
                <w:color w:val="auto"/>
                <w:sz w:val="22"/>
                <w:szCs w:val="21"/>
                <w:highlight w:val="none"/>
                <w:lang w:val="en-US" w:eastAsia="zh-CN" w:bidi="zh-CN"/>
              </w:rPr>
              <w:t>供应商必须是在中国境内注册的独立法人、其他组织或者自然人，具有独立承担民事责任的能力</w:t>
            </w:r>
          </w:p>
        </w:tc>
      </w:tr>
      <w:tr w14:paraId="430C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945" w:type="dxa"/>
            <w:vMerge w:val="continue"/>
            <w:noWrap/>
            <w:vAlign w:val="center"/>
          </w:tcPr>
          <w:p w14:paraId="5BFC55D7">
            <w:pPr>
              <w:keepNext w:val="0"/>
              <w:keepLines w:val="0"/>
              <w:pageBreakBefore w:val="0"/>
              <w:kinsoku/>
              <w:wordWrap w:val="0"/>
              <w:overflowPunct/>
              <w:topLinePunct w:val="0"/>
              <w:bidi w:val="0"/>
              <w:jc w:val="center"/>
              <w:rPr>
                <w:color w:val="auto"/>
                <w:szCs w:val="21"/>
                <w:highlight w:val="none"/>
              </w:rPr>
            </w:pPr>
          </w:p>
        </w:tc>
        <w:tc>
          <w:tcPr>
            <w:tcW w:w="1183" w:type="dxa"/>
            <w:vMerge w:val="continue"/>
            <w:noWrap/>
            <w:vAlign w:val="center"/>
          </w:tcPr>
          <w:p w14:paraId="0B3A1A56">
            <w:pPr>
              <w:keepNext w:val="0"/>
              <w:keepLines w:val="0"/>
              <w:pageBreakBefore w:val="0"/>
              <w:kinsoku/>
              <w:wordWrap w:val="0"/>
              <w:overflowPunct/>
              <w:topLinePunct w:val="0"/>
              <w:bidi w:val="0"/>
              <w:spacing w:line="360" w:lineRule="auto"/>
              <w:rPr>
                <w:color w:val="auto"/>
                <w:szCs w:val="21"/>
                <w:highlight w:val="none"/>
              </w:rPr>
            </w:pPr>
          </w:p>
        </w:tc>
        <w:tc>
          <w:tcPr>
            <w:tcW w:w="2040" w:type="dxa"/>
            <w:noWrap/>
            <w:vAlign w:val="center"/>
          </w:tcPr>
          <w:p w14:paraId="3887FAC9">
            <w:pPr>
              <w:keepNext w:val="0"/>
              <w:keepLines w:val="0"/>
              <w:pageBreakBefore w:val="0"/>
              <w:kinsoku/>
              <w:wordWrap w:val="0"/>
              <w:overflowPunct/>
              <w:topLinePunct w:val="0"/>
              <w:bidi w:val="0"/>
              <w:spacing w:line="360" w:lineRule="auto"/>
              <w:ind w:firstLine="440" w:firstLineChars="200"/>
              <w:rPr>
                <w:rFonts w:hint="eastAsia" w:ascii="宋体" w:hAnsi="宋体" w:eastAsia="宋体" w:cs="宋体"/>
                <w:color w:val="auto"/>
                <w:sz w:val="22"/>
                <w:szCs w:val="21"/>
                <w:highlight w:val="none"/>
                <w:lang w:val="zh-CN" w:eastAsia="zh-CN" w:bidi="zh-CN"/>
              </w:rPr>
            </w:pPr>
            <w:r>
              <w:rPr>
                <w:rFonts w:hint="eastAsia"/>
                <w:color w:val="auto"/>
                <w:szCs w:val="21"/>
                <w:highlight w:val="none"/>
              </w:rPr>
              <w:t>财务状况</w:t>
            </w:r>
          </w:p>
        </w:tc>
        <w:tc>
          <w:tcPr>
            <w:tcW w:w="5295" w:type="dxa"/>
            <w:noWrap/>
            <w:vAlign w:val="center"/>
          </w:tcPr>
          <w:p w14:paraId="3F660C26">
            <w:pPr>
              <w:keepNext w:val="0"/>
              <w:keepLines w:val="0"/>
              <w:pageBreakBefore w:val="0"/>
              <w:kinsoku/>
              <w:wordWrap w:val="0"/>
              <w:overflowPunct/>
              <w:topLinePunct w:val="0"/>
              <w:bidi w:val="0"/>
              <w:spacing w:line="360" w:lineRule="auto"/>
              <w:rPr>
                <w:rFonts w:ascii="宋体" w:hAnsi="宋体" w:eastAsia="宋体" w:cs="宋体"/>
                <w:bCs/>
                <w:color w:val="auto"/>
                <w:sz w:val="22"/>
                <w:szCs w:val="21"/>
                <w:highlight w:val="none"/>
                <w:lang w:val="en-US" w:eastAsia="zh-CN" w:bidi="zh-CN"/>
              </w:rPr>
            </w:pPr>
            <w:r>
              <w:rPr>
                <w:rFonts w:hint="eastAsia" w:ascii="宋体" w:hAnsi="宋体" w:eastAsia="宋体" w:cs="宋体"/>
                <w:bCs/>
                <w:color w:val="auto"/>
                <w:sz w:val="22"/>
                <w:szCs w:val="21"/>
                <w:highlight w:val="none"/>
                <w:lang w:val="en-US" w:eastAsia="zh-CN" w:bidi="zh-CN"/>
              </w:rPr>
              <w:t>具有良好的商业信誉和健全的财务会计制度，提供2024年度财务报表或第三方审计机构出具的财务报告；2025年新成立公司无审计报告应附最新的财务报表及说明</w:t>
            </w:r>
            <w:r>
              <w:rPr>
                <w:rFonts w:hint="eastAsia" w:cs="宋体"/>
                <w:bCs/>
                <w:color w:val="auto"/>
                <w:sz w:val="22"/>
                <w:szCs w:val="21"/>
                <w:highlight w:val="none"/>
                <w:lang w:val="en-US" w:eastAsia="zh-CN" w:bidi="zh-CN"/>
              </w:rPr>
              <w:t>；</w:t>
            </w:r>
          </w:p>
        </w:tc>
      </w:tr>
      <w:tr w14:paraId="1FCB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trPr>
        <w:tc>
          <w:tcPr>
            <w:tcW w:w="945" w:type="dxa"/>
            <w:vMerge w:val="continue"/>
            <w:noWrap/>
            <w:vAlign w:val="center"/>
          </w:tcPr>
          <w:p w14:paraId="3BAEEEE0">
            <w:pPr>
              <w:keepNext w:val="0"/>
              <w:keepLines w:val="0"/>
              <w:pageBreakBefore w:val="0"/>
              <w:kinsoku/>
              <w:wordWrap w:val="0"/>
              <w:overflowPunct/>
              <w:topLinePunct w:val="0"/>
              <w:bidi w:val="0"/>
              <w:jc w:val="center"/>
              <w:rPr>
                <w:color w:val="auto"/>
                <w:szCs w:val="21"/>
                <w:highlight w:val="none"/>
              </w:rPr>
            </w:pPr>
          </w:p>
        </w:tc>
        <w:tc>
          <w:tcPr>
            <w:tcW w:w="1183" w:type="dxa"/>
            <w:vMerge w:val="continue"/>
            <w:noWrap/>
            <w:vAlign w:val="center"/>
          </w:tcPr>
          <w:p w14:paraId="1911B89F">
            <w:pPr>
              <w:keepNext w:val="0"/>
              <w:keepLines w:val="0"/>
              <w:pageBreakBefore w:val="0"/>
              <w:kinsoku/>
              <w:wordWrap w:val="0"/>
              <w:overflowPunct/>
              <w:topLinePunct w:val="0"/>
              <w:bidi w:val="0"/>
              <w:spacing w:line="360" w:lineRule="auto"/>
              <w:rPr>
                <w:color w:val="auto"/>
                <w:szCs w:val="21"/>
                <w:highlight w:val="none"/>
              </w:rPr>
            </w:pPr>
          </w:p>
        </w:tc>
        <w:tc>
          <w:tcPr>
            <w:tcW w:w="2040" w:type="dxa"/>
            <w:noWrap/>
            <w:vAlign w:val="center"/>
          </w:tcPr>
          <w:p w14:paraId="636E0DE7">
            <w:pPr>
              <w:keepNext w:val="0"/>
              <w:keepLines w:val="0"/>
              <w:pageBreakBefore w:val="0"/>
              <w:kinsoku/>
              <w:wordWrap w:val="0"/>
              <w:overflowPunct/>
              <w:topLinePunct w:val="0"/>
              <w:bidi w:val="0"/>
              <w:spacing w:line="360" w:lineRule="auto"/>
              <w:ind w:firstLine="440" w:firstLineChars="200"/>
              <w:rPr>
                <w:rFonts w:ascii="宋体" w:hAnsi="宋体" w:eastAsia="宋体" w:cs="宋体"/>
                <w:color w:val="auto"/>
                <w:sz w:val="22"/>
                <w:szCs w:val="21"/>
                <w:highlight w:val="none"/>
                <w:lang w:val="zh-CN" w:eastAsia="zh-CN" w:bidi="zh-CN"/>
              </w:rPr>
            </w:pPr>
            <w:r>
              <w:rPr>
                <w:rFonts w:hint="eastAsia"/>
                <w:color w:val="auto"/>
                <w:szCs w:val="21"/>
                <w:highlight w:val="none"/>
              </w:rPr>
              <w:t>企业税收</w:t>
            </w:r>
          </w:p>
        </w:tc>
        <w:tc>
          <w:tcPr>
            <w:tcW w:w="5295" w:type="dxa"/>
            <w:noWrap/>
            <w:vAlign w:val="center"/>
          </w:tcPr>
          <w:p w14:paraId="3F6A4872">
            <w:pPr>
              <w:keepNext w:val="0"/>
              <w:keepLines w:val="0"/>
              <w:pageBreakBefore w:val="0"/>
              <w:kinsoku/>
              <w:wordWrap w:val="0"/>
              <w:overflowPunct/>
              <w:topLinePunct w:val="0"/>
              <w:bidi w:val="0"/>
              <w:spacing w:line="360" w:lineRule="auto"/>
              <w:rPr>
                <w:rFonts w:hint="eastAsia" w:ascii="宋体" w:hAnsi="宋体" w:eastAsia="宋体" w:cs="宋体"/>
                <w:bCs/>
                <w:color w:val="auto"/>
                <w:sz w:val="22"/>
                <w:szCs w:val="21"/>
                <w:highlight w:val="none"/>
                <w:lang w:val="en-US" w:eastAsia="zh-CN" w:bidi="zh-CN"/>
              </w:rPr>
            </w:pPr>
            <w:r>
              <w:rPr>
                <w:rFonts w:hint="eastAsia" w:eastAsia="宋体"/>
                <w:bCs/>
                <w:color w:val="auto"/>
                <w:szCs w:val="21"/>
                <w:highlight w:val="none"/>
                <w:lang w:val="en-US" w:eastAsia="zh-CN"/>
              </w:rPr>
              <w:t>企业近半年任意连续三个月依法缴纳税收的证明资料（新成立的企业从成立之日起计算）主要是指缴纳增值税或企业所得税或企业附加税的缴费证明，依法免税的投标响应人，应提供相应文件证明其依法免税；</w:t>
            </w:r>
          </w:p>
        </w:tc>
      </w:tr>
      <w:tr w14:paraId="14FE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45" w:type="dxa"/>
            <w:vMerge w:val="continue"/>
            <w:noWrap/>
            <w:vAlign w:val="center"/>
          </w:tcPr>
          <w:p w14:paraId="0CC8B83C">
            <w:pPr>
              <w:keepNext w:val="0"/>
              <w:keepLines w:val="0"/>
              <w:pageBreakBefore w:val="0"/>
              <w:kinsoku/>
              <w:wordWrap w:val="0"/>
              <w:overflowPunct/>
              <w:topLinePunct w:val="0"/>
              <w:bidi w:val="0"/>
              <w:jc w:val="center"/>
              <w:rPr>
                <w:color w:val="auto"/>
                <w:szCs w:val="21"/>
                <w:highlight w:val="none"/>
              </w:rPr>
            </w:pPr>
          </w:p>
        </w:tc>
        <w:tc>
          <w:tcPr>
            <w:tcW w:w="1183" w:type="dxa"/>
            <w:vMerge w:val="continue"/>
            <w:noWrap/>
            <w:vAlign w:val="center"/>
          </w:tcPr>
          <w:p w14:paraId="2D95708A">
            <w:pPr>
              <w:keepNext w:val="0"/>
              <w:keepLines w:val="0"/>
              <w:pageBreakBefore w:val="0"/>
              <w:kinsoku/>
              <w:wordWrap w:val="0"/>
              <w:overflowPunct/>
              <w:topLinePunct w:val="0"/>
              <w:bidi w:val="0"/>
              <w:spacing w:line="360" w:lineRule="auto"/>
              <w:rPr>
                <w:color w:val="auto"/>
                <w:szCs w:val="21"/>
                <w:highlight w:val="none"/>
              </w:rPr>
            </w:pPr>
          </w:p>
        </w:tc>
        <w:tc>
          <w:tcPr>
            <w:tcW w:w="2040" w:type="dxa"/>
            <w:noWrap/>
            <w:vAlign w:val="center"/>
          </w:tcPr>
          <w:p w14:paraId="5431FFA4">
            <w:pPr>
              <w:keepNext w:val="0"/>
              <w:keepLines w:val="0"/>
              <w:pageBreakBefore w:val="0"/>
              <w:kinsoku/>
              <w:wordWrap w:val="0"/>
              <w:overflowPunct/>
              <w:topLinePunct w:val="0"/>
              <w:bidi w:val="0"/>
              <w:spacing w:line="360" w:lineRule="auto"/>
              <w:jc w:val="center"/>
              <w:rPr>
                <w:rFonts w:hint="eastAsia" w:ascii="宋体" w:hAnsi="宋体" w:eastAsia="宋体" w:cs="宋体"/>
                <w:bCs/>
                <w:color w:val="auto"/>
                <w:sz w:val="22"/>
                <w:szCs w:val="21"/>
                <w:highlight w:val="none"/>
                <w:lang w:val="zh-CN" w:eastAsia="zh-CN" w:bidi="zh-CN"/>
              </w:rPr>
            </w:pPr>
            <w:r>
              <w:rPr>
                <w:rFonts w:hint="eastAsia" w:ascii="宋体" w:hAnsi="宋体" w:eastAsia="宋体" w:cs="宋体"/>
                <w:bCs/>
                <w:color w:val="auto"/>
                <w:szCs w:val="21"/>
                <w:highlight w:val="none"/>
                <w:lang w:val="en-US"/>
              </w:rPr>
              <w:t>项目负责人</w:t>
            </w:r>
          </w:p>
        </w:tc>
        <w:tc>
          <w:tcPr>
            <w:tcW w:w="5295" w:type="dxa"/>
            <w:noWrap/>
            <w:vAlign w:val="center"/>
          </w:tcPr>
          <w:p w14:paraId="5E7953EF">
            <w:pPr>
              <w:keepNext w:val="0"/>
              <w:keepLines w:val="0"/>
              <w:pageBreakBefore w:val="0"/>
              <w:kinsoku/>
              <w:wordWrap w:val="0"/>
              <w:overflowPunct/>
              <w:topLinePunct w:val="0"/>
              <w:bidi w:val="0"/>
              <w:spacing w:line="360" w:lineRule="auto"/>
              <w:rPr>
                <w:rFonts w:hint="eastAsia" w:ascii="宋体" w:hAnsi="宋体" w:eastAsia="宋体" w:cs="宋体"/>
                <w:bCs/>
                <w:color w:val="auto"/>
                <w:sz w:val="22"/>
                <w:szCs w:val="21"/>
                <w:highlight w:val="none"/>
                <w:lang w:val="en-US" w:eastAsia="zh-CN" w:bidi="zh-CN"/>
              </w:rPr>
            </w:pPr>
            <w:r>
              <w:rPr>
                <w:rFonts w:hint="eastAsia" w:ascii="宋体" w:hAnsi="宋体" w:eastAsia="宋体" w:cs="宋体"/>
                <w:bCs/>
                <w:color w:val="auto"/>
                <w:szCs w:val="21"/>
                <w:highlight w:val="none"/>
                <w:lang w:val="en-US"/>
              </w:rPr>
              <w:t>项目负责人为本单位正式员工（提供劳动合同）且已参加社会保险，提供近半年任意连续三个月参加社会养老保险的缴费证明（新成立企业从成立之日起计算）</w:t>
            </w:r>
          </w:p>
        </w:tc>
      </w:tr>
      <w:tr w14:paraId="2055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trPr>
        <w:tc>
          <w:tcPr>
            <w:tcW w:w="945" w:type="dxa"/>
            <w:vMerge w:val="continue"/>
            <w:noWrap/>
            <w:vAlign w:val="center"/>
          </w:tcPr>
          <w:p w14:paraId="305FFFC7">
            <w:pPr>
              <w:keepNext w:val="0"/>
              <w:keepLines w:val="0"/>
              <w:pageBreakBefore w:val="0"/>
              <w:kinsoku/>
              <w:wordWrap w:val="0"/>
              <w:overflowPunct/>
              <w:topLinePunct w:val="0"/>
              <w:bidi w:val="0"/>
              <w:jc w:val="center"/>
              <w:rPr>
                <w:color w:val="auto"/>
                <w:szCs w:val="21"/>
                <w:highlight w:val="none"/>
              </w:rPr>
            </w:pPr>
          </w:p>
        </w:tc>
        <w:tc>
          <w:tcPr>
            <w:tcW w:w="1183" w:type="dxa"/>
            <w:vMerge w:val="continue"/>
            <w:noWrap/>
            <w:vAlign w:val="center"/>
          </w:tcPr>
          <w:p w14:paraId="4CC26BAF">
            <w:pPr>
              <w:keepNext w:val="0"/>
              <w:keepLines w:val="0"/>
              <w:pageBreakBefore w:val="0"/>
              <w:kinsoku/>
              <w:wordWrap w:val="0"/>
              <w:overflowPunct/>
              <w:topLinePunct w:val="0"/>
              <w:bidi w:val="0"/>
              <w:spacing w:line="360" w:lineRule="auto"/>
              <w:rPr>
                <w:color w:val="auto"/>
                <w:szCs w:val="21"/>
                <w:highlight w:val="none"/>
              </w:rPr>
            </w:pPr>
          </w:p>
        </w:tc>
        <w:tc>
          <w:tcPr>
            <w:tcW w:w="2040" w:type="dxa"/>
            <w:noWrap/>
            <w:vAlign w:val="center"/>
          </w:tcPr>
          <w:p w14:paraId="146C9F93">
            <w:pPr>
              <w:keepNext w:val="0"/>
              <w:keepLines w:val="0"/>
              <w:pageBreakBefore w:val="0"/>
              <w:kinsoku/>
              <w:wordWrap w:val="0"/>
              <w:overflowPunct/>
              <w:topLinePunct w:val="0"/>
              <w:bidi w:val="0"/>
              <w:spacing w:line="240" w:lineRule="atLeast"/>
              <w:jc w:val="center"/>
              <w:rPr>
                <w:rFonts w:hint="eastAsia" w:ascii="宋体" w:hAnsi="宋体" w:eastAsia="宋体" w:cs="宋体"/>
                <w:color w:val="auto"/>
                <w:sz w:val="22"/>
                <w:szCs w:val="21"/>
                <w:highlight w:val="none"/>
                <w:lang w:val="zh-CN" w:eastAsia="zh-CN" w:bidi="zh-CN"/>
              </w:rPr>
            </w:pPr>
            <w:r>
              <w:rPr>
                <w:rFonts w:hint="eastAsia"/>
                <w:color w:val="auto"/>
                <w:szCs w:val="21"/>
                <w:highlight w:val="none"/>
                <w:lang w:eastAsia="zh-CN"/>
              </w:rPr>
              <w:t>企业履行合同能力</w:t>
            </w:r>
          </w:p>
        </w:tc>
        <w:tc>
          <w:tcPr>
            <w:tcW w:w="5295" w:type="dxa"/>
            <w:noWrap/>
            <w:vAlign w:val="center"/>
          </w:tcPr>
          <w:p w14:paraId="33EF62F6">
            <w:pPr>
              <w:keepNext w:val="0"/>
              <w:keepLines w:val="0"/>
              <w:pageBreakBefore w:val="0"/>
              <w:tabs>
                <w:tab w:val="left" w:pos="360"/>
              </w:tabs>
              <w:kinsoku/>
              <w:wordWrap w:val="0"/>
              <w:overflowPunct/>
              <w:topLinePunct w:val="0"/>
              <w:bidi w:val="0"/>
              <w:spacing w:line="320" w:lineRule="exact"/>
              <w:rPr>
                <w:rFonts w:hint="eastAsia" w:ascii="宋体" w:hAnsi="宋体" w:eastAsia="宋体" w:cs="宋体"/>
                <w:color w:val="auto"/>
                <w:sz w:val="22"/>
                <w:szCs w:val="21"/>
                <w:highlight w:val="none"/>
                <w:lang w:val="en-US" w:eastAsia="zh-CN" w:bidi="zh-CN"/>
              </w:rPr>
            </w:pPr>
            <w:r>
              <w:rPr>
                <w:rFonts w:hint="eastAsia"/>
                <w:color w:val="auto"/>
                <w:szCs w:val="21"/>
                <w:highlight w:val="none"/>
                <w:lang w:val="en-US"/>
              </w:rPr>
              <w:t>具备履行合同所必需的设备和专业技术能力的</w:t>
            </w:r>
            <w:r>
              <w:rPr>
                <w:rFonts w:hint="eastAsia"/>
                <w:color w:val="auto"/>
                <w:szCs w:val="21"/>
                <w:highlight w:val="none"/>
                <w:lang w:val="en-US" w:eastAsia="zh-CN"/>
              </w:rPr>
              <w:t>承诺书；</w:t>
            </w:r>
          </w:p>
        </w:tc>
      </w:tr>
      <w:tr w14:paraId="7E94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trPr>
        <w:tc>
          <w:tcPr>
            <w:tcW w:w="945" w:type="dxa"/>
            <w:vMerge w:val="continue"/>
            <w:noWrap/>
            <w:vAlign w:val="center"/>
          </w:tcPr>
          <w:p w14:paraId="38309919">
            <w:pPr>
              <w:keepNext w:val="0"/>
              <w:keepLines w:val="0"/>
              <w:pageBreakBefore w:val="0"/>
              <w:kinsoku/>
              <w:wordWrap w:val="0"/>
              <w:overflowPunct/>
              <w:topLinePunct w:val="0"/>
              <w:bidi w:val="0"/>
              <w:jc w:val="center"/>
              <w:rPr>
                <w:color w:val="auto"/>
                <w:szCs w:val="21"/>
                <w:highlight w:val="none"/>
              </w:rPr>
            </w:pPr>
          </w:p>
        </w:tc>
        <w:tc>
          <w:tcPr>
            <w:tcW w:w="1183" w:type="dxa"/>
            <w:vMerge w:val="continue"/>
            <w:noWrap/>
            <w:vAlign w:val="center"/>
          </w:tcPr>
          <w:p w14:paraId="2AA863DD">
            <w:pPr>
              <w:keepNext w:val="0"/>
              <w:keepLines w:val="0"/>
              <w:pageBreakBefore w:val="0"/>
              <w:kinsoku/>
              <w:wordWrap w:val="0"/>
              <w:overflowPunct/>
              <w:topLinePunct w:val="0"/>
              <w:bidi w:val="0"/>
              <w:spacing w:line="360" w:lineRule="auto"/>
              <w:rPr>
                <w:color w:val="auto"/>
                <w:szCs w:val="21"/>
                <w:highlight w:val="none"/>
              </w:rPr>
            </w:pPr>
          </w:p>
        </w:tc>
        <w:tc>
          <w:tcPr>
            <w:tcW w:w="2040" w:type="dxa"/>
            <w:noWrap/>
            <w:vAlign w:val="center"/>
          </w:tcPr>
          <w:p w14:paraId="05BF05BD">
            <w:pPr>
              <w:keepNext w:val="0"/>
              <w:keepLines w:val="0"/>
              <w:pageBreakBefore w:val="0"/>
              <w:kinsoku/>
              <w:wordWrap w:val="0"/>
              <w:overflowPunct/>
              <w:topLinePunct w:val="0"/>
              <w:bidi w:val="0"/>
              <w:spacing w:line="240" w:lineRule="atLeast"/>
              <w:rPr>
                <w:rFonts w:hint="eastAsia" w:ascii="宋体" w:hAnsi="宋体" w:eastAsia="宋体" w:cs="宋体"/>
                <w:color w:val="auto"/>
                <w:sz w:val="22"/>
                <w:szCs w:val="21"/>
                <w:highlight w:val="none"/>
                <w:lang w:val="zh-CN" w:eastAsia="zh-CN" w:bidi="zh-CN"/>
              </w:rPr>
            </w:pPr>
            <w:r>
              <w:rPr>
                <w:rFonts w:hint="eastAsia"/>
                <w:color w:val="auto"/>
                <w:szCs w:val="21"/>
                <w:highlight w:val="none"/>
                <w:lang w:eastAsia="zh-CN"/>
              </w:rPr>
              <w:t>诚信承诺及查询</w:t>
            </w:r>
          </w:p>
        </w:tc>
        <w:tc>
          <w:tcPr>
            <w:tcW w:w="5295" w:type="dxa"/>
            <w:noWrap/>
            <w:vAlign w:val="center"/>
          </w:tcPr>
          <w:p w14:paraId="5028D3FA">
            <w:pPr>
              <w:keepNext w:val="0"/>
              <w:keepLines w:val="0"/>
              <w:pageBreakBefore w:val="0"/>
              <w:tabs>
                <w:tab w:val="left" w:pos="360"/>
              </w:tabs>
              <w:kinsoku/>
              <w:wordWrap w:val="0"/>
              <w:overflowPunct/>
              <w:topLinePunct w:val="0"/>
              <w:bidi w:val="0"/>
              <w:spacing w:line="320" w:lineRule="exact"/>
              <w:ind w:firstLine="440" w:firstLineChars="200"/>
              <w:rPr>
                <w:rFonts w:hint="eastAsia"/>
                <w:color w:val="auto"/>
                <w:szCs w:val="21"/>
                <w:highlight w:val="none"/>
                <w:lang w:val="en-US"/>
              </w:rPr>
            </w:pPr>
            <w:r>
              <w:rPr>
                <w:rFonts w:hint="eastAsia"/>
                <w:color w:val="auto"/>
                <w:szCs w:val="21"/>
                <w:highlight w:val="none"/>
                <w:lang w:val="en-US" w:eastAsia="zh-CN"/>
              </w:rPr>
              <w:t>1、参加政府采购活动前3年内在经营活动中没有</w:t>
            </w:r>
            <w:r>
              <w:rPr>
                <w:rFonts w:hint="eastAsia"/>
                <w:color w:val="auto"/>
                <w:szCs w:val="21"/>
                <w:highlight w:val="none"/>
                <w:lang w:val="en-US"/>
              </w:rPr>
              <w:t>骗取中标、重大违法记录</w:t>
            </w:r>
            <w:r>
              <w:rPr>
                <w:rFonts w:hint="eastAsia"/>
                <w:color w:val="auto"/>
                <w:szCs w:val="21"/>
                <w:highlight w:val="none"/>
                <w:lang w:val="en-US" w:eastAsia="zh-CN"/>
              </w:rPr>
              <w:t>、</w:t>
            </w:r>
            <w:r>
              <w:rPr>
                <w:rFonts w:hint="eastAsia"/>
                <w:color w:val="auto"/>
                <w:szCs w:val="21"/>
                <w:highlight w:val="none"/>
                <w:lang w:val="en-US"/>
              </w:rPr>
              <w:t>严重违约等问题；</w:t>
            </w:r>
          </w:p>
          <w:p w14:paraId="142A0993">
            <w:pPr>
              <w:keepNext w:val="0"/>
              <w:keepLines w:val="0"/>
              <w:pageBreakBefore w:val="0"/>
              <w:tabs>
                <w:tab w:val="left" w:pos="360"/>
              </w:tabs>
              <w:kinsoku/>
              <w:wordWrap w:val="0"/>
              <w:overflowPunct/>
              <w:topLinePunct w:val="0"/>
              <w:bidi w:val="0"/>
              <w:spacing w:line="320" w:lineRule="exact"/>
              <w:ind w:firstLine="440" w:firstLineChars="200"/>
              <w:rPr>
                <w:rFonts w:hint="eastAsia"/>
                <w:color w:val="auto"/>
                <w:szCs w:val="21"/>
                <w:highlight w:val="none"/>
                <w:lang w:val="en-US"/>
              </w:rPr>
            </w:pPr>
            <w:r>
              <w:rPr>
                <w:rFonts w:hint="eastAsia"/>
                <w:color w:val="auto"/>
                <w:szCs w:val="21"/>
                <w:highlight w:val="none"/>
                <w:lang w:val="en-US" w:eastAsia="zh-CN"/>
              </w:rPr>
              <w:t>2、</w:t>
            </w:r>
            <w:r>
              <w:rPr>
                <w:rFonts w:hint="eastAsia"/>
                <w:color w:val="auto"/>
                <w:szCs w:val="21"/>
                <w:highlight w:val="none"/>
                <w:lang w:val="en-US"/>
              </w:rPr>
              <w:t>参加政府采购活动前3年内无行贿犯罪记录</w:t>
            </w:r>
            <w:r>
              <w:rPr>
                <w:rFonts w:hint="eastAsia"/>
                <w:color w:val="auto"/>
                <w:szCs w:val="21"/>
                <w:highlight w:val="none"/>
                <w:lang w:val="en-US" w:eastAsia="zh-CN"/>
              </w:rPr>
              <w:t>，</w:t>
            </w:r>
            <w:r>
              <w:rPr>
                <w:rFonts w:hint="eastAsia"/>
                <w:color w:val="auto"/>
                <w:szCs w:val="21"/>
                <w:highlight w:val="none"/>
                <w:lang w:val="en-US"/>
              </w:rPr>
              <w:t>供应商出具</w:t>
            </w:r>
            <w:r>
              <w:rPr>
                <w:rFonts w:hint="eastAsia"/>
                <w:color w:val="auto"/>
                <w:szCs w:val="21"/>
                <w:highlight w:val="none"/>
                <w:lang w:val="en-US" w:eastAsia="zh-CN"/>
              </w:rPr>
              <w:t>的</w:t>
            </w:r>
            <w:r>
              <w:rPr>
                <w:rFonts w:hint="eastAsia"/>
                <w:color w:val="auto"/>
                <w:szCs w:val="21"/>
                <w:highlight w:val="none"/>
                <w:lang w:val="en-US"/>
              </w:rPr>
              <w:t>无行贿犯罪记录在中国裁判文书网自行查询或自行承诺（查询对象：企业、法定代表人</w:t>
            </w:r>
            <w:r>
              <w:rPr>
                <w:rFonts w:hint="eastAsia"/>
                <w:color w:val="auto"/>
                <w:szCs w:val="21"/>
                <w:highlight w:val="none"/>
                <w:lang w:val="en-US" w:eastAsia="zh-CN"/>
              </w:rPr>
              <w:t>、项目负责人</w:t>
            </w:r>
            <w:r>
              <w:rPr>
                <w:rFonts w:hint="eastAsia"/>
                <w:color w:val="auto"/>
                <w:szCs w:val="21"/>
                <w:highlight w:val="none"/>
                <w:lang w:val="en-US"/>
              </w:rPr>
              <w:t>）；</w:t>
            </w:r>
          </w:p>
          <w:p w14:paraId="2D00ACDC">
            <w:pPr>
              <w:keepNext w:val="0"/>
              <w:keepLines w:val="0"/>
              <w:pageBreakBefore w:val="0"/>
              <w:tabs>
                <w:tab w:val="left" w:pos="360"/>
              </w:tabs>
              <w:kinsoku/>
              <w:wordWrap w:val="0"/>
              <w:overflowPunct/>
              <w:topLinePunct w:val="0"/>
              <w:bidi w:val="0"/>
              <w:spacing w:line="320" w:lineRule="exact"/>
              <w:ind w:firstLine="440" w:firstLineChars="200"/>
              <w:rPr>
                <w:rFonts w:hint="eastAsia"/>
                <w:color w:val="auto"/>
                <w:szCs w:val="21"/>
                <w:highlight w:val="none"/>
                <w:lang w:val="en-US"/>
              </w:rPr>
            </w:pPr>
            <w:r>
              <w:rPr>
                <w:rFonts w:hint="eastAsia"/>
                <w:color w:val="auto"/>
                <w:szCs w:val="21"/>
                <w:highlight w:val="none"/>
                <w:lang w:val="en-US" w:eastAsia="zh-CN"/>
              </w:rPr>
              <w:t>3、</w:t>
            </w:r>
            <w:r>
              <w:rPr>
                <w:rFonts w:hint="eastAsia"/>
                <w:color w:val="auto"/>
                <w:szCs w:val="21"/>
                <w:highlight w:val="none"/>
                <w:lang w:val="en-US"/>
              </w:rPr>
              <w:t>提供企业注册地工商管理部门出具的无商业贿赂和不正当竞争行为的查询证明（若当地工商管理部门不办理此项业务，供应商须自行出具本企业无商业贿赂和不正当竞争行为承诺书）；</w:t>
            </w:r>
          </w:p>
          <w:p w14:paraId="098D6302">
            <w:pPr>
              <w:keepNext w:val="0"/>
              <w:keepLines w:val="0"/>
              <w:pageBreakBefore w:val="0"/>
              <w:tabs>
                <w:tab w:val="left" w:pos="360"/>
              </w:tabs>
              <w:kinsoku/>
              <w:wordWrap w:val="0"/>
              <w:overflowPunct/>
              <w:topLinePunct w:val="0"/>
              <w:bidi w:val="0"/>
              <w:spacing w:line="320" w:lineRule="exact"/>
              <w:ind w:firstLine="440" w:firstLineChars="200"/>
              <w:rPr>
                <w:rFonts w:hint="eastAsia" w:ascii="宋体" w:hAnsi="宋体" w:eastAsia="宋体" w:cs="宋体"/>
                <w:color w:val="auto"/>
                <w:sz w:val="22"/>
                <w:szCs w:val="21"/>
                <w:highlight w:val="none"/>
                <w:lang w:val="en-US" w:eastAsia="zh-CN" w:bidi="zh-CN"/>
              </w:rPr>
            </w:pPr>
            <w:r>
              <w:rPr>
                <w:rFonts w:hint="eastAsia"/>
                <w:color w:val="auto"/>
                <w:szCs w:val="21"/>
                <w:highlight w:val="none"/>
                <w:lang w:val="en-US"/>
              </w:rPr>
              <w:t>4、</w:t>
            </w:r>
            <w:r>
              <w:rPr>
                <w:rFonts w:hint="eastAsia"/>
                <w:color w:val="auto"/>
                <w:szCs w:val="21"/>
                <w:highlight w:val="none"/>
                <w:lang w:val="en-US" w:eastAsia="zh-CN"/>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网页截图，查询结果清晰可见)；</w:t>
            </w:r>
          </w:p>
        </w:tc>
      </w:tr>
      <w:tr w14:paraId="59D5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945" w:type="dxa"/>
            <w:vMerge w:val="continue"/>
            <w:noWrap/>
            <w:vAlign w:val="center"/>
          </w:tcPr>
          <w:p w14:paraId="2AEF4ACB">
            <w:pPr>
              <w:keepNext w:val="0"/>
              <w:keepLines w:val="0"/>
              <w:pageBreakBefore w:val="0"/>
              <w:kinsoku/>
              <w:wordWrap w:val="0"/>
              <w:overflowPunct/>
              <w:topLinePunct w:val="0"/>
              <w:bidi w:val="0"/>
              <w:jc w:val="center"/>
              <w:rPr>
                <w:color w:val="auto"/>
                <w:szCs w:val="21"/>
                <w:highlight w:val="none"/>
              </w:rPr>
            </w:pPr>
          </w:p>
        </w:tc>
        <w:tc>
          <w:tcPr>
            <w:tcW w:w="1183" w:type="dxa"/>
            <w:vMerge w:val="continue"/>
            <w:noWrap/>
            <w:vAlign w:val="center"/>
          </w:tcPr>
          <w:p w14:paraId="548C344C">
            <w:pPr>
              <w:keepNext w:val="0"/>
              <w:keepLines w:val="0"/>
              <w:pageBreakBefore w:val="0"/>
              <w:kinsoku/>
              <w:wordWrap w:val="0"/>
              <w:overflowPunct/>
              <w:topLinePunct w:val="0"/>
              <w:bidi w:val="0"/>
              <w:spacing w:line="360" w:lineRule="auto"/>
              <w:rPr>
                <w:color w:val="auto"/>
                <w:szCs w:val="21"/>
                <w:highlight w:val="none"/>
              </w:rPr>
            </w:pPr>
          </w:p>
        </w:tc>
        <w:tc>
          <w:tcPr>
            <w:tcW w:w="2040" w:type="dxa"/>
            <w:noWrap/>
            <w:vAlign w:val="center"/>
          </w:tcPr>
          <w:p w14:paraId="605921F8">
            <w:pPr>
              <w:keepNext w:val="0"/>
              <w:keepLines w:val="0"/>
              <w:pageBreakBefore w:val="0"/>
              <w:kinsoku/>
              <w:wordWrap w:val="0"/>
              <w:overflowPunct/>
              <w:topLinePunct w:val="0"/>
              <w:bidi w:val="0"/>
              <w:spacing w:line="240" w:lineRule="atLeast"/>
              <w:jc w:val="center"/>
              <w:rPr>
                <w:rFonts w:hint="eastAsia" w:ascii="宋体" w:hAnsi="宋体" w:eastAsia="宋体" w:cs="宋体"/>
                <w:color w:val="auto"/>
                <w:sz w:val="22"/>
                <w:szCs w:val="21"/>
                <w:highlight w:val="none"/>
                <w:lang w:val="zh-CN" w:eastAsia="zh-CN" w:bidi="zh-CN"/>
              </w:rPr>
            </w:pPr>
            <w:r>
              <w:rPr>
                <w:rFonts w:hint="eastAsia"/>
                <w:color w:val="auto"/>
                <w:szCs w:val="21"/>
                <w:highlight w:val="none"/>
                <w:lang w:eastAsia="zh-CN"/>
              </w:rPr>
              <w:t>其他内容</w:t>
            </w:r>
          </w:p>
        </w:tc>
        <w:tc>
          <w:tcPr>
            <w:tcW w:w="5295" w:type="dxa"/>
            <w:noWrap/>
            <w:vAlign w:val="center"/>
          </w:tcPr>
          <w:p w14:paraId="133B54B4">
            <w:pPr>
              <w:keepNext w:val="0"/>
              <w:keepLines w:val="0"/>
              <w:pageBreakBefore w:val="0"/>
              <w:tabs>
                <w:tab w:val="left" w:pos="360"/>
              </w:tabs>
              <w:kinsoku/>
              <w:wordWrap w:val="0"/>
              <w:overflowPunct/>
              <w:topLinePunct w:val="0"/>
              <w:bidi w:val="0"/>
              <w:spacing w:line="320" w:lineRule="exact"/>
              <w:rPr>
                <w:rFonts w:hint="eastAsia" w:ascii="宋体" w:hAnsi="宋体" w:eastAsia="宋体" w:cs="宋体"/>
                <w:color w:val="auto"/>
                <w:sz w:val="22"/>
                <w:szCs w:val="21"/>
                <w:highlight w:val="none"/>
                <w:lang w:val="en-US" w:eastAsia="zh-CN" w:bidi="zh-CN"/>
              </w:rPr>
            </w:pPr>
            <w:r>
              <w:rPr>
                <w:rFonts w:hint="eastAsia"/>
                <w:color w:val="auto"/>
                <w:szCs w:val="21"/>
                <w:highlight w:val="none"/>
                <w:lang w:val="en-US" w:eastAsia="zh-CN"/>
              </w:rPr>
              <w:t>竞争性磋商文件规定的其他资格要求资料</w:t>
            </w:r>
          </w:p>
        </w:tc>
      </w:tr>
      <w:tr w14:paraId="2DFA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945" w:type="dxa"/>
            <w:vMerge w:val="restart"/>
            <w:noWrap/>
            <w:vAlign w:val="center"/>
          </w:tcPr>
          <w:p w14:paraId="5E08908C">
            <w:pPr>
              <w:keepNext w:val="0"/>
              <w:keepLines w:val="0"/>
              <w:pageBreakBefore w:val="0"/>
              <w:kinsoku/>
              <w:wordWrap w:val="0"/>
              <w:overflowPunct/>
              <w:topLinePunct w:val="0"/>
              <w:bidi w:val="0"/>
              <w:jc w:val="center"/>
              <w:rPr>
                <w:color w:val="auto"/>
                <w:szCs w:val="21"/>
                <w:highlight w:val="none"/>
              </w:rPr>
            </w:pPr>
            <w:r>
              <w:rPr>
                <w:rFonts w:hint="eastAsia"/>
                <w:color w:val="auto"/>
                <w:szCs w:val="21"/>
                <w:highlight w:val="none"/>
                <w:lang w:val="en-US" w:eastAsia="zh-CN"/>
              </w:rPr>
              <w:t>1</w:t>
            </w:r>
            <w:r>
              <w:rPr>
                <w:rFonts w:hint="eastAsia"/>
                <w:color w:val="auto"/>
                <w:szCs w:val="21"/>
                <w:highlight w:val="none"/>
              </w:rPr>
              <w:t>.1.3</w:t>
            </w:r>
          </w:p>
        </w:tc>
        <w:tc>
          <w:tcPr>
            <w:tcW w:w="1183" w:type="dxa"/>
            <w:vMerge w:val="restart"/>
            <w:noWrap/>
            <w:vAlign w:val="center"/>
          </w:tcPr>
          <w:p w14:paraId="037D55EB">
            <w:pPr>
              <w:keepNext w:val="0"/>
              <w:keepLines w:val="0"/>
              <w:pageBreakBefore w:val="0"/>
              <w:kinsoku/>
              <w:wordWrap w:val="0"/>
              <w:overflowPunct/>
              <w:topLinePunct w:val="0"/>
              <w:bidi w:val="0"/>
              <w:jc w:val="center"/>
              <w:rPr>
                <w:color w:val="auto"/>
                <w:szCs w:val="21"/>
                <w:highlight w:val="none"/>
              </w:rPr>
            </w:pPr>
            <w:r>
              <w:rPr>
                <w:rFonts w:hint="eastAsia"/>
                <w:color w:val="auto"/>
                <w:szCs w:val="21"/>
                <w:highlight w:val="none"/>
              </w:rPr>
              <w:t>响应性评审标准</w:t>
            </w:r>
          </w:p>
        </w:tc>
        <w:tc>
          <w:tcPr>
            <w:tcW w:w="2040" w:type="dxa"/>
            <w:noWrap/>
            <w:vAlign w:val="center"/>
          </w:tcPr>
          <w:p w14:paraId="374D674E">
            <w:pPr>
              <w:keepNext w:val="0"/>
              <w:keepLines w:val="0"/>
              <w:pageBreakBefore w:val="0"/>
              <w:kinsoku/>
              <w:wordWrap w:val="0"/>
              <w:overflowPunct/>
              <w:topLinePunct w:val="0"/>
              <w:bidi w:val="0"/>
              <w:spacing w:line="360" w:lineRule="auto"/>
              <w:ind w:firstLine="440" w:firstLineChars="200"/>
              <w:jc w:val="center"/>
              <w:rPr>
                <w:color w:val="auto"/>
                <w:szCs w:val="21"/>
                <w:highlight w:val="none"/>
              </w:rPr>
            </w:pPr>
            <w:r>
              <w:rPr>
                <w:rFonts w:hint="eastAsia"/>
                <w:color w:val="auto"/>
                <w:szCs w:val="21"/>
                <w:highlight w:val="none"/>
              </w:rPr>
              <w:t>投标内容</w:t>
            </w:r>
          </w:p>
        </w:tc>
        <w:tc>
          <w:tcPr>
            <w:tcW w:w="5295" w:type="dxa"/>
            <w:noWrap/>
            <w:vAlign w:val="center"/>
          </w:tcPr>
          <w:p w14:paraId="3D0B893C">
            <w:pPr>
              <w:keepNext w:val="0"/>
              <w:keepLines w:val="0"/>
              <w:pageBreakBefore w:val="0"/>
              <w:kinsoku/>
              <w:wordWrap w:val="0"/>
              <w:overflowPunct/>
              <w:topLinePunct w:val="0"/>
              <w:bidi w:val="0"/>
              <w:spacing w:line="360" w:lineRule="auto"/>
              <w:jc w:val="both"/>
              <w:rPr>
                <w:color w:val="auto"/>
                <w:szCs w:val="21"/>
                <w:highlight w:val="none"/>
              </w:rPr>
            </w:pPr>
            <w:r>
              <w:rPr>
                <w:rFonts w:hint="eastAsia"/>
                <w:color w:val="auto"/>
                <w:szCs w:val="21"/>
                <w:highlight w:val="none"/>
              </w:rPr>
              <w:t>符合第二章“供应商须知”规定</w:t>
            </w:r>
          </w:p>
        </w:tc>
      </w:tr>
      <w:tr w14:paraId="621C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45" w:type="dxa"/>
            <w:vMerge w:val="continue"/>
            <w:noWrap/>
            <w:vAlign w:val="top"/>
          </w:tcPr>
          <w:p w14:paraId="2083EB48">
            <w:pPr>
              <w:keepNext w:val="0"/>
              <w:keepLines w:val="0"/>
              <w:pageBreakBefore w:val="0"/>
              <w:kinsoku/>
              <w:wordWrap w:val="0"/>
              <w:overflowPunct/>
              <w:topLinePunct w:val="0"/>
              <w:bidi w:val="0"/>
              <w:rPr>
                <w:color w:val="auto"/>
                <w:szCs w:val="21"/>
                <w:highlight w:val="none"/>
              </w:rPr>
            </w:pPr>
          </w:p>
        </w:tc>
        <w:tc>
          <w:tcPr>
            <w:tcW w:w="1183" w:type="dxa"/>
            <w:vMerge w:val="continue"/>
            <w:noWrap/>
            <w:vAlign w:val="top"/>
          </w:tcPr>
          <w:p w14:paraId="73D95D63">
            <w:pPr>
              <w:keepNext w:val="0"/>
              <w:keepLines w:val="0"/>
              <w:pageBreakBefore w:val="0"/>
              <w:kinsoku/>
              <w:wordWrap w:val="0"/>
              <w:overflowPunct/>
              <w:topLinePunct w:val="0"/>
              <w:bidi w:val="0"/>
              <w:rPr>
                <w:color w:val="auto"/>
                <w:szCs w:val="21"/>
                <w:highlight w:val="none"/>
              </w:rPr>
            </w:pPr>
          </w:p>
        </w:tc>
        <w:tc>
          <w:tcPr>
            <w:tcW w:w="2040" w:type="dxa"/>
            <w:noWrap/>
            <w:vAlign w:val="center"/>
          </w:tcPr>
          <w:p w14:paraId="32F1E0B7">
            <w:pPr>
              <w:keepNext w:val="0"/>
              <w:keepLines w:val="0"/>
              <w:pageBreakBefore w:val="0"/>
              <w:kinsoku/>
              <w:wordWrap w:val="0"/>
              <w:overflowPunct/>
              <w:topLinePunct w:val="0"/>
              <w:bidi w:val="0"/>
              <w:spacing w:line="360" w:lineRule="auto"/>
              <w:ind w:firstLine="440" w:firstLineChars="200"/>
              <w:jc w:val="center"/>
              <w:rPr>
                <w:color w:val="auto"/>
                <w:szCs w:val="21"/>
                <w:highlight w:val="none"/>
              </w:rPr>
            </w:pPr>
            <w:r>
              <w:rPr>
                <w:rFonts w:hint="eastAsia"/>
                <w:color w:val="auto"/>
                <w:szCs w:val="21"/>
                <w:highlight w:val="none"/>
              </w:rPr>
              <w:t>供货期</w:t>
            </w:r>
          </w:p>
        </w:tc>
        <w:tc>
          <w:tcPr>
            <w:tcW w:w="5295" w:type="dxa"/>
            <w:noWrap/>
            <w:vAlign w:val="center"/>
          </w:tcPr>
          <w:p w14:paraId="3D9ED80E">
            <w:pPr>
              <w:keepNext w:val="0"/>
              <w:keepLines w:val="0"/>
              <w:pageBreakBefore w:val="0"/>
              <w:kinsoku/>
              <w:wordWrap w:val="0"/>
              <w:overflowPunct/>
              <w:topLinePunct w:val="0"/>
              <w:bidi w:val="0"/>
              <w:spacing w:line="360" w:lineRule="auto"/>
              <w:jc w:val="both"/>
              <w:rPr>
                <w:color w:val="auto"/>
                <w:szCs w:val="21"/>
                <w:highlight w:val="none"/>
              </w:rPr>
            </w:pPr>
            <w:r>
              <w:rPr>
                <w:rFonts w:hint="eastAsia"/>
                <w:color w:val="auto"/>
                <w:szCs w:val="21"/>
                <w:highlight w:val="none"/>
              </w:rPr>
              <w:t>符合第二章“供应商须知”规定</w:t>
            </w:r>
          </w:p>
        </w:tc>
      </w:tr>
      <w:tr w14:paraId="49AB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945" w:type="dxa"/>
            <w:vMerge w:val="continue"/>
            <w:noWrap/>
            <w:vAlign w:val="top"/>
          </w:tcPr>
          <w:p w14:paraId="5F9D5F69">
            <w:pPr>
              <w:keepNext w:val="0"/>
              <w:keepLines w:val="0"/>
              <w:pageBreakBefore w:val="0"/>
              <w:kinsoku/>
              <w:wordWrap w:val="0"/>
              <w:overflowPunct/>
              <w:topLinePunct w:val="0"/>
              <w:bidi w:val="0"/>
              <w:rPr>
                <w:color w:val="auto"/>
                <w:szCs w:val="21"/>
                <w:highlight w:val="none"/>
              </w:rPr>
            </w:pPr>
          </w:p>
        </w:tc>
        <w:tc>
          <w:tcPr>
            <w:tcW w:w="1183" w:type="dxa"/>
            <w:vMerge w:val="continue"/>
            <w:noWrap/>
            <w:vAlign w:val="top"/>
          </w:tcPr>
          <w:p w14:paraId="0657F3B7">
            <w:pPr>
              <w:keepNext w:val="0"/>
              <w:keepLines w:val="0"/>
              <w:pageBreakBefore w:val="0"/>
              <w:kinsoku/>
              <w:wordWrap w:val="0"/>
              <w:overflowPunct/>
              <w:topLinePunct w:val="0"/>
              <w:bidi w:val="0"/>
              <w:rPr>
                <w:color w:val="auto"/>
                <w:szCs w:val="21"/>
                <w:highlight w:val="none"/>
              </w:rPr>
            </w:pPr>
          </w:p>
        </w:tc>
        <w:tc>
          <w:tcPr>
            <w:tcW w:w="2040" w:type="dxa"/>
            <w:noWrap/>
            <w:vAlign w:val="center"/>
          </w:tcPr>
          <w:p w14:paraId="2B316ED4">
            <w:pPr>
              <w:keepNext w:val="0"/>
              <w:keepLines w:val="0"/>
              <w:pageBreakBefore w:val="0"/>
              <w:kinsoku/>
              <w:wordWrap w:val="0"/>
              <w:overflowPunct/>
              <w:topLinePunct w:val="0"/>
              <w:bidi w:val="0"/>
              <w:spacing w:line="360" w:lineRule="auto"/>
              <w:ind w:firstLine="440" w:firstLineChars="200"/>
              <w:jc w:val="center"/>
              <w:rPr>
                <w:color w:val="auto"/>
                <w:szCs w:val="21"/>
                <w:highlight w:val="none"/>
              </w:rPr>
            </w:pPr>
            <w:r>
              <w:rPr>
                <w:rFonts w:hint="eastAsia"/>
                <w:color w:val="auto"/>
                <w:szCs w:val="21"/>
                <w:highlight w:val="none"/>
              </w:rPr>
              <w:t>质量要求</w:t>
            </w:r>
          </w:p>
        </w:tc>
        <w:tc>
          <w:tcPr>
            <w:tcW w:w="5295" w:type="dxa"/>
            <w:noWrap/>
            <w:vAlign w:val="center"/>
          </w:tcPr>
          <w:p w14:paraId="3905B539">
            <w:pPr>
              <w:keepNext w:val="0"/>
              <w:keepLines w:val="0"/>
              <w:pageBreakBefore w:val="0"/>
              <w:kinsoku/>
              <w:wordWrap w:val="0"/>
              <w:overflowPunct/>
              <w:topLinePunct w:val="0"/>
              <w:bidi w:val="0"/>
              <w:spacing w:line="360" w:lineRule="auto"/>
              <w:jc w:val="both"/>
              <w:rPr>
                <w:color w:val="auto"/>
                <w:szCs w:val="21"/>
                <w:highlight w:val="none"/>
              </w:rPr>
            </w:pPr>
            <w:r>
              <w:rPr>
                <w:rFonts w:hint="eastAsia"/>
                <w:color w:val="auto"/>
                <w:szCs w:val="21"/>
                <w:highlight w:val="none"/>
              </w:rPr>
              <w:t>符合第二章“供应商须知”规定</w:t>
            </w:r>
          </w:p>
        </w:tc>
      </w:tr>
      <w:tr w14:paraId="035F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945" w:type="dxa"/>
            <w:vMerge w:val="continue"/>
            <w:noWrap/>
            <w:vAlign w:val="top"/>
          </w:tcPr>
          <w:p w14:paraId="08FC9FCC">
            <w:pPr>
              <w:keepNext w:val="0"/>
              <w:keepLines w:val="0"/>
              <w:pageBreakBefore w:val="0"/>
              <w:kinsoku/>
              <w:wordWrap w:val="0"/>
              <w:overflowPunct/>
              <w:topLinePunct w:val="0"/>
              <w:bidi w:val="0"/>
              <w:rPr>
                <w:color w:val="auto"/>
                <w:szCs w:val="21"/>
                <w:highlight w:val="none"/>
              </w:rPr>
            </w:pPr>
          </w:p>
        </w:tc>
        <w:tc>
          <w:tcPr>
            <w:tcW w:w="1183" w:type="dxa"/>
            <w:vMerge w:val="continue"/>
            <w:noWrap/>
            <w:vAlign w:val="top"/>
          </w:tcPr>
          <w:p w14:paraId="4A034B68">
            <w:pPr>
              <w:keepNext w:val="0"/>
              <w:keepLines w:val="0"/>
              <w:pageBreakBefore w:val="0"/>
              <w:kinsoku/>
              <w:wordWrap w:val="0"/>
              <w:overflowPunct/>
              <w:topLinePunct w:val="0"/>
              <w:bidi w:val="0"/>
              <w:rPr>
                <w:color w:val="auto"/>
                <w:szCs w:val="21"/>
                <w:highlight w:val="none"/>
              </w:rPr>
            </w:pPr>
          </w:p>
        </w:tc>
        <w:tc>
          <w:tcPr>
            <w:tcW w:w="2040" w:type="dxa"/>
            <w:noWrap/>
            <w:vAlign w:val="center"/>
          </w:tcPr>
          <w:p w14:paraId="57F9EBCA">
            <w:pPr>
              <w:keepNext w:val="0"/>
              <w:keepLines w:val="0"/>
              <w:pageBreakBefore w:val="0"/>
              <w:kinsoku/>
              <w:wordWrap w:val="0"/>
              <w:overflowPunct/>
              <w:topLinePunct w:val="0"/>
              <w:bidi w:val="0"/>
              <w:spacing w:line="360" w:lineRule="auto"/>
              <w:ind w:firstLine="440" w:firstLineChars="200"/>
              <w:jc w:val="center"/>
              <w:rPr>
                <w:color w:val="auto"/>
                <w:szCs w:val="21"/>
                <w:highlight w:val="none"/>
              </w:rPr>
            </w:pPr>
            <w:r>
              <w:rPr>
                <w:rFonts w:hint="eastAsia"/>
                <w:color w:val="auto"/>
                <w:szCs w:val="21"/>
                <w:highlight w:val="none"/>
              </w:rPr>
              <w:t>投标有效期</w:t>
            </w:r>
          </w:p>
        </w:tc>
        <w:tc>
          <w:tcPr>
            <w:tcW w:w="5295" w:type="dxa"/>
            <w:noWrap/>
            <w:vAlign w:val="center"/>
          </w:tcPr>
          <w:p w14:paraId="0B80D3A3">
            <w:pPr>
              <w:keepNext w:val="0"/>
              <w:keepLines w:val="0"/>
              <w:pageBreakBefore w:val="0"/>
              <w:kinsoku/>
              <w:wordWrap w:val="0"/>
              <w:overflowPunct/>
              <w:topLinePunct w:val="0"/>
              <w:bidi w:val="0"/>
              <w:spacing w:line="360" w:lineRule="auto"/>
              <w:jc w:val="both"/>
              <w:rPr>
                <w:color w:val="auto"/>
                <w:szCs w:val="21"/>
                <w:highlight w:val="none"/>
              </w:rPr>
            </w:pPr>
            <w:r>
              <w:rPr>
                <w:rFonts w:hint="eastAsia"/>
                <w:color w:val="auto"/>
                <w:szCs w:val="21"/>
                <w:highlight w:val="none"/>
              </w:rPr>
              <w:t>符合第二章“供应商须知”规定</w:t>
            </w:r>
          </w:p>
        </w:tc>
      </w:tr>
      <w:tr w14:paraId="6662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945" w:type="dxa"/>
            <w:vMerge w:val="continue"/>
            <w:noWrap/>
            <w:vAlign w:val="top"/>
          </w:tcPr>
          <w:p w14:paraId="3F4D954A">
            <w:pPr>
              <w:keepNext w:val="0"/>
              <w:keepLines w:val="0"/>
              <w:pageBreakBefore w:val="0"/>
              <w:kinsoku/>
              <w:wordWrap w:val="0"/>
              <w:overflowPunct/>
              <w:topLinePunct w:val="0"/>
              <w:bidi w:val="0"/>
              <w:rPr>
                <w:color w:val="auto"/>
                <w:szCs w:val="21"/>
                <w:highlight w:val="none"/>
              </w:rPr>
            </w:pPr>
          </w:p>
        </w:tc>
        <w:tc>
          <w:tcPr>
            <w:tcW w:w="1183" w:type="dxa"/>
            <w:vMerge w:val="continue"/>
            <w:noWrap/>
            <w:vAlign w:val="top"/>
          </w:tcPr>
          <w:p w14:paraId="62D84BA2">
            <w:pPr>
              <w:keepNext w:val="0"/>
              <w:keepLines w:val="0"/>
              <w:pageBreakBefore w:val="0"/>
              <w:kinsoku/>
              <w:wordWrap w:val="0"/>
              <w:overflowPunct/>
              <w:topLinePunct w:val="0"/>
              <w:bidi w:val="0"/>
              <w:rPr>
                <w:color w:val="auto"/>
                <w:szCs w:val="21"/>
                <w:highlight w:val="none"/>
              </w:rPr>
            </w:pPr>
          </w:p>
        </w:tc>
        <w:tc>
          <w:tcPr>
            <w:tcW w:w="2040" w:type="dxa"/>
            <w:noWrap/>
            <w:vAlign w:val="center"/>
          </w:tcPr>
          <w:p w14:paraId="05819FC5">
            <w:pPr>
              <w:keepNext w:val="0"/>
              <w:keepLines w:val="0"/>
              <w:pageBreakBefore w:val="0"/>
              <w:kinsoku/>
              <w:wordWrap w:val="0"/>
              <w:overflowPunct/>
              <w:topLinePunct w:val="0"/>
              <w:bidi w:val="0"/>
              <w:spacing w:line="360" w:lineRule="auto"/>
              <w:ind w:firstLine="440" w:firstLineChars="200"/>
              <w:jc w:val="center"/>
              <w:rPr>
                <w:rFonts w:hint="eastAsia" w:ascii="宋体" w:hAnsi="宋体" w:eastAsia="宋体" w:cs="宋体"/>
                <w:color w:val="auto"/>
                <w:sz w:val="22"/>
                <w:szCs w:val="21"/>
                <w:highlight w:val="none"/>
                <w:lang w:val="zh-CN" w:eastAsia="zh-CN" w:bidi="zh-CN"/>
              </w:rPr>
            </w:pPr>
            <w:r>
              <w:rPr>
                <w:rFonts w:hint="eastAsia"/>
                <w:color w:val="auto"/>
                <w:szCs w:val="21"/>
                <w:highlight w:val="none"/>
              </w:rPr>
              <w:t>投标承诺书</w:t>
            </w:r>
          </w:p>
        </w:tc>
        <w:tc>
          <w:tcPr>
            <w:tcW w:w="5295" w:type="dxa"/>
            <w:noWrap/>
            <w:vAlign w:val="center"/>
          </w:tcPr>
          <w:p w14:paraId="4219BDD7">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2"/>
                <w:szCs w:val="21"/>
                <w:highlight w:val="none"/>
                <w:lang w:val="zh-CN" w:eastAsia="zh-CN" w:bidi="zh-CN"/>
              </w:rPr>
            </w:pPr>
            <w:r>
              <w:rPr>
                <w:rFonts w:hint="eastAsia"/>
                <w:color w:val="auto"/>
                <w:szCs w:val="21"/>
                <w:highlight w:val="none"/>
              </w:rPr>
              <w:t>符合第二章“供应商须知”规定</w:t>
            </w:r>
          </w:p>
        </w:tc>
      </w:tr>
      <w:tr w14:paraId="5E68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945" w:type="dxa"/>
            <w:vMerge w:val="continue"/>
            <w:noWrap/>
            <w:vAlign w:val="top"/>
          </w:tcPr>
          <w:p w14:paraId="7E9DD2EB">
            <w:pPr>
              <w:keepNext w:val="0"/>
              <w:keepLines w:val="0"/>
              <w:pageBreakBefore w:val="0"/>
              <w:kinsoku/>
              <w:wordWrap w:val="0"/>
              <w:overflowPunct/>
              <w:topLinePunct w:val="0"/>
              <w:bidi w:val="0"/>
              <w:rPr>
                <w:color w:val="auto"/>
                <w:szCs w:val="21"/>
                <w:highlight w:val="none"/>
              </w:rPr>
            </w:pPr>
          </w:p>
        </w:tc>
        <w:tc>
          <w:tcPr>
            <w:tcW w:w="1183" w:type="dxa"/>
            <w:vMerge w:val="continue"/>
            <w:noWrap/>
            <w:vAlign w:val="top"/>
          </w:tcPr>
          <w:p w14:paraId="778E0F2A">
            <w:pPr>
              <w:keepNext w:val="0"/>
              <w:keepLines w:val="0"/>
              <w:pageBreakBefore w:val="0"/>
              <w:kinsoku/>
              <w:wordWrap w:val="0"/>
              <w:overflowPunct/>
              <w:topLinePunct w:val="0"/>
              <w:bidi w:val="0"/>
              <w:rPr>
                <w:color w:val="auto"/>
                <w:szCs w:val="21"/>
                <w:highlight w:val="none"/>
              </w:rPr>
            </w:pPr>
          </w:p>
        </w:tc>
        <w:tc>
          <w:tcPr>
            <w:tcW w:w="2040" w:type="dxa"/>
            <w:noWrap/>
            <w:vAlign w:val="center"/>
          </w:tcPr>
          <w:p w14:paraId="1F7C8BDB">
            <w:pPr>
              <w:keepNext w:val="0"/>
              <w:keepLines w:val="0"/>
              <w:pageBreakBefore w:val="0"/>
              <w:kinsoku/>
              <w:wordWrap w:val="0"/>
              <w:overflowPunct/>
              <w:topLinePunct w:val="0"/>
              <w:bidi w:val="0"/>
              <w:spacing w:line="360" w:lineRule="auto"/>
              <w:ind w:firstLine="440" w:firstLineChars="200"/>
              <w:jc w:val="center"/>
              <w:rPr>
                <w:rFonts w:hint="eastAsia" w:eastAsia="宋体"/>
                <w:color w:val="auto"/>
                <w:szCs w:val="21"/>
                <w:highlight w:val="none"/>
                <w:lang w:eastAsia="zh-CN"/>
              </w:rPr>
            </w:pPr>
            <w:r>
              <w:rPr>
                <w:rFonts w:hint="eastAsia"/>
                <w:color w:val="auto"/>
                <w:szCs w:val="21"/>
                <w:highlight w:val="none"/>
                <w:lang w:eastAsia="zh-CN"/>
              </w:rPr>
              <w:t>其他内容</w:t>
            </w:r>
          </w:p>
        </w:tc>
        <w:tc>
          <w:tcPr>
            <w:tcW w:w="5295" w:type="dxa"/>
            <w:noWrap/>
            <w:vAlign w:val="center"/>
          </w:tcPr>
          <w:p w14:paraId="4B2D3AC2">
            <w:pPr>
              <w:keepNext w:val="0"/>
              <w:keepLines w:val="0"/>
              <w:pageBreakBefore w:val="0"/>
              <w:kinsoku/>
              <w:wordWrap w:val="0"/>
              <w:overflowPunct/>
              <w:topLinePunct w:val="0"/>
              <w:bidi w:val="0"/>
              <w:spacing w:line="360" w:lineRule="auto"/>
              <w:jc w:val="both"/>
              <w:rPr>
                <w:color w:val="auto"/>
                <w:szCs w:val="21"/>
                <w:highlight w:val="none"/>
              </w:rPr>
            </w:pPr>
            <w:r>
              <w:rPr>
                <w:rFonts w:hint="eastAsia"/>
                <w:color w:val="auto"/>
                <w:szCs w:val="21"/>
                <w:highlight w:val="none"/>
              </w:rPr>
              <w:t>符合第二章“供应商须知”规定</w:t>
            </w:r>
          </w:p>
        </w:tc>
      </w:tr>
      <w:tr w14:paraId="3E81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2128" w:type="dxa"/>
            <w:gridSpan w:val="2"/>
            <w:noWrap/>
            <w:vAlign w:val="center"/>
          </w:tcPr>
          <w:p w14:paraId="4E479A02">
            <w:pPr>
              <w:keepNext w:val="0"/>
              <w:keepLines w:val="0"/>
              <w:pageBreakBefore w:val="0"/>
              <w:kinsoku/>
              <w:wordWrap w:val="0"/>
              <w:overflowPunct/>
              <w:topLinePunct w:val="0"/>
              <w:bidi w:val="0"/>
              <w:spacing w:line="360" w:lineRule="auto"/>
              <w:jc w:val="center"/>
              <w:rPr>
                <w:color w:val="auto"/>
                <w:szCs w:val="21"/>
                <w:highlight w:val="none"/>
              </w:rPr>
            </w:pPr>
            <w:r>
              <w:rPr>
                <w:rFonts w:hint="eastAsia"/>
                <w:color w:val="auto"/>
                <w:szCs w:val="21"/>
                <w:highlight w:val="none"/>
              </w:rPr>
              <w:t>2.2.1</w:t>
            </w:r>
          </w:p>
        </w:tc>
        <w:tc>
          <w:tcPr>
            <w:tcW w:w="2040" w:type="dxa"/>
            <w:noWrap/>
            <w:vAlign w:val="center"/>
          </w:tcPr>
          <w:p w14:paraId="3FE13D46">
            <w:pPr>
              <w:keepNext w:val="0"/>
              <w:keepLines w:val="0"/>
              <w:pageBreakBefore w:val="0"/>
              <w:kinsoku/>
              <w:wordWrap w:val="0"/>
              <w:overflowPunct/>
              <w:topLinePunct w:val="0"/>
              <w:bidi w:val="0"/>
              <w:spacing w:line="360" w:lineRule="auto"/>
              <w:ind w:firstLine="440" w:firstLineChars="200"/>
              <w:jc w:val="both"/>
              <w:rPr>
                <w:color w:val="auto"/>
                <w:szCs w:val="21"/>
                <w:highlight w:val="none"/>
              </w:rPr>
            </w:pPr>
            <w:r>
              <w:rPr>
                <w:rFonts w:hint="eastAsia"/>
                <w:color w:val="auto"/>
                <w:szCs w:val="21"/>
                <w:highlight w:val="none"/>
              </w:rPr>
              <w:t>分值构成</w:t>
            </w:r>
          </w:p>
          <w:p w14:paraId="65853163">
            <w:pPr>
              <w:keepNext w:val="0"/>
              <w:keepLines w:val="0"/>
              <w:pageBreakBefore w:val="0"/>
              <w:kinsoku/>
              <w:wordWrap w:val="0"/>
              <w:overflowPunct/>
              <w:topLinePunct w:val="0"/>
              <w:bidi w:val="0"/>
              <w:spacing w:line="360" w:lineRule="auto"/>
              <w:jc w:val="center"/>
              <w:rPr>
                <w:color w:val="auto"/>
                <w:szCs w:val="21"/>
                <w:highlight w:val="none"/>
              </w:rPr>
            </w:pPr>
            <w:r>
              <w:rPr>
                <w:rFonts w:hint="eastAsia"/>
                <w:color w:val="auto"/>
                <w:szCs w:val="21"/>
                <w:highlight w:val="none"/>
              </w:rPr>
              <w:t>(总分100分)</w:t>
            </w:r>
          </w:p>
        </w:tc>
        <w:tc>
          <w:tcPr>
            <w:tcW w:w="5295" w:type="dxa"/>
            <w:noWrap/>
            <w:vAlign w:val="top"/>
          </w:tcPr>
          <w:p w14:paraId="08E1A83C">
            <w:pPr>
              <w:keepNext w:val="0"/>
              <w:keepLines w:val="0"/>
              <w:pageBreakBefore w:val="0"/>
              <w:kinsoku/>
              <w:wordWrap w:val="0"/>
              <w:overflowPunct/>
              <w:topLinePunct w:val="0"/>
              <w:bidi w:val="0"/>
              <w:spacing w:line="360" w:lineRule="auto"/>
              <w:rPr>
                <w:color w:val="auto"/>
                <w:szCs w:val="21"/>
                <w:highlight w:val="none"/>
              </w:rPr>
            </w:pPr>
            <w:r>
              <w:rPr>
                <w:rFonts w:hint="eastAsia"/>
                <w:color w:val="auto"/>
                <w:szCs w:val="21"/>
                <w:highlight w:val="none"/>
              </w:rPr>
              <w:t>投标报价：</w:t>
            </w:r>
            <w:r>
              <w:rPr>
                <w:rFonts w:hint="eastAsia"/>
                <w:color w:val="auto"/>
                <w:szCs w:val="21"/>
                <w:highlight w:val="none"/>
                <w:u w:val="single"/>
              </w:rPr>
              <w:t>30</w:t>
            </w:r>
            <w:r>
              <w:rPr>
                <w:rFonts w:hint="eastAsia"/>
                <w:color w:val="auto"/>
                <w:szCs w:val="21"/>
                <w:highlight w:val="none"/>
              </w:rPr>
              <w:t>分</w:t>
            </w:r>
          </w:p>
          <w:p w14:paraId="4921F98E">
            <w:pPr>
              <w:keepNext w:val="0"/>
              <w:keepLines w:val="0"/>
              <w:pageBreakBefore w:val="0"/>
              <w:kinsoku/>
              <w:wordWrap w:val="0"/>
              <w:overflowPunct/>
              <w:topLinePunct w:val="0"/>
              <w:bidi w:val="0"/>
              <w:spacing w:line="360" w:lineRule="auto"/>
              <w:rPr>
                <w:color w:val="auto"/>
                <w:szCs w:val="21"/>
                <w:highlight w:val="none"/>
              </w:rPr>
            </w:pPr>
            <w:r>
              <w:rPr>
                <w:rFonts w:hint="eastAsia"/>
                <w:color w:val="auto"/>
                <w:szCs w:val="21"/>
                <w:highlight w:val="none"/>
              </w:rPr>
              <w:t>技术部分：</w:t>
            </w:r>
            <w:r>
              <w:rPr>
                <w:rFonts w:hint="eastAsia"/>
                <w:color w:val="auto"/>
                <w:szCs w:val="21"/>
                <w:highlight w:val="none"/>
                <w:u w:val="single"/>
                <w:lang w:val="en-US" w:eastAsia="zh-CN"/>
              </w:rPr>
              <w:t>50</w:t>
            </w:r>
            <w:r>
              <w:rPr>
                <w:rFonts w:hint="eastAsia"/>
                <w:color w:val="auto"/>
                <w:szCs w:val="21"/>
                <w:highlight w:val="none"/>
              </w:rPr>
              <w:t>分</w:t>
            </w:r>
          </w:p>
          <w:p w14:paraId="019A8D09">
            <w:pPr>
              <w:keepNext w:val="0"/>
              <w:keepLines w:val="0"/>
              <w:pageBreakBefore w:val="0"/>
              <w:kinsoku/>
              <w:wordWrap w:val="0"/>
              <w:overflowPunct/>
              <w:topLinePunct w:val="0"/>
              <w:bidi w:val="0"/>
              <w:spacing w:line="360" w:lineRule="auto"/>
              <w:rPr>
                <w:color w:val="auto"/>
                <w:szCs w:val="21"/>
                <w:highlight w:val="none"/>
                <w:u w:val="single"/>
              </w:rPr>
            </w:pPr>
            <w:r>
              <w:rPr>
                <w:rFonts w:hint="eastAsia"/>
                <w:color w:val="auto"/>
                <w:szCs w:val="21"/>
                <w:highlight w:val="none"/>
              </w:rPr>
              <w:t>商务部分：</w:t>
            </w:r>
            <w:r>
              <w:rPr>
                <w:rFonts w:hint="eastAsia"/>
                <w:color w:val="auto"/>
                <w:szCs w:val="21"/>
                <w:highlight w:val="none"/>
                <w:u w:val="single"/>
                <w:lang w:val="en-US" w:eastAsia="zh-CN"/>
              </w:rPr>
              <w:t>20</w:t>
            </w:r>
            <w:r>
              <w:rPr>
                <w:rFonts w:hint="eastAsia"/>
                <w:color w:val="auto"/>
                <w:szCs w:val="21"/>
                <w:highlight w:val="none"/>
              </w:rPr>
              <w:t>分</w:t>
            </w:r>
          </w:p>
        </w:tc>
      </w:tr>
    </w:tbl>
    <w:p w14:paraId="6D000D8E">
      <w:pPr>
        <w:keepNext w:val="0"/>
        <w:keepLines w:val="0"/>
        <w:pageBreakBefore w:val="0"/>
        <w:kinsoku/>
        <w:wordWrap w:val="0"/>
        <w:overflowPunct/>
        <w:topLinePunct w:val="0"/>
        <w:bidi w:val="0"/>
        <w:rPr>
          <w:color w:val="auto"/>
          <w:highlight w:val="none"/>
        </w:rPr>
      </w:pPr>
    </w:p>
    <w:p w14:paraId="3DE21FB7">
      <w:pPr>
        <w:pStyle w:val="7"/>
        <w:keepNext w:val="0"/>
        <w:keepLines w:val="0"/>
        <w:pageBreakBefore w:val="0"/>
        <w:kinsoku/>
        <w:wordWrap w:val="0"/>
        <w:overflowPunct/>
        <w:topLinePunct w:val="0"/>
        <w:bidi w:val="0"/>
        <w:rPr>
          <w:color w:val="auto"/>
          <w:highlight w:val="none"/>
        </w:rPr>
      </w:pPr>
    </w:p>
    <w:tbl>
      <w:tblPr>
        <w:tblStyle w:val="14"/>
        <w:tblW w:w="0" w:type="auto"/>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545"/>
        <w:gridCol w:w="1242"/>
        <w:gridCol w:w="5888"/>
      </w:tblGrid>
      <w:tr w14:paraId="7CBB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964" w:type="dxa"/>
            <w:noWrap/>
            <w:vAlign w:val="center"/>
          </w:tcPr>
          <w:p w14:paraId="404EF29C">
            <w:pPr>
              <w:keepNext w:val="0"/>
              <w:keepLines w:val="0"/>
              <w:pageBreakBefore w:val="0"/>
              <w:kinsoku/>
              <w:wordWrap w:val="0"/>
              <w:overflowPunct/>
              <w:topLinePunct w:val="0"/>
              <w:bidi w:val="0"/>
              <w:spacing w:line="400" w:lineRule="exact"/>
              <w:ind w:firstLine="28"/>
              <w:jc w:val="center"/>
              <w:rPr>
                <w:b/>
                <w:color w:val="auto"/>
                <w:szCs w:val="21"/>
                <w:highlight w:val="none"/>
              </w:rPr>
            </w:pPr>
            <w:r>
              <w:rPr>
                <w:rFonts w:hint="eastAsia"/>
                <w:b/>
                <w:color w:val="auto"/>
                <w:szCs w:val="21"/>
                <w:highlight w:val="none"/>
              </w:rPr>
              <w:t>序号</w:t>
            </w:r>
          </w:p>
        </w:tc>
        <w:tc>
          <w:tcPr>
            <w:tcW w:w="1545" w:type="dxa"/>
            <w:noWrap/>
            <w:vAlign w:val="center"/>
          </w:tcPr>
          <w:p w14:paraId="754AE376">
            <w:pPr>
              <w:keepNext w:val="0"/>
              <w:keepLines w:val="0"/>
              <w:pageBreakBefore w:val="0"/>
              <w:kinsoku/>
              <w:wordWrap w:val="0"/>
              <w:overflowPunct/>
              <w:topLinePunct w:val="0"/>
              <w:bidi w:val="0"/>
              <w:spacing w:line="400" w:lineRule="exact"/>
              <w:ind w:firstLine="28"/>
              <w:jc w:val="center"/>
              <w:rPr>
                <w:b/>
                <w:color w:val="auto"/>
                <w:szCs w:val="21"/>
                <w:highlight w:val="none"/>
              </w:rPr>
            </w:pPr>
            <w:r>
              <w:rPr>
                <w:rFonts w:hint="eastAsia"/>
                <w:b/>
                <w:color w:val="auto"/>
                <w:szCs w:val="21"/>
                <w:highlight w:val="none"/>
              </w:rPr>
              <w:t>评分因素</w:t>
            </w:r>
          </w:p>
          <w:p w14:paraId="58C75BDB">
            <w:pPr>
              <w:keepNext w:val="0"/>
              <w:keepLines w:val="0"/>
              <w:pageBreakBefore w:val="0"/>
              <w:kinsoku/>
              <w:wordWrap w:val="0"/>
              <w:overflowPunct/>
              <w:topLinePunct w:val="0"/>
              <w:bidi w:val="0"/>
              <w:spacing w:line="400" w:lineRule="exact"/>
              <w:ind w:firstLine="28"/>
              <w:jc w:val="center"/>
              <w:rPr>
                <w:b/>
                <w:color w:val="auto"/>
                <w:szCs w:val="21"/>
                <w:highlight w:val="none"/>
              </w:rPr>
            </w:pPr>
            <w:r>
              <w:rPr>
                <w:rFonts w:hint="eastAsia"/>
                <w:b/>
                <w:color w:val="auto"/>
                <w:szCs w:val="21"/>
                <w:highlight w:val="none"/>
              </w:rPr>
              <w:t>及分值</w:t>
            </w:r>
          </w:p>
        </w:tc>
        <w:tc>
          <w:tcPr>
            <w:tcW w:w="7130" w:type="dxa"/>
            <w:gridSpan w:val="2"/>
            <w:noWrap/>
            <w:vAlign w:val="center"/>
          </w:tcPr>
          <w:p w14:paraId="5C0C768E">
            <w:pPr>
              <w:keepNext w:val="0"/>
              <w:keepLines w:val="0"/>
              <w:pageBreakBefore w:val="0"/>
              <w:kinsoku/>
              <w:wordWrap w:val="0"/>
              <w:overflowPunct/>
              <w:topLinePunct w:val="0"/>
              <w:bidi w:val="0"/>
              <w:spacing w:line="400" w:lineRule="exact"/>
              <w:ind w:firstLine="28"/>
              <w:jc w:val="center"/>
              <w:rPr>
                <w:b/>
                <w:color w:val="auto"/>
                <w:szCs w:val="21"/>
                <w:highlight w:val="none"/>
              </w:rPr>
            </w:pPr>
            <w:r>
              <w:rPr>
                <w:rFonts w:hint="eastAsia"/>
                <w:b/>
                <w:color w:val="auto"/>
                <w:szCs w:val="21"/>
                <w:highlight w:val="none"/>
              </w:rPr>
              <w:t>评分标准</w:t>
            </w:r>
          </w:p>
        </w:tc>
      </w:tr>
      <w:tr w14:paraId="35DB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964" w:type="dxa"/>
            <w:noWrap/>
            <w:vAlign w:val="center"/>
          </w:tcPr>
          <w:p w14:paraId="67556884">
            <w:pPr>
              <w:keepNext w:val="0"/>
              <w:keepLines w:val="0"/>
              <w:pageBreakBefore w:val="0"/>
              <w:kinsoku/>
              <w:wordWrap w:val="0"/>
              <w:overflowPunct/>
              <w:topLinePunct w:val="0"/>
              <w:bidi w:val="0"/>
              <w:spacing w:line="400" w:lineRule="exact"/>
              <w:ind w:firstLine="28"/>
              <w:jc w:val="center"/>
              <w:rPr>
                <w:color w:val="auto"/>
                <w:szCs w:val="21"/>
                <w:highlight w:val="none"/>
              </w:rPr>
            </w:pPr>
            <w:r>
              <w:rPr>
                <w:rFonts w:hint="eastAsia"/>
                <w:color w:val="auto"/>
                <w:szCs w:val="21"/>
                <w:highlight w:val="none"/>
                <w:lang w:val="en-US"/>
              </w:rPr>
              <w:t>2.2.2</w:t>
            </w:r>
          </w:p>
        </w:tc>
        <w:tc>
          <w:tcPr>
            <w:tcW w:w="1545" w:type="dxa"/>
            <w:noWrap/>
            <w:vAlign w:val="center"/>
          </w:tcPr>
          <w:p w14:paraId="10431D3B">
            <w:pPr>
              <w:keepNext w:val="0"/>
              <w:keepLines w:val="0"/>
              <w:pageBreakBefore w:val="0"/>
              <w:kinsoku/>
              <w:wordWrap w:val="0"/>
              <w:overflowPunct/>
              <w:topLinePunct w:val="0"/>
              <w:bidi w:val="0"/>
              <w:spacing w:line="400" w:lineRule="exact"/>
              <w:ind w:firstLine="28"/>
              <w:jc w:val="center"/>
              <w:rPr>
                <w:color w:val="auto"/>
                <w:szCs w:val="21"/>
                <w:highlight w:val="none"/>
              </w:rPr>
            </w:pPr>
            <w:r>
              <w:rPr>
                <w:rFonts w:hint="eastAsia"/>
                <w:color w:val="auto"/>
                <w:szCs w:val="21"/>
                <w:highlight w:val="none"/>
              </w:rPr>
              <w:t>报价（</w:t>
            </w:r>
            <w:r>
              <w:rPr>
                <w:rFonts w:hint="eastAsia"/>
                <w:color w:val="auto"/>
                <w:szCs w:val="21"/>
                <w:highlight w:val="none"/>
                <w:lang w:val="en-US"/>
              </w:rPr>
              <w:t>3</w:t>
            </w:r>
            <w:r>
              <w:rPr>
                <w:rFonts w:hint="eastAsia"/>
                <w:color w:val="auto"/>
                <w:szCs w:val="21"/>
                <w:highlight w:val="none"/>
              </w:rPr>
              <w:t>0分）</w:t>
            </w:r>
          </w:p>
        </w:tc>
        <w:tc>
          <w:tcPr>
            <w:tcW w:w="7130" w:type="dxa"/>
            <w:gridSpan w:val="2"/>
            <w:noWrap/>
            <w:vAlign w:val="center"/>
          </w:tcPr>
          <w:p w14:paraId="63C06DD5">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1、价格分采用低价优先法计算，即通过资格性和初步审查且第二轮投标价格最低的投标报价为评标基准价，其价格得分为满分</w:t>
            </w:r>
            <w:r>
              <w:rPr>
                <w:rFonts w:hint="eastAsia"/>
                <w:color w:val="auto"/>
                <w:sz w:val="22"/>
                <w:szCs w:val="22"/>
                <w:highlight w:val="none"/>
                <w:lang w:val="en-US" w:eastAsia="zh-CN"/>
              </w:rPr>
              <w:t>30</w:t>
            </w:r>
            <w:r>
              <w:rPr>
                <w:rFonts w:hint="eastAsia" w:eastAsia="宋体"/>
                <w:color w:val="auto"/>
                <w:sz w:val="22"/>
                <w:szCs w:val="22"/>
                <w:highlight w:val="none"/>
                <w:lang w:val="en-US" w:eastAsia="zh-CN"/>
              </w:rPr>
              <w:t>分。</w:t>
            </w:r>
          </w:p>
          <w:p w14:paraId="33FA035F">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其他投标供应商的价格分统一按照下列公式计算：</w:t>
            </w:r>
          </w:p>
          <w:p w14:paraId="253DA32B">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投标报价得分＝（评标基准价/投标报价）×</w:t>
            </w:r>
            <w:r>
              <w:rPr>
                <w:rFonts w:hint="eastAsia"/>
                <w:color w:val="auto"/>
                <w:sz w:val="22"/>
                <w:szCs w:val="22"/>
                <w:highlight w:val="none"/>
                <w:lang w:val="en-US" w:eastAsia="zh-CN"/>
              </w:rPr>
              <w:t>30</w:t>
            </w:r>
            <w:r>
              <w:rPr>
                <w:rFonts w:hint="eastAsia" w:eastAsia="宋体"/>
                <w:color w:val="auto"/>
                <w:sz w:val="22"/>
                <w:szCs w:val="22"/>
                <w:highlight w:val="none"/>
                <w:lang w:val="en-US" w:eastAsia="zh-CN"/>
              </w:rPr>
              <w:t>％×100</w:t>
            </w:r>
          </w:p>
          <w:p w14:paraId="58C19152">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2、磋商小组认为响应人的报价明显低于其他通过符合性审查响应人的报价，有可能影响产品质量或者不能诚信履约的，应当要求其在评标现场合理的时间内提供书面说明，必要时提交相关证明材料；响应人不能证明其报价合理性的，磋商小组应当将其作为无效投标处理。</w:t>
            </w:r>
          </w:p>
          <w:p w14:paraId="7B2E1B0C">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3、超出采购人预算价的响应报价为无效报价。</w:t>
            </w:r>
          </w:p>
          <w:p w14:paraId="0D8867BD">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4、价格扣除：投标供应商为小微企业的（监狱企业/残疾人福 </w:t>
            </w:r>
          </w:p>
          <w:p w14:paraId="3A423A8C">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利性企业视同小型、微型企业），对所投标的小型和微型企业制造 </w:t>
            </w:r>
          </w:p>
          <w:p w14:paraId="31F3A749">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的产品的价格给予 20%的扣除，用扣除后的价格参与评审。参加投 </w:t>
            </w:r>
          </w:p>
          <w:p w14:paraId="6A039FCB">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标的中小微企业，应当按照《政府采购促进中小企业发展管理办法》 </w:t>
            </w:r>
          </w:p>
          <w:p w14:paraId="32780DDB">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（财库〔2020〕46 号）的规定提供《中小企业声明函》（中小企业 </w:t>
            </w:r>
          </w:p>
          <w:p w14:paraId="234C447A">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划型标准详见《关于印发中小企业划型标准规定的通知》工信部联 </w:t>
            </w:r>
          </w:p>
          <w:p w14:paraId="5E9CB10A">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企业〔2011〕300 号）。 投标供应商为大型企业的不适用本款规定。 </w:t>
            </w:r>
          </w:p>
          <w:p w14:paraId="750BFE23">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5、根据财政部司法部《关于政府采购支持监狱企业发展有关问题32 </w:t>
            </w:r>
          </w:p>
          <w:p w14:paraId="268A2D48">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的通知》（财库〔2014〕68 号）规定，本项目对监狱企业作为投标 </w:t>
            </w:r>
          </w:p>
          <w:p w14:paraId="545CC129">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供应商所提供的本企业生产的产品的价格给予 20%的扣除。监狱企 </w:t>
            </w:r>
          </w:p>
          <w:p w14:paraId="20A4C15A">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业，应当提供由省级以上监狱管理局、戒毒管理局（含新疆生产建 </w:t>
            </w:r>
          </w:p>
          <w:p w14:paraId="4E02F9AC">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设兵团）出具的属于监狱企业的证明文件。 </w:t>
            </w:r>
          </w:p>
          <w:p w14:paraId="5EA7C1E4">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6、参加政府采购活动的残疾人福利性单位应当提供《残疾人福利 </w:t>
            </w:r>
          </w:p>
          <w:p w14:paraId="423AAE96">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性单位声明函》，未填写残疾人福利性单位声明函的在开标过程中 </w:t>
            </w:r>
          </w:p>
          <w:p w14:paraId="43AC1CA5">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不予认可。 </w:t>
            </w:r>
          </w:p>
          <w:p w14:paraId="6189E128">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7、同一投标供应商，中小微企业产品和监狱企业产品价格扣除优惠只享受一次，不得重复享受 </w:t>
            </w:r>
          </w:p>
          <w:p w14:paraId="5022188E">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例：所投中小微企业产品报价=所投中小微企业产品报价合计× </w:t>
            </w:r>
          </w:p>
          <w:p w14:paraId="068D5C00">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【1-20%】 </w:t>
            </w:r>
          </w:p>
          <w:p w14:paraId="6C7A984B">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注：价格分计算保留小数点后二位。</w:t>
            </w:r>
          </w:p>
        </w:tc>
      </w:tr>
      <w:tr w14:paraId="6671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4" w:type="dxa"/>
            <w:vMerge w:val="restart"/>
            <w:noWrap/>
            <w:vAlign w:val="center"/>
          </w:tcPr>
          <w:p w14:paraId="343FB20A">
            <w:pPr>
              <w:keepNext w:val="0"/>
              <w:keepLines w:val="0"/>
              <w:pageBreakBefore w:val="0"/>
              <w:kinsoku/>
              <w:wordWrap w:val="0"/>
              <w:overflowPunct/>
              <w:topLinePunct w:val="0"/>
              <w:bidi w:val="0"/>
              <w:spacing w:line="400" w:lineRule="exact"/>
              <w:ind w:firstLine="28"/>
              <w:jc w:val="center"/>
              <w:rPr>
                <w:color w:val="auto"/>
                <w:szCs w:val="21"/>
                <w:highlight w:val="none"/>
                <w:lang w:val="en-US"/>
              </w:rPr>
            </w:pPr>
            <w:r>
              <w:rPr>
                <w:rFonts w:hint="eastAsia"/>
                <w:color w:val="auto"/>
                <w:szCs w:val="21"/>
                <w:highlight w:val="none"/>
              </w:rPr>
              <w:t>2</w:t>
            </w:r>
            <w:r>
              <w:rPr>
                <w:rFonts w:hint="eastAsia"/>
                <w:color w:val="auto"/>
                <w:szCs w:val="21"/>
                <w:highlight w:val="none"/>
                <w:lang w:val="en-US"/>
              </w:rPr>
              <w:t>.2.3</w:t>
            </w:r>
          </w:p>
        </w:tc>
        <w:tc>
          <w:tcPr>
            <w:tcW w:w="1545" w:type="dxa"/>
            <w:vMerge w:val="restart"/>
            <w:noWrap/>
            <w:vAlign w:val="center"/>
          </w:tcPr>
          <w:p w14:paraId="318EC213">
            <w:pPr>
              <w:keepNext w:val="0"/>
              <w:keepLines w:val="0"/>
              <w:pageBreakBefore w:val="0"/>
              <w:kinsoku/>
              <w:wordWrap w:val="0"/>
              <w:overflowPunct/>
              <w:topLinePunct w:val="0"/>
              <w:bidi w:val="0"/>
              <w:spacing w:line="400" w:lineRule="exact"/>
              <w:ind w:firstLine="28"/>
              <w:jc w:val="center"/>
              <w:rPr>
                <w:color w:val="auto"/>
                <w:szCs w:val="21"/>
                <w:highlight w:val="none"/>
              </w:rPr>
            </w:pPr>
            <w:r>
              <w:rPr>
                <w:rFonts w:hint="eastAsia"/>
                <w:color w:val="auto"/>
                <w:szCs w:val="21"/>
                <w:highlight w:val="none"/>
              </w:rPr>
              <w:t>技术标（</w:t>
            </w:r>
            <w:r>
              <w:rPr>
                <w:rFonts w:hint="eastAsia"/>
                <w:color w:val="auto"/>
                <w:szCs w:val="21"/>
                <w:highlight w:val="none"/>
                <w:lang w:val="en-US" w:eastAsia="zh-CN"/>
              </w:rPr>
              <w:t>50</w:t>
            </w:r>
            <w:r>
              <w:rPr>
                <w:rFonts w:hint="eastAsia"/>
                <w:color w:val="auto"/>
                <w:szCs w:val="21"/>
                <w:highlight w:val="none"/>
              </w:rPr>
              <w:t>分）</w:t>
            </w:r>
          </w:p>
        </w:tc>
        <w:tc>
          <w:tcPr>
            <w:tcW w:w="1242" w:type="dxa"/>
            <w:noWrap/>
            <w:vAlign w:val="center"/>
          </w:tcPr>
          <w:p w14:paraId="77C513DC">
            <w:pPr>
              <w:keepNext w:val="0"/>
              <w:keepLines w:val="0"/>
              <w:pageBreakBefore w:val="0"/>
              <w:kinsoku/>
              <w:wordWrap w:val="0"/>
              <w:overflowPunct/>
              <w:topLinePunct w:val="0"/>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 xml:space="preserve">技术指标 </w:t>
            </w:r>
          </w:p>
          <w:p w14:paraId="737E9CAC">
            <w:pPr>
              <w:keepNext w:val="0"/>
              <w:keepLines w:val="0"/>
              <w:pageBreakBefore w:val="0"/>
              <w:kinsoku/>
              <w:wordWrap w:val="0"/>
              <w:overflowPunct/>
              <w:topLinePunct w:val="0"/>
              <w:bidi w:val="0"/>
              <w:spacing w:line="400" w:lineRule="exact"/>
              <w:rPr>
                <w:rFonts w:hint="eastAsia" w:ascii="宋体" w:hAnsi="宋体" w:eastAsia="宋体" w:cs="宋体"/>
                <w:color w:val="auto"/>
                <w:highlight w:val="none"/>
                <w:lang w:val="en-US"/>
              </w:rPr>
            </w:pPr>
            <w:r>
              <w:rPr>
                <w:rFonts w:hint="eastAsia" w:ascii="宋体" w:hAnsi="宋体" w:eastAsia="宋体" w:cs="宋体"/>
                <w:color w:val="auto"/>
                <w:highlight w:val="none"/>
                <w:lang w:val="zh-CN"/>
              </w:rPr>
              <w:t>响应情况 （</w:t>
            </w:r>
            <w:r>
              <w:rPr>
                <w:rFonts w:hint="eastAsia" w:ascii="宋体" w:hAnsi="宋体" w:eastAsia="宋体" w:cs="宋体"/>
                <w:color w:val="auto"/>
                <w:highlight w:val="none"/>
                <w:lang w:val="zh-CN" w:eastAsia="zh-CN"/>
              </w:rPr>
              <w:t>0-</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val="zh-CN" w:eastAsia="zh-CN"/>
              </w:rPr>
              <w:t>5</w:t>
            </w:r>
            <w:r>
              <w:rPr>
                <w:rFonts w:hint="eastAsia" w:ascii="宋体" w:hAnsi="宋体" w:eastAsia="宋体" w:cs="宋体"/>
                <w:color w:val="auto"/>
                <w:highlight w:val="none"/>
                <w:lang w:val="zh-CN"/>
              </w:rPr>
              <w:t>分）</w:t>
            </w:r>
          </w:p>
        </w:tc>
        <w:tc>
          <w:tcPr>
            <w:tcW w:w="5888" w:type="dxa"/>
            <w:noWrap/>
            <w:vAlign w:val="center"/>
          </w:tcPr>
          <w:p w14:paraId="1DAC4D24">
            <w:pPr>
              <w:keepNext w:val="0"/>
              <w:keepLines w:val="0"/>
              <w:pageBreakBefore w:val="0"/>
              <w:kinsoku/>
              <w:wordWrap w:val="0"/>
              <w:overflowPunct/>
              <w:topLinePunct w:val="0"/>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供应商所投货物的技术参数能够全部满足</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lang w:val="zh-CN"/>
              </w:rPr>
              <w:t>文件要求的, 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val="zh-CN"/>
              </w:rPr>
              <w:t>分，优于</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lang w:val="zh-CN"/>
              </w:rPr>
              <w:t>文件要求的，由磋商小组根据偏离内容对所投产品整体性能提升情况进行加分，每提供一个正偏离加</w:t>
            </w:r>
            <w:r>
              <w:rPr>
                <w:rFonts w:hint="eastAsia" w:ascii="宋体" w:hAnsi="宋体" w:eastAsia="宋体" w:cs="宋体"/>
                <w:color w:val="auto"/>
                <w:highlight w:val="none"/>
              </w:rPr>
              <w:t>1</w:t>
            </w:r>
            <w:r>
              <w:rPr>
                <w:rFonts w:hint="eastAsia" w:ascii="宋体" w:hAnsi="宋体" w:eastAsia="宋体" w:cs="宋体"/>
                <w:color w:val="auto"/>
                <w:highlight w:val="none"/>
                <w:lang w:val="zh-CN"/>
              </w:rPr>
              <w:t>分，最多加5分；技术参数不满足</w:t>
            </w:r>
            <w:r>
              <w:rPr>
                <w:rFonts w:hint="eastAsia" w:ascii="宋体" w:hAnsi="宋体" w:eastAsia="宋体" w:cs="宋体"/>
                <w:color w:val="auto"/>
                <w:highlight w:val="none"/>
                <w:lang w:val="zh-CN" w:eastAsia="zh-CN"/>
              </w:rPr>
              <w:t>磋商</w:t>
            </w:r>
            <w:r>
              <w:rPr>
                <w:rFonts w:hint="eastAsia" w:ascii="宋体" w:hAnsi="宋体" w:eastAsia="宋体" w:cs="宋体"/>
                <w:color w:val="auto"/>
                <w:highlight w:val="none"/>
                <w:lang w:val="zh-CN"/>
              </w:rPr>
              <w:t>文件要求的（负偏离）,每有一项不满足在基础分</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val="zh-CN"/>
              </w:rPr>
              <w:t>分上扣</w:t>
            </w:r>
            <w:r>
              <w:rPr>
                <w:rFonts w:hint="eastAsia" w:ascii="宋体" w:hAnsi="宋体" w:eastAsia="宋体" w:cs="宋体"/>
                <w:color w:val="auto"/>
                <w:highlight w:val="none"/>
              </w:rPr>
              <w:t>2</w:t>
            </w:r>
            <w:r>
              <w:rPr>
                <w:rFonts w:hint="eastAsia" w:ascii="宋体" w:hAnsi="宋体" w:eastAsia="宋体" w:cs="宋体"/>
                <w:color w:val="auto"/>
                <w:highlight w:val="none"/>
                <w:lang w:val="zh-CN"/>
              </w:rPr>
              <w:t xml:space="preserve">分，扣完为止。 </w:t>
            </w:r>
          </w:p>
          <w:p w14:paraId="1E88B6D9">
            <w:pPr>
              <w:keepNext w:val="0"/>
              <w:keepLines w:val="0"/>
              <w:pageBreakBefore w:val="0"/>
              <w:kinsoku/>
              <w:wordWrap w:val="0"/>
              <w:overflowPunct/>
              <w:topLinePunct w:val="0"/>
              <w:bidi w:val="0"/>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zh-CN"/>
              </w:rPr>
              <w:t xml:space="preserve">注：正偏离参数必须提供相关证明材料（如测试报告或说明书彩页等），未提供相关证明材料不予认可，不得分。 </w:t>
            </w:r>
          </w:p>
        </w:tc>
      </w:tr>
      <w:tr w14:paraId="0A65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964" w:type="dxa"/>
            <w:vMerge w:val="continue"/>
            <w:noWrap/>
            <w:vAlign w:val="center"/>
          </w:tcPr>
          <w:p w14:paraId="4BF21E26">
            <w:pPr>
              <w:keepNext w:val="0"/>
              <w:keepLines w:val="0"/>
              <w:pageBreakBefore w:val="0"/>
              <w:kinsoku/>
              <w:wordWrap w:val="0"/>
              <w:overflowPunct/>
              <w:topLinePunct w:val="0"/>
              <w:bidi w:val="0"/>
              <w:spacing w:line="400" w:lineRule="exact"/>
              <w:ind w:firstLine="28"/>
              <w:jc w:val="center"/>
              <w:rPr>
                <w:rFonts w:hint="eastAsia"/>
                <w:color w:val="auto"/>
                <w:szCs w:val="21"/>
                <w:highlight w:val="none"/>
              </w:rPr>
            </w:pPr>
          </w:p>
        </w:tc>
        <w:tc>
          <w:tcPr>
            <w:tcW w:w="1545" w:type="dxa"/>
            <w:vMerge w:val="continue"/>
            <w:noWrap/>
            <w:vAlign w:val="center"/>
          </w:tcPr>
          <w:p w14:paraId="59A2DD2D">
            <w:pPr>
              <w:keepNext w:val="0"/>
              <w:keepLines w:val="0"/>
              <w:pageBreakBefore w:val="0"/>
              <w:kinsoku/>
              <w:wordWrap w:val="0"/>
              <w:overflowPunct/>
              <w:topLinePunct w:val="0"/>
              <w:bidi w:val="0"/>
              <w:spacing w:line="400" w:lineRule="exact"/>
              <w:ind w:firstLine="28"/>
              <w:jc w:val="center"/>
              <w:rPr>
                <w:rFonts w:hint="eastAsia"/>
                <w:color w:val="auto"/>
                <w:szCs w:val="21"/>
                <w:highlight w:val="none"/>
              </w:rPr>
            </w:pPr>
          </w:p>
        </w:tc>
        <w:tc>
          <w:tcPr>
            <w:tcW w:w="1242" w:type="dxa"/>
            <w:noWrap/>
            <w:vAlign w:val="center"/>
          </w:tcPr>
          <w:p w14:paraId="417545A4">
            <w:pPr>
              <w:pStyle w:val="7"/>
              <w:keepNext w:val="0"/>
              <w:keepLines w:val="0"/>
              <w:pageBreakBefore w:val="0"/>
              <w:kinsoku/>
              <w:wordWrap w:val="0"/>
              <w:overflowPunct/>
              <w:topLinePunct w:val="0"/>
              <w:bidi w:val="0"/>
              <w:ind w:left="0" w:leftChars="0" w:firstLine="0" w:firstLineChars="0"/>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sz w:val="22"/>
                <w:szCs w:val="22"/>
                <w:highlight w:val="none"/>
                <w:lang w:val="en-US" w:eastAsia="zh-CN" w:bidi="zh-CN"/>
              </w:rPr>
              <w:t>实施方案（0-15</w:t>
            </w:r>
            <w:r>
              <w:rPr>
                <w:rFonts w:hint="eastAsia" w:ascii="宋体" w:hAnsi="宋体" w:eastAsia="宋体" w:cs="宋体"/>
                <w:color w:val="auto"/>
                <w:sz w:val="22"/>
                <w:szCs w:val="22"/>
                <w:highlight w:val="none"/>
                <w:lang w:val="zh-CN" w:eastAsia="zh-CN" w:bidi="zh-CN"/>
              </w:rPr>
              <w:t>分</w:t>
            </w:r>
            <w:r>
              <w:rPr>
                <w:rFonts w:hint="eastAsia" w:ascii="宋体" w:hAnsi="宋体" w:eastAsia="宋体" w:cs="宋体"/>
                <w:color w:val="auto"/>
                <w:sz w:val="22"/>
                <w:szCs w:val="22"/>
                <w:highlight w:val="none"/>
                <w:lang w:val="en-US" w:eastAsia="zh-CN" w:bidi="zh-CN"/>
              </w:rPr>
              <w:t>）</w:t>
            </w:r>
          </w:p>
        </w:tc>
        <w:tc>
          <w:tcPr>
            <w:tcW w:w="5888" w:type="dxa"/>
            <w:noWrap/>
            <w:vAlign w:val="center"/>
          </w:tcPr>
          <w:p w14:paraId="13FABEF4">
            <w:pPr>
              <w:keepNext w:val="0"/>
              <w:keepLines w:val="0"/>
              <w:pageBreakBefore w:val="0"/>
              <w:kinsoku/>
              <w:wordWrap w:val="0"/>
              <w:overflowPunct/>
              <w:topLinePunct w:val="0"/>
              <w:bidi w:val="0"/>
              <w:spacing w:line="400" w:lineRule="exact"/>
              <w:rPr>
                <w:rFonts w:hint="eastAsia" w:ascii="宋体" w:hAnsi="宋体" w:eastAsia="宋体" w:cs="宋体"/>
                <w:color w:val="auto"/>
                <w:sz w:val="21"/>
                <w:szCs w:val="21"/>
                <w:highlight w:val="none"/>
                <w:lang w:val="en-US" w:eastAsia="zh-CN" w:bidi="zh-CN"/>
              </w:rPr>
            </w:pPr>
            <w:r>
              <w:rPr>
                <w:rFonts w:hint="eastAsia" w:ascii="宋体" w:hAnsi="宋体"/>
                <w:color w:val="auto"/>
                <w:sz w:val="22"/>
                <w:szCs w:val="22"/>
                <w:highlight w:val="none"/>
              </w:rPr>
              <w:t>各供应商提供的实施方案需包含建设背景、项目概述、项目功能需求理解、总体方案阐述、项目具体实现方案，方案完整、可行，内容全面详细、针对性强等方面进行打分。内容详实完整、非常明确、科学合理得15分；内容较完善、较明确、科学合理得10分；内容基本完善、基本明确、基本科学合理得5分；未提供方案不得分</w:t>
            </w:r>
            <w:r>
              <w:rPr>
                <w:rFonts w:hint="eastAsia" w:ascii="宋体" w:hAnsi="宋体"/>
                <w:color w:val="auto"/>
                <w:sz w:val="22"/>
                <w:szCs w:val="22"/>
                <w:highlight w:val="none"/>
                <w:lang w:eastAsia="zh-CN"/>
              </w:rPr>
              <w:t>。</w:t>
            </w:r>
          </w:p>
        </w:tc>
      </w:tr>
      <w:tr w14:paraId="7914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964" w:type="dxa"/>
            <w:vMerge w:val="continue"/>
            <w:noWrap/>
            <w:vAlign w:val="center"/>
          </w:tcPr>
          <w:p w14:paraId="79F89DB0">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545" w:type="dxa"/>
            <w:vMerge w:val="continue"/>
            <w:noWrap/>
            <w:vAlign w:val="center"/>
          </w:tcPr>
          <w:p w14:paraId="6B4B491A">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242" w:type="dxa"/>
            <w:noWrap/>
            <w:vAlign w:val="center"/>
          </w:tcPr>
          <w:p w14:paraId="32B03C1E">
            <w:pPr>
              <w:keepNext w:val="0"/>
              <w:keepLines w:val="0"/>
              <w:widowControl/>
              <w:suppressLineNumbers w:val="0"/>
              <w:jc w:val="left"/>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信息安全管理措施（0-5分）</w:t>
            </w:r>
          </w:p>
        </w:tc>
        <w:tc>
          <w:tcPr>
            <w:tcW w:w="5888" w:type="dxa"/>
            <w:noWrap/>
            <w:vAlign w:val="center"/>
          </w:tcPr>
          <w:p w14:paraId="2D19BC8F">
            <w:pPr>
              <w:keepNext w:val="0"/>
              <w:keepLines w:val="0"/>
              <w:widowControl/>
              <w:suppressLineNumbers w:val="0"/>
              <w:jc w:val="left"/>
              <w:textAlignment w:val="center"/>
              <w:rPr>
                <w:rFonts w:hint="eastAsia" w:ascii="宋体" w:hAnsi="宋体" w:eastAsia="宋体" w:cs="宋体"/>
                <w:color w:val="auto"/>
                <w:spacing w:val="0"/>
                <w:sz w:val="21"/>
                <w:szCs w:val="21"/>
                <w:highlight w:val="none"/>
                <w:lang w:val="en-US"/>
              </w:rPr>
            </w:pPr>
            <w:r>
              <w:rPr>
                <w:rFonts w:hint="eastAsia" w:ascii="宋体" w:hAnsi="宋体" w:eastAsia="宋体" w:cs="宋体"/>
                <w:i w:val="0"/>
                <w:iCs w:val="0"/>
                <w:color w:val="auto"/>
                <w:kern w:val="0"/>
                <w:sz w:val="22"/>
                <w:szCs w:val="22"/>
                <w:highlight w:val="none"/>
                <w:u w:val="none"/>
                <w:lang w:val="en-US" w:eastAsia="zh-CN" w:bidi="ar"/>
              </w:rPr>
              <w:t>信息安全管理措施详细、科学、合理，完全满足 采购人需求的得5分；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信息安全管理措施不详细的，得2分；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信息安全管理措施不科学、不合理或者不能满足采购人需求的，得1分；</w:t>
            </w:r>
          </w:p>
        </w:tc>
      </w:tr>
      <w:tr w14:paraId="7A57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964" w:type="dxa"/>
            <w:vMerge w:val="continue"/>
            <w:noWrap/>
            <w:vAlign w:val="center"/>
          </w:tcPr>
          <w:p w14:paraId="1032E13B">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545" w:type="dxa"/>
            <w:vMerge w:val="continue"/>
            <w:noWrap/>
            <w:vAlign w:val="center"/>
          </w:tcPr>
          <w:p w14:paraId="36E32B5B">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242" w:type="dxa"/>
            <w:noWrap/>
            <w:vAlign w:val="center"/>
          </w:tcPr>
          <w:p w14:paraId="40BE684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培训方案（0-5分）</w:t>
            </w:r>
          </w:p>
        </w:tc>
        <w:tc>
          <w:tcPr>
            <w:tcW w:w="5888" w:type="dxa"/>
            <w:noWrap/>
            <w:vAlign w:val="center"/>
          </w:tcPr>
          <w:p w14:paraId="6D4D9CB1">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项目验收合格后供应商须对甲方人员进行一定的技术操作培训，针对该项目设定的技术培训方案全面、合理、清楚明了且高效可行的得5分；技术操作培训方案合理清楚明了的得3分；技术操作培训方案合理的得1分；</w:t>
            </w:r>
          </w:p>
          <w:p w14:paraId="298A5BF0">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未提供不得分。</w:t>
            </w:r>
          </w:p>
        </w:tc>
      </w:tr>
      <w:tr w14:paraId="036A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8" w:hRule="atLeast"/>
        </w:trPr>
        <w:tc>
          <w:tcPr>
            <w:tcW w:w="964" w:type="dxa"/>
            <w:vMerge w:val="continue"/>
            <w:noWrap/>
            <w:vAlign w:val="center"/>
          </w:tcPr>
          <w:p w14:paraId="05330D12">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545" w:type="dxa"/>
            <w:vMerge w:val="continue"/>
            <w:noWrap/>
            <w:vAlign w:val="center"/>
          </w:tcPr>
          <w:p w14:paraId="3C752C9B">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242" w:type="dxa"/>
            <w:noWrap/>
            <w:vAlign w:val="center"/>
          </w:tcPr>
          <w:p w14:paraId="434C19E8">
            <w:pPr>
              <w:keepNext w:val="0"/>
              <w:keepLines w:val="0"/>
              <w:widowControl/>
              <w:suppressLineNumbers w:val="0"/>
              <w:jc w:val="left"/>
              <w:textAlignment w:val="center"/>
              <w:rPr>
                <w:rFonts w:hint="eastAsia" w:ascii="宋体" w:hAnsi="宋体" w:eastAsia="宋体" w:cs="宋体"/>
                <w:color w:val="auto"/>
                <w:highlight w:val="none"/>
                <w:lang w:val="en-US"/>
              </w:rPr>
            </w:pPr>
            <w:r>
              <w:rPr>
                <w:rFonts w:hint="eastAsia" w:ascii="宋体" w:hAnsi="宋体" w:eastAsia="宋体" w:cs="宋体"/>
                <w:i w:val="0"/>
                <w:iCs w:val="0"/>
                <w:color w:val="auto"/>
                <w:kern w:val="0"/>
                <w:sz w:val="22"/>
                <w:szCs w:val="22"/>
                <w:highlight w:val="none"/>
                <w:u w:val="none"/>
                <w:lang w:val="en-US" w:eastAsia="zh-CN" w:bidi="ar"/>
              </w:rPr>
              <w:t>项目风险应对措施（0-10分）</w:t>
            </w:r>
          </w:p>
        </w:tc>
        <w:tc>
          <w:tcPr>
            <w:tcW w:w="5888" w:type="dxa"/>
            <w:noWrap/>
            <w:vAlign w:val="center"/>
          </w:tcPr>
          <w:p w14:paraId="72767740">
            <w:pPr>
              <w:keepNext w:val="0"/>
              <w:keepLines w:val="0"/>
              <w:widowControl/>
              <w:suppressLineNumbers w:val="0"/>
              <w:jc w:val="left"/>
              <w:textAlignment w:val="center"/>
              <w:rPr>
                <w:rFonts w:ascii="宋体" w:hAnsi="宋体" w:eastAsia="宋体" w:cs="宋体"/>
                <w:color w:val="auto"/>
                <w:spacing w:val="0"/>
                <w:sz w:val="21"/>
                <w:szCs w:val="21"/>
                <w:highlight w:val="none"/>
                <w:lang w:val="en-US"/>
              </w:rPr>
            </w:pPr>
            <w:r>
              <w:rPr>
                <w:rFonts w:hint="eastAsia" w:ascii="宋体" w:hAnsi="宋体" w:eastAsia="宋体" w:cs="宋体"/>
                <w:i w:val="0"/>
                <w:iCs w:val="0"/>
                <w:color w:val="auto"/>
                <w:kern w:val="0"/>
                <w:sz w:val="22"/>
                <w:szCs w:val="22"/>
                <w:highlight w:val="none"/>
                <w:u w:val="none"/>
                <w:lang w:val="en-US" w:eastAsia="zh-CN" w:bidi="ar"/>
              </w:rPr>
              <w:t>根据项目需求制定详细的风险应对措施，包含但不限于风险识别、风险控制等，根据投标人在上述内容进行综合评审：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1.投标人提供的项目风险应对措施具有针对性、完善程度高得10分；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2.投标人提供的项目风险应对措施合理便于实施、但完善程度一般不够详尽的得6分；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3.投标人提供的项目风险应对措施但合理性一般不便于实施、完善程度一般不够详尽的得2分；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4.投标人提供的项目风险应对措施不科学、不合理的得1分，不提供的不得分。</w:t>
            </w:r>
          </w:p>
        </w:tc>
      </w:tr>
      <w:tr w14:paraId="4113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964" w:type="dxa"/>
            <w:vMerge w:val="restart"/>
            <w:noWrap/>
            <w:vAlign w:val="center"/>
          </w:tcPr>
          <w:p w14:paraId="39B7C1BA">
            <w:pPr>
              <w:keepNext w:val="0"/>
              <w:keepLines w:val="0"/>
              <w:pageBreakBefore w:val="0"/>
              <w:kinsoku/>
              <w:wordWrap w:val="0"/>
              <w:overflowPunct/>
              <w:topLinePunct w:val="0"/>
              <w:bidi w:val="0"/>
              <w:spacing w:line="400" w:lineRule="exact"/>
              <w:ind w:firstLine="28"/>
              <w:jc w:val="center"/>
              <w:rPr>
                <w:color w:val="auto"/>
                <w:szCs w:val="21"/>
                <w:highlight w:val="none"/>
                <w:lang w:val="en-US"/>
              </w:rPr>
            </w:pPr>
            <w:r>
              <w:rPr>
                <w:rFonts w:hint="eastAsia"/>
                <w:color w:val="auto"/>
                <w:szCs w:val="21"/>
                <w:highlight w:val="none"/>
                <w:lang w:val="en-US"/>
              </w:rPr>
              <w:t>2.2.4</w:t>
            </w:r>
          </w:p>
        </w:tc>
        <w:tc>
          <w:tcPr>
            <w:tcW w:w="1545" w:type="dxa"/>
            <w:vMerge w:val="restart"/>
            <w:noWrap/>
            <w:vAlign w:val="center"/>
          </w:tcPr>
          <w:p w14:paraId="1F9B5B8D">
            <w:pPr>
              <w:keepNext w:val="0"/>
              <w:keepLines w:val="0"/>
              <w:pageBreakBefore w:val="0"/>
              <w:kinsoku/>
              <w:wordWrap w:val="0"/>
              <w:overflowPunct/>
              <w:topLinePunct w:val="0"/>
              <w:bidi w:val="0"/>
              <w:spacing w:line="400" w:lineRule="exact"/>
              <w:jc w:val="center"/>
              <w:rPr>
                <w:color w:val="auto"/>
                <w:szCs w:val="21"/>
                <w:highlight w:val="none"/>
              </w:rPr>
            </w:pPr>
            <w:r>
              <w:rPr>
                <w:rFonts w:hint="eastAsia"/>
                <w:color w:val="auto"/>
                <w:szCs w:val="21"/>
                <w:highlight w:val="none"/>
              </w:rPr>
              <w:t>商务标（</w:t>
            </w:r>
            <w:r>
              <w:rPr>
                <w:rFonts w:hint="eastAsia"/>
                <w:color w:val="auto"/>
                <w:szCs w:val="21"/>
                <w:highlight w:val="none"/>
                <w:lang w:val="en-US" w:eastAsia="zh-CN"/>
              </w:rPr>
              <w:t>20</w:t>
            </w:r>
            <w:r>
              <w:rPr>
                <w:rFonts w:hint="eastAsia"/>
                <w:color w:val="auto"/>
                <w:szCs w:val="21"/>
                <w:highlight w:val="none"/>
                <w:lang w:val="en-US"/>
              </w:rPr>
              <w:t>分</w:t>
            </w:r>
            <w:r>
              <w:rPr>
                <w:rFonts w:hint="eastAsia"/>
                <w:color w:val="auto"/>
                <w:szCs w:val="21"/>
                <w:highlight w:val="none"/>
              </w:rPr>
              <w:t>）</w:t>
            </w:r>
          </w:p>
        </w:tc>
        <w:tc>
          <w:tcPr>
            <w:tcW w:w="1242" w:type="dxa"/>
            <w:noWrap/>
            <w:vAlign w:val="center"/>
          </w:tcPr>
          <w:p w14:paraId="145CAA4F">
            <w:pPr>
              <w:pStyle w:val="6"/>
              <w:keepNext w:val="0"/>
              <w:keepLines w:val="0"/>
              <w:pageBreakBefore w:val="0"/>
              <w:widowControl/>
              <w:kinsoku/>
              <w:wordWrap w:val="0"/>
              <w:overflowPunct/>
              <w:topLinePunct w:val="0"/>
              <w:bidi w:val="0"/>
              <w:ind w:firstLine="220" w:firstLineChars="100"/>
              <w:jc w:val="both"/>
              <w:rPr>
                <w:rFonts w:ascii="宋体" w:hAnsi="宋体" w:eastAsia="宋体" w:cs="宋体"/>
                <w:color w:val="auto"/>
                <w:sz w:val="22"/>
                <w:szCs w:val="21"/>
                <w:highlight w:val="none"/>
                <w:lang w:val="en-US" w:eastAsia="zh-CN" w:bidi="zh-CN"/>
              </w:rPr>
            </w:pPr>
            <w:r>
              <w:rPr>
                <w:rFonts w:hint="eastAsia" w:ascii="宋体" w:hAnsi="宋体" w:eastAsia="宋体" w:cs="宋体"/>
                <w:color w:val="auto"/>
                <w:sz w:val="22"/>
                <w:szCs w:val="21"/>
                <w:highlight w:val="none"/>
                <w:lang w:val="en-US" w:eastAsia="zh-CN" w:bidi="zh-CN"/>
              </w:rPr>
              <w:t>业绩</w:t>
            </w:r>
          </w:p>
          <w:p w14:paraId="0F21D422">
            <w:pPr>
              <w:pStyle w:val="6"/>
              <w:keepNext w:val="0"/>
              <w:keepLines w:val="0"/>
              <w:pageBreakBefore w:val="0"/>
              <w:widowControl/>
              <w:kinsoku/>
              <w:wordWrap w:val="0"/>
              <w:overflowPunct/>
              <w:topLinePunct w:val="0"/>
              <w:bidi w:val="0"/>
              <w:jc w:val="center"/>
              <w:rPr>
                <w:rFonts w:ascii="宋体" w:hAnsi="宋体" w:eastAsia="宋体" w:cs="宋体"/>
                <w:color w:val="auto"/>
                <w:sz w:val="22"/>
                <w:szCs w:val="21"/>
                <w:highlight w:val="none"/>
                <w:lang w:val="en-US" w:eastAsia="zh-CN" w:bidi="zh-CN"/>
              </w:rPr>
            </w:pPr>
            <w:r>
              <w:rPr>
                <w:rFonts w:hint="eastAsia" w:ascii="宋体" w:hAnsi="宋体" w:eastAsia="宋体" w:cs="宋体"/>
                <w:color w:val="auto"/>
                <w:sz w:val="22"/>
                <w:szCs w:val="21"/>
                <w:highlight w:val="none"/>
                <w:lang w:val="en-US" w:eastAsia="zh-CN" w:bidi="zh-CN"/>
              </w:rPr>
              <w:t>（0-6分）</w:t>
            </w:r>
          </w:p>
        </w:tc>
        <w:tc>
          <w:tcPr>
            <w:tcW w:w="5888" w:type="dxa"/>
            <w:noWrap/>
            <w:vAlign w:val="center"/>
          </w:tcPr>
          <w:p w14:paraId="2309D9FA">
            <w:pPr>
              <w:keepNext w:val="0"/>
              <w:keepLines w:val="0"/>
              <w:pageBreakBefore w:val="0"/>
              <w:kinsoku/>
              <w:wordWrap w:val="0"/>
              <w:overflowPunct/>
              <w:topLinePunct w:val="0"/>
              <w:bidi w:val="0"/>
              <w:spacing w:line="400" w:lineRule="exact"/>
              <w:rPr>
                <w:color w:val="auto"/>
                <w:szCs w:val="21"/>
                <w:highlight w:val="none"/>
                <w:lang w:val="en-US"/>
              </w:rPr>
            </w:pPr>
            <w:r>
              <w:rPr>
                <w:color w:val="auto"/>
                <w:szCs w:val="21"/>
                <w:highlight w:val="none"/>
                <w:lang w:val="en-US"/>
              </w:rPr>
              <w:t>提供20</w:t>
            </w:r>
            <w:r>
              <w:rPr>
                <w:rFonts w:hint="eastAsia"/>
                <w:color w:val="auto"/>
                <w:szCs w:val="21"/>
                <w:highlight w:val="none"/>
                <w:lang w:val="en-US" w:eastAsia="zh-CN"/>
              </w:rPr>
              <w:t>22</w:t>
            </w:r>
            <w:r>
              <w:rPr>
                <w:color w:val="auto"/>
                <w:szCs w:val="21"/>
                <w:highlight w:val="none"/>
                <w:lang w:val="en-US"/>
              </w:rPr>
              <w:t>年1月以来已完成的类似项目业绩，每提供一份得</w:t>
            </w:r>
            <w:r>
              <w:rPr>
                <w:rFonts w:hint="eastAsia"/>
                <w:color w:val="auto"/>
                <w:szCs w:val="21"/>
                <w:highlight w:val="none"/>
                <w:lang w:val="en-US" w:eastAsia="zh-CN"/>
              </w:rPr>
              <w:t>2</w:t>
            </w:r>
            <w:r>
              <w:rPr>
                <w:rFonts w:hint="eastAsia"/>
                <w:color w:val="auto"/>
                <w:szCs w:val="21"/>
                <w:highlight w:val="none"/>
                <w:lang w:val="en-US"/>
              </w:rPr>
              <w:t>份</w:t>
            </w:r>
            <w:r>
              <w:rPr>
                <w:color w:val="auto"/>
                <w:szCs w:val="21"/>
                <w:highlight w:val="none"/>
                <w:lang w:val="en-US"/>
              </w:rPr>
              <w:t>，该项最高得</w:t>
            </w:r>
            <w:r>
              <w:rPr>
                <w:rFonts w:hint="eastAsia"/>
                <w:color w:val="auto"/>
                <w:szCs w:val="21"/>
                <w:highlight w:val="none"/>
                <w:lang w:val="en-US" w:eastAsia="zh-CN"/>
              </w:rPr>
              <w:t>6</w:t>
            </w:r>
            <w:r>
              <w:rPr>
                <w:color w:val="auto"/>
                <w:szCs w:val="21"/>
                <w:highlight w:val="none"/>
                <w:lang w:val="en-US"/>
              </w:rPr>
              <w:t>分，没有不得分；</w:t>
            </w:r>
            <w:r>
              <w:rPr>
                <w:rFonts w:hint="eastAsia"/>
                <w:color w:val="auto"/>
                <w:szCs w:val="21"/>
                <w:highlight w:val="none"/>
                <w:lang w:val="en-US"/>
              </w:rPr>
              <w:t>提供合同</w:t>
            </w:r>
            <w:r>
              <w:rPr>
                <w:rFonts w:hint="eastAsia"/>
                <w:color w:val="auto"/>
                <w:szCs w:val="21"/>
                <w:highlight w:val="none"/>
                <w:lang w:val="en-US" w:eastAsia="zh-CN"/>
              </w:rPr>
              <w:t>或</w:t>
            </w:r>
            <w:r>
              <w:rPr>
                <w:rFonts w:hint="eastAsia"/>
                <w:color w:val="auto"/>
                <w:szCs w:val="21"/>
                <w:highlight w:val="none"/>
                <w:lang w:val="en-US"/>
              </w:rPr>
              <w:t>中标通知书。注：需在</w:t>
            </w:r>
            <w:r>
              <w:rPr>
                <w:rFonts w:hint="eastAsia"/>
                <w:color w:val="auto"/>
                <w:szCs w:val="21"/>
                <w:highlight w:val="none"/>
                <w:lang w:val="en-US" w:eastAsia="zh-CN"/>
              </w:rPr>
              <w:t>响应</w:t>
            </w:r>
            <w:r>
              <w:rPr>
                <w:rFonts w:hint="eastAsia"/>
                <w:color w:val="auto"/>
                <w:szCs w:val="21"/>
                <w:highlight w:val="none"/>
                <w:lang w:val="en-US"/>
              </w:rPr>
              <w:t>文件中提供相应证明资料</w:t>
            </w:r>
            <w:r>
              <w:rPr>
                <w:rFonts w:hint="eastAsia"/>
                <w:color w:val="auto"/>
                <w:szCs w:val="21"/>
                <w:highlight w:val="none"/>
                <w:lang w:val="en-US" w:eastAsia="zh-CN"/>
              </w:rPr>
              <w:t>，没有不得分</w:t>
            </w:r>
            <w:r>
              <w:rPr>
                <w:rFonts w:hint="eastAsia"/>
                <w:color w:val="auto"/>
                <w:szCs w:val="21"/>
                <w:highlight w:val="none"/>
                <w:lang w:val="en-US"/>
              </w:rPr>
              <w:t>。</w:t>
            </w:r>
          </w:p>
        </w:tc>
      </w:tr>
      <w:tr w14:paraId="65C9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atLeast"/>
        </w:trPr>
        <w:tc>
          <w:tcPr>
            <w:tcW w:w="964" w:type="dxa"/>
            <w:vMerge w:val="continue"/>
            <w:noWrap/>
            <w:vAlign w:val="center"/>
          </w:tcPr>
          <w:p w14:paraId="7D11BF90">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545" w:type="dxa"/>
            <w:vMerge w:val="continue"/>
            <w:noWrap/>
            <w:vAlign w:val="center"/>
          </w:tcPr>
          <w:p w14:paraId="77BA533E">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242" w:type="dxa"/>
            <w:tcBorders>
              <w:top w:val="single" w:color="auto" w:sz="4" w:space="0"/>
              <w:left w:val="single" w:color="auto" w:sz="4" w:space="0"/>
              <w:bottom w:val="single" w:color="auto" w:sz="4" w:space="0"/>
              <w:right w:val="single" w:color="auto" w:sz="4" w:space="0"/>
            </w:tcBorders>
            <w:noWrap/>
            <w:vAlign w:val="center"/>
          </w:tcPr>
          <w:p w14:paraId="1394BE01">
            <w:pPr>
              <w:keepNext w:val="0"/>
              <w:keepLines w:val="0"/>
              <w:pageBreakBefore w:val="0"/>
              <w:kinsoku/>
              <w:wordWrap w:val="0"/>
              <w:overflowPunct/>
              <w:topLinePunct w:val="0"/>
              <w:bidi w:val="0"/>
              <w:spacing w:line="400" w:lineRule="exact"/>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企业实力</w:t>
            </w:r>
            <w:r>
              <w:rPr>
                <w:rFonts w:hint="default" w:ascii="宋体" w:hAnsi="宋体" w:eastAsia="宋体" w:cs="宋体"/>
                <w:i w:val="0"/>
                <w:iCs w:val="0"/>
                <w:color w:val="auto"/>
                <w:kern w:val="0"/>
                <w:sz w:val="22"/>
                <w:szCs w:val="22"/>
                <w:highlight w:val="none"/>
                <w:u w:val="none"/>
                <w:lang w:val="en-US" w:eastAsia="zh-CN" w:bidi="ar"/>
              </w:rPr>
              <w:t>（0-</w:t>
            </w:r>
            <w:r>
              <w:rPr>
                <w:rFonts w:hint="eastAsia" w:ascii="宋体" w:hAnsi="宋体" w:eastAsia="宋体" w:cs="宋体"/>
                <w:i w:val="0"/>
                <w:iCs w:val="0"/>
                <w:color w:val="auto"/>
                <w:kern w:val="0"/>
                <w:sz w:val="22"/>
                <w:szCs w:val="22"/>
                <w:highlight w:val="none"/>
                <w:u w:val="none"/>
                <w:lang w:val="en-US" w:eastAsia="zh-CN" w:bidi="ar"/>
              </w:rPr>
              <w:t>3</w:t>
            </w:r>
            <w:r>
              <w:rPr>
                <w:rFonts w:hint="default" w:ascii="宋体" w:hAnsi="宋体" w:eastAsia="宋体" w:cs="宋体"/>
                <w:i w:val="0"/>
                <w:iCs w:val="0"/>
                <w:color w:val="auto"/>
                <w:kern w:val="0"/>
                <w:sz w:val="22"/>
                <w:szCs w:val="22"/>
                <w:highlight w:val="none"/>
                <w:u w:val="none"/>
                <w:lang w:val="en-US" w:eastAsia="zh-CN" w:bidi="ar"/>
              </w:rPr>
              <w:t>分）</w:t>
            </w:r>
          </w:p>
        </w:tc>
        <w:tc>
          <w:tcPr>
            <w:tcW w:w="5888" w:type="dxa"/>
            <w:tcBorders>
              <w:top w:val="single" w:color="auto" w:sz="4" w:space="0"/>
              <w:left w:val="single" w:color="auto" w:sz="4" w:space="0"/>
              <w:bottom w:val="single" w:color="auto" w:sz="4" w:space="0"/>
              <w:right w:val="single" w:color="auto" w:sz="4" w:space="0"/>
            </w:tcBorders>
            <w:noWrap/>
            <w:vAlign w:val="center"/>
          </w:tcPr>
          <w:p w14:paraId="500AFAC5">
            <w:pPr>
              <w:keepNext w:val="0"/>
              <w:keepLines w:val="0"/>
              <w:pageBreakBefore w:val="0"/>
              <w:kinsoku/>
              <w:wordWrap w:val="0"/>
              <w:overflowPunct/>
              <w:topLinePunct w:val="0"/>
              <w:autoSpaceDE w:val="0"/>
              <w:autoSpaceDN w:val="0"/>
              <w:bidi w:val="0"/>
              <w:spacing w:before="50"/>
              <w:ind w:right="97" w:rightChars="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投标供应商具有本项目采购内容类似的《计算机软件著作权登记证书》的，每提供一个得0.5分，该项最高得3分，没有不得分；</w:t>
            </w:r>
          </w:p>
          <w:p w14:paraId="70954C20">
            <w:pPr>
              <w:keepNext w:val="0"/>
              <w:keepLines w:val="0"/>
              <w:pageBreakBefore w:val="0"/>
              <w:kinsoku/>
              <w:wordWrap w:val="0"/>
              <w:overflowPunct/>
              <w:topLinePunct w:val="0"/>
              <w:autoSpaceDE w:val="0"/>
              <w:autoSpaceDN w:val="0"/>
              <w:bidi w:val="0"/>
              <w:spacing w:before="50"/>
              <w:ind w:right="97" w:rightChars="0"/>
              <w:rPr>
                <w:rFonts w:hint="default"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注：需在响应文件中提供相应证明资料，没有不得分。</w:t>
            </w:r>
          </w:p>
        </w:tc>
      </w:tr>
      <w:tr w14:paraId="7239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trPr>
        <w:tc>
          <w:tcPr>
            <w:tcW w:w="964" w:type="dxa"/>
            <w:vMerge w:val="continue"/>
            <w:noWrap/>
            <w:vAlign w:val="center"/>
          </w:tcPr>
          <w:p w14:paraId="7FF3DBD5">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545" w:type="dxa"/>
            <w:vMerge w:val="continue"/>
            <w:noWrap/>
            <w:vAlign w:val="center"/>
          </w:tcPr>
          <w:p w14:paraId="0CE7E239">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242" w:type="dxa"/>
            <w:tcBorders>
              <w:top w:val="single" w:color="auto" w:sz="4" w:space="0"/>
              <w:left w:val="single" w:color="auto" w:sz="4" w:space="0"/>
              <w:bottom w:val="single" w:color="auto" w:sz="4" w:space="0"/>
              <w:right w:val="single" w:color="auto" w:sz="4" w:space="0"/>
            </w:tcBorders>
            <w:noWrap/>
            <w:vAlign w:val="center"/>
          </w:tcPr>
          <w:p w14:paraId="6D829D4F">
            <w:pPr>
              <w:keepNext w:val="0"/>
              <w:keepLines w:val="0"/>
              <w:pageBreakBefore w:val="0"/>
              <w:kinsoku/>
              <w:wordWrap w:val="0"/>
              <w:overflowPunct/>
              <w:topLinePunct w:val="0"/>
              <w:bidi w:val="0"/>
              <w:spacing w:line="400" w:lineRule="exact"/>
              <w:rPr>
                <w:rFonts w:hint="default" w:eastAsia="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人员配备（0-3分）</w:t>
            </w:r>
          </w:p>
        </w:tc>
        <w:tc>
          <w:tcPr>
            <w:tcW w:w="5888" w:type="dxa"/>
            <w:tcBorders>
              <w:top w:val="single" w:color="auto" w:sz="4" w:space="0"/>
              <w:left w:val="single" w:color="auto" w:sz="4" w:space="0"/>
              <w:bottom w:val="single" w:color="auto" w:sz="4" w:space="0"/>
              <w:right w:val="single" w:color="auto" w:sz="4" w:space="0"/>
            </w:tcBorders>
            <w:noWrap/>
            <w:vAlign w:val="center"/>
          </w:tcPr>
          <w:p w14:paraId="2AB75048">
            <w:pPr>
              <w:keepNext w:val="0"/>
              <w:keepLines w:val="0"/>
              <w:pageBreakBefore w:val="0"/>
              <w:kinsoku/>
              <w:wordWrap w:val="0"/>
              <w:overflowPunct/>
              <w:topLinePunct w:val="0"/>
              <w:autoSpaceDE w:val="0"/>
              <w:autoSpaceDN w:val="0"/>
              <w:bidi w:val="0"/>
              <w:spacing w:before="50"/>
              <w:ind w:right="97" w:rightChars="0"/>
              <w:rPr>
                <w:rFonts w:hint="default"/>
                <w:color w:val="auto"/>
                <w:szCs w:val="21"/>
                <w:highlight w:val="none"/>
                <w:lang w:val="en-US"/>
              </w:rPr>
            </w:pPr>
            <w:r>
              <w:rPr>
                <w:rFonts w:hint="eastAsia" w:ascii="宋体" w:hAnsi="宋体" w:eastAsia="宋体" w:cs="宋体"/>
                <w:i w:val="0"/>
                <w:iCs w:val="0"/>
                <w:color w:val="auto"/>
                <w:kern w:val="0"/>
                <w:sz w:val="22"/>
                <w:szCs w:val="22"/>
                <w:highlight w:val="none"/>
                <w:u w:val="none"/>
                <w:lang w:val="en-US" w:eastAsia="zh-CN" w:bidi="ar"/>
              </w:rPr>
              <w:t>投标人拟投入本项目技术人员在3人基础上，每多增加一人得1分，该项最高得3分，3人及以下人数不得分；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注：需提供相关证明扫描件（身份证、劳动合同、近三个月社保），未提供者不得分。</w:t>
            </w:r>
          </w:p>
        </w:tc>
      </w:tr>
      <w:tr w14:paraId="30C7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3" w:hRule="atLeast"/>
        </w:trPr>
        <w:tc>
          <w:tcPr>
            <w:tcW w:w="964" w:type="dxa"/>
            <w:vMerge w:val="continue"/>
            <w:noWrap/>
            <w:vAlign w:val="center"/>
          </w:tcPr>
          <w:p w14:paraId="065F69DB">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545" w:type="dxa"/>
            <w:vMerge w:val="continue"/>
            <w:noWrap/>
            <w:vAlign w:val="center"/>
          </w:tcPr>
          <w:p w14:paraId="1A844931">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242" w:type="dxa"/>
            <w:tcBorders>
              <w:top w:val="single" w:color="auto" w:sz="4" w:space="0"/>
              <w:left w:val="single" w:color="auto" w:sz="4" w:space="0"/>
              <w:bottom w:val="single" w:color="auto" w:sz="4" w:space="0"/>
              <w:right w:val="single" w:color="auto" w:sz="4" w:space="0"/>
            </w:tcBorders>
            <w:noWrap/>
            <w:vAlign w:val="center"/>
          </w:tcPr>
          <w:p w14:paraId="47C08E42">
            <w:pPr>
              <w:keepNext w:val="0"/>
              <w:keepLines w:val="0"/>
              <w:widowControl/>
              <w:suppressLineNumbers w:val="0"/>
              <w:jc w:val="left"/>
              <w:textAlignment w:val="center"/>
              <w:rPr>
                <w:color w:val="auto"/>
                <w:szCs w:val="21"/>
                <w:highlight w:val="none"/>
                <w:lang w:val="en-US"/>
              </w:rPr>
            </w:pPr>
            <w:r>
              <w:rPr>
                <w:rFonts w:hint="eastAsia" w:ascii="宋体" w:hAnsi="宋体" w:eastAsia="宋体" w:cs="宋体"/>
                <w:i w:val="0"/>
                <w:iCs w:val="0"/>
                <w:color w:val="auto"/>
                <w:kern w:val="0"/>
                <w:sz w:val="22"/>
                <w:szCs w:val="22"/>
                <w:highlight w:val="none"/>
                <w:u w:val="none"/>
                <w:lang w:val="en-US" w:eastAsia="zh-CN" w:bidi="ar"/>
              </w:rPr>
              <w:t>项目售后服务方案（0-8分）</w:t>
            </w:r>
          </w:p>
        </w:tc>
        <w:tc>
          <w:tcPr>
            <w:tcW w:w="5888" w:type="dxa"/>
            <w:tcBorders>
              <w:top w:val="single" w:color="auto" w:sz="4" w:space="0"/>
              <w:left w:val="single" w:color="auto" w:sz="4" w:space="0"/>
              <w:bottom w:val="single" w:color="auto" w:sz="4" w:space="0"/>
              <w:right w:val="single" w:color="auto" w:sz="4" w:space="0"/>
            </w:tcBorders>
            <w:noWrap/>
            <w:vAlign w:val="center"/>
          </w:tcPr>
          <w:p w14:paraId="6B6DECC4">
            <w:pPr>
              <w:keepNext w:val="0"/>
              <w:keepLines w:val="0"/>
              <w:widowControl/>
              <w:suppressLineNumbers w:val="0"/>
              <w:jc w:val="left"/>
              <w:textAlignment w:val="center"/>
              <w:rPr>
                <w:color w:val="auto"/>
                <w:szCs w:val="21"/>
                <w:highlight w:val="none"/>
                <w:lang w:val="en-US"/>
              </w:rPr>
            </w:pPr>
            <w:r>
              <w:rPr>
                <w:rFonts w:hint="eastAsia" w:ascii="宋体" w:hAnsi="宋体" w:eastAsia="宋体" w:cs="宋体"/>
                <w:i w:val="0"/>
                <w:iCs w:val="0"/>
                <w:color w:val="auto"/>
                <w:kern w:val="0"/>
                <w:sz w:val="22"/>
                <w:szCs w:val="22"/>
                <w:highlight w:val="none"/>
                <w:u w:val="none"/>
                <w:lang w:val="en-US" w:eastAsia="zh-CN" w:bidi="ar"/>
              </w:rPr>
              <w:t>根据项目需求制定详细的售后服务方案，包含但不限于售后服务计划、售后服务内容、售后服务方式等，根据投标人在上述内容进行综合评审：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1.投标人提供的售后服务方案在科学易操作、合理便于实施、具有针对性、完善程度高得8分；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2.投标人提供的售后服务方案在科学易操作、合理便于实施、但完善程度一般不够详尽的得5分；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3.投标人提供的售后服务方案在科学易操作、但合理性一般不便于实施、完善程度一般不够详尽的得2分。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4.投标人没有提供上述内容，或提供的不完整有缺项的得1分，不提供不得分。</w:t>
            </w:r>
          </w:p>
        </w:tc>
      </w:tr>
      <w:tr w14:paraId="60E1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trPr>
        <w:tc>
          <w:tcPr>
            <w:tcW w:w="9639" w:type="dxa"/>
            <w:gridSpan w:val="4"/>
            <w:tcBorders>
              <w:top w:val="single" w:color="auto" w:sz="4" w:space="0"/>
              <w:left w:val="single" w:color="auto" w:sz="4" w:space="0"/>
              <w:bottom w:val="single" w:color="auto" w:sz="4" w:space="0"/>
              <w:right w:val="single" w:color="auto" w:sz="4" w:space="0"/>
            </w:tcBorders>
            <w:noWrap/>
            <w:vAlign w:val="center"/>
          </w:tcPr>
          <w:p w14:paraId="1B7CADFE">
            <w:pPr>
              <w:keepNext w:val="0"/>
              <w:keepLines w:val="0"/>
              <w:pageBreakBefore w:val="0"/>
              <w:kinsoku/>
              <w:wordWrap w:val="0"/>
              <w:overflowPunct/>
              <w:topLinePunct w:val="0"/>
              <w:bidi w:val="0"/>
              <w:spacing w:line="400" w:lineRule="exact"/>
              <w:rPr>
                <w:color w:val="auto"/>
                <w:szCs w:val="21"/>
                <w:highlight w:val="none"/>
                <w:lang w:val="en-US"/>
              </w:rPr>
            </w:pPr>
            <w:r>
              <w:rPr>
                <w:rFonts w:hint="eastAsia"/>
                <w:color w:val="auto"/>
                <w:szCs w:val="21"/>
                <w:highlight w:val="none"/>
                <w:lang w:val="en-US"/>
              </w:rPr>
              <w:t>供应商综合得分﹦报价得分+技术标＋</w:t>
            </w:r>
            <w:r>
              <w:rPr>
                <w:rFonts w:hint="eastAsia"/>
                <w:color w:val="auto"/>
                <w:szCs w:val="21"/>
                <w:highlight w:val="none"/>
                <w:lang w:val="en-US" w:eastAsia="zh-CN"/>
              </w:rPr>
              <w:t>商务</w:t>
            </w:r>
            <w:r>
              <w:rPr>
                <w:rFonts w:hint="eastAsia"/>
                <w:color w:val="auto"/>
                <w:szCs w:val="21"/>
                <w:highlight w:val="none"/>
                <w:lang w:val="en-US"/>
              </w:rPr>
              <w:t>标</w:t>
            </w:r>
          </w:p>
          <w:p w14:paraId="5D469759">
            <w:pPr>
              <w:keepNext w:val="0"/>
              <w:keepLines w:val="0"/>
              <w:pageBreakBefore w:val="0"/>
              <w:kinsoku/>
              <w:wordWrap w:val="0"/>
              <w:overflowPunct/>
              <w:topLinePunct w:val="0"/>
              <w:bidi w:val="0"/>
              <w:spacing w:line="400" w:lineRule="exact"/>
              <w:rPr>
                <w:color w:val="auto"/>
                <w:szCs w:val="21"/>
                <w:highlight w:val="none"/>
                <w:lang w:val="en-US"/>
              </w:rPr>
            </w:pPr>
            <w:r>
              <w:rPr>
                <w:rFonts w:hint="eastAsia"/>
                <w:color w:val="auto"/>
                <w:szCs w:val="21"/>
                <w:highlight w:val="none"/>
                <w:lang w:val="en-US"/>
              </w:rPr>
              <w:t>1．</w:t>
            </w:r>
            <w:r>
              <w:rPr>
                <w:rFonts w:hint="eastAsia"/>
                <w:color w:val="auto"/>
                <w:szCs w:val="21"/>
                <w:highlight w:val="none"/>
                <w:lang w:val="en-US" w:eastAsia="zh-CN"/>
              </w:rPr>
              <w:t>磋商小组</w:t>
            </w:r>
            <w:r>
              <w:rPr>
                <w:rFonts w:hint="eastAsia"/>
                <w:color w:val="auto"/>
                <w:szCs w:val="21"/>
                <w:highlight w:val="none"/>
                <w:lang w:val="en-US"/>
              </w:rPr>
              <w:t>对所有评审项得分的算术平均值，作为该供应商的最终得分。</w:t>
            </w:r>
          </w:p>
          <w:p w14:paraId="436BCBE0">
            <w:pPr>
              <w:keepNext w:val="0"/>
              <w:keepLines w:val="0"/>
              <w:pageBreakBefore w:val="0"/>
              <w:kinsoku/>
              <w:wordWrap w:val="0"/>
              <w:overflowPunct/>
              <w:topLinePunct w:val="0"/>
              <w:bidi w:val="0"/>
              <w:spacing w:line="400" w:lineRule="exact"/>
              <w:rPr>
                <w:rFonts w:hint="eastAsia"/>
                <w:color w:val="auto"/>
                <w:szCs w:val="21"/>
                <w:highlight w:val="none"/>
                <w:lang w:val="en-US"/>
              </w:rPr>
            </w:pPr>
            <w:r>
              <w:rPr>
                <w:rFonts w:hint="eastAsia"/>
                <w:color w:val="auto"/>
                <w:szCs w:val="21"/>
                <w:highlight w:val="none"/>
                <w:lang w:val="en-US"/>
              </w:rPr>
              <w:t>2．计分过程中按四舍五入的法则，取至小数点后3位，最终结果取至小数点后2位，</w:t>
            </w:r>
            <w:r>
              <w:rPr>
                <w:rFonts w:hint="eastAsia"/>
                <w:color w:val="auto"/>
                <w:szCs w:val="21"/>
                <w:highlight w:val="none"/>
                <w:lang w:val="en-US" w:eastAsia="zh-CN"/>
              </w:rPr>
              <w:t>磋商小组</w:t>
            </w:r>
            <w:r>
              <w:rPr>
                <w:rFonts w:hint="eastAsia"/>
                <w:color w:val="auto"/>
                <w:szCs w:val="21"/>
                <w:highlight w:val="none"/>
                <w:lang w:val="en-US"/>
              </w:rPr>
              <w:t>将按供应商得分高低排序向招标人推荐3名成交候选人。</w:t>
            </w:r>
          </w:p>
          <w:p w14:paraId="2FEF1FAB">
            <w:pPr>
              <w:keepNext w:val="0"/>
              <w:keepLines w:val="0"/>
              <w:pageBreakBefore w:val="0"/>
              <w:kinsoku/>
              <w:wordWrap w:val="0"/>
              <w:overflowPunct/>
              <w:topLinePunct w:val="0"/>
              <w:bidi w:val="0"/>
              <w:spacing w:line="400" w:lineRule="exact"/>
              <w:rPr>
                <w:rFonts w:hint="eastAsia"/>
                <w:color w:val="auto"/>
                <w:szCs w:val="21"/>
                <w:highlight w:val="none"/>
                <w:lang w:val="en-US"/>
              </w:rPr>
            </w:pPr>
            <w:r>
              <w:rPr>
                <w:rFonts w:hint="eastAsia"/>
                <w:color w:val="auto"/>
                <w:szCs w:val="21"/>
                <w:highlight w:val="none"/>
                <w:lang w:val="en-US" w:eastAsia="zh-CN"/>
              </w:rPr>
              <w:t>3</w:t>
            </w:r>
            <w:r>
              <w:rPr>
                <w:rFonts w:hint="eastAsia"/>
                <w:color w:val="auto"/>
                <w:szCs w:val="21"/>
                <w:highlight w:val="none"/>
                <w:lang w:val="en-US"/>
              </w:rPr>
              <w:t>、以上评分项若缺项的，该项为0分。</w:t>
            </w:r>
          </w:p>
        </w:tc>
      </w:tr>
    </w:tbl>
    <w:p w14:paraId="3AE8141A">
      <w:pPr>
        <w:pStyle w:val="18"/>
        <w:keepNext w:val="0"/>
        <w:keepLines w:val="0"/>
        <w:pageBreakBefore w:val="0"/>
        <w:kinsoku/>
        <w:wordWrap w:val="0"/>
        <w:overflowPunct/>
        <w:topLinePunct w:val="0"/>
        <w:bidi w:val="0"/>
        <w:ind w:left="0"/>
        <w:outlineLvl w:val="9"/>
        <w:rPr>
          <w:rFonts w:ascii="宋体" w:hAnsi="宋体"/>
          <w:color w:val="auto"/>
          <w:sz w:val="24"/>
          <w:szCs w:val="24"/>
          <w:highlight w:val="none"/>
        </w:rPr>
      </w:pPr>
    </w:p>
    <w:p w14:paraId="01B09C52">
      <w:pPr>
        <w:pStyle w:val="18"/>
        <w:keepNext w:val="0"/>
        <w:keepLines w:val="0"/>
        <w:pageBreakBefore w:val="0"/>
        <w:kinsoku/>
        <w:wordWrap w:val="0"/>
        <w:overflowPunct/>
        <w:topLinePunct w:val="0"/>
        <w:bidi w:val="0"/>
        <w:ind w:left="0" w:firstLine="480" w:firstLineChars="200"/>
        <w:outlineLvl w:val="0"/>
        <w:rPr>
          <w:rFonts w:ascii="宋体" w:hAnsi="宋体"/>
          <w:color w:val="auto"/>
          <w:sz w:val="24"/>
          <w:szCs w:val="24"/>
          <w:highlight w:val="none"/>
        </w:rPr>
      </w:pPr>
      <w:bookmarkStart w:id="151" w:name="_Toc9678"/>
      <w:bookmarkStart w:id="152" w:name="_Toc29721_WPSOffice_Level2"/>
      <w:r>
        <w:rPr>
          <w:rFonts w:hint="eastAsia" w:ascii="宋体" w:hAnsi="宋体"/>
          <w:color w:val="auto"/>
          <w:sz w:val="24"/>
          <w:szCs w:val="24"/>
          <w:highlight w:val="none"/>
        </w:rPr>
        <w:br w:type="page"/>
      </w:r>
      <w:r>
        <w:rPr>
          <w:rFonts w:hint="eastAsia" w:ascii="宋体" w:hAnsi="宋体"/>
          <w:color w:val="auto"/>
          <w:sz w:val="24"/>
          <w:szCs w:val="24"/>
          <w:highlight w:val="none"/>
        </w:rPr>
        <w:t>1. 评标方法</w:t>
      </w:r>
      <w:bookmarkEnd w:id="149"/>
      <w:bookmarkEnd w:id="151"/>
      <w:bookmarkEnd w:id="152"/>
    </w:p>
    <w:p w14:paraId="5047D2A7">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lang w:bidi="en-US"/>
        </w:rPr>
        <w:t>本次评标采用综合评分法。磋商小组对满足磋商文件实质性要求的响应文件</w:t>
      </w:r>
      <w:r>
        <w:rPr>
          <w:rFonts w:hint="eastAsia"/>
          <w:color w:val="auto"/>
          <w:sz w:val="24"/>
          <w:highlight w:val="none"/>
        </w:rPr>
        <w:t>，按照本章规定的评分标准进行打分，并按得分由高到低顺序推荐成交候选人，综合评分相等时，以报价得分高的优先；报价得分也相等的，由采购人自行确定。</w:t>
      </w:r>
    </w:p>
    <w:p w14:paraId="78027ADE">
      <w:pPr>
        <w:pStyle w:val="18"/>
        <w:keepNext w:val="0"/>
        <w:keepLines w:val="0"/>
        <w:pageBreakBefore w:val="0"/>
        <w:kinsoku/>
        <w:wordWrap w:val="0"/>
        <w:overflowPunct/>
        <w:topLinePunct w:val="0"/>
        <w:bidi w:val="0"/>
        <w:ind w:left="0" w:firstLine="480" w:firstLineChars="200"/>
        <w:outlineLvl w:val="0"/>
        <w:rPr>
          <w:rFonts w:ascii="宋体" w:hAnsi="宋体"/>
          <w:color w:val="auto"/>
          <w:sz w:val="24"/>
          <w:szCs w:val="24"/>
          <w:highlight w:val="none"/>
        </w:rPr>
      </w:pPr>
      <w:bookmarkStart w:id="153" w:name="_Toc20649"/>
      <w:bookmarkStart w:id="154" w:name="_Toc26640_WPSOffice_Level2"/>
      <w:bookmarkStart w:id="155" w:name="_Toc24936"/>
      <w:bookmarkStart w:id="156" w:name="_Toc318450723"/>
      <w:bookmarkStart w:id="157" w:name="_Toc455080157"/>
      <w:bookmarkStart w:id="158" w:name="_Toc152045601"/>
      <w:bookmarkStart w:id="159" w:name="_Toc281405529"/>
      <w:bookmarkStart w:id="160" w:name="_Toc152042378"/>
      <w:bookmarkStart w:id="161" w:name="_Toc16578"/>
      <w:bookmarkStart w:id="162" w:name="_Toc487498487"/>
      <w:bookmarkStart w:id="163" w:name="_Toc144974568"/>
      <w:bookmarkStart w:id="164" w:name="_Toc318450725"/>
      <w:bookmarkStart w:id="165" w:name="_Toc144974570"/>
      <w:bookmarkStart w:id="166" w:name="_Toc11061"/>
      <w:bookmarkStart w:id="167" w:name="_Toc152042380"/>
      <w:bookmarkStart w:id="168" w:name="_Toc455080159"/>
      <w:bookmarkStart w:id="169" w:name="_Toc464035560"/>
      <w:bookmarkStart w:id="170" w:name="_Toc281405531"/>
      <w:bookmarkStart w:id="171" w:name="_Toc152045603"/>
      <w:bookmarkStart w:id="172" w:name="_Toc463701081"/>
      <w:bookmarkStart w:id="173" w:name="_Toc30189"/>
      <w:bookmarkStart w:id="174" w:name="_Toc12013"/>
      <w:bookmarkStart w:id="175" w:name="_Toc22439"/>
      <w:bookmarkStart w:id="176" w:name="_Toc25492"/>
      <w:r>
        <w:rPr>
          <w:rFonts w:hint="eastAsia" w:ascii="宋体" w:hAnsi="宋体"/>
          <w:color w:val="auto"/>
          <w:sz w:val="24"/>
          <w:szCs w:val="24"/>
          <w:highlight w:val="none"/>
        </w:rPr>
        <w:t>2. 评审标准</w:t>
      </w:r>
      <w:bookmarkEnd w:id="153"/>
      <w:bookmarkEnd w:id="154"/>
      <w:bookmarkEnd w:id="155"/>
      <w:bookmarkEnd w:id="156"/>
      <w:bookmarkEnd w:id="157"/>
      <w:bookmarkEnd w:id="158"/>
      <w:bookmarkEnd w:id="159"/>
      <w:bookmarkEnd w:id="160"/>
      <w:bookmarkEnd w:id="161"/>
      <w:bookmarkEnd w:id="162"/>
      <w:bookmarkEnd w:id="163"/>
    </w:p>
    <w:bookmarkEnd w:id="164"/>
    <w:bookmarkEnd w:id="165"/>
    <w:bookmarkEnd w:id="166"/>
    <w:bookmarkEnd w:id="167"/>
    <w:bookmarkEnd w:id="168"/>
    <w:bookmarkEnd w:id="169"/>
    <w:bookmarkEnd w:id="170"/>
    <w:bookmarkEnd w:id="171"/>
    <w:bookmarkEnd w:id="172"/>
    <w:bookmarkEnd w:id="173"/>
    <w:bookmarkEnd w:id="174"/>
    <w:bookmarkEnd w:id="175"/>
    <w:bookmarkEnd w:id="176"/>
    <w:p w14:paraId="3663BCAA">
      <w:pPr>
        <w:keepNext w:val="0"/>
        <w:keepLines w:val="0"/>
        <w:pageBreakBefore w:val="0"/>
        <w:kinsoku/>
        <w:wordWrap w:val="0"/>
        <w:overflowPunct/>
        <w:topLinePunct w:val="0"/>
        <w:bidi w:val="0"/>
        <w:adjustRightInd w:val="0"/>
        <w:spacing w:beforeLines="50" w:afterLines="50" w:line="360" w:lineRule="auto"/>
        <w:ind w:firstLine="480" w:firstLineChars="200"/>
        <w:rPr>
          <w:color w:val="auto"/>
          <w:sz w:val="24"/>
          <w:highlight w:val="none"/>
        </w:rPr>
      </w:pPr>
      <w:bookmarkStart w:id="177" w:name="_Toc15878"/>
      <w:bookmarkStart w:id="178" w:name="_Toc16952"/>
      <w:bookmarkStart w:id="179" w:name="_Toc30922_WPSOffice_Level3"/>
      <w:bookmarkStart w:id="180" w:name="_Toc281405532"/>
      <w:bookmarkStart w:id="181" w:name="_Toc455080160"/>
      <w:bookmarkStart w:id="182" w:name="_Toc318450726"/>
      <w:bookmarkStart w:id="183" w:name="_Toc17308"/>
      <w:r>
        <w:rPr>
          <w:rFonts w:hint="eastAsia"/>
          <w:color w:val="auto"/>
          <w:sz w:val="24"/>
          <w:highlight w:val="none"/>
        </w:rPr>
        <w:t>2.1 初步评审标准</w:t>
      </w:r>
      <w:bookmarkEnd w:id="177"/>
      <w:bookmarkEnd w:id="178"/>
      <w:bookmarkEnd w:id="179"/>
    </w:p>
    <w:p w14:paraId="5723789A">
      <w:pPr>
        <w:keepNext w:val="0"/>
        <w:keepLines w:val="0"/>
        <w:pageBreakBefore w:val="0"/>
        <w:kinsoku/>
        <w:wordWrap w:val="0"/>
        <w:overflowPunct/>
        <w:topLinePunct w:val="0"/>
        <w:bidi w:val="0"/>
        <w:adjustRightInd w:val="0"/>
        <w:spacing w:beforeLines="50" w:afterLines="50" w:line="360" w:lineRule="auto"/>
        <w:ind w:left="565" w:leftChars="257"/>
        <w:rPr>
          <w:color w:val="auto"/>
          <w:sz w:val="24"/>
          <w:highlight w:val="none"/>
        </w:rPr>
      </w:pPr>
      <w:r>
        <w:rPr>
          <w:rFonts w:hint="eastAsia"/>
          <w:color w:val="auto"/>
          <w:sz w:val="24"/>
          <w:highlight w:val="none"/>
        </w:rPr>
        <w:t>2.1.1 资格评审标准：由磋商小组审核。</w:t>
      </w:r>
    </w:p>
    <w:p w14:paraId="3FA2F488">
      <w:pPr>
        <w:keepNext w:val="0"/>
        <w:keepLines w:val="0"/>
        <w:pageBreakBefore w:val="0"/>
        <w:kinsoku/>
        <w:wordWrap w:val="0"/>
        <w:overflowPunct/>
        <w:topLinePunct w:val="0"/>
        <w:bidi w:val="0"/>
        <w:adjustRightInd w:val="0"/>
        <w:spacing w:beforeLines="50" w:afterLines="50" w:line="360" w:lineRule="auto"/>
        <w:ind w:left="565" w:leftChars="257"/>
        <w:rPr>
          <w:color w:val="auto"/>
          <w:sz w:val="24"/>
          <w:highlight w:val="none"/>
        </w:rPr>
      </w:pPr>
      <w:r>
        <w:rPr>
          <w:rFonts w:hint="eastAsia"/>
          <w:color w:val="auto"/>
          <w:sz w:val="24"/>
          <w:highlight w:val="none"/>
        </w:rPr>
        <w:t>2.1.2 形式评审标准：由磋商小组审核。</w:t>
      </w:r>
    </w:p>
    <w:p w14:paraId="6B6C30DB">
      <w:pPr>
        <w:keepNext w:val="0"/>
        <w:keepLines w:val="0"/>
        <w:pageBreakBefore w:val="0"/>
        <w:kinsoku/>
        <w:wordWrap w:val="0"/>
        <w:overflowPunct/>
        <w:topLinePunct w:val="0"/>
        <w:bidi w:val="0"/>
        <w:adjustRightInd w:val="0"/>
        <w:spacing w:beforeLines="50" w:afterLines="50" w:line="360" w:lineRule="auto"/>
        <w:ind w:left="565" w:leftChars="257"/>
        <w:rPr>
          <w:color w:val="auto"/>
          <w:sz w:val="24"/>
          <w:highlight w:val="none"/>
        </w:rPr>
      </w:pPr>
      <w:r>
        <w:rPr>
          <w:rFonts w:hint="eastAsia"/>
          <w:color w:val="auto"/>
          <w:sz w:val="24"/>
          <w:highlight w:val="none"/>
        </w:rPr>
        <w:t>2.1.3 响应性评审标准：由磋商小组审核。</w:t>
      </w:r>
    </w:p>
    <w:p w14:paraId="51CD86E2">
      <w:pPr>
        <w:keepNext w:val="0"/>
        <w:keepLines w:val="0"/>
        <w:pageBreakBefore w:val="0"/>
        <w:kinsoku/>
        <w:wordWrap w:val="0"/>
        <w:overflowPunct/>
        <w:topLinePunct w:val="0"/>
        <w:bidi w:val="0"/>
        <w:spacing w:line="400" w:lineRule="exact"/>
        <w:ind w:firstLine="240" w:firstLineChars="100"/>
        <w:rPr>
          <w:color w:val="auto"/>
          <w:sz w:val="24"/>
          <w:highlight w:val="none"/>
        </w:rPr>
      </w:pPr>
      <w:r>
        <w:rPr>
          <w:rFonts w:hint="eastAsia"/>
          <w:color w:val="auto"/>
          <w:sz w:val="24"/>
          <w:highlight w:val="none"/>
        </w:rPr>
        <w:t>以上有一项不符合要求的按无效标处理。</w:t>
      </w:r>
    </w:p>
    <w:p w14:paraId="109F056D">
      <w:pPr>
        <w:keepNext w:val="0"/>
        <w:keepLines w:val="0"/>
        <w:pageBreakBefore w:val="0"/>
        <w:kinsoku/>
        <w:wordWrap w:val="0"/>
        <w:overflowPunct/>
        <w:topLinePunct w:val="0"/>
        <w:bidi w:val="0"/>
        <w:spacing w:line="400" w:lineRule="exact"/>
        <w:ind w:firstLine="480" w:firstLineChars="200"/>
        <w:rPr>
          <w:color w:val="auto"/>
          <w:sz w:val="24"/>
          <w:highlight w:val="none"/>
        </w:rPr>
      </w:pPr>
      <w:bookmarkStart w:id="184" w:name="_Toc17292_WPSOffice_Level3"/>
      <w:r>
        <w:rPr>
          <w:rFonts w:hint="eastAsia"/>
          <w:color w:val="auto"/>
          <w:sz w:val="24"/>
          <w:highlight w:val="none"/>
        </w:rPr>
        <w:t>2.2 分值构成与评分标准</w:t>
      </w:r>
      <w:bookmarkEnd w:id="184"/>
    </w:p>
    <w:p w14:paraId="37AA8062">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2.2.1 分值构成</w:t>
      </w:r>
    </w:p>
    <w:p w14:paraId="16C9D222">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（1）最后磋商报价：见评标办法前附表</w:t>
      </w:r>
    </w:p>
    <w:p w14:paraId="203DD6B0">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（2）技术标：见评标办法前附表</w:t>
      </w:r>
    </w:p>
    <w:p w14:paraId="4457CBAC">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（3）商务标：见评标办法前附表</w:t>
      </w:r>
    </w:p>
    <w:p w14:paraId="5E205049">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2.2.2 评分标准</w:t>
      </w:r>
    </w:p>
    <w:p w14:paraId="6FC28154">
      <w:pPr>
        <w:keepNext w:val="0"/>
        <w:keepLines w:val="0"/>
        <w:pageBreakBefore w:val="0"/>
        <w:kinsoku/>
        <w:wordWrap w:val="0"/>
        <w:overflowPunct/>
        <w:topLinePunct w:val="0"/>
        <w:bidi w:val="0"/>
        <w:spacing w:line="400" w:lineRule="exact"/>
        <w:ind w:firstLine="820" w:firstLineChars="342"/>
        <w:rPr>
          <w:color w:val="auto"/>
          <w:sz w:val="24"/>
          <w:highlight w:val="none"/>
        </w:rPr>
      </w:pPr>
      <w:bookmarkStart w:id="185" w:name="_Toc487498488"/>
      <w:bookmarkStart w:id="186" w:name="_Toc25340"/>
      <w:r>
        <w:rPr>
          <w:rFonts w:hint="eastAsia"/>
          <w:color w:val="auto"/>
          <w:sz w:val="24"/>
          <w:highlight w:val="none"/>
        </w:rPr>
        <w:t>（1）最后磋商报价：见评标办法前附表</w:t>
      </w:r>
    </w:p>
    <w:p w14:paraId="1DC3D73A">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（2）技术标：见评标办法前附表</w:t>
      </w:r>
    </w:p>
    <w:p w14:paraId="5701E603">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（3）商务标：见评标办法前附表</w:t>
      </w:r>
    </w:p>
    <w:p w14:paraId="4097C272">
      <w:pPr>
        <w:pStyle w:val="18"/>
        <w:keepNext w:val="0"/>
        <w:keepLines w:val="0"/>
        <w:pageBreakBefore w:val="0"/>
        <w:kinsoku/>
        <w:wordWrap w:val="0"/>
        <w:overflowPunct/>
        <w:topLinePunct w:val="0"/>
        <w:bidi w:val="0"/>
        <w:ind w:left="0" w:firstLine="480" w:firstLineChars="200"/>
        <w:outlineLvl w:val="0"/>
        <w:rPr>
          <w:rFonts w:ascii="宋体" w:hAnsi="宋体"/>
          <w:color w:val="auto"/>
          <w:sz w:val="24"/>
          <w:szCs w:val="24"/>
          <w:highlight w:val="none"/>
        </w:rPr>
      </w:pPr>
      <w:bookmarkStart w:id="187" w:name="_Toc15225"/>
      <w:bookmarkStart w:id="188" w:name="_Toc14449_WPSOffice_Level2"/>
      <w:r>
        <w:rPr>
          <w:rFonts w:hint="eastAsia" w:ascii="宋体" w:hAnsi="宋体"/>
          <w:color w:val="auto"/>
          <w:sz w:val="24"/>
          <w:szCs w:val="24"/>
          <w:highlight w:val="none"/>
        </w:rPr>
        <w:t>3. 评审程序</w:t>
      </w:r>
      <w:bookmarkEnd w:id="180"/>
      <w:bookmarkEnd w:id="181"/>
      <w:bookmarkEnd w:id="182"/>
      <w:bookmarkEnd w:id="183"/>
      <w:bookmarkEnd w:id="185"/>
      <w:bookmarkEnd w:id="186"/>
      <w:bookmarkEnd w:id="187"/>
      <w:bookmarkEnd w:id="188"/>
    </w:p>
    <w:p w14:paraId="19A9F017">
      <w:pPr>
        <w:keepNext w:val="0"/>
        <w:keepLines w:val="0"/>
        <w:pageBreakBefore w:val="0"/>
        <w:kinsoku/>
        <w:wordWrap w:val="0"/>
        <w:overflowPunct/>
        <w:topLinePunct w:val="0"/>
        <w:bidi w:val="0"/>
        <w:spacing w:line="400" w:lineRule="exact"/>
        <w:ind w:firstLine="480" w:firstLineChars="200"/>
        <w:rPr>
          <w:color w:val="auto"/>
          <w:sz w:val="24"/>
          <w:highlight w:val="none"/>
        </w:rPr>
      </w:pPr>
      <w:bookmarkStart w:id="189" w:name="_Toc14633"/>
      <w:bookmarkStart w:id="190" w:name="_Toc30986"/>
      <w:bookmarkStart w:id="191" w:name="_Toc464035562"/>
      <w:bookmarkStart w:id="192" w:name="_Toc7272"/>
      <w:bookmarkStart w:id="193" w:name="_Toc463701083"/>
      <w:bookmarkStart w:id="194" w:name="_Toc318450727"/>
      <w:bookmarkStart w:id="195" w:name="_Toc5427"/>
      <w:bookmarkStart w:id="196" w:name="_Toc455080161"/>
      <w:bookmarkStart w:id="197" w:name="_Toc281405533"/>
      <w:bookmarkStart w:id="198" w:name="_Toc18886"/>
      <w:bookmarkStart w:id="199" w:name="_Toc11862_WPSOffice_Level3"/>
      <w:bookmarkStart w:id="200" w:name="_Toc29614"/>
      <w:r>
        <w:rPr>
          <w:rFonts w:hint="eastAsia"/>
          <w:color w:val="auto"/>
          <w:sz w:val="24"/>
          <w:highlight w:val="none"/>
        </w:rPr>
        <w:t>3.1 初步评审</w:t>
      </w:r>
      <w:bookmarkEnd w:id="189"/>
      <w:bookmarkEnd w:id="190"/>
      <w:bookmarkEnd w:id="191"/>
      <w:bookmarkEnd w:id="192"/>
      <w:bookmarkEnd w:id="193"/>
      <w:bookmarkEnd w:id="194"/>
      <w:bookmarkEnd w:id="195"/>
      <w:bookmarkEnd w:id="196"/>
      <w:bookmarkEnd w:id="197"/>
      <w:bookmarkEnd w:id="198"/>
      <w:bookmarkEnd w:id="199"/>
      <w:bookmarkEnd w:id="200"/>
    </w:p>
    <w:p w14:paraId="32930565">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3.1.1 磋商小组依据本章第2.1款规定的标准对响应文件进行初步评审。有一项不符合评审标准的，作废标处理。</w:t>
      </w:r>
    </w:p>
    <w:p w14:paraId="190917B6">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3.1.2 供应商有以下情形之一的，其投标作废标处理：</w:t>
      </w:r>
    </w:p>
    <w:p w14:paraId="73039532">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（1）供应商未提交磋商保证金或金额不足的；</w:t>
      </w:r>
    </w:p>
    <w:p w14:paraId="4DE1AE30">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（2）串通投标或弄虚作假或有其他违法行为的；</w:t>
      </w:r>
    </w:p>
    <w:p w14:paraId="0A12521A">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（3）不按磋商小组要求澄清、说明或补正的；</w:t>
      </w:r>
    </w:p>
    <w:p w14:paraId="17272CCF">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（4）未按规定格式填写、内容不全或关键字迹模糊、无法辨认的；</w:t>
      </w:r>
    </w:p>
    <w:p w14:paraId="4CF0825F">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（5）响应文件附有采购人不能接受的条件；</w:t>
      </w:r>
    </w:p>
    <w:p w14:paraId="5579DABC">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（6）不符合磋商文件规定的其他实质性要求。</w:t>
      </w:r>
    </w:p>
    <w:p w14:paraId="4B621096">
      <w:pPr>
        <w:keepNext w:val="0"/>
        <w:keepLines w:val="0"/>
        <w:pageBreakBefore w:val="0"/>
        <w:kinsoku/>
        <w:wordWrap w:val="0"/>
        <w:overflowPunct/>
        <w:topLinePunct w:val="0"/>
        <w:bidi w:val="0"/>
        <w:spacing w:line="400" w:lineRule="exact"/>
        <w:ind w:firstLine="480" w:firstLineChars="200"/>
        <w:rPr>
          <w:color w:val="auto"/>
          <w:sz w:val="24"/>
          <w:highlight w:val="none"/>
        </w:rPr>
      </w:pPr>
      <w:bookmarkStart w:id="201" w:name="_Toc26049"/>
      <w:bookmarkStart w:id="202" w:name="_Toc21032"/>
      <w:bookmarkStart w:id="203" w:name="_Toc10295_WPSOffice_Level3"/>
      <w:bookmarkStart w:id="204" w:name="_Toc464035563"/>
      <w:bookmarkStart w:id="205" w:name="_Toc21570"/>
      <w:bookmarkStart w:id="206" w:name="_Toc12406"/>
      <w:bookmarkStart w:id="207" w:name="_Toc463701084"/>
      <w:bookmarkStart w:id="208" w:name="_Toc7121"/>
      <w:bookmarkStart w:id="209" w:name="_Toc281405534"/>
      <w:bookmarkStart w:id="210" w:name="_Toc10692"/>
      <w:bookmarkStart w:id="211" w:name="_Toc455080162"/>
      <w:bookmarkStart w:id="212" w:name="_Toc318450728"/>
      <w:r>
        <w:rPr>
          <w:rFonts w:hint="eastAsia"/>
          <w:color w:val="auto"/>
          <w:sz w:val="24"/>
          <w:highlight w:val="none"/>
        </w:rPr>
        <w:t>3.2 详细评审</w:t>
      </w:r>
      <w:bookmarkEnd w:id="201"/>
      <w:bookmarkEnd w:id="202"/>
      <w:bookmarkEnd w:id="203"/>
      <w:bookmarkEnd w:id="204"/>
      <w:bookmarkEnd w:id="205"/>
      <w:bookmarkEnd w:id="206"/>
      <w:bookmarkEnd w:id="207"/>
      <w:bookmarkEnd w:id="208"/>
      <w:bookmarkEnd w:id="209"/>
      <w:bookmarkEnd w:id="210"/>
      <w:bookmarkEnd w:id="211"/>
      <w:bookmarkEnd w:id="212"/>
    </w:p>
    <w:p w14:paraId="5F0CE7BB">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3.2.1 磋商小组邀请通过初步评审的供应商进行磋商报价，磋商报价为供应商最终有效报价。</w:t>
      </w:r>
    </w:p>
    <w:p w14:paraId="41128641">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lang w:val="en-US"/>
        </w:rPr>
        <w:t>3.2.2磋商小组</w:t>
      </w:r>
      <w:r>
        <w:rPr>
          <w:rFonts w:hint="eastAsia"/>
          <w:color w:val="auto"/>
          <w:sz w:val="24"/>
          <w:highlight w:val="none"/>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color w:val="auto"/>
          <w:sz w:val="24"/>
          <w:highlight w:val="none"/>
          <w:lang w:val="en-US"/>
        </w:rPr>
        <w:t>磋商小组</w:t>
      </w:r>
      <w:r>
        <w:rPr>
          <w:rFonts w:hint="eastAsia"/>
          <w:color w:val="auto"/>
          <w:sz w:val="24"/>
          <w:highlight w:val="none"/>
        </w:rPr>
        <w:t>应当将其作为无效投标处理。</w:t>
      </w:r>
    </w:p>
    <w:p w14:paraId="0A35581A">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3.2.</w:t>
      </w:r>
      <w:r>
        <w:rPr>
          <w:rFonts w:hint="eastAsia"/>
          <w:color w:val="auto"/>
          <w:sz w:val="24"/>
          <w:highlight w:val="none"/>
          <w:lang w:val="en-US"/>
        </w:rPr>
        <w:t>3</w:t>
      </w:r>
      <w:r>
        <w:rPr>
          <w:rFonts w:hint="eastAsia"/>
          <w:color w:val="auto"/>
          <w:sz w:val="24"/>
          <w:highlight w:val="none"/>
        </w:rPr>
        <w:t>磋商小组按本章第2.2款规定的量化因素和分值进行打分，并计算出综合评分得分。</w:t>
      </w:r>
    </w:p>
    <w:p w14:paraId="066113B9">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3.2.</w:t>
      </w:r>
      <w:r>
        <w:rPr>
          <w:rFonts w:hint="eastAsia"/>
          <w:color w:val="auto"/>
          <w:sz w:val="24"/>
          <w:highlight w:val="none"/>
          <w:lang w:val="en-US"/>
        </w:rPr>
        <w:t>4</w:t>
      </w:r>
      <w:r>
        <w:rPr>
          <w:rFonts w:hint="eastAsia"/>
          <w:color w:val="auto"/>
          <w:sz w:val="24"/>
          <w:highlight w:val="none"/>
        </w:rPr>
        <w:t>评分分值计算保留小数点后两位，小数点后第三位“四舍五入”。</w:t>
      </w:r>
    </w:p>
    <w:p w14:paraId="506EA64E">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3.2.</w:t>
      </w:r>
      <w:r>
        <w:rPr>
          <w:rFonts w:hint="eastAsia"/>
          <w:color w:val="auto"/>
          <w:sz w:val="24"/>
          <w:highlight w:val="none"/>
          <w:lang w:val="en-US"/>
        </w:rPr>
        <w:t>5</w:t>
      </w:r>
      <w:r>
        <w:rPr>
          <w:rFonts w:hint="eastAsia"/>
          <w:color w:val="auto"/>
          <w:sz w:val="24"/>
          <w:highlight w:val="none"/>
        </w:rPr>
        <w:t>供应商的最终得分以全部小组成员打分的算术平均值为准，作为该供应商的最终得分。</w:t>
      </w:r>
    </w:p>
    <w:p w14:paraId="0A92E4DE">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3.2.</w:t>
      </w:r>
      <w:r>
        <w:rPr>
          <w:rFonts w:hint="eastAsia"/>
          <w:color w:val="auto"/>
          <w:sz w:val="24"/>
          <w:highlight w:val="none"/>
          <w:lang w:val="en-US"/>
        </w:rPr>
        <w:t>6</w:t>
      </w:r>
      <w:r>
        <w:rPr>
          <w:rFonts w:hint="eastAsia"/>
          <w:color w:val="auto"/>
          <w:sz w:val="24"/>
          <w:highlight w:val="none"/>
        </w:rPr>
        <w:t>在磋商过程中，凡遇到磋商文件中无界定或界定不清、前后不一致使磋商小组意见有分歧且又难以协商一致的问题，均由磋商小组予以表决，获半数以上同意的即为通过，未获半数同意的即为否决。</w:t>
      </w:r>
    </w:p>
    <w:p w14:paraId="14624513">
      <w:pPr>
        <w:keepNext w:val="0"/>
        <w:keepLines w:val="0"/>
        <w:pageBreakBefore w:val="0"/>
        <w:kinsoku/>
        <w:wordWrap w:val="0"/>
        <w:overflowPunct/>
        <w:topLinePunct w:val="0"/>
        <w:bidi w:val="0"/>
        <w:spacing w:line="400" w:lineRule="exact"/>
        <w:ind w:firstLine="480" w:firstLineChars="200"/>
        <w:rPr>
          <w:color w:val="auto"/>
          <w:sz w:val="24"/>
          <w:highlight w:val="none"/>
        </w:rPr>
      </w:pPr>
      <w:bookmarkStart w:id="213" w:name="_Toc318450729"/>
      <w:bookmarkStart w:id="214" w:name="_Toc31110_WPSOffice_Level3"/>
      <w:bookmarkStart w:id="215" w:name="_Toc10153"/>
      <w:bookmarkStart w:id="216" w:name="_Toc8813"/>
      <w:bookmarkStart w:id="217" w:name="_Toc455080163"/>
      <w:bookmarkStart w:id="218" w:name="_Toc463701085"/>
      <w:bookmarkStart w:id="219" w:name="_Toc11958"/>
      <w:bookmarkStart w:id="220" w:name="_Toc24862"/>
      <w:bookmarkStart w:id="221" w:name="_Toc28633"/>
      <w:bookmarkStart w:id="222" w:name="_Toc8342"/>
      <w:bookmarkStart w:id="223" w:name="_Toc464035564"/>
      <w:bookmarkStart w:id="224" w:name="_Toc281405535"/>
      <w:r>
        <w:rPr>
          <w:rFonts w:hint="eastAsia"/>
          <w:color w:val="auto"/>
          <w:sz w:val="24"/>
          <w:highlight w:val="none"/>
        </w:rPr>
        <w:t>3.3 响应文件的澄清和补正</w:t>
      </w:r>
      <w:bookmarkEnd w:id="213"/>
      <w:bookmarkEnd w:id="214"/>
      <w:bookmarkEnd w:id="215"/>
      <w:bookmarkEnd w:id="216"/>
      <w:bookmarkEnd w:id="217"/>
      <w:bookmarkEnd w:id="218"/>
      <w:bookmarkEnd w:id="219"/>
      <w:bookmarkEnd w:id="220"/>
      <w:bookmarkEnd w:id="221"/>
      <w:bookmarkEnd w:id="222"/>
      <w:bookmarkEnd w:id="223"/>
      <w:bookmarkEnd w:id="224"/>
    </w:p>
    <w:p w14:paraId="03B2FBAB">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3.3.1在磋商过程中，磋商小组可以书面形式要求供应商对所提交的响应文件中不明确的内容进行书面澄清或说明，或者对细微偏离进行补正。磋商小组不接受供应商主动提出的澄清、说明或补正。</w:t>
      </w:r>
    </w:p>
    <w:p w14:paraId="2E0D344B">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3.3.2 澄清、说明和补正不得超出响应文件的范围或者改变响应文件的实质性内容（算术性错误修正的除外）。供应商的书面澄清、说明和补正属于响应文件的组成部分。</w:t>
      </w:r>
    </w:p>
    <w:p w14:paraId="397C3ABB">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3.3.3 磋商小组对供应商提交的澄清、说明或补正有疑问的，可以要求供应商进一步澄清、说明或补正，直至满足磋商小组的要求。</w:t>
      </w:r>
    </w:p>
    <w:p w14:paraId="10C41A89">
      <w:pPr>
        <w:keepNext w:val="0"/>
        <w:keepLines w:val="0"/>
        <w:pageBreakBefore w:val="0"/>
        <w:kinsoku/>
        <w:wordWrap w:val="0"/>
        <w:overflowPunct/>
        <w:topLinePunct w:val="0"/>
        <w:bidi w:val="0"/>
        <w:spacing w:line="400" w:lineRule="exact"/>
        <w:ind w:firstLine="480" w:firstLineChars="200"/>
        <w:rPr>
          <w:color w:val="auto"/>
          <w:sz w:val="24"/>
          <w:highlight w:val="none"/>
        </w:rPr>
      </w:pPr>
      <w:bookmarkStart w:id="225" w:name="_Toc19453"/>
      <w:bookmarkStart w:id="226" w:name="_Toc5903"/>
      <w:bookmarkStart w:id="227" w:name="_Toc281405536"/>
      <w:bookmarkStart w:id="228" w:name="_Toc22986"/>
      <w:bookmarkStart w:id="229" w:name="_Toc1857"/>
      <w:bookmarkStart w:id="230" w:name="_Toc464035565"/>
      <w:bookmarkStart w:id="231" w:name="_Toc318450730"/>
      <w:bookmarkStart w:id="232" w:name="_Toc455080164"/>
      <w:bookmarkStart w:id="233" w:name="_Toc463701086"/>
      <w:bookmarkStart w:id="234" w:name="_Toc32183"/>
      <w:bookmarkStart w:id="235" w:name="_Toc26894"/>
      <w:bookmarkStart w:id="236" w:name="_Toc16310_WPSOffice_Level3"/>
      <w:r>
        <w:rPr>
          <w:rFonts w:hint="eastAsia"/>
          <w:color w:val="auto"/>
          <w:sz w:val="24"/>
          <w:highlight w:val="none"/>
        </w:rPr>
        <w:t>3.4 评标结果</w:t>
      </w:r>
      <w:bookmarkEnd w:id="225"/>
      <w:bookmarkEnd w:id="226"/>
      <w:bookmarkEnd w:id="227"/>
      <w:bookmarkEnd w:id="228"/>
      <w:bookmarkEnd w:id="229"/>
      <w:bookmarkEnd w:id="230"/>
      <w:bookmarkEnd w:id="231"/>
      <w:bookmarkEnd w:id="232"/>
      <w:bookmarkEnd w:id="233"/>
      <w:bookmarkEnd w:id="234"/>
      <w:bookmarkEnd w:id="235"/>
      <w:bookmarkEnd w:id="236"/>
    </w:p>
    <w:p w14:paraId="0711061A">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3.4.1除第二章“供应商须知”前附表授权直接确定成交人外，磋商小组按照得分由高到低的顺序推荐成交候选人。</w:t>
      </w:r>
    </w:p>
    <w:p w14:paraId="01B8CA13">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lang w:val="en-US"/>
        </w:rPr>
        <w:t>3.4.2供应商</w:t>
      </w:r>
      <w:r>
        <w:rPr>
          <w:rFonts w:hint="eastAsia"/>
          <w:color w:val="auto"/>
          <w:sz w:val="24"/>
          <w:highlight w:val="none"/>
        </w:rPr>
        <w:t>提供相同品牌产品且通过资格审查、符合性审查的不同供应商参加同一合同项下投标的，按一家供应商计算，评审后得分最高的同品牌供应商获得中标人推荐资格；</w:t>
      </w:r>
    </w:p>
    <w:p w14:paraId="08624E05">
      <w:pPr>
        <w:keepNext w:val="0"/>
        <w:keepLines w:val="0"/>
        <w:pageBreakBefore w:val="0"/>
        <w:kinsoku/>
        <w:wordWrap w:val="0"/>
        <w:overflowPunct/>
        <w:topLinePunct w:val="0"/>
        <w:bidi w:val="0"/>
        <w:spacing w:line="400" w:lineRule="exact"/>
        <w:rPr>
          <w:color w:val="auto"/>
          <w:sz w:val="24"/>
          <w:highlight w:val="none"/>
        </w:rPr>
      </w:pPr>
      <w:r>
        <w:rPr>
          <w:rFonts w:hint="eastAsia"/>
          <w:color w:val="auto"/>
          <w:sz w:val="24"/>
          <w:highlight w:val="none"/>
        </w:rPr>
        <w:t xml:space="preserve">   3.4.</w:t>
      </w:r>
      <w:r>
        <w:rPr>
          <w:rFonts w:hint="eastAsia"/>
          <w:color w:val="auto"/>
          <w:sz w:val="24"/>
          <w:highlight w:val="none"/>
          <w:lang w:val="en-US"/>
        </w:rPr>
        <w:t>3</w:t>
      </w:r>
      <w:r>
        <w:rPr>
          <w:rFonts w:hint="eastAsia"/>
          <w:color w:val="auto"/>
          <w:sz w:val="24"/>
          <w:highlight w:val="none"/>
        </w:rPr>
        <w:t xml:space="preserve"> 磋商小组完成评标后，应当向采购人提交书面评审报告。</w:t>
      </w:r>
    </w:p>
    <w:p w14:paraId="704FE8CB">
      <w:pPr>
        <w:pStyle w:val="2"/>
        <w:keepNext w:val="0"/>
        <w:keepLines w:val="0"/>
        <w:pageBreakBefore w:val="0"/>
        <w:kinsoku/>
        <w:wordWrap w:val="0"/>
        <w:overflowPunct/>
        <w:topLinePunct w:val="0"/>
        <w:bidi w:val="0"/>
        <w:spacing w:before="24"/>
        <w:ind w:left="841" w:right="909"/>
        <w:jc w:val="center"/>
        <w:rPr>
          <w:color w:val="auto"/>
          <w:highlight w:val="none"/>
        </w:rPr>
      </w:pPr>
      <w:r>
        <w:rPr>
          <w:color w:val="auto"/>
          <w:highlight w:val="none"/>
        </w:rPr>
        <w:br w:type="page"/>
      </w:r>
    </w:p>
    <w:p w14:paraId="565BC6AF">
      <w:pPr>
        <w:pStyle w:val="2"/>
        <w:keepNext w:val="0"/>
        <w:keepLines w:val="0"/>
        <w:pageBreakBefore w:val="0"/>
        <w:kinsoku/>
        <w:wordWrap w:val="0"/>
        <w:overflowPunct/>
        <w:topLinePunct w:val="0"/>
        <w:bidi w:val="0"/>
        <w:spacing w:before="31"/>
        <w:ind w:firstLine="1928" w:firstLineChars="600"/>
        <w:jc w:val="both"/>
        <w:rPr>
          <w:color w:val="auto"/>
          <w:highlight w:val="none"/>
        </w:rPr>
      </w:pPr>
      <w:bookmarkStart w:id="237" w:name="_Toc20625"/>
      <w:r>
        <w:rPr>
          <w:rFonts w:hint="eastAsia"/>
          <w:color w:val="auto"/>
          <w:highlight w:val="none"/>
        </w:rPr>
        <w:t>第五章 合同主要条款及格式</w:t>
      </w:r>
      <w:bookmarkEnd w:id="237"/>
    </w:p>
    <w:p w14:paraId="15F3E446">
      <w:pPr>
        <w:pStyle w:val="4"/>
        <w:keepNext w:val="0"/>
        <w:keepLines w:val="0"/>
        <w:pageBreakBefore w:val="0"/>
        <w:kinsoku/>
        <w:wordWrap w:val="0"/>
        <w:overflowPunct/>
        <w:topLinePunct w:val="0"/>
        <w:bidi w:val="0"/>
        <w:spacing w:before="149"/>
        <w:ind w:left="890" w:right="909"/>
        <w:jc w:val="center"/>
        <w:rPr>
          <w:color w:val="auto"/>
          <w:highlight w:val="none"/>
        </w:rPr>
      </w:pPr>
      <w:bookmarkStart w:id="238" w:name="_Toc29167_WPSOffice_Level2"/>
      <w:r>
        <w:rPr>
          <w:color w:val="auto"/>
          <w:spacing w:val="-1"/>
          <w:w w:val="95"/>
          <w:highlight w:val="none"/>
        </w:rPr>
        <w:t>（此格式仅供参考</w:t>
      </w:r>
      <w:r>
        <w:rPr>
          <w:color w:val="auto"/>
          <w:w w:val="95"/>
          <w:highlight w:val="none"/>
        </w:rPr>
        <w:t>）</w:t>
      </w:r>
      <w:bookmarkEnd w:id="238"/>
    </w:p>
    <w:p w14:paraId="6F7CCF95">
      <w:pPr>
        <w:pStyle w:val="7"/>
        <w:keepNext w:val="0"/>
        <w:keepLines w:val="0"/>
        <w:pageBreakBefore w:val="0"/>
        <w:kinsoku/>
        <w:wordWrap w:val="0"/>
        <w:overflowPunct/>
        <w:topLinePunct w:val="0"/>
        <w:bidi w:val="0"/>
        <w:spacing w:before="226"/>
        <w:rPr>
          <w:color w:val="auto"/>
          <w:highlight w:val="none"/>
        </w:rPr>
      </w:pPr>
      <w:r>
        <w:rPr>
          <w:color w:val="auto"/>
          <w:spacing w:val="-40"/>
          <w:highlight w:val="none"/>
        </w:rPr>
        <w:t>甲方：</w:t>
      </w:r>
      <w:r>
        <w:rPr>
          <w:color w:val="auto"/>
          <w:highlight w:val="none"/>
        </w:rPr>
        <w:t>（采购人）</w:t>
      </w:r>
      <w:r>
        <w:rPr>
          <w:rFonts w:hint="eastAsia"/>
          <w:color w:val="auto"/>
          <w:highlight w:val="none"/>
          <w:u w:val="single"/>
          <w:lang w:eastAsia="zh-CN"/>
        </w:rPr>
        <w:t>卢氏县应急管理局</w:t>
      </w:r>
      <w:r>
        <w:rPr>
          <w:rFonts w:hint="eastAsia"/>
          <w:color w:val="auto"/>
          <w:highlight w:val="none"/>
          <w:lang w:val="en-US"/>
        </w:rPr>
        <w:t>（</w:t>
      </w:r>
      <w:r>
        <w:rPr>
          <w:color w:val="auto"/>
          <w:highlight w:val="none"/>
        </w:rPr>
        <w:t>以下简称甲方）</w:t>
      </w:r>
    </w:p>
    <w:p w14:paraId="16F20B74">
      <w:pPr>
        <w:pStyle w:val="7"/>
        <w:keepNext w:val="0"/>
        <w:keepLines w:val="0"/>
        <w:pageBreakBefore w:val="0"/>
        <w:tabs>
          <w:tab w:val="left" w:pos="4880"/>
        </w:tabs>
        <w:kinsoku/>
        <w:wordWrap w:val="0"/>
        <w:overflowPunct/>
        <w:topLinePunct w:val="0"/>
        <w:bidi w:val="0"/>
        <w:spacing w:before="170"/>
        <w:rPr>
          <w:color w:val="auto"/>
          <w:highlight w:val="none"/>
        </w:rPr>
      </w:pPr>
      <w:r>
        <w:rPr>
          <w:color w:val="auto"/>
          <w:highlight w:val="none"/>
        </w:rPr>
        <w:t>乙方</w:t>
      </w:r>
      <w:r>
        <w:rPr>
          <w:color w:val="auto"/>
          <w:spacing w:val="-120"/>
          <w:highlight w:val="none"/>
        </w:rPr>
        <w:t>：</w:t>
      </w:r>
      <w:r>
        <w:rPr>
          <w:color w:val="auto"/>
          <w:highlight w:val="none"/>
        </w:rPr>
        <w:t>（成交供应商</w:t>
      </w:r>
      <w:r>
        <w:rPr>
          <w:color w:val="auto"/>
          <w:spacing w:val="-1"/>
          <w:highlight w:val="none"/>
        </w:rPr>
        <w:t>）</w:t>
      </w:r>
      <w:r>
        <w:rPr>
          <w:rFonts w:ascii="Times New Roman" w:eastAsia="Times New Roman"/>
          <w:color w:val="auto"/>
          <w:highlight w:val="none"/>
          <w:u w:val="single"/>
        </w:rPr>
        <w:tab/>
      </w:r>
      <w:r>
        <w:rPr>
          <w:color w:val="auto"/>
          <w:highlight w:val="none"/>
        </w:rPr>
        <w:t>（以下简称乙方）</w:t>
      </w:r>
    </w:p>
    <w:p w14:paraId="6A08FFED">
      <w:pPr>
        <w:pStyle w:val="7"/>
        <w:keepNext w:val="0"/>
        <w:keepLines w:val="0"/>
        <w:pageBreakBefore w:val="0"/>
        <w:kinsoku/>
        <w:wordWrap w:val="0"/>
        <w:overflowPunct/>
        <w:topLinePunct w:val="0"/>
        <w:bidi w:val="0"/>
        <w:spacing w:before="170" w:line="374" w:lineRule="auto"/>
        <w:ind w:right="283" w:firstLine="480"/>
        <w:rPr>
          <w:color w:val="auto"/>
          <w:highlight w:val="none"/>
        </w:rPr>
      </w:pPr>
      <w:r>
        <w:rPr>
          <w:color w:val="auto"/>
          <w:highlight w:val="none"/>
        </w:rPr>
        <w:t>经过竞争性磋商采购，甲方将乙方作为</w:t>
      </w:r>
      <w:r>
        <w:rPr>
          <w:rFonts w:hint="eastAsia"/>
          <w:color w:val="auto"/>
          <w:highlight w:val="none"/>
          <w:lang w:val="en-US" w:eastAsia="zh-CN"/>
        </w:rPr>
        <w:t xml:space="preserve"> </w:t>
      </w:r>
      <w:r>
        <w:rPr>
          <w:rFonts w:hint="eastAsia"/>
          <w:color w:val="auto"/>
          <w:highlight w:val="none"/>
          <w:u w:val="single"/>
          <w:lang w:val="en-US" w:eastAsia="zh-CN"/>
        </w:rPr>
        <w:t xml:space="preserve">          </w:t>
      </w:r>
      <w:r>
        <w:rPr>
          <w:color w:val="auto"/>
          <w:spacing w:val="-5"/>
          <w:highlight w:val="none"/>
        </w:rPr>
        <w:t>项目成交供应商。依照《中华人民共和国合同法》、</w:t>
      </w:r>
      <w:r>
        <w:rPr>
          <w:color w:val="auto"/>
          <w:spacing w:val="-7"/>
          <w:highlight w:val="none"/>
        </w:rPr>
        <w:t xml:space="preserve">《政府采购竞争性磋商采购方式管理暂行办法》，遵循平等、自愿、公平和诚信的原则， </w:t>
      </w:r>
      <w:r>
        <w:rPr>
          <w:color w:val="auto"/>
          <w:highlight w:val="none"/>
        </w:rPr>
        <w:t>经甲乙双方协商一致，签订如下协议</w:t>
      </w:r>
    </w:p>
    <w:p w14:paraId="2A9929AB">
      <w:pPr>
        <w:pStyle w:val="5"/>
        <w:keepNext w:val="0"/>
        <w:keepLines w:val="0"/>
        <w:pageBreakBefore w:val="0"/>
        <w:numPr>
          <w:ilvl w:val="0"/>
          <w:numId w:val="14"/>
        </w:numPr>
        <w:tabs>
          <w:tab w:val="left" w:pos="1045"/>
        </w:tabs>
        <w:kinsoku/>
        <w:wordWrap w:val="0"/>
        <w:overflowPunct/>
        <w:topLinePunct w:val="0"/>
        <w:bidi w:val="0"/>
        <w:spacing w:before="94"/>
        <w:rPr>
          <w:color w:val="auto"/>
          <w:highlight w:val="none"/>
        </w:rPr>
      </w:pPr>
      <w:bookmarkStart w:id="239" w:name="_Toc6654_WPSOffice_Level3"/>
      <w:r>
        <w:rPr>
          <w:color w:val="auto"/>
          <w:highlight w:val="none"/>
        </w:rPr>
        <w:t>货物内容</w:t>
      </w:r>
      <w:bookmarkEnd w:id="239"/>
    </w:p>
    <w:p w14:paraId="173F2518">
      <w:pPr>
        <w:pStyle w:val="19"/>
        <w:keepNext w:val="0"/>
        <w:keepLines w:val="0"/>
        <w:pageBreakBefore w:val="0"/>
        <w:numPr>
          <w:ilvl w:val="1"/>
          <w:numId w:val="14"/>
        </w:numPr>
        <w:tabs>
          <w:tab w:val="left" w:pos="1281"/>
        </w:tabs>
        <w:kinsoku/>
        <w:wordWrap w:val="0"/>
        <w:overflowPunct/>
        <w:topLinePunct w:val="0"/>
        <w:bidi w:val="0"/>
        <w:spacing w:before="211"/>
        <w:rPr>
          <w:color w:val="auto"/>
          <w:sz w:val="24"/>
          <w:highlight w:val="none"/>
        </w:rPr>
      </w:pPr>
      <w:r>
        <w:rPr>
          <w:color w:val="auto"/>
          <w:sz w:val="24"/>
          <w:highlight w:val="none"/>
        </w:rPr>
        <w:t>货物名称：</w:t>
      </w:r>
    </w:p>
    <w:p w14:paraId="39A11007">
      <w:pPr>
        <w:pStyle w:val="19"/>
        <w:keepNext w:val="0"/>
        <w:keepLines w:val="0"/>
        <w:pageBreakBefore w:val="0"/>
        <w:numPr>
          <w:ilvl w:val="1"/>
          <w:numId w:val="14"/>
        </w:numPr>
        <w:tabs>
          <w:tab w:val="left" w:pos="1281"/>
        </w:tabs>
        <w:kinsoku/>
        <w:wordWrap w:val="0"/>
        <w:overflowPunct/>
        <w:topLinePunct w:val="0"/>
        <w:bidi w:val="0"/>
        <w:spacing w:before="213"/>
        <w:rPr>
          <w:color w:val="auto"/>
          <w:sz w:val="24"/>
          <w:highlight w:val="none"/>
        </w:rPr>
      </w:pPr>
      <w:r>
        <w:rPr>
          <w:color w:val="auto"/>
          <w:sz w:val="24"/>
          <w:highlight w:val="none"/>
        </w:rPr>
        <w:t>型号规格：</w:t>
      </w:r>
    </w:p>
    <w:p w14:paraId="153F5060">
      <w:pPr>
        <w:pStyle w:val="19"/>
        <w:keepNext w:val="0"/>
        <w:keepLines w:val="0"/>
        <w:pageBreakBefore w:val="0"/>
        <w:numPr>
          <w:ilvl w:val="1"/>
          <w:numId w:val="14"/>
        </w:numPr>
        <w:tabs>
          <w:tab w:val="left" w:pos="1281"/>
        </w:tabs>
        <w:kinsoku/>
        <w:wordWrap w:val="0"/>
        <w:overflowPunct/>
        <w:topLinePunct w:val="0"/>
        <w:bidi w:val="0"/>
        <w:spacing w:before="213"/>
        <w:rPr>
          <w:color w:val="auto"/>
          <w:sz w:val="24"/>
          <w:highlight w:val="none"/>
        </w:rPr>
      </w:pPr>
      <w:r>
        <w:rPr>
          <w:color w:val="auto"/>
          <w:sz w:val="24"/>
          <w:highlight w:val="none"/>
        </w:rPr>
        <w:t>技术参数：</w:t>
      </w:r>
    </w:p>
    <w:p w14:paraId="53E74099">
      <w:pPr>
        <w:pStyle w:val="19"/>
        <w:keepNext w:val="0"/>
        <w:keepLines w:val="0"/>
        <w:pageBreakBefore w:val="0"/>
        <w:numPr>
          <w:ilvl w:val="1"/>
          <w:numId w:val="14"/>
        </w:numPr>
        <w:tabs>
          <w:tab w:val="left" w:pos="1281"/>
        </w:tabs>
        <w:kinsoku/>
        <w:wordWrap w:val="0"/>
        <w:overflowPunct/>
        <w:topLinePunct w:val="0"/>
        <w:bidi w:val="0"/>
        <w:spacing w:before="211"/>
        <w:rPr>
          <w:color w:val="auto"/>
          <w:sz w:val="24"/>
          <w:highlight w:val="none"/>
        </w:rPr>
      </w:pPr>
      <w:r>
        <w:rPr>
          <w:color w:val="auto"/>
          <w:sz w:val="24"/>
          <w:highlight w:val="none"/>
        </w:rPr>
        <w:t>数量（单位）：</w:t>
      </w:r>
    </w:p>
    <w:p w14:paraId="3E3EF132">
      <w:pPr>
        <w:pStyle w:val="5"/>
        <w:keepNext w:val="0"/>
        <w:keepLines w:val="0"/>
        <w:pageBreakBefore w:val="0"/>
        <w:numPr>
          <w:ilvl w:val="0"/>
          <w:numId w:val="14"/>
        </w:numPr>
        <w:tabs>
          <w:tab w:val="left" w:pos="1045"/>
        </w:tabs>
        <w:kinsoku/>
        <w:wordWrap w:val="0"/>
        <w:overflowPunct/>
        <w:topLinePunct w:val="0"/>
        <w:bidi w:val="0"/>
        <w:spacing w:before="213"/>
        <w:rPr>
          <w:color w:val="auto"/>
          <w:highlight w:val="none"/>
        </w:rPr>
      </w:pPr>
      <w:bookmarkStart w:id="240" w:name="_Toc13068_WPSOffice_Level3"/>
      <w:r>
        <w:rPr>
          <w:color w:val="auto"/>
          <w:highlight w:val="none"/>
        </w:rPr>
        <w:t>合同金额</w:t>
      </w:r>
      <w:bookmarkEnd w:id="240"/>
    </w:p>
    <w:p w14:paraId="171E5DE6">
      <w:pPr>
        <w:pStyle w:val="7"/>
        <w:keepNext w:val="0"/>
        <w:keepLines w:val="0"/>
        <w:pageBreakBefore w:val="0"/>
        <w:tabs>
          <w:tab w:val="left" w:pos="5360"/>
          <w:tab w:val="left" w:pos="7040"/>
        </w:tabs>
        <w:kinsoku/>
        <w:wordWrap w:val="0"/>
        <w:overflowPunct/>
        <w:topLinePunct w:val="0"/>
        <w:bidi w:val="0"/>
        <w:spacing w:before="214"/>
        <w:ind w:left="800"/>
        <w:rPr>
          <w:color w:val="auto"/>
          <w:highlight w:val="none"/>
        </w:rPr>
      </w:pPr>
      <w:r>
        <w:rPr>
          <w:color w:val="auto"/>
          <w:highlight w:val="none"/>
        </w:rPr>
        <w:t>本合同金额为人民币（大写）：</w:t>
      </w:r>
      <w:r>
        <w:rPr>
          <w:color w:val="auto"/>
          <w:highlight w:val="none"/>
          <w:u w:val="single"/>
        </w:rPr>
        <w:tab/>
      </w:r>
      <w:r>
        <w:rPr>
          <w:color w:val="auto"/>
          <w:highlight w:val="none"/>
        </w:rPr>
        <w:t>元（￥</w:t>
      </w:r>
      <w:r>
        <w:rPr>
          <w:color w:val="auto"/>
          <w:highlight w:val="none"/>
          <w:u w:val="single"/>
        </w:rPr>
        <w:tab/>
      </w:r>
      <w:r>
        <w:rPr>
          <w:color w:val="auto"/>
          <w:highlight w:val="none"/>
        </w:rPr>
        <w:t>元）。</w:t>
      </w:r>
    </w:p>
    <w:p w14:paraId="54D622A5">
      <w:pPr>
        <w:pStyle w:val="5"/>
        <w:keepNext w:val="0"/>
        <w:keepLines w:val="0"/>
        <w:pageBreakBefore w:val="0"/>
        <w:numPr>
          <w:ilvl w:val="0"/>
          <w:numId w:val="14"/>
        </w:numPr>
        <w:tabs>
          <w:tab w:val="left" w:pos="1045"/>
        </w:tabs>
        <w:kinsoku/>
        <w:wordWrap w:val="0"/>
        <w:overflowPunct/>
        <w:topLinePunct w:val="0"/>
        <w:bidi w:val="0"/>
        <w:spacing w:before="211"/>
        <w:rPr>
          <w:color w:val="auto"/>
          <w:highlight w:val="none"/>
        </w:rPr>
      </w:pPr>
      <w:bookmarkStart w:id="241" w:name="_Toc9443_WPSOffice_Level3"/>
      <w:r>
        <w:rPr>
          <w:color w:val="auto"/>
          <w:highlight w:val="none"/>
        </w:rPr>
        <w:t>技术资料</w:t>
      </w:r>
      <w:bookmarkEnd w:id="241"/>
    </w:p>
    <w:p w14:paraId="2B9AD2DA">
      <w:pPr>
        <w:pStyle w:val="19"/>
        <w:keepNext w:val="0"/>
        <w:keepLines w:val="0"/>
        <w:pageBreakBefore w:val="0"/>
        <w:numPr>
          <w:ilvl w:val="1"/>
          <w:numId w:val="14"/>
        </w:numPr>
        <w:tabs>
          <w:tab w:val="left" w:pos="1281"/>
        </w:tabs>
        <w:kinsoku/>
        <w:wordWrap w:val="0"/>
        <w:overflowPunct/>
        <w:topLinePunct w:val="0"/>
        <w:bidi w:val="0"/>
        <w:spacing w:before="213"/>
        <w:rPr>
          <w:color w:val="auto"/>
          <w:sz w:val="24"/>
          <w:highlight w:val="none"/>
        </w:rPr>
      </w:pPr>
      <w:r>
        <w:rPr>
          <w:color w:val="auto"/>
          <w:sz w:val="24"/>
          <w:highlight w:val="none"/>
        </w:rPr>
        <w:t>乙方按磋商文件规定的时间向甲方提供使用货物的有关技术资料。</w:t>
      </w:r>
    </w:p>
    <w:p w14:paraId="0994E5E0">
      <w:pPr>
        <w:pStyle w:val="19"/>
        <w:keepNext w:val="0"/>
        <w:keepLines w:val="0"/>
        <w:pageBreakBefore w:val="0"/>
        <w:numPr>
          <w:ilvl w:val="1"/>
          <w:numId w:val="14"/>
        </w:numPr>
        <w:tabs>
          <w:tab w:val="left" w:pos="1281"/>
        </w:tabs>
        <w:kinsoku/>
        <w:wordWrap w:val="0"/>
        <w:overflowPunct/>
        <w:topLinePunct w:val="0"/>
        <w:bidi w:val="0"/>
        <w:spacing w:before="213" w:line="405" w:lineRule="auto"/>
        <w:ind w:left="320" w:right="403" w:firstLine="480"/>
        <w:rPr>
          <w:color w:val="auto"/>
          <w:sz w:val="24"/>
          <w:highlight w:val="none"/>
        </w:rPr>
      </w:pPr>
      <w:r>
        <w:rPr>
          <w:color w:val="auto"/>
          <w:spacing w:val="-1"/>
          <w:sz w:val="24"/>
          <w:highlight w:val="none"/>
        </w:rPr>
        <w:t>没有甲方事先书面同意，乙方不得将由甲方提供的有关合同或任何合同条文、</w:t>
      </w:r>
      <w:r>
        <w:rPr>
          <w:color w:val="auto"/>
          <w:sz w:val="24"/>
          <w:highlight w:val="none"/>
        </w:rPr>
        <w:t>规格、计划、样品或资料提供给与履行本合同无关的任何其他人。</w:t>
      </w:r>
    </w:p>
    <w:p w14:paraId="57F63102">
      <w:pPr>
        <w:pStyle w:val="5"/>
        <w:keepNext w:val="0"/>
        <w:keepLines w:val="0"/>
        <w:pageBreakBefore w:val="0"/>
        <w:numPr>
          <w:ilvl w:val="0"/>
          <w:numId w:val="14"/>
        </w:numPr>
        <w:tabs>
          <w:tab w:val="left" w:pos="1045"/>
        </w:tabs>
        <w:kinsoku/>
        <w:wordWrap w:val="0"/>
        <w:overflowPunct/>
        <w:topLinePunct w:val="0"/>
        <w:bidi w:val="0"/>
        <w:rPr>
          <w:color w:val="auto"/>
          <w:highlight w:val="none"/>
        </w:rPr>
      </w:pPr>
      <w:bookmarkStart w:id="242" w:name="_Toc14925_WPSOffice_Level3"/>
      <w:r>
        <w:rPr>
          <w:color w:val="auto"/>
          <w:highlight w:val="none"/>
        </w:rPr>
        <w:t>知识产权</w:t>
      </w:r>
      <w:bookmarkEnd w:id="242"/>
    </w:p>
    <w:p w14:paraId="3254E06E">
      <w:pPr>
        <w:pStyle w:val="7"/>
        <w:keepNext w:val="0"/>
        <w:keepLines w:val="0"/>
        <w:pageBreakBefore w:val="0"/>
        <w:kinsoku/>
        <w:wordWrap w:val="0"/>
        <w:overflowPunct/>
        <w:topLinePunct w:val="0"/>
        <w:bidi w:val="0"/>
        <w:spacing w:before="213"/>
        <w:ind w:left="800"/>
        <w:rPr>
          <w:color w:val="auto"/>
          <w:highlight w:val="none"/>
        </w:rPr>
      </w:pPr>
      <w:r>
        <w:rPr>
          <w:color w:val="auto"/>
          <w:highlight w:val="none"/>
        </w:rPr>
        <w:t>乙方保证所提供的货物或其任何一部分均不会侵犯任何第三方的知识产权。</w:t>
      </w:r>
    </w:p>
    <w:p w14:paraId="768D7FE0">
      <w:pPr>
        <w:pStyle w:val="5"/>
        <w:keepNext w:val="0"/>
        <w:keepLines w:val="0"/>
        <w:pageBreakBefore w:val="0"/>
        <w:numPr>
          <w:ilvl w:val="0"/>
          <w:numId w:val="14"/>
        </w:numPr>
        <w:tabs>
          <w:tab w:val="left" w:pos="1045"/>
        </w:tabs>
        <w:kinsoku/>
        <w:wordWrap w:val="0"/>
        <w:overflowPunct/>
        <w:topLinePunct w:val="0"/>
        <w:bidi w:val="0"/>
        <w:spacing w:before="211"/>
        <w:rPr>
          <w:color w:val="auto"/>
          <w:highlight w:val="none"/>
        </w:rPr>
      </w:pPr>
      <w:bookmarkStart w:id="243" w:name="_Toc4972_WPSOffice_Level3"/>
      <w:r>
        <w:rPr>
          <w:color w:val="auto"/>
          <w:highlight w:val="none"/>
        </w:rPr>
        <w:t>产权担保</w:t>
      </w:r>
      <w:bookmarkEnd w:id="243"/>
    </w:p>
    <w:p w14:paraId="2343054E">
      <w:pPr>
        <w:pStyle w:val="7"/>
        <w:keepNext w:val="0"/>
        <w:keepLines w:val="0"/>
        <w:pageBreakBefore w:val="0"/>
        <w:kinsoku/>
        <w:wordWrap w:val="0"/>
        <w:overflowPunct/>
        <w:topLinePunct w:val="0"/>
        <w:bidi w:val="0"/>
        <w:spacing w:before="214"/>
        <w:ind w:left="800"/>
        <w:rPr>
          <w:color w:val="auto"/>
          <w:highlight w:val="none"/>
        </w:rPr>
      </w:pPr>
      <w:r>
        <w:rPr>
          <w:color w:val="auto"/>
          <w:highlight w:val="none"/>
        </w:rPr>
        <w:t>乙方保证所交付的货物的所有权完全属于乙方且无任何抵押、查封等产权瑕疵。</w:t>
      </w:r>
    </w:p>
    <w:p w14:paraId="3E683C04">
      <w:pPr>
        <w:pStyle w:val="5"/>
        <w:keepNext w:val="0"/>
        <w:keepLines w:val="0"/>
        <w:pageBreakBefore w:val="0"/>
        <w:numPr>
          <w:ilvl w:val="0"/>
          <w:numId w:val="14"/>
        </w:numPr>
        <w:tabs>
          <w:tab w:val="left" w:pos="1045"/>
        </w:tabs>
        <w:kinsoku/>
        <w:wordWrap w:val="0"/>
        <w:overflowPunct/>
        <w:topLinePunct w:val="0"/>
        <w:bidi w:val="0"/>
        <w:spacing w:before="213"/>
        <w:rPr>
          <w:color w:val="auto"/>
          <w:highlight w:val="none"/>
        </w:rPr>
      </w:pPr>
      <w:bookmarkStart w:id="244" w:name="_Toc28006_WPSOffice_Level3"/>
      <w:r>
        <w:rPr>
          <w:color w:val="auto"/>
          <w:highlight w:val="none"/>
        </w:rPr>
        <w:t>质量保证金</w:t>
      </w:r>
      <w:bookmarkEnd w:id="244"/>
    </w:p>
    <w:p w14:paraId="7DBC0B68">
      <w:pPr>
        <w:pStyle w:val="19"/>
        <w:keepNext w:val="0"/>
        <w:keepLines w:val="0"/>
        <w:pageBreakBefore w:val="0"/>
        <w:numPr>
          <w:ilvl w:val="1"/>
          <w:numId w:val="14"/>
        </w:numPr>
        <w:tabs>
          <w:tab w:val="left" w:pos="1221"/>
        </w:tabs>
        <w:kinsoku/>
        <w:wordWrap w:val="0"/>
        <w:overflowPunct/>
        <w:topLinePunct w:val="0"/>
        <w:bidi w:val="0"/>
        <w:spacing w:before="211"/>
        <w:ind w:left="1220" w:hanging="420"/>
        <w:rPr>
          <w:color w:val="auto"/>
          <w:sz w:val="24"/>
          <w:highlight w:val="none"/>
        </w:rPr>
      </w:pPr>
      <w:r>
        <w:rPr>
          <w:color w:val="auto"/>
          <w:sz w:val="24"/>
          <w:highlight w:val="none"/>
        </w:rPr>
        <w:t>扣除合同总价的作为质量保证金。</w:t>
      </w:r>
    </w:p>
    <w:p w14:paraId="34F7216A">
      <w:pPr>
        <w:pStyle w:val="19"/>
        <w:keepNext w:val="0"/>
        <w:keepLines w:val="0"/>
        <w:pageBreakBefore w:val="0"/>
        <w:numPr>
          <w:ilvl w:val="1"/>
          <w:numId w:val="14"/>
        </w:numPr>
        <w:tabs>
          <w:tab w:val="left" w:pos="1221"/>
        </w:tabs>
        <w:kinsoku/>
        <w:wordWrap w:val="0"/>
        <w:overflowPunct/>
        <w:topLinePunct w:val="0"/>
        <w:bidi w:val="0"/>
        <w:spacing w:before="213" w:line="405" w:lineRule="auto"/>
        <w:ind w:left="320" w:right="338" w:firstLine="480"/>
        <w:rPr>
          <w:color w:val="auto"/>
          <w:sz w:val="24"/>
          <w:highlight w:val="none"/>
        </w:rPr>
      </w:pPr>
      <w:r>
        <w:rPr>
          <w:color w:val="auto"/>
          <w:spacing w:val="-6"/>
          <w:sz w:val="24"/>
          <w:highlight w:val="none"/>
        </w:rPr>
        <w:t>在质保期内成交供应商提供的货物质量和服务符合合同约定，经验收合格，质保</w:t>
      </w:r>
      <w:r>
        <w:rPr>
          <w:color w:val="auto"/>
          <w:spacing w:val="-15"/>
          <w:sz w:val="24"/>
          <w:highlight w:val="none"/>
        </w:rPr>
        <w:t xml:space="preserve">期满后 </w:t>
      </w:r>
      <w:r>
        <w:rPr>
          <w:color w:val="auto"/>
          <w:sz w:val="24"/>
          <w:highlight w:val="none"/>
        </w:rPr>
        <w:t>10</w:t>
      </w:r>
      <w:r>
        <w:rPr>
          <w:color w:val="auto"/>
          <w:spacing w:val="-8"/>
          <w:sz w:val="24"/>
          <w:highlight w:val="none"/>
        </w:rPr>
        <w:t xml:space="preserve"> 个工作日内该款无息退还。</w:t>
      </w:r>
    </w:p>
    <w:p w14:paraId="3424C19F">
      <w:pPr>
        <w:keepNext w:val="0"/>
        <w:keepLines w:val="0"/>
        <w:pageBreakBefore w:val="0"/>
        <w:kinsoku/>
        <w:wordWrap w:val="0"/>
        <w:overflowPunct/>
        <w:topLinePunct w:val="0"/>
        <w:bidi w:val="0"/>
        <w:spacing w:line="405" w:lineRule="auto"/>
        <w:rPr>
          <w:color w:val="auto"/>
          <w:sz w:val="24"/>
          <w:highlight w:val="none"/>
        </w:rPr>
        <w:sectPr>
          <w:pgSz w:w="11910" w:h="16840"/>
          <w:pgMar w:top="1400" w:right="1020" w:bottom="900" w:left="1040" w:header="0" w:footer="640" w:gutter="0"/>
          <w:pgBorders>
            <w:top w:val="none" w:sz="0" w:space="0"/>
            <w:left w:val="none" w:sz="0" w:space="0"/>
            <w:bottom w:val="none" w:sz="0" w:space="0"/>
            <w:right w:val="none" w:sz="0" w:space="0"/>
          </w:pgBorders>
          <w:pgNumType w:fmt="decimal"/>
          <w:cols w:space="720" w:num="1"/>
        </w:sectPr>
      </w:pPr>
    </w:p>
    <w:p w14:paraId="40FA56F9">
      <w:pPr>
        <w:pStyle w:val="5"/>
        <w:keepNext w:val="0"/>
        <w:keepLines w:val="0"/>
        <w:pageBreakBefore w:val="0"/>
        <w:numPr>
          <w:ilvl w:val="0"/>
          <w:numId w:val="14"/>
        </w:numPr>
        <w:tabs>
          <w:tab w:val="left" w:pos="1045"/>
        </w:tabs>
        <w:kinsoku/>
        <w:wordWrap w:val="0"/>
        <w:overflowPunct/>
        <w:topLinePunct w:val="0"/>
        <w:bidi w:val="0"/>
        <w:spacing w:before="39"/>
        <w:rPr>
          <w:color w:val="auto"/>
          <w:highlight w:val="none"/>
        </w:rPr>
      </w:pPr>
      <w:bookmarkStart w:id="245" w:name="_Toc23332_WPSOffice_Level3"/>
      <w:r>
        <w:rPr>
          <w:color w:val="auto"/>
          <w:highlight w:val="none"/>
        </w:rPr>
        <w:t>转包或分包</w:t>
      </w:r>
      <w:bookmarkEnd w:id="245"/>
    </w:p>
    <w:p w14:paraId="4DAE273A">
      <w:pPr>
        <w:pStyle w:val="19"/>
        <w:keepNext w:val="0"/>
        <w:keepLines w:val="0"/>
        <w:pageBreakBefore w:val="0"/>
        <w:numPr>
          <w:ilvl w:val="1"/>
          <w:numId w:val="14"/>
        </w:numPr>
        <w:tabs>
          <w:tab w:val="left" w:pos="1281"/>
        </w:tabs>
        <w:kinsoku/>
        <w:wordWrap w:val="0"/>
        <w:overflowPunct/>
        <w:topLinePunct w:val="0"/>
        <w:bidi w:val="0"/>
        <w:spacing w:before="213"/>
        <w:rPr>
          <w:color w:val="auto"/>
          <w:sz w:val="24"/>
          <w:highlight w:val="none"/>
        </w:rPr>
      </w:pPr>
      <w:r>
        <w:rPr>
          <w:color w:val="auto"/>
          <w:sz w:val="24"/>
          <w:highlight w:val="none"/>
        </w:rPr>
        <w:t>本合同范围的货物，由乙方直接供应，不得转让他人供应。</w:t>
      </w:r>
    </w:p>
    <w:p w14:paraId="1D2D1288">
      <w:pPr>
        <w:pStyle w:val="19"/>
        <w:keepNext w:val="0"/>
        <w:keepLines w:val="0"/>
        <w:pageBreakBefore w:val="0"/>
        <w:numPr>
          <w:ilvl w:val="1"/>
          <w:numId w:val="14"/>
        </w:numPr>
        <w:tabs>
          <w:tab w:val="left" w:pos="1281"/>
        </w:tabs>
        <w:kinsoku/>
        <w:wordWrap w:val="0"/>
        <w:overflowPunct/>
        <w:topLinePunct w:val="0"/>
        <w:bidi w:val="0"/>
        <w:spacing w:before="213"/>
        <w:rPr>
          <w:color w:val="auto"/>
          <w:sz w:val="24"/>
          <w:highlight w:val="none"/>
        </w:rPr>
      </w:pPr>
      <w:r>
        <w:rPr>
          <w:color w:val="auto"/>
          <w:sz w:val="24"/>
          <w:highlight w:val="none"/>
        </w:rPr>
        <w:t>除非得到甲方的书面同意，乙方不得部分分包给他人供应。</w:t>
      </w:r>
    </w:p>
    <w:p w14:paraId="2D61F447">
      <w:pPr>
        <w:pStyle w:val="19"/>
        <w:keepNext w:val="0"/>
        <w:keepLines w:val="0"/>
        <w:pageBreakBefore w:val="0"/>
        <w:numPr>
          <w:ilvl w:val="1"/>
          <w:numId w:val="14"/>
        </w:numPr>
        <w:tabs>
          <w:tab w:val="left" w:pos="1221"/>
        </w:tabs>
        <w:kinsoku/>
        <w:wordWrap w:val="0"/>
        <w:overflowPunct/>
        <w:topLinePunct w:val="0"/>
        <w:bidi w:val="0"/>
        <w:spacing w:before="211"/>
        <w:ind w:left="1220" w:hanging="420"/>
        <w:rPr>
          <w:color w:val="auto"/>
          <w:sz w:val="24"/>
          <w:highlight w:val="none"/>
        </w:rPr>
      </w:pPr>
      <w:r>
        <w:rPr>
          <w:color w:val="auto"/>
          <w:sz w:val="24"/>
          <w:highlight w:val="none"/>
        </w:rPr>
        <w:t>如有转让和未经甲方同意的分包行为，甲方有权给予终止合同。</w:t>
      </w:r>
    </w:p>
    <w:p w14:paraId="62C0B264">
      <w:pPr>
        <w:pStyle w:val="5"/>
        <w:keepNext w:val="0"/>
        <w:keepLines w:val="0"/>
        <w:pageBreakBefore w:val="0"/>
        <w:numPr>
          <w:ilvl w:val="0"/>
          <w:numId w:val="14"/>
        </w:numPr>
        <w:tabs>
          <w:tab w:val="left" w:pos="1045"/>
        </w:tabs>
        <w:kinsoku/>
        <w:wordWrap w:val="0"/>
        <w:overflowPunct/>
        <w:topLinePunct w:val="0"/>
        <w:bidi w:val="0"/>
        <w:spacing w:before="213"/>
        <w:rPr>
          <w:color w:val="auto"/>
          <w:highlight w:val="none"/>
        </w:rPr>
      </w:pPr>
      <w:bookmarkStart w:id="246" w:name="_Toc23515_WPSOffice_Level3"/>
      <w:r>
        <w:rPr>
          <w:color w:val="auto"/>
          <w:highlight w:val="none"/>
        </w:rPr>
        <w:t>交货期、交货方式及交货地点</w:t>
      </w:r>
      <w:bookmarkEnd w:id="246"/>
    </w:p>
    <w:p w14:paraId="12C69881">
      <w:pPr>
        <w:pStyle w:val="19"/>
        <w:keepNext w:val="0"/>
        <w:keepLines w:val="0"/>
        <w:pageBreakBefore w:val="0"/>
        <w:numPr>
          <w:ilvl w:val="1"/>
          <w:numId w:val="14"/>
        </w:numPr>
        <w:tabs>
          <w:tab w:val="left" w:pos="1281"/>
        </w:tabs>
        <w:kinsoku/>
        <w:wordWrap w:val="0"/>
        <w:overflowPunct/>
        <w:topLinePunct w:val="0"/>
        <w:bidi w:val="0"/>
        <w:spacing w:before="214"/>
        <w:rPr>
          <w:color w:val="auto"/>
          <w:sz w:val="24"/>
          <w:highlight w:val="none"/>
        </w:rPr>
      </w:pPr>
      <w:r>
        <w:rPr>
          <w:color w:val="auto"/>
          <w:sz w:val="24"/>
          <w:highlight w:val="none"/>
        </w:rPr>
        <w:t>交货期：</w:t>
      </w:r>
    </w:p>
    <w:p w14:paraId="4D5E22DD">
      <w:pPr>
        <w:pStyle w:val="19"/>
        <w:keepNext w:val="0"/>
        <w:keepLines w:val="0"/>
        <w:pageBreakBefore w:val="0"/>
        <w:numPr>
          <w:ilvl w:val="1"/>
          <w:numId w:val="14"/>
        </w:numPr>
        <w:tabs>
          <w:tab w:val="left" w:pos="1281"/>
        </w:tabs>
        <w:kinsoku/>
        <w:wordWrap w:val="0"/>
        <w:overflowPunct/>
        <w:topLinePunct w:val="0"/>
        <w:bidi w:val="0"/>
        <w:spacing w:before="211"/>
        <w:rPr>
          <w:color w:val="auto"/>
          <w:sz w:val="24"/>
          <w:highlight w:val="none"/>
        </w:rPr>
      </w:pPr>
      <w:r>
        <w:rPr>
          <w:color w:val="auto"/>
          <w:sz w:val="24"/>
          <w:highlight w:val="none"/>
        </w:rPr>
        <w:t>交货方式：</w:t>
      </w:r>
    </w:p>
    <w:p w14:paraId="37206B06">
      <w:pPr>
        <w:pStyle w:val="19"/>
        <w:keepNext w:val="0"/>
        <w:keepLines w:val="0"/>
        <w:pageBreakBefore w:val="0"/>
        <w:numPr>
          <w:ilvl w:val="1"/>
          <w:numId w:val="14"/>
        </w:numPr>
        <w:tabs>
          <w:tab w:val="left" w:pos="1281"/>
        </w:tabs>
        <w:kinsoku/>
        <w:wordWrap w:val="0"/>
        <w:overflowPunct/>
        <w:topLinePunct w:val="0"/>
        <w:bidi w:val="0"/>
        <w:spacing w:before="213"/>
        <w:rPr>
          <w:color w:val="auto"/>
          <w:sz w:val="24"/>
          <w:highlight w:val="none"/>
        </w:rPr>
      </w:pPr>
      <w:r>
        <w:rPr>
          <w:color w:val="auto"/>
          <w:sz w:val="24"/>
          <w:highlight w:val="none"/>
        </w:rPr>
        <w:t>交货地点：</w:t>
      </w:r>
    </w:p>
    <w:p w14:paraId="6AF561E9">
      <w:pPr>
        <w:pStyle w:val="5"/>
        <w:keepNext w:val="0"/>
        <w:keepLines w:val="0"/>
        <w:pageBreakBefore w:val="0"/>
        <w:numPr>
          <w:ilvl w:val="0"/>
          <w:numId w:val="14"/>
        </w:numPr>
        <w:tabs>
          <w:tab w:val="left" w:pos="1045"/>
        </w:tabs>
        <w:kinsoku/>
        <w:wordWrap w:val="0"/>
        <w:overflowPunct/>
        <w:topLinePunct w:val="0"/>
        <w:bidi w:val="0"/>
        <w:spacing w:before="213"/>
        <w:rPr>
          <w:color w:val="auto"/>
          <w:highlight w:val="none"/>
        </w:rPr>
      </w:pPr>
      <w:bookmarkStart w:id="247" w:name="_Toc1300_WPSOffice_Level3"/>
      <w:r>
        <w:rPr>
          <w:color w:val="auto"/>
          <w:highlight w:val="none"/>
        </w:rPr>
        <w:t>货款支付：双方协商。</w:t>
      </w:r>
      <w:bookmarkEnd w:id="247"/>
    </w:p>
    <w:p w14:paraId="6B060413">
      <w:pPr>
        <w:pStyle w:val="5"/>
        <w:keepNext w:val="0"/>
        <w:keepLines w:val="0"/>
        <w:pageBreakBefore w:val="0"/>
        <w:numPr>
          <w:ilvl w:val="0"/>
          <w:numId w:val="14"/>
        </w:numPr>
        <w:tabs>
          <w:tab w:val="left" w:pos="1165"/>
        </w:tabs>
        <w:kinsoku/>
        <w:wordWrap w:val="0"/>
        <w:overflowPunct/>
        <w:topLinePunct w:val="0"/>
        <w:bidi w:val="0"/>
        <w:spacing w:before="211"/>
        <w:ind w:left="1164" w:hanging="364"/>
        <w:rPr>
          <w:color w:val="auto"/>
          <w:highlight w:val="none"/>
        </w:rPr>
      </w:pPr>
      <w:bookmarkStart w:id="248" w:name="_Toc11198_WPSOffice_Level3"/>
      <w:r>
        <w:rPr>
          <w:color w:val="auto"/>
          <w:highlight w:val="none"/>
        </w:rPr>
        <w:t>税费</w:t>
      </w:r>
      <w:bookmarkEnd w:id="248"/>
    </w:p>
    <w:p w14:paraId="6D8667ED">
      <w:pPr>
        <w:pStyle w:val="7"/>
        <w:keepNext w:val="0"/>
        <w:keepLines w:val="0"/>
        <w:pageBreakBefore w:val="0"/>
        <w:kinsoku/>
        <w:wordWrap w:val="0"/>
        <w:overflowPunct/>
        <w:topLinePunct w:val="0"/>
        <w:bidi w:val="0"/>
        <w:spacing w:before="213"/>
        <w:ind w:left="800"/>
        <w:rPr>
          <w:color w:val="auto"/>
          <w:highlight w:val="none"/>
        </w:rPr>
      </w:pPr>
      <w:r>
        <w:rPr>
          <w:color w:val="auto"/>
          <w:highlight w:val="none"/>
        </w:rPr>
        <w:t>本合同执行中相关的一切税费均由乙方负担。</w:t>
      </w:r>
    </w:p>
    <w:p w14:paraId="1032166D">
      <w:pPr>
        <w:pStyle w:val="5"/>
        <w:keepNext w:val="0"/>
        <w:keepLines w:val="0"/>
        <w:pageBreakBefore w:val="0"/>
        <w:numPr>
          <w:ilvl w:val="0"/>
          <w:numId w:val="14"/>
        </w:numPr>
        <w:tabs>
          <w:tab w:val="left" w:pos="1165"/>
        </w:tabs>
        <w:kinsoku/>
        <w:wordWrap w:val="0"/>
        <w:overflowPunct/>
        <w:topLinePunct w:val="0"/>
        <w:bidi w:val="0"/>
        <w:spacing w:before="214"/>
        <w:ind w:left="1164" w:hanging="364"/>
        <w:rPr>
          <w:color w:val="auto"/>
          <w:highlight w:val="none"/>
        </w:rPr>
      </w:pPr>
      <w:bookmarkStart w:id="249" w:name="_Toc9072_WPSOffice_Level3"/>
      <w:r>
        <w:rPr>
          <w:color w:val="auto"/>
          <w:highlight w:val="none"/>
        </w:rPr>
        <w:t>货物包装、发运及运输</w:t>
      </w:r>
      <w:bookmarkEnd w:id="249"/>
    </w:p>
    <w:p w14:paraId="267189D0">
      <w:pPr>
        <w:pStyle w:val="19"/>
        <w:keepNext w:val="0"/>
        <w:keepLines w:val="0"/>
        <w:pageBreakBefore w:val="0"/>
        <w:numPr>
          <w:ilvl w:val="1"/>
          <w:numId w:val="14"/>
        </w:numPr>
        <w:tabs>
          <w:tab w:val="left" w:pos="1401"/>
        </w:tabs>
        <w:kinsoku/>
        <w:wordWrap w:val="0"/>
        <w:overflowPunct/>
        <w:topLinePunct w:val="0"/>
        <w:bidi w:val="0"/>
        <w:spacing w:before="211" w:line="405" w:lineRule="auto"/>
        <w:ind w:left="320" w:right="338" w:firstLine="480"/>
        <w:rPr>
          <w:color w:val="auto"/>
          <w:sz w:val="24"/>
          <w:highlight w:val="none"/>
        </w:rPr>
      </w:pPr>
      <w:r>
        <w:rPr>
          <w:color w:val="auto"/>
          <w:spacing w:val="-5"/>
          <w:sz w:val="24"/>
          <w:highlight w:val="none"/>
        </w:rPr>
        <w:t>乙方在货物发运前对其进行满足运输距离、防潮、防震、防锈和防破损装卸等</w:t>
      </w:r>
      <w:r>
        <w:rPr>
          <w:color w:val="auto"/>
          <w:sz w:val="24"/>
          <w:highlight w:val="none"/>
        </w:rPr>
        <w:t>要求包装，以保证货物安全运达甲方指定地点。</w:t>
      </w:r>
    </w:p>
    <w:p w14:paraId="1A667E44">
      <w:pPr>
        <w:pStyle w:val="19"/>
        <w:keepNext w:val="0"/>
        <w:keepLines w:val="0"/>
        <w:pageBreakBefore w:val="0"/>
        <w:numPr>
          <w:ilvl w:val="1"/>
          <w:numId w:val="14"/>
        </w:numPr>
        <w:tabs>
          <w:tab w:val="left" w:pos="1401"/>
        </w:tabs>
        <w:kinsoku/>
        <w:wordWrap w:val="0"/>
        <w:overflowPunct/>
        <w:topLinePunct w:val="0"/>
        <w:bidi w:val="0"/>
        <w:spacing w:before="2"/>
        <w:ind w:left="1400" w:hanging="600"/>
        <w:rPr>
          <w:color w:val="auto"/>
          <w:sz w:val="24"/>
          <w:highlight w:val="none"/>
        </w:rPr>
      </w:pPr>
      <w:r>
        <w:rPr>
          <w:color w:val="auto"/>
          <w:sz w:val="24"/>
          <w:highlight w:val="none"/>
        </w:rPr>
        <w:t>使用说明书、质量检验证明书、随配附件和工具以及清单一并附于货物内。</w:t>
      </w:r>
    </w:p>
    <w:p w14:paraId="32CACA85">
      <w:pPr>
        <w:pStyle w:val="19"/>
        <w:keepNext w:val="0"/>
        <w:keepLines w:val="0"/>
        <w:pageBreakBefore w:val="0"/>
        <w:numPr>
          <w:ilvl w:val="1"/>
          <w:numId w:val="14"/>
        </w:numPr>
        <w:tabs>
          <w:tab w:val="left" w:pos="1401"/>
        </w:tabs>
        <w:kinsoku/>
        <w:wordWrap w:val="0"/>
        <w:overflowPunct/>
        <w:topLinePunct w:val="0"/>
        <w:bidi w:val="0"/>
        <w:spacing w:before="211" w:line="405" w:lineRule="auto"/>
        <w:ind w:left="320" w:right="338" w:firstLine="480"/>
        <w:rPr>
          <w:color w:val="auto"/>
          <w:sz w:val="24"/>
          <w:highlight w:val="none"/>
        </w:rPr>
      </w:pPr>
      <w:r>
        <w:rPr>
          <w:color w:val="auto"/>
          <w:spacing w:val="-4"/>
          <w:sz w:val="24"/>
          <w:highlight w:val="none"/>
        </w:rPr>
        <w:t xml:space="preserve">乙方在货物发运手续办理完毕后 </w:t>
      </w:r>
      <w:r>
        <w:rPr>
          <w:color w:val="auto"/>
          <w:sz w:val="24"/>
          <w:highlight w:val="none"/>
        </w:rPr>
        <w:t>24</w:t>
      </w:r>
      <w:r>
        <w:rPr>
          <w:color w:val="auto"/>
          <w:spacing w:val="-14"/>
          <w:sz w:val="24"/>
          <w:highlight w:val="none"/>
        </w:rPr>
        <w:t xml:space="preserve"> 小时内或货到甲方 </w:t>
      </w:r>
      <w:r>
        <w:rPr>
          <w:color w:val="auto"/>
          <w:sz w:val="24"/>
          <w:highlight w:val="none"/>
        </w:rPr>
        <w:t>48</w:t>
      </w:r>
      <w:r>
        <w:rPr>
          <w:color w:val="auto"/>
          <w:spacing w:val="-15"/>
          <w:sz w:val="24"/>
          <w:highlight w:val="none"/>
        </w:rPr>
        <w:t xml:space="preserve"> 小时前通知甲方，以</w:t>
      </w:r>
      <w:r>
        <w:rPr>
          <w:color w:val="auto"/>
          <w:sz w:val="24"/>
          <w:highlight w:val="none"/>
        </w:rPr>
        <w:t>准备接货。</w:t>
      </w:r>
    </w:p>
    <w:p w14:paraId="40ED7449">
      <w:pPr>
        <w:pStyle w:val="19"/>
        <w:keepNext w:val="0"/>
        <w:keepLines w:val="0"/>
        <w:pageBreakBefore w:val="0"/>
        <w:numPr>
          <w:ilvl w:val="1"/>
          <w:numId w:val="14"/>
        </w:numPr>
        <w:tabs>
          <w:tab w:val="left" w:pos="1401"/>
        </w:tabs>
        <w:kinsoku/>
        <w:wordWrap w:val="0"/>
        <w:overflowPunct/>
        <w:topLinePunct w:val="0"/>
        <w:bidi w:val="0"/>
        <w:spacing w:before="2"/>
        <w:ind w:left="1400" w:hanging="600"/>
        <w:rPr>
          <w:color w:val="auto"/>
          <w:sz w:val="24"/>
          <w:highlight w:val="none"/>
        </w:rPr>
      </w:pPr>
      <w:r>
        <w:rPr>
          <w:color w:val="auto"/>
          <w:sz w:val="24"/>
          <w:highlight w:val="none"/>
        </w:rPr>
        <w:t>货物在交付甲方前发生的风险均由乙方负责。</w:t>
      </w:r>
    </w:p>
    <w:p w14:paraId="552F4075">
      <w:pPr>
        <w:pStyle w:val="19"/>
        <w:keepNext w:val="0"/>
        <w:keepLines w:val="0"/>
        <w:pageBreakBefore w:val="0"/>
        <w:numPr>
          <w:ilvl w:val="1"/>
          <w:numId w:val="14"/>
        </w:numPr>
        <w:tabs>
          <w:tab w:val="left" w:pos="1401"/>
        </w:tabs>
        <w:kinsoku/>
        <w:wordWrap w:val="0"/>
        <w:overflowPunct/>
        <w:topLinePunct w:val="0"/>
        <w:bidi w:val="0"/>
        <w:spacing w:before="211" w:line="405" w:lineRule="auto"/>
        <w:ind w:left="320" w:right="338" w:firstLine="480"/>
        <w:rPr>
          <w:color w:val="auto"/>
          <w:sz w:val="24"/>
          <w:highlight w:val="none"/>
        </w:rPr>
      </w:pPr>
      <w:r>
        <w:rPr>
          <w:color w:val="auto"/>
          <w:spacing w:val="-3"/>
          <w:sz w:val="24"/>
          <w:highlight w:val="none"/>
        </w:rPr>
        <w:t>货物在规定的交付期限内由乙方送达甲方指定的地点视为交付，乙方同时需通</w:t>
      </w:r>
      <w:r>
        <w:rPr>
          <w:color w:val="auto"/>
          <w:sz w:val="24"/>
          <w:highlight w:val="none"/>
        </w:rPr>
        <w:t>知甲方货物已送达。</w:t>
      </w:r>
    </w:p>
    <w:p w14:paraId="6C177DD2">
      <w:pPr>
        <w:pStyle w:val="5"/>
        <w:keepNext w:val="0"/>
        <w:keepLines w:val="0"/>
        <w:pageBreakBefore w:val="0"/>
        <w:numPr>
          <w:ilvl w:val="0"/>
          <w:numId w:val="14"/>
        </w:numPr>
        <w:tabs>
          <w:tab w:val="left" w:pos="1165"/>
        </w:tabs>
        <w:kinsoku/>
        <w:wordWrap w:val="0"/>
        <w:overflowPunct/>
        <w:topLinePunct w:val="0"/>
        <w:bidi w:val="0"/>
        <w:spacing w:before="2"/>
        <w:ind w:left="1164" w:hanging="364"/>
        <w:rPr>
          <w:color w:val="auto"/>
          <w:highlight w:val="none"/>
        </w:rPr>
      </w:pPr>
      <w:bookmarkStart w:id="250" w:name="_Toc16694_WPSOffice_Level3"/>
      <w:r>
        <w:rPr>
          <w:color w:val="auto"/>
          <w:highlight w:val="none"/>
        </w:rPr>
        <w:t>质量保证及售后服务</w:t>
      </w:r>
      <w:bookmarkEnd w:id="250"/>
    </w:p>
    <w:p w14:paraId="20CD22C1">
      <w:pPr>
        <w:pStyle w:val="19"/>
        <w:keepNext w:val="0"/>
        <w:keepLines w:val="0"/>
        <w:pageBreakBefore w:val="0"/>
        <w:numPr>
          <w:ilvl w:val="1"/>
          <w:numId w:val="14"/>
        </w:numPr>
        <w:tabs>
          <w:tab w:val="left" w:pos="1401"/>
        </w:tabs>
        <w:kinsoku/>
        <w:wordWrap w:val="0"/>
        <w:overflowPunct/>
        <w:topLinePunct w:val="0"/>
        <w:bidi w:val="0"/>
        <w:spacing w:before="211" w:line="405" w:lineRule="auto"/>
        <w:ind w:left="320" w:right="338" w:firstLine="480"/>
        <w:rPr>
          <w:color w:val="auto"/>
          <w:sz w:val="24"/>
          <w:highlight w:val="none"/>
        </w:rPr>
      </w:pPr>
      <w:r>
        <w:rPr>
          <w:color w:val="auto"/>
          <w:spacing w:val="-6"/>
          <w:sz w:val="24"/>
          <w:highlight w:val="none"/>
        </w:rPr>
        <w:t>乙方提供的货物是全新、未使用过的，并完全符合强制性的国家技术质量规范</w:t>
      </w:r>
      <w:r>
        <w:rPr>
          <w:color w:val="auto"/>
          <w:sz w:val="24"/>
          <w:highlight w:val="none"/>
        </w:rPr>
        <w:t>和磋商文件规定的质量、规格、性能和技术规范等的要求。</w:t>
      </w:r>
    </w:p>
    <w:p w14:paraId="74DF20E5">
      <w:pPr>
        <w:pStyle w:val="19"/>
        <w:keepNext w:val="0"/>
        <w:keepLines w:val="0"/>
        <w:pageBreakBefore w:val="0"/>
        <w:numPr>
          <w:ilvl w:val="1"/>
          <w:numId w:val="14"/>
        </w:numPr>
        <w:tabs>
          <w:tab w:val="left" w:pos="1401"/>
        </w:tabs>
        <w:kinsoku/>
        <w:wordWrap w:val="0"/>
        <w:overflowPunct/>
        <w:topLinePunct w:val="0"/>
        <w:bidi w:val="0"/>
        <w:spacing w:before="2" w:line="405" w:lineRule="auto"/>
        <w:ind w:left="320" w:right="338" w:firstLine="480"/>
        <w:jc w:val="both"/>
        <w:rPr>
          <w:color w:val="auto"/>
          <w:sz w:val="24"/>
          <w:highlight w:val="none"/>
        </w:rPr>
      </w:pPr>
      <w:r>
        <w:rPr>
          <w:color w:val="auto"/>
          <w:spacing w:val="-6"/>
          <w:sz w:val="24"/>
          <w:highlight w:val="none"/>
        </w:rPr>
        <w:t>乙方提供的货物经正确安装、正常运转和保养，在其使用寿命期内须具有符合</w:t>
      </w:r>
      <w:r>
        <w:rPr>
          <w:color w:val="auto"/>
          <w:sz w:val="24"/>
          <w:highlight w:val="none"/>
        </w:rPr>
        <w:t>质量要求和产品说明书的性能。在货物质量保证期之内，乙方须对由于设计、工艺或材料的缺陷而发生的任何不足或故障负责。</w:t>
      </w:r>
    </w:p>
    <w:p w14:paraId="4D2B41FB">
      <w:pPr>
        <w:keepNext w:val="0"/>
        <w:keepLines w:val="0"/>
        <w:pageBreakBefore w:val="0"/>
        <w:kinsoku/>
        <w:wordWrap w:val="0"/>
        <w:overflowPunct/>
        <w:topLinePunct w:val="0"/>
        <w:bidi w:val="0"/>
        <w:spacing w:line="405" w:lineRule="auto"/>
        <w:jc w:val="both"/>
        <w:rPr>
          <w:color w:val="auto"/>
          <w:sz w:val="24"/>
          <w:highlight w:val="none"/>
        </w:rPr>
        <w:sectPr>
          <w:pgSz w:w="11910" w:h="16840"/>
          <w:pgMar w:top="1480" w:right="1020" w:bottom="900" w:left="1040" w:header="0" w:footer="640" w:gutter="0"/>
          <w:pgBorders>
            <w:top w:val="none" w:sz="0" w:space="0"/>
            <w:left w:val="none" w:sz="0" w:space="0"/>
            <w:bottom w:val="none" w:sz="0" w:space="0"/>
            <w:right w:val="none" w:sz="0" w:space="0"/>
          </w:pgBorders>
          <w:pgNumType w:fmt="decimal"/>
          <w:cols w:space="720" w:num="1"/>
        </w:sectPr>
      </w:pPr>
    </w:p>
    <w:p w14:paraId="577C19DC">
      <w:pPr>
        <w:pStyle w:val="19"/>
        <w:keepNext w:val="0"/>
        <w:keepLines w:val="0"/>
        <w:pageBreakBefore w:val="0"/>
        <w:numPr>
          <w:ilvl w:val="1"/>
          <w:numId w:val="14"/>
        </w:numPr>
        <w:tabs>
          <w:tab w:val="left" w:pos="1341"/>
        </w:tabs>
        <w:kinsoku/>
        <w:wordWrap w:val="0"/>
        <w:overflowPunct/>
        <w:topLinePunct w:val="0"/>
        <w:bidi w:val="0"/>
        <w:spacing w:before="39" w:line="405" w:lineRule="auto"/>
        <w:ind w:left="320" w:right="343" w:firstLine="480"/>
        <w:jc w:val="both"/>
        <w:rPr>
          <w:rFonts w:ascii="Times New Roman" w:eastAsia="Times New Roman"/>
          <w:color w:val="auto"/>
          <w:sz w:val="24"/>
          <w:highlight w:val="none"/>
        </w:rPr>
      </w:pPr>
      <w:r>
        <w:rPr>
          <w:color w:val="auto"/>
          <w:spacing w:val="-1"/>
          <w:sz w:val="24"/>
          <w:highlight w:val="none"/>
        </w:rPr>
        <w:t xml:space="preserve">根据甲方按检验标准自己检验结果或委托有资质的相关质检机构的检验结果， </w:t>
      </w:r>
      <w:r>
        <w:rPr>
          <w:color w:val="auto"/>
          <w:sz w:val="24"/>
          <w:highlight w:val="none"/>
        </w:rPr>
        <w:t>发现货物的数量、质量、规格与合同不符；或者在质量保证期内，证实货物存在缺陷， 包括潜在的缺陷或使用不符合要求的材料等，甲方应尽快以书面形式通知乙方。乙方在收到通知后 日内应免费维修或更换有缺陷的货物或部件。如果乙方在收到通知后</w:t>
      </w:r>
    </w:p>
    <w:p w14:paraId="41CBB0E6">
      <w:pPr>
        <w:pStyle w:val="7"/>
        <w:keepNext w:val="0"/>
        <w:keepLines w:val="0"/>
        <w:pageBreakBefore w:val="0"/>
        <w:kinsoku/>
        <w:wordWrap w:val="0"/>
        <w:overflowPunct/>
        <w:topLinePunct w:val="0"/>
        <w:bidi w:val="0"/>
        <w:spacing w:before="2" w:line="405" w:lineRule="auto"/>
        <w:ind w:right="403"/>
        <w:rPr>
          <w:color w:val="auto"/>
          <w:highlight w:val="none"/>
        </w:rPr>
      </w:pPr>
      <w:r>
        <w:rPr>
          <w:color w:val="auto"/>
          <w:highlight w:val="none"/>
        </w:rPr>
        <w:t>日内没有弥补缺陷，甲方可采取必要的补救措施，但由此引发的风险和费用将由乙方承担。</w:t>
      </w:r>
    </w:p>
    <w:p w14:paraId="1209357C">
      <w:pPr>
        <w:pStyle w:val="19"/>
        <w:keepNext w:val="0"/>
        <w:keepLines w:val="0"/>
        <w:pageBreakBefore w:val="0"/>
        <w:numPr>
          <w:ilvl w:val="1"/>
          <w:numId w:val="14"/>
        </w:numPr>
        <w:tabs>
          <w:tab w:val="left" w:pos="1341"/>
          <w:tab w:val="left" w:pos="7340"/>
        </w:tabs>
        <w:kinsoku/>
        <w:wordWrap w:val="0"/>
        <w:overflowPunct/>
        <w:topLinePunct w:val="0"/>
        <w:bidi w:val="0"/>
        <w:spacing w:line="405" w:lineRule="auto"/>
        <w:ind w:left="320" w:right="218" w:firstLine="480"/>
        <w:rPr>
          <w:color w:val="auto"/>
          <w:sz w:val="24"/>
          <w:highlight w:val="none"/>
        </w:rPr>
      </w:pPr>
      <w:r>
        <w:rPr>
          <w:color w:val="auto"/>
          <w:sz w:val="24"/>
          <w:highlight w:val="none"/>
        </w:rPr>
        <w:t>合同项下货物的质量保证期为自货物通过最终验收起个</w:t>
      </w:r>
      <w:r>
        <w:rPr>
          <w:color w:val="auto"/>
          <w:sz w:val="24"/>
          <w:highlight w:val="none"/>
        </w:rPr>
        <w:tab/>
      </w:r>
      <w:r>
        <w:rPr>
          <w:color w:val="auto"/>
          <w:sz w:val="24"/>
          <w:highlight w:val="none"/>
        </w:rPr>
        <w:t>月，在质保期内，因人为因素出现故障外</w:t>
      </w:r>
      <w:r>
        <w:rPr>
          <w:color w:val="auto"/>
          <w:spacing w:val="-56"/>
          <w:sz w:val="24"/>
          <w:highlight w:val="none"/>
        </w:rPr>
        <w:t>，</w:t>
      </w:r>
      <w:r>
        <w:rPr>
          <w:color w:val="auto"/>
          <w:sz w:val="24"/>
          <w:highlight w:val="none"/>
        </w:rPr>
        <w:t>乙方对货物出现的质量及安全问题负责处理解决并承担一切费用</w:t>
      </w:r>
      <w:r>
        <w:rPr>
          <w:color w:val="auto"/>
          <w:spacing w:val="-16"/>
          <w:sz w:val="24"/>
          <w:highlight w:val="none"/>
        </w:rPr>
        <w:t>。</w:t>
      </w:r>
    </w:p>
    <w:p w14:paraId="0C7D0A2A">
      <w:pPr>
        <w:pStyle w:val="19"/>
        <w:keepNext w:val="0"/>
        <w:keepLines w:val="0"/>
        <w:pageBreakBefore w:val="0"/>
        <w:numPr>
          <w:ilvl w:val="1"/>
          <w:numId w:val="14"/>
        </w:numPr>
        <w:tabs>
          <w:tab w:val="left" w:pos="1341"/>
        </w:tabs>
        <w:kinsoku/>
        <w:wordWrap w:val="0"/>
        <w:overflowPunct/>
        <w:topLinePunct w:val="0"/>
        <w:bidi w:val="0"/>
        <w:spacing w:before="2" w:line="405" w:lineRule="auto"/>
        <w:ind w:left="320" w:right="343" w:firstLine="480"/>
        <w:rPr>
          <w:color w:val="auto"/>
          <w:sz w:val="24"/>
          <w:highlight w:val="none"/>
        </w:rPr>
      </w:pPr>
      <w:r>
        <w:rPr>
          <w:color w:val="auto"/>
          <w:spacing w:val="-1"/>
          <w:sz w:val="24"/>
          <w:highlight w:val="none"/>
        </w:rPr>
        <w:t>合同项下货物免费保修期为质量保证期满后个月，因人为因素出现的故障不在</w:t>
      </w:r>
      <w:r>
        <w:rPr>
          <w:color w:val="auto"/>
          <w:sz w:val="24"/>
          <w:highlight w:val="none"/>
        </w:rPr>
        <w:t>免费保修范围内。对超过保修期的货物终生维修，维修时只收部件成本费。</w:t>
      </w:r>
    </w:p>
    <w:p w14:paraId="7DC67FDA">
      <w:pPr>
        <w:pStyle w:val="19"/>
        <w:keepNext w:val="0"/>
        <w:keepLines w:val="0"/>
        <w:pageBreakBefore w:val="0"/>
        <w:numPr>
          <w:ilvl w:val="1"/>
          <w:numId w:val="14"/>
        </w:numPr>
        <w:tabs>
          <w:tab w:val="left" w:pos="1341"/>
        </w:tabs>
        <w:kinsoku/>
        <w:wordWrap w:val="0"/>
        <w:overflowPunct/>
        <w:topLinePunct w:val="0"/>
        <w:bidi w:val="0"/>
        <w:spacing w:line="405" w:lineRule="auto"/>
        <w:ind w:left="560" w:right="343" w:firstLine="240"/>
        <w:rPr>
          <w:color w:val="auto"/>
          <w:sz w:val="24"/>
          <w:highlight w:val="none"/>
        </w:rPr>
      </w:pPr>
      <w:r>
        <w:rPr>
          <w:color w:val="auto"/>
          <w:spacing w:val="-1"/>
          <w:sz w:val="24"/>
          <w:highlight w:val="none"/>
        </w:rPr>
        <w:t>在使用过程中发生故障，乙方在接到甲方通知后在小时内到达甲方现场，小时</w:t>
      </w:r>
      <w:r>
        <w:rPr>
          <w:color w:val="auto"/>
          <w:sz w:val="24"/>
          <w:highlight w:val="none"/>
        </w:rPr>
        <w:t>内解除故障。</w:t>
      </w:r>
    </w:p>
    <w:p w14:paraId="4BFE7006">
      <w:pPr>
        <w:pStyle w:val="5"/>
        <w:keepNext w:val="0"/>
        <w:keepLines w:val="0"/>
        <w:pageBreakBefore w:val="0"/>
        <w:numPr>
          <w:ilvl w:val="0"/>
          <w:numId w:val="14"/>
        </w:numPr>
        <w:tabs>
          <w:tab w:val="left" w:pos="1165"/>
        </w:tabs>
        <w:kinsoku/>
        <w:wordWrap w:val="0"/>
        <w:overflowPunct/>
        <w:topLinePunct w:val="0"/>
        <w:bidi w:val="0"/>
        <w:ind w:left="1164" w:hanging="364"/>
        <w:rPr>
          <w:color w:val="auto"/>
          <w:highlight w:val="none"/>
        </w:rPr>
      </w:pPr>
      <w:bookmarkStart w:id="251" w:name="_Toc16767_WPSOffice_Level3"/>
      <w:r>
        <w:rPr>
          <w:color w:val="auto"/>
          <w:highlight w:val="none"/>
        </w:rPr>
        <w:t>调试和验收</w:t>
      </w:r>
      <w:bookmarkEnd w:id="251"/>
    </w:p>
    <w:p w14:paraId="5A2E450E">
      <w:pPr>
        <w:pStyle w:val="19"/>
        <w:keepNext w:val="0"/>
        <w:keepLines w:val="0"/>
        <w:pageBreakBefore w:val="0"/>
        <w:numPr>
          <w:ilvl w:val="1"/>
          <w:numId w:val="14"/>
        </w:numPr>
        <w:tabs>
          <w:tab w:val="left" w:pos="1341"/>
        </w:tabs>
        <w:kinsoku/>
        <w:wordWrap w:val="0"/>
        <w:overflowPunct/>
        <w:topLinePunct w:val="0"/>
        <w:bidi w:val="0"/>
        <w:spacing w:before="213" w:line="405" w:lineRule="auto"/>
        <w:ind w:left="320" w:right="343" w:firstLine="480"/>
        <w:rPr>
          <w:color w:val="auto"/>
          <w:sz w:val="24"/>
          <w:highlight w:val="none"/>
        </w:rPr>
      </w:pPr>
      <w:r>
        <w:rPr>
          <w:color w:val="auto"/>
          <w:spacing w:val="-1"/>
          <w:sz w:val="24"/>
          <w:highlight w:val="none"/>
        </w:rPr>
        <w:t>乙方交货前对产品做出全面检查和对验收文件进行整理，并列出清单，作为甲</w:t>
      </w:r>
      <w:r>
        <w:rPr>
          <w:color w:val="auto"/>
          <w:sz w:val="24"/>
          <w:highlight w:val="none"/>
        </w:rPr>
        <w:t>方收货验收和使用的技术条件依据，检验的结果应随货物交甲方。</w:t>
      </w:r>
    </w:p>
    <w:p w14:paraId="61178732">
      <w:pPr>
        <w:pStyle w:val="19"/>
        <w:keepNext w:val="0"/>
        <w:keepLines w:val="0"/>
        <w:pageBreakBefore w:val="0"/>
        <w:numPr>
          <w:ilvl w:val="1"/>
          <w:numId w:val="14"/>
        </w:numPr>
        <w:tabs>
          <w:tab w:val="left" w:pos="1341"/>
        </w:tabs>
        <w:kinsoku/>
        <w:wordWrap w:val="0"/>
        <w:overflowPunct/>
        <w:topLinePunct w:val="0"/>
        <w:bidi w:val="0"/>
        <w:ind w:left="1340" w:hanging="540"/>
        <w:rPr>
          <w:color w:val="auto"/>
          <w:sz w:val="24"/>
          <w:highlight w:val="none"/>
        </w:rPr>
      </w:pPr>
      <w:r>
        <w:rPr>
          <w:color w:val="auto"/>
          <w:sz w:val="24"/>
          <w:highlight w:val="none"/>
        </w:rPr>
        <w:t>货物运抵现场后，甲方依据磋商文件上的技术规格要求和国家有关质量标准在</w:t>
      </w:r>
    </w:p>
    <w:p w14:paraId="4AE999DE">
      <w:pPr>
        <w:pStyle w:val="19"/>
        <w:keepNext w:val="0"/>
        <w:keepLines w:val="0"/>
        <w:pageBreakBefore w:val="0"/>
        <w:numPr>
          <w:ilvl w:val="0"/>
          <w:numId w:val="15"/>
        </w:numPr>
        <w:tabs>
          <w:tab w:val="left" w:pos="501"/>
        </w:tabs>
        <w:kinsoku/>
        <w:wordWrap w:val="0"/>
        <w:overflowPunct/>
        <w:topLinePunct w:val="0"/>
        <w:bidi w:val="0"/>
        <w:spacing w:before="213" w:line="405" w:lineRule="auto"/>
        <w:ind w:right="338" w:firstLine="0"/>
        <w:jc w:val="left"/>
        <w:rPr>
          <w:color w:val="auto"/>
          <w:sz w:val="24"/>
          <w:highlight w:val="none"/>
        </w:rPr>
      </w:pPr>
      <w:r>
        <w:rPr>
          <w:color w:val="auto"/>
          <w:spacing w:val="-9"/>
          <w:sz w:val="24"/>
          <w:highlight w:val="none"/>
        </w:rPr>
        <w:t>个工作日内组织初步验收，并制作验收备忘录，签署验收意见。初步验收不合格的不予</w:t>
      </w:r>
      <w:r>
        <w:rPr>
          <w:color w:val="auto"/>
          <w:sz w:val="24"/>
          <w:highlight w:val="none"/>
        </w:rPr>
        <w:t>签收。</w:t>
      </w:r>
    </w:p>
    <w:p w14:paraId="763F9E50">
      <w:pPr>
        <w:pStyle w:val="19"/>
        <w:keepNext w:val="0"/>
        <w:keepLines w:val="0"/>
        <w:pageBreakBefore w:val="0"/>
        <w:numPr>
          <w:ilvl w:val="1"/>
          <w:numId w:val="14"/>
        </w:numPr>
        <w:tabs>
          <w:tab w:val="left" w:pos="1401"/>
        </w:tabs>
        <w:kinsoku/>
        <w:wordWrap w:val="0"/>
        <w:overflowPunct/>
        <w:topLinePunct w:val="0"/>
        <w:bidi w:val="0"/>
        <w:spacing w:line="405" w:lineRule="auto"/>
        <w:ind w:left="320" w:right="338" w:firstLine="480"/>
        <w:jc w:val="both"/>
        <w:rPr>
          <w:color w:val="auto"/>
          <w:sz w:val="24"/>
          <w:highlight w:val="none"/>
        </w:rPr>
      </w:pPr>
      <w:r>
        <w:rPr>
          <w:color w:val="auto"/>
          <w:spacing w:val="-4"/>
          <w:sz w:val="24"/>
          <w:highlight w:val="none"/>
        </w:rPr>
        <w:t>甲方对乙方提供的货物在使用前进行调试时，乙方负责安装并培训甲方的使用</w:t>
      </w:r>
      <w:r>
        <w:rPr>
          <w:color w:val="auto"/>
          <w:sz w:val="24"/>
          <w:highlight w:val="none"/>
        </w:rPr>
        <w:t>操作人员，并协助甲方一起调试，直到符合技术要求，甲方才做最终验收并签署验收意见。</w:t>
      </w:r>
    </w:p>
    <w:p w14:paraId="3F706D4C">
      <w:pPr>
        <w:pStyle w:val="19"/>
        <w:keepNext w:val="0"/>
        <w:keepLines w:val="0"/>
        <w:pageBreakBefore w:val="0"/>
        <w:numPr>
          <w:ilvl w:val="1"/>
          <w:numId w:val="14"/>
        </w:numPr>
        <w:tabs>
          <w:tab w:val="left" w:pos="1401"/>
        </w:tabs>
        <w:kinsoku/>
        <w:wordWrap w:val="0"/>
        <w:overflowPunct/>
        <w:topLinePunct w:val="0"/>
        <w:bidi w:val="0"/>
        <w:spacing w:before="1" w:line="405" w:lineRule="auto"/>
        <w:ind w:left="320" w:right="338" w:firstLine="480"/>
        <w:rPr>
          <w:color w:val="auto"/>
          <w:sz w:val="24"/>
          <w:highlight w:val="none"/>
        </w:rPr>
      </w:pPr>
      <w:r>
        <w:rPr>
          <w:color w:val="auto"/>
          <w:spacing w:val="-6"/>
          <w:sz w:val="24"/>
          <w:highlight w:val="none"/>
        </w:rPr>
        <w:t>对大型或技术复杂的货物，甲方应邀请国家认可的专业检测机构参与初步验收</w:t>
      </w:r>
      <w:r>
        <w:rPr>
          <w:color w:val="auto"/>
          <w:sz w:val="24"/>
          <w:highlight w:val="none"/>
        </w:rPr>
        <w:t>及最终验收，并由其出具质量检测报告。</w:t>
      </w:r>
    </w:p>
    <w:p w14:paraId="561F3A6D">
      <w:pPr>
        <w:pStyle w:val="19"/>
        <w:keepNext w:val="0"/>
        <w:keepLines w:val="0"/>
        <w:pageBreakBefore w:val="0"/>
        <w:numPr>
          <w:ilvl w:val="1"/>
          <w:numId w:val="14"/>
        </w:numPr>
        <w:tabs>
          <w:tab w:val="left" w:pos="1401"/>
        </w:tabs>
        <w:kinsoku/>
        <w:wordWrap w:val="0"/>
        <w:overflowPunct/>
        <w:topLinePunct w:val="0"/>
        <w:bidi w:val="0"/>
        <w:spacing w:before="2"/>
        <w:ind w:left="1400" w:hanging="600"/>
        <w:rPr>
          <w:color w:val="auto"/>
          <w:sz w:val="24"/>
          <w:highlight w:val="none"/>
        </w:rPr>
      </w:pPr>
      <w:r>
        <w:rPr>
          <w:color w:val="auto"/>
          <w:spacing w:val="-13"/>
          <w:sz w:val="24"/>
          <w:highlight w:val="none"/>
        </w:rPr>
        <w:t>验收时乙方必须在现场，验收完毕后作出验收结果报告。验收费用由乙方负责。</w:t>
      </w:r>
    </w:p>
    <w:p w14:paraId="7D7B52D9">
      <w:pPr>
        <w:pStyle w:val="5"/>
        <w:keepNext w:val="0"/>
        <w:keepLines w:val="0"/>
        <w:pageBreakBefore w:val="0"/>
        <w:numPr>
          <w:ilvl w:val="0"/>
          <w:numId w:val="14"/>
        </w:numPr>
        <w:tabs>
          <w:tab w:val="left" w:pos="1162"/>
        </w:tabs>
        <w:kinsoku/>
        <w:wordWrap w:val="0"/>
        <w:overflowPunct/>
        <w:topLinePunct w:val="0"/>
        <w:bidi w:val="0"/>
        <w:spacing w:before="211"/>
        <w:ind w:left="1161" w:hanging="363"/>
        <w:rPr>
          <w:color w:val="auto"/>
          <w:highlight w:val="none"/>
        </w:rPr>
      </w:pPr>
      <w:bookmarkStart w:id="252" w:name="_Toc15171_WPSOffice_Level3"/>
      <w:r>
        <w:rPr>
          <w:color w:val="auto"/>
          <w:highlight w:val="none"/>
        </w:rPr>
        <w:t>索赔</w:t>
      </w:r>
      <w:bookmarkEnd w:id="252"/>
    </w:p>
    <w:p w14:paraId="383DD1A1">
      <w:pPr>
        <w:keepNext w:val="0"/>
        <w:keepLines w:val="0"/>
        <w:pageBreakBefore w:val="0"/>
        <w:kinsoku/>
        <w:wordWrap w:val="0"/>
        <w:overflowPunct/>
        <w:topLinePunct w:val="0"/>
        <w:bidi w:val="0"/>
        <w:rPr>
          <w:color w:val="auto"/>
          <w:highlight w:val="none"/>
        </w:rPr>
        <w:sectPr>
          <w:pgSz w:w="11910" w:h="16840"/>
          <w:pgMar w:top="1480" w:right="1020" w:bottom="900" w:left="1040" w:header="0" w:footer="640" w:gutter="0"/>
          <w:pgBorders>
            <w:top w:val="none" w:sz="0" w:space="0"/>
            <w:left w:val="none" w:sz="0" w:space="0"/>
            <w:bottom w:val="none" w:sz="0" w:space="0"/>
            <w:right w:val="none" w:sz="0" w:space="0"/>
          </w:pgBorders>
          <w:pgNumType w:fmt="decimal"/>
          <w:cols w:space="720" w:num="1"/>
        </w:sectPr>
      </w:pPr>
    </w:p>
    <w:p w14:paraId="7F283384">
      <w:pPr>
        <w:pStyle w:val="19"/>
        <w:keepNext w:val="0"/>
        <w:keepLines w:val="0"/>
        <w:pageBreakBefore w:val="0"/>
        <w:numPr>
          <w:ilvl w:val="1"/>
          <w:numId w:val="14"/>
        </w:numPr>
        <w:tabs>
          <w:tab w:val="left" w:pos="1401"/>
        </w:tabs>
        <w:kinsoku/>
        <w:wordWrap w:val="0"/>
        <w:overflowPunct/>
        <w:topLinePunct w:val="0"/>
        <w:bidi w:val="0"/>
        <w:spacing w:before="39" w:line="405" w:lineRule="auto"/>
        <w:ind w:left="320" w:right="338" w:firstLine="480"/>
        <w:jc w:val="both"/>
        <w:rPr>
          <w:color w:val="auto"/>
          <w:sz w:val="24"/>
          <w:highlight w:val="none"/>
        </w:rPr>
      </w:pPr>
      <w:r>
        <w:rPr>
          <w:color w:val="auto"/>
          <w:spacing w:val="-7"/>
          <w:sz w:val="24"/>
          <w:highlight w:val="none"/>
        </w:rPr>
        <w:t>如果货物的质量、规格、数量等与合同不符，或在质量保证期内证实货物存有</w:t>
      </w:r>
      <w:r>
        <w:rPr>
          <w:color w:val="auto"/>
          <w:sz w:val="24"/>
          <w:highlight w:val="none"/>
        </w:rPr>
        <w:t>缺陷，包括潜在的缺陷或使用不符合要求的材料等，甲方有权根据有资质的权威质检机构的检验结果向乙方提出索赔(但责任应由保险公司或运输部门承担的除外)。</w:t>
      </w:r>
    </w:p>
    <w:p w14:paraId="66EC804D">
      <w:pPr>
        <w:pStyle w:val="19"/>
        <w:keepNext w:val="0"/>
        <w:keepLines w:val="0"/>
        <w:pageBreakBefore w:val="0"/>
        <w:numPr>
          <w:ilvl w:val="1"/>
          <w:numId w:val="14"/>
        </w:numPr>
        <w:tabs>
          <w:tab w:val="left" w:pos="1401"/>
        </w:tabs>
        <w:kinsoku/>
        <w:wordWrap w:val="0"/>
        <w:overflowPunct/>
        <w:topLinePunct w:val="0"/>
        <w:bidi w:val="0"/>
        <w:spacing w:before="1" w:line="405" w:lineRule="auto"/>
        <w:ind w:left="320" w:right="338" w:firstLine="480"/>
        <w:jc w:val="both"/>
        <w:rPr>
          <w:color w:val="auto"/>
          <w:sz w:val="24"/>
          <w:highlight w:val="none"/>
        </w:rPr>
      </w:pPr>
      <w:r>
        <w:rPr>
          <w:color w:val="auto"/>
          <w:spacing w:val="-9"/>
          <w:sz w:val="24"/>
          <w:highlight w:val="none"/>
        </w:rPr>
        <w:t xml:space="preserve">在根据合同第 </w:t>
      </w:r>
      <w:r>
        <w:rPr>
          <w:color w:val="auto"/>
          <w:sz w:val="24"/>
          <w:highlight w:val="none"/>
        </w:rPr>
        <w:t>12</w:t>
      </w:r>
      <w:r>
        <w:rPr>
          <w:color w:val="auto"/>
          <w:spacing w:val="-24"/>
          <w:sz w:val="24"/>
          <w:highlight w:val="none"/>
        </w:rPr>
        <w:t xml:space="preserve"> 条和第 </w:t>
      </w:r>
      <w:r>
        <w:rPr>
          <w:color w:val="auto"/>
          <w:sz w:val="24"/>
          <w:highlight w:val="none"/>
        </w:rPr>
        <w:t>13</w:t>
      </w:r>
      <w:r>
        <w:rPr>
          <w:color w:val="auto"/>
          <w:spacing w:val="-12"/>
          <w:sz w:val="24"/>
          <w:highlight w:val="none"/>
        </w:rPr>
        <w:t xml:space="preserve"> 条规定的检验期和质量保证期内，如果乙方对甲方</w:t>
      </w:r>
      <w:r>
        <w:rPr>
          <w:color w:val="auto"/>
          <w:sz w:val="24"/>
          <w:highlight w:val="none"/>
        </w:rPr>
        <w:t>提出的索赔负有责任，乙方应按照甲方同意的下列一种或多种方式解决索赔事宜：</w:t>
      </w:r>
    </w:p>
    <w:p w14:paraId="4D7A0488">
      <w:pPr>
        <w:pStyle w:val="19"/>
        <w:keepNext w:val="0"/>
        <w:keepLines w:val="0"/>
        <w:pageBreakBefore w:val="0"/>
        <w:numPr>
          <w:ilvl w:val="2"/>
          <w:numId w:val="14"/>
        </w:numPr>
        <w:tabs>
          <w:tab w:val="left" w:pos="1641"/>
        </w:tabs>
        <w:kinsoku/>
        <w:wordWrap w:val="0"/>
        <w:overflowPunct/>
        <w:topLinePunct w:val="0"/>
        <w:bidi w:val="0"/>
        <w:spacing w:before="2" w:line="405" w:lineRule="auto"/>
        <w:ind w:right="338" w:firstLine="480"/>
        <w:jc w:val="both"/>
        <w:rPr>
          <w:color w:val="auto"/>
          <w:sz w:val="24"/>
          <w:highlight w:val="none"/>
        </w:rPr>
      </w:pPr>
      <w:r>
        <w:rPr>
          <w:color w:val="auto"/>
          <w:spacing w:val="-7"/>
          <w:sz w:val="24"/>
          <w:highlight w:val="none"/>
        </w:rPr>
        <w:t>在法定的退货期内，甲方将货物退还给乙方，乙方按合同规定将货款退还给</w:t>
      </w:r>
      <w:r>
        <w:rPr>
          <w:color w:val="auto"/>
          <w:sz w:val="24"/>
          <w:highlight w:val="none"/>
        </w:rPr>
        <w:t>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7220D2BF">
      <w:pPr>
        <w:pStyle w:val="19"/>
        <w:keepNext w:val="0"/>
        <w:keepLines w:val="0"/>
        <w:pageBreakBefore w:val="0"/>
        <w:numPr>
          <w:ilvl w:val="2"/>
          <w:numId w:val="14"/>
        </w:numPr>
        <w:tabs>
          <w:tab w:val="left" w:pos="1641"/>
        </w:tabs>
        <w:kinsoku/>
        <w:wordWrap w:val="0"/>
        <w:overflowPunct/>
        <w:topLinePunct w:val="0"/>
        <w:bidi w:val="0"/>
        <w:spacing w:line="405" w:lineRule="auto"/>
        <w:ind w:right="338" w:firstLine="480"/>
        <w:jc w:val="both"/>
        <w:rPr>
          <w:color w:val="auto"/>
          <w:sz w:val="24"/>
          <w:highlight w:val="none"/>
        </w:rPr>
      </w:pPr>
      <w:r>
        <w:rPr>
          <w:color w:val="auto"/>
          <w:spacing w:val="-6"/>
          <w:sz w:val="24"/>
          <w:highlight w:val="none"/>
        </w:rPr>
        <w:t>根据货物低劣程度、损坏程度以及甲方所遭受损失的数额，经双方商定降低</w:t>
      </w:r>
      <w:r>
        <w:rPr>
          <w:color w:val="auto"/>
          <w:sz w:val="24"/>
          <w:highlight w:val="none"/>
        </w:rPr>
        <w:t>货物的价格，或由有权的部门评估，以降低后的价格或评估价格为准。</w:t>
      </w:r>
    </w:p>
    <w:p w14:paraId="0875EC2C">
      <w:pPr>
        <w:pStyle w:val="19"/>
        <w:keepNext w:val="0"/>
        <w:keepLines w:val="0"/>
        <w:pageBreakBefore w:val="0"/>
        <w:numPr>
          <w:ilvl w:val="2"/>
          <w:numId w:val="14"/>
        </w:numPr>
        <w:tabs>
          <w:tab w:val="left" w:pos="1641"/>
        </w:tabs>
        <w:kinsoku/>
        <w:wordWrap w:val="0"/>
        <w:overflowPunct/>
        <w:topLinePunct w:val="0"/>
        <w:bidi w:val="0"/>
        <w:spacing w:before="2" w:line="405" w:lineRule="auto"/>
        <w:ind w:right="338" w:firstLine="480"/>
        <w:jc w:val="both"/>
        <w:rPr>
          <w:color w:val="auto"/>
          <w:sz w:val="24"/>
          <w:highlight w:val="none"/>
        </w:rPr>
      </w:pPr>
      <w:r>
        <w:rPr>
          <w:color w:val="auto"/>
          <w:spacing w:val="-8"/>
          <w:sz w:val="24"/>
          <w:highlight w:val="none"/>
        </w:rPr>
        <w:t>用符合规格、质量和性能要求的新零件、部件或货物来更换有缺陷的部分或</w:t>
      </w:r>
      <w:r>
        <w:rPr>
          <w:color w:val="auto"/>
          <w:sz w:val="24"/>
          <w:highlight w:val="none"/>
        </w:rPr>
        <w:t>修补缺陷部分，乙方承担一切费用和风险并负担甲方所发生的一切直接费用。同时，乙</w:t>
      </w:r>
      <w:r>
        <w:rPr>
          <w:color w:val="auto"/>
          <w:spacing w:val="-9"/>
          <w:sz w:val="24"/>
          <w:highlight w:val="none"/>
        </w:rPr>
        <w:t xml:space="preserve">方应按合同第 </w:t>
      </w:r>
      <w:r>
        <w:rPr>
          <w:color w:val="auto"/>
          <w:sz w:val="24"/>
          <w:highlight w:val="none"/>
        </w:rPr>
        <w:t>12</w:t>
      </w:r>
      <w:r>
        <w:rPr>
          <w:color w:val="auto"/>
          <w:spacing w:val="-8"/>
          <w:sz w:val="24"/>
          <w:highlight w:val="none"/>
        </w:rPr>
        <w:t xml:space="preserve"> 条规定，相应延长修补或更换件的质量保证期。</w:t>
      </w:r>
    </w:p>
    <w:p w14:paraId="229C34B8">
      <w:pPr>
        <w:pStyle w:val="19"/>
        <w:keepNext w:val="0"/>
        <w:keepLines w:val="0"/>
        <w:pageBreakBefore w:val="0"/>
        <w:numPr>
          <w:ilvl w:val="2"/>
          <w:numId w:val="14"/>
        </w:numPr>
        <w:tabs>
          <w:tab w:val="left" w:pos="1641"/>
        </w:tabs>
        <w:kinsoku/>
        <w:wordWrap w:val="0"/>
        <w:overflowPunct/>
        <w:topLinePunct w:val="0"/>
        <w:bidi w:val="0"/>
        <w:spacing w:before="1" w:line="405" w:lineRule="auto"/>
        <w:ind w:right="338" w:firstLine="480"/>
        <w:jc w:val="both"/>
        <w:rPr>
          <w:color w:val="auto"/>
          <w:sz w:val="24"/>
          <w:highlight w:val="none"/>
        </w:rPr>
      </w:pPr>
      <w:r>
        <w:rPr>
          <w:color w:val="auto"/>
          <w:spacing w:val="-5"/>
          <w:sz w:val="24"/>
          <w:highlight w:val="none"/>
        </w:rPr>
        <w:t>如果在甲方发出索赔通知后日内，乙方未作答复，上述索赔应视为已被乙方</w:t>
      </w:r>
      <w:r>
        <w:rPr>
          <w:color w:val="auto"/>
          <w:sz w:val="24"/>
          <w:highlight w:val="none"/>
        </w:rPr>
        <w:t>接受。如乙方未能在甲方提出索赔通知后日内或买方同意的更长时间内，按照本合同第</w:t>
      </w:r>
    </w:p>
    <w:p w14:paraId="55F603AF">
      <w:pPr>
        <w:pStyle w:val="7"/>
        <w:keepNext w:val="0"/>
        <w:keepLines w:val="0"/>
        <w:pageBreakBefore w:val="0"/>
        <w:kinsoku/>
        <w:wordWrap w:val="0"/>
        <w:overflowPunct/>
        <w:topLinePunct w:val="0"/>
        <w:bidi w:val="0"/>
        <w:spacing w:line="405" w:lineRule="auto"/>
        <w:ind w:right="343"/>
        <w:rPr>
          <w:color w:val="auto"/>
          <w:highlight w:val="none"/>
        </w:rPr>
      </w:pPr>
      <w:r>
        <w:rPr>
          <w:color w:val="auto"/>
          <w:highlight w:val="none"/>
        </w:rPr>
        <w:t>14.2</w:t>
      </w:r>
      <w:r>
        <w:rPr>
          <w:color w:val="auto"/>
          <w:spacing w:val="-9"/>
          <w:highlight w:val="none"/>
        </w:rPr>
        <w:t xml:space="preserve"> 条规定的任何一种方法解决索赔事宜，甲方将从合同款中扣回索赔金额。如果这些</w:t>
      </w:r>
      <w:r>
        <w:rPr>
          <w:color w:val="auto"/>
          <w:highlight w:val="none"/>
        </w:rPr>
        <w:t>金额不足以补偿索赔金额，甲方有权向乙方提出不足部分的补偿。</w:t>
      </w:r>
    </w:p>
    <w:p w14:paraId="04548D79">
      <w:pPr>
        <w:pStyle w:val="5"/>
        <w:keepNext w:val="0"/>
        <w:keepLines w:val="0"/>
        <w:pageBreakBefore w:val="0"/>
        <w:numPr>
          <w:ilvl w:val="0"/>
          <w:numId w:val="14"/>
        </w:numPr>
        <w:tabs>
          <w:tab w:val="left" w:pos="1165"/>
        </w:tabs>
        <w:kinsoku/>
        <w:wordWrap w:val="0"/>
        <w:overflowPunct/>
        <w:topLinePunct w:val="0"/>
        <w:bidi w:val="0"/>
        <w:ind w:left="1164" w:hanging="364"/>
        <w:rPr>
          <w:color w:val="auto"/>
          <w:highlight w:val="none"/>
        </w:rPr>
      </w:pPr>
      <w:bookmarkStart w:id="253" w:name="_Toc1995_WPSOffice_Level3"/>
      <w:r>
        <w:rPr>
          <w:color w:val="auto"/>
          <w:highlight w:val="none"/>
        </w:rPr>
        <w:t>违约责任</w:t>
      </w:r>
      <w:bookmarkEnd w:id="253"/>
    </w:p>
    <w:p w14:paraId="58A8D5A9">
      <w:pPr>
        <w:pStyle w:val="19"/>
        <w:keepNext w:val="0"/>
        <w:keepLines w:val="0"/>
        <w:pageBreakBefore w:val="0"/>
        <w:numPr>
          <w:ilvl w:val="1"/>
          <w:numId w:val="14"/>
        </w:numPr>
        <w:tabs>
          <w:tab w:val="left" w:pos="1401"/>
        </w:tabs>
        <w:kinsoku/>
        <w:wordWrap w:val="0"/>
        <w:overflowPunct/>
        <w:topLinePunct w:val="0"/>
        <w:bidi w:val="0"/>
        <w:spacing w:before="213" w:line="405" w:lineRule="auto"/>
        <w:ind w:left="320" w:right="523" w:firstLine="480"/>
        <w:rPr>
          <w:color w:val="auto"/>
          <w:sz w:val="24"/>
          <w:highlight w:val="none"/>
        </w:rPr>
      </w:pPr>
      <w:r>
        <w:rPr>
          <w:color w:val="auto"/>
          <w:spacing w:val="-1"/>
          <w:sz w:val="24"/>
          <w:highlight w:val="none"/>
        </w:rPr>
        <w:t>甲方无正当理由拒收货物的，甲方向乙方偿付拒收货款总值的百分之五违约</w:t>
      </w:r>
      <w:r>
        <w:rPr>
          <w:color w:val="auto"/>
          <w:sz w:val="24"/>
          <w:highlight w:val="none"/>
        </w:rPr>
        <w:t>金。</w:t>
      </w:r>
    </w:p>
    <w:p w14:paraId="03A6ADDB">
      <w:pPr>
        <w:pStyle w:val="19"/>
        <w:keepNext w:val="0"/>
        <w:keepLines w:val="0"/>
        <w:pageBreakBefore w:val="0"/>
        <w:numPr>
          <w:ilvl w:val="1"/>
          <w:numId w:val="14"/>
        </w:numPr>
        <w:tabs>
          <w:tab w:val="left" w:pos="1401"/>
        </w:tabs>
        <w:kinsoku/>
        <w:wordWrap w:val="0"/>
        <w:overflowPunct/>
        <w:topLinePunct w:val="0"/>
        <w:bidi w:val="0"/>
        <w:spacing w:line="405" w:lineRule="auto"/>
        <w:ind w:left="320" w:right="403" w:firstLine="480"/>
        <w:jc w:val="both"/>
        <w:rPr>
          <w:color w:val="auto"/>
          <w:sz w:val="24"/>
          <w:highlight w:val="none"/>
        </w:rPr>
      </w:pPr>
      <w:r>
        <w:rPr>
          <w:color w:val="auto"/>
          <w:spacing w:val="-1"/>
          <w:sz w:val="24"/>
          <w:highlight w:val="none"/>
        </w:rPr>
        <w:t>甲方无故逾期验收和办理货款支付手续的,甲方按逾期付款总额每日万分之五</w:t>
      </w:r>
      <w:r>
        <w:rPr>
          <w:color w:val="auto"/>
          <w:sz w:val="24"/>
          <w:highlight w:val="none"/>
        </w:rPr>
        <w:t>向乙方支付违约金。</w:t>
      </w:r>
    </w:p>
    <w:p w14:paraId="2BD5B8AD">
      <w:pPr>
        <w:pStyle w:val="19"/>
        <w:keepNext w:val="0"/>
        <w:keepLines w:val="0"/>
        <w:pageBreakBefore w:val="0"/>
        <w:numPr>
          <w:ilvl w:val="1"/>
          <w:numId w:val="14"/>
        </w:numPr>
        <w:tabs>
          <w:tab w:val="left" w:pos="1401"/>
        </w:tabs>
        <w:kinsoku/>
        <w:wordWrap w:val="0"/>
        <w:overflowPunct/>
        <w:topLinePunct w:val="0"/>
        <w:bidi w:val="0"/>
        <w:spacing w:before="2" w:line="405" w:lineRule="auto"/>
        <w:ind w:left="320" w:right="283" w:firstLine="480"/>
        <w:rPr>
          <w:color w:val="auto"/>
          <w:sz w:val="24"/>
          <w:highlight w:val="none"/>
        </w:rPr>
      </w:pPr>
      <w:r>
        <w:rPr>
          <w:color w:val="auto"/>
          <w:spacing w:val="-1"/>
          <w:sz w:val="24"/>
          <w:highlight w:val="none"/>
        </w:rPr>
        <w:t>乙方逾期交付货物的，乙方按逾期交货总额每日万分之五向甲方支付违约金。</w:t>
      </w:r>
      <w:r>
        <w:rPr>
          <w:color w:val="auto"/>
          <w:spacing w:val="-7"/>
          <w:sz w:val="24"/>
          <w:highlight w:val="none"/>
        </w:rPr>
        <w:t xml:space="preserve">逾期超过约定日期 </w:t>
      </w:r>
      <w:r>
        <w:rPr>
          <w:color w:val="auto"/>
          <w:sz w:val="24"/>
          <w:highlight w:val="none"/>
        </w:rPr>
        <w:t>10</w:t>
      </w:r>
      <w:r>
        <w:rPr>
          <w:color w:val="auto"/>
          <w:spacing w:val="-12"/>
          <w:sz w:val="24"/>
          <w:highlight w:val="none"/>
        </w:rPr>
        <w:t xml:space="preserve"> 个日历天内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w:t>
      </w:r>
    </w:p>
    <w:p w14:paraId="1624BD28">
      <w:pPr>
        <w:keepNext w:val="0"/>
        <w:keepLines w:val="0"/>
        <w:pageBreakBefore w:val="0"/>
        <w:kinsoku/>
        <w:wordWrap w:val="0"/>
        <w:overflowPunct/>
        <w:topLinePunct w:val="0"/>
        <w:bidi w:val="0"/>
        <w:spacing w:line="405" w:lineRule="auto"/>
        <w:rPr>
          <w:color w:val="auto"/>
          <w:sz w:val="24"/>
          <w:highlight w:val="none"/>
        </w:rPr>
        <w:sectPr>
          <w:pgSz w:w="11910" w:h="16840"/>
          <w:pgMar w:top="1480" w:right="1020" w:bottom="900" w:left="1040" w:header="0" w:footer="640" w:gutter="0"/>
          <w:pgBorders>
            <w:top w:val="none" w:sz="0" w:space="0"/>
            <w:left w:val="none" w:sz="0" w:space="0"/>
            <w:bottom w:val="none" w:sz="0" w:space="0"/>
            <w:right w:val="none" w:sz="0" w:space="0"/>
          </w:pgBorders>
          <w:pgNumType w:fmt="decimal"/>
          <w:cols w:space="720" w:num="1"/>
        </w:sectPr>
      </w:pPr>
    </w:p>
    <w:p w14:paraId="191245DB">
      <w:pPr>
        <w:pStyle w:val="7"/>
        <w:keepNext w:val="0"/>
        <w:keepLines w:val="0"/>
        <w:pageBreakBefore w:val="0"/>
        <w:kinsoku/>
        <w:wordWrap w:val="0"/>
        <w:overflowPunct/>
        <w:topLinePunct w:val="0"/>
        <w:bidi w:val="0"/>
        <w:spacing w:before="39" w:line="405" w:lineRule="auto"/>
        <w:ind w:right="276"/>
        <w:rPr>
          <w:color w:val="auto"/>
          <w:highlight w:val="none"/>
        </w:rPr>
      </w:pPr>
      <w:r>
        <w:rPr>
          <w:color w:val="auto"/>
          <w:highlight w:val="none"/>
        </w:rPr>
        <w:t>约行为导致甲方解除合同的，乙方向甲方支付合同总值 5%的违约金，如造成甲方损失超过违约金的，超出部分由乙方继续承担赔偿责任。</w:t>
      </w:r>
    </w:p>
    <w:p w14:paraId="20A82302">
      <w:pPr>
        <w:pStyle w:val="5"/>
        <w:keepNext w:val="0"/>
        <w:keepLines w:val="0"/>
        <w:pageBreakBefore w:val="0"/>
        <w:numPr>
          <w:ilvl w:val="0"/>
          <w:numId w:val="14"/>
        </w:numPr>
        <w:tabs>
          <w:tab w:val="left" w:pos="1165"/>
        </w:tabs>
        <w:kinsoku/>
        <w:wordWrap w:val="0"/>
        <w:overflowPunct/>
        <w:topLinePunct w:val="0"/>
        <w:bidi w:val="0"/>
        <w:spacing w:before="2"/>
        <w:ind w:left="1164" w:hanging="364"/>
        <w:rPr>
          <w:color w:val="auto"/>
          <w:highlight w:val="none"/>
        </w:rPr>
      </w:pPr>
      <w:bookmarkStart w:id="254" w:name="_Toc14248_WPSOffice_Level3"/>
      <w:r>
        <w:rPr>
          <w:color w:val="auto"/>
          <w:highlight w:val="none"/>
        </w:rPr>
        <w:t>不可抗力事件处理</w:t>
      </w:r>
      <w:bookmarkEnd w:id="254"/>
    </w:p>
    <w:p w14:paraId="0AB329E6">
      <w:pPr>
        <w:pStyle w:val="19"/>
        <w:keepNext w:val="0"/>
        <w:keepLines w:val="0"/>
        <w:pageBreakBefore w:val="0"/>
        <w:numPr>
          <w:ilvl w:val="1"/>
          <w:numId w:val="14"/>
        </w:numPr>
        <w:tabs>
          <w:tab w:val="left" w:pos="1341"/>
        </w:tabs>
        <w:kinsoku/>
        <w:wordWrap w:val="0"/>
        <w:overflowPunct/>
        <w:topLinePunct w:val="0"/>
        <w:bidi w:val="0"/>
        <w:spacing w:before="211" w:line="405" w:lineRule="auto"/>
        <w:ind w:left="320" w:right="218" w:firstLine="480"/>
        <w:rPr>
          <w:color w:val="auto"/>
          <w:sz w:val="24"/>
          <w:highlight w:val="none"/>
        </w:rPr>
      </w:pPr>
      <w:r>
        <w:rPr>
          <w:color w:val="auto"/>
          <w:sz w:val="24"/>
          <w:highlight w:val="none"/>
        </w:rPr>
        <w:t>因不可抗力造成违约的，遭受不可抗力一方应及时向对方通报不能履行或不能</w:t>
      </w:r>
      <w:r>
        <w:rPr>
          <w:color w:val="auto"/>
          <w:spacing w:val="-9"/>
          <w:sz w:val="24"/>
          <w:highlight w:val="none"/>
        </w:rPr>
        <w:t xml:space="preserve">完全履行的理由，并在随后取得有关权威机构出具的证明后的 </w:t>
      </w:r>
      <w:r>
        <w:rPr>
          <w:color w:val="auto"/>
          <w:sz w:val="24"/>
          <w:highlight w:val="none"/>
        </w:rPr>
        <w:t>15</w:t>
      </w:r>
      <w:r>
        <w:rPr>
          <w:color w:val="auto"/>
          <w:spacing w:val="-8"/>
          <w:sz w:val="24"/>
          <w:highlight w:val="none"/>
        </w:rPr>
        <w:t xml:space="preserve"> 日内向另一方提供不可</w:t>
      </w:r>
      <w:r>
        <w:rPr>
          <w:color w:val="auto"/>
          <w:spacing w:val="-12"/>
          <w:sz w:val="24"/>
          <w:highlight w:val="none"/>
        </w:rPr>
        <w:t>抗力发生以及持续期间的充分证据。基本于以上行为，允许遭受不可抗力一方延期履行、</w:t>
      </w:r>
      <w:r>
        <w:rPr>
          <w:color w:val="auto"/>
          <w:sz w:val="24"/>
          <w:highlight w:val="none"/>
        </w:rPr>
        <w:t>部分履行或者不履行合同，并根据情况可部分或全部免于承担违约责任。</w:t>
      </w:r>
    </w:p>
    <w:p w14:paraId="2A5AA521">
      <w:pPr>
        <w:pStyle w:val="19"/>
        <w:keepNext w:val="0"/>
        <w:keepLines w:val="0"/>
        <w:pageBreakBefore w:val="0"/>
        <w:numPr>
          <w:ilvl w:val="1"/>
          <w:numId w:val="14"/>
        </w:numPr>
        <w:tabs>
          <w:tab w:val="left" w:pos="1401"/>
        </w:tabs>
        <w:kinsoku/>
        <w:wordWrap w:val="0"/>
        <w:overflowPunct/>
        <w:topLinePunct w:val="0"/>
        <w:bidi w:val="0"/>
        <w:spacing w:before="2" w:line="405" w:lineRule="auto"/>
        <w:ind w:left="320" w:right="338" w:firstLine="480"/>
        <w:jc w:val="both"/>
        <w:rPr>
          <w:color w:val="auto"/>
          <w:sz w:val="24"/>
          <w:highlight w:val="none"/>
        </w:rPr>
      </w:pPr>
      <w:r>
        <w:rPr>
          <w:color w:val="auto"/>
          <w:spacing w:val="-4"/>
          <w:sz w:val="24"/>
          <w:highlight w:val="none"/>
        </w:rPr>
        <w:t>本合同中的不可抗力指不能预见、不能避免并不能克服的客观情况。包括但不</w:t>
      </w:r>
      <w:r>
        <w:rPr>
          <w:color w:val="auto"/>
          <w:sz w:val="24"/>
          <w:highlight w:val="none"/>
        </w:rPr>
        <w:t>限于：自然灾害如地震、台风、洪水、火灾；政府行为、法律规定或其适用的变化或者其他任何无法预见、避免或者控制的事件。</w:t>
      </w:r>
    </w:p>
    <w:p w14:paraId="29A1ECA8">
      <w:pPr>
        <w:pStyle w:val="5"/>
        <w:keepNext w:val="0"/>
        <w:keepLines w:val="0"/>
        <w:pageBreakBefore w:val="0"/>
        <w:numPr>
          <w:ilvl w:val="0"/>
          <w:numId w:val="14"/>
        </w:numPr>
        <w:tabs>
          <w:tab w:val="left" w:pos="1165"/>
        </w:tabs>
        <w:kinsoku/>
        <w:wordWrap w:val="0"/>
        <w:overflowPunct/>
        <w:topLinePunct w:val="0"/>
        <w:bidi w:val="0"/>
        <w:spacing w:before="1"/>
        <w:ind w:left="1164" w:hanging="364"/>
        <w:rPr>
          <w:color w:val="auto"/>
          <w:highlight w:val="none"/>
        </w:rPr>
      </w:pPr>
      <w:bookmarkStart w:id="255" w:name="_Toc24294_WPSOffice_Level3"/>
      <w:r>
        <w:rPr>
          <w:color w:val="auto"/>
          <w:highlight w:val="none"/>
        </w:rPr>
        <w:t>合同纠纷处理</w:t>
      </w:r>
      <w:bookmarkEnd w:id="255"/>
    </w:p>
    <w:p w14:paraId="6146F03B">
      <w:pPr>
        <w:pStyle w:val="7"/>
        <w:keepNext w:val="0"/>
        <w:keepLines w:val="0"/>
        <w:pageBreakBefore w:val="0"/>
        <w:kinsoku/>
        <w:wordWrap w:val="0"/>
        <w:overflowPunct/>
        <w:topLinePunct w:val="0"/>
        <w:bidi w:val="0"/>
        <w:spacing w:before="213" w:line="405" w:lineRule="auto"/>
        <w:ind w:right="154" w:firstLine="480"/>
        <w:rPr>
          <w:color w:val="auto"/>
          <w:highlight w:val="none"/>
        </w:rPr>
      </w:pPr>
      <w:r>
        <w:rPr>
          <w:color w:val="auto"/>
          <w:highlight w:val="none"/>
        </w:rPr>
        <w:t>因本合同或与本合同有关的一切事项发生争议，由双方友好协商解决。协商不成的， 任何一方均可选择以下方式解决：</w:t>
      </w:r>
    </w:p>
    <w:p w14:paraId="340DECC9">
      <w:pPr>
        <w:pStyle w:val="19"/>
        <w:keepNext w:val="0"/>
        <w:keepLines w:val="0"/>
        <w:pageBreakBefore w:val="0"/>
        <w:numPr>
          <w:ilvl w:val="1"/>
          <w:numId w:val="14"/>
        </w:numPr>
        <w:tabs>
          <w:tab w:val="left" w:pos="1401"/>
        </w:tabs>
        <w:kinsoku/>
        <w:wordWrap w:val="0"/>
        <w:overflowPunct/>
        <w:topLinePunct w:val="0"/>
        <w:bidi w:val="0"/>
        <w:ind w:left="1400" w:hanging="600"/>
        <w:rPr>
          <w:color w:val="auto"/>
          <w:sz w:val="24"/>
          <w:highlight w:val="none"/>
        </w:rPr>
      </w:pPr>
      <w:r>
        <w:rPr>
          <w:color w:val="auto"/>
          <w:sz w:val="24"/>
          <w:highlight w:val="none"/>
        </w:rPr>
        <w:t>向合同签订地人民法院提起诉讼。</w:t>
      </w:r>
    </w:p>
    <w:p w14:paraId="17C88FF7">
      <w:pPr>
        <w:pStyle w:val="5"/>
        <w:keepNext w:val="0"/>
        <w:keepLines w:val="0"/>
        <w:pageBreakBefore w:val="0"/>
        <w:numPr>
          <w:ilvl w:val="0"/>
          <w:numId w:val="14"/>
        </w:numPr>
        <w:tabs>
          <w:tab w:val="left" w:pos="1162"/>
        </w:tabs>
        <w:kinsoku/>
        <w:wordWrap w:val="0"/>
        <w:overflowPunct/>
        <w:topLinePunct w:val="0"/>
        <w:bidi w:val="0"/>
        <w:spacing w:before="213"/>
        <w:ind w:left="1161" w:hanging="363"/>
        <w:rPr>
          <w:color w:val="auto"/>
          <w:highlight w:val="none"/>
        </w:rPr>
      </w:pPr>
      <w:bookmarkStart w:id="256" w:name="_Toc7968_WPSOffice_Level3"/>
      <w:r>
        <w:rPr>
          <w:color w:val="auto"/>
          <w:highlight w:val="none"/>
        </w:rPr>
        <w:t>违约解除合同</w:t>
      </w:r>
      <w:bookmarkEnd w:id="256"/>
    </w:p>
    <w:p w14:paraId="3B3F44F2">
      <w:pPr>
        <w:pStyle w:val="19"/>
        <w:keepNext w:val="0"/>
        <w:keepLines w:val="0"/>
        <w:pageBreakBefore w:val="0"/>
        <w:numPr>
          <w:ilvl w:val="1"/>
          <w:numId w:val="14"/>
        </w:numPr>
        <w:tabs>
          <w:tab w:val="left" w:pos="1341"/>
        </w:tabs>
        <w:kinsoku/>
        <w:wordWrap w:val="0"/>
        <w:overflowPunct/>
        <w:topLinePunct w:val="0"/>
        <w:bidi w:val="0"/>
        <w:spacing w:before="211" w:line="405" w:lineRule="auto"/>
        <w:ind w:left="320" w:right="343" w:firstLine="480"/>
        <w:rPr>
          <w:color w:val="auto"/>
          <w:sz w:val="24"/>
          <w:highlight w:val="none"/>
        </w:rPr>
      </w:pPr>
      <w:r>
        <w:rPr>
          <w:color w:val="auto"/>
          <w:spacing w:val="-1"/>
          <w:sz w:val="24"/>
          <w:highlight w:val="none"/>
        </w:rPr>
        <w:t>在乙方违约的情况下，甲方可向乙方发出书面通知，部分或全部终止合同，同</w:t>
      </w:r>
      <w:r>
        <w:rPr>
          <w:color w:val="auto"/>
          <w:sz w:val="24"/>
          <w:highlight w:val="none"/>
        </w:rPr>
        <w:t>时保留向对方追诉的权利。</w:t>
      </w:r>
    </w:p>
    <w:p w14:paraId="17A8399E">
      <w:pPr>
        <w:pStyle w:val="19"/>
        <w:keepNext w:val="0"/>
        <w:keepLines w:val="0"/>
        <w:pageBreakBefore w:val="0"/>
        <w:numPr>
          <w:ilvl w:val="2"/>
          <w:numId w:val="14"/>
        </w:numPr>
        <w:tabs>
          <w:tab w:val="left" w:pos="1641"/>
        </w:tabs>
        <w:kinsoku/>
        <w:wordWrap w:val="0"/>
        <w:overflowPunct/>
        <w:topLinePunct w:val="0"/>
        <w:bidi w:val="0"/>
        <w:spacing w:before="3" w:line="405" w:lineRule="auto"/>
        <w:ind w:right="283" w:firstLine="480"/>
        <w:rPr>
          <w:color w:val="auto"/>
          <w:sz w:val="24"/>
          <w:highlight w:val="none"/>
        </w:rPr>
      </w:pPr>
      <w:r>
        <w:rPr>
          <w:color w:val="auto"/>
          <w:spacing w:val="-1"/>
          <w:sz w:val="24"/>
          <w:highlight w:val="none"/>
        </w:rPr>
        <w:t xml:space="preserve">乙方未能在合同规定的限期或甲方同意延长的限期内提供全部或部分货物， </w:t>
      </w:r>
      <w:r>
        <w:rPr>
          <w:color w:val="auto"/>
          <w:spacing w:val="-12"/>
          <w:sz w:val="24"/>
          <w:highlight w:val="none"/>
        </w:rPr>
        <w:t xml:space="preserve">按合同第 </w:t>
      </w:r>
      <w:r>
        <w:rPr>
          <w:color w:val="auto"/>
          <w:sz w:val="24"/>
          <w:highlight w:val="none"/>
        </w:rPr>
        <w:t>15.3</w:t>
      </w:r>
      <w:r>
        <w:rPr>
          <w:color w:val="auto"/>
          <w:spacing w:val="-8"/>
          <w:sz w:val="24"/>
          <w:highlight w:val="none"/>
        </w:rPr>
        <w:t xml:space="preserve"> 的规定可以解除合同的。</w:t>
      </w:r>
    </w:p>
    <w:p w14:paraId="24D06BC1">
      <w:pPr>
        <w:pStyle w:val="19"/>
        <w:keepNext w:val="0"/>
        <w:keepLines w:val="0"/>
        <w:pageBreakBefore w:val="0"/>
        <w:numPr>
          <w:ilvl w:val="2"/>
          <w:numId w:val="14"/>
        </w:numPr>
        <w:tabs>
          <w:tab w:val="left" w:pos="1641"/>
        </w:tabs>
        <w:kinsoku/>
        <w:wordWrap w:val="0"/>
        <w:overflowPunct/>
        <w:topLinePunct w:val="0"/>
        <w:bidi w:val="0"/>
        <w:spacing w:line="405" w:lineRule="auto"/>
        <w:ind w:right="338" w:firstLine="480"/>
        <w:rPr>
          <w:color w:val="auto"/>
          <w:sz w:val="24"/>
          <w:highlight w:val="none"/>
        </w:rPr>
      </w:pPr>
      <w:r>
        <w:rPr>
          <w:color w:val="auto"/>
          <w:spacing w:val="-7"/>
          <w:sz w:val="24"/>
          <w:highlight w:val="none"/>
        </w:rPr>
        <w:t xml:space="preserve">乙方有转让和未经甲方同意的分包行为，按合同第 </w:t>
      </w:r>
      <w:r>
        <w:rPr>
          <w:color w:val="auto"/>
          <w:sz w:val="24"/>
          <w:highlight w:val="none"/>
        </w:rPr>
        <w:t>7.3</w:t>
      </w:r>
      <w:r>
        <w:rPr>
          <w:color w:val="auto"/>
          <w:spacing w:val="-9"/>
          <w:sz w:val="24"/>
          <w:highlight w:val="none"/>
        </w:rPr>
        <w:t xml:space="preserve"> 的规定可以解除合同</w:t>
      </w:r>
      <w:r>
        <w:rPr>
          <w:color w:val="auto"/>
          <w:sz w:val="24"/>
          <w:highlight w:val="none"/>
        </w:rPr>
        <w:t>的。</w:t>
      </w:r>
    </w:p>
    <w:p w14:paraId="269BAB65">
      <w:pPr>
        <w:pStyle w:val="19"/>
        <w:keepNext w:val="0"/>
        <w:keepLines w:val="0"/>
        <w:pageBreakBefore w:val="0"/>
        <w:numPr>
          <w:ilvl w:val="2"/>
          <w:numId w:val="14"/>
        </w:numPr>
        <w:tabs>
          <w:tab w:val="left" w:pos="1641"/>
        </w:tabs>
        <w:kinsoku/>
        <w:wordWrap w:val="0"/>
        <w:overflowPunct/>
        <w:topLinePunct w:val="0"/>
        <w:bidi w:val="0"/>
        <w:ind w:left="1640"/>
        <w:rPr>
          <w:color w:val="auto"/>
          <w:sz w:val="24"/>
          <w:highlight w:val="none"/>
        </w:rPr>
      </w:pPr>
      <w:r>
        <w:rPr>
          <w:color w:val="auto"/>
          <w:sz w:val="24"/>
          <w:highlight w:val="none"/>
        </w:rPr>
        <w:t>乙方未能履行合同规定的其它主要义务的。</w:t>
      </w:r>
    </w:p>
    <w:p w14:paraId="138DA769">
      <w:pPr>
        <w:pStyle w:val="19"/>
        <w:keepNext w:val="0"/>
        <w:keepLines w:val="0"/>
        <w:pageBreakBefore w:val="0"/>
        <w:numPr>
          <w:ilvl w:val="2"/>
          <w:numId w:val="14"/>
        </w:numPr>
        <w:tabs>
          <w:tab w:val="left" w:pos="1641"/>
        </w:tabs>
        <w:kinsoku/>
        <w:wordWrap w:val="0"/>
        <w:overflowPunct/>
        <w:topLinePunct w:val="0"/>
        <w:bidi w:val="0"/>
        <w:spacing w:before="213"/>
        <w:ind w:left="1640"/>
        <w:rPr>
          <w:color w:val="auto"/>
          <w:sz w:val="24"/>
          <w:highlight w:val="none"/>
        </w:rPr>
      </w:pPr>
      <w:r>
        <w:rPr>
          <w:color w:val="auto"/>
          <w:sz w:val="24"/>
          <w:highlight w:val="none"/>
        </w:rPr>
        <w:t>在本合同履行过程中有腐败和欺诈行为的。</w:t>
      </w:r>
    </w:p>
    <w:p w14:paraId="6ACA0CAC">
      <w:pPr>
        <w:pStyle w:val="7"/>
        <w:keepNext w:val="0"/>
        <w:keepLines w:val="0"/>
        <w:pageBreakBefore w:val="0"/>
        <w:kinsoku/>
        <w:wordWrap w:val="0"/>
        <w:overflowPunct/>
        <w:topLinePunct w:val="0"/>
        <w:bidi w:val="0"/>
        <w:spacing w:before="213" w:line="405" w:lineRule="auto"/>
        <w:ind w:right="218" w:firstLine="480"/>
        <w:rPr>
          <w:color w:val="auto"/>
          <w:highlight w:val="none"/>
        </w:rPr>
      </w:pPr>
      <w:r>
        <w:rPr>
          <w:color w:val="auto"/>
          <w:highlight w:val="none"/>
        </w:rPr>
        <w:t>18.2</w:t>
      </w:r>
      <w:r>
        <w:rPr>
          <w:color w:val="auto"/>
          <w:spacing w:val="-6"/>
          <w:highlight w:val="none"/>
        </w:rPr>
        <w:t xml:space="preserve"> 在甲方根据上述第 </w:t>
      </w:r>
      <w:r>
        <w:rPr>
          <w:color w:val="auto"/>
          <w:highlight w:val="none"/>
        </w:rPr>
        <w:t>18.1</w:t>
      </w:r>
      <w:r>
        <w:rPr>
          <w:color w:val="auto"/>
          <w:spacing w:val="-8"/>
          <w:highlight w:val="none"/>
        </w:rPr>
        <w:t xml:space="preserve"> 条规定，全部或部分解除合同之后，应当遵循诚实信用原则，全部或部分购买与未交付的货物类似的货物或服务，乙方应承担甲方购买类似</w:t>
      </w:r>
      <w:r>
        <w:rPr>
          <w:color w:val="auto"/>
          <w:spacing w:val="-12"/>
          <w:highlight w:val="none"/>
        </w:rPr>
        <w:t>货物或服务而产生的额外支出。部分解除合同的，乙方应继续履行合同中未解除的部分。</w:t>
      </w:r>
    </w:p>
    <w:p w14:paraId="6E640C84">
      <w:pPr>
        <w:pStyle w:val="5"/>
        <w:keepNext w:val="0"/>
        <w:keepLines w:val="0"/>
        <w:pageBreakBefore w:val="0"/>
        <w:numPr>
          <w:ilvl w:val="0"/>
          <w:numId w:val="14"/>
        </w:numPr>
        <w:tabs>
          <w:tab w:val="left" w:pos="1165"/>
        </w:tabs>
        <w:kinsoku/>
        <w:wordWrap w:val="0"/>
        <w:overflowPunct/>
        <w:topLinePunct w:val="0"/>
        <w:bidi w:val="0"/>
        <w:spacing w:before="1"/>
        <w:ind w:left="1164" w:hanging="364"/>
        <w:rPr>
          <w:color w:val="auto"/>
          <w:highlight w:val="none"/>
        </w:rPr>
      </w:pPr>
      <w:bookmarkStart w:id="257" w:name="_Toc27973_WPSOffice_Level3"/>
      <w:r>
        <w:rPr>
          <w:color w:val="auto"/>
          <w:highlight w:val="none"/>
        </w:rPr>
        <w:t>其他约定</w:t>
      </w:r>
      <w:bookmarkEnd w:id="257"/>
    </w:p>
    <w:p w14:paraId="0DB08920">
      <w:pPr>
        <w:keepNext w:val="0"/>
        <w:keepLines w:val="0"/>
        <w:pageBreakBefore w:val="0"/>
        <w:kinsoku/>
        <w:wordWrap w:val="0"/>
        <w:overflowPunct/>
        <w:topLinePunct w:val="0"/>
        <w:bidi w:val="0"/>
        <w:rPr>
          <w:color w:val="auto"/>
          <w:highlight w:val="none"/>
        </w:rPr>
        <w:sectPr>
          <w:pgSz w:w="11910" w:h="16840"/>
          <w:pgMar w:top="1480" w:right="1020" w:bottom="900" w:left="1040" w:header="0" w:footer="640" w:gutter="0"/>
          <w:pgBorders>
            <w:top w:val="none" w:sz="0" w:space="0"/>
            <w:left w:val="none" w:sz="0" w:space="0"/>
            <w:bottom w:val="none" w:sz="0" w:space="0"/>
            <w:right w:val="none" w:sz="0" w:space="0"/>
          </w:pgBorders>
          <w:pgNumType w:fmt="decimal"/>
          <w:cols w:space="720" w:num="1"/>
        </w:sectPr>
      </w:pPr>
    </w:p>
    <w:p w14:paraId="42E4E505">
      <w:pPr>
        <w:pStyle w:val="19"/>
        <w:keepNext w:val="0"/>
        <w:keepLines w:val="0"/>
        <w:pageBreakBefore w:val="0"/>
        <w:numPr>
          <w:ilvl w:val="1"/>
          <w:numId w:val="14"/>
        </w:numPr>
        <w:tabs>
          <w:tab w:val="left" w:pos="1401"/>
        </w:tabs>
        <w:kinsoku/>
        <w:wordWrap w:val="0"/>
        <w:overflowPunct/>
        <w:topLinePunct w:val="0"/>
        <w:bidi w:val="0"/>
        <w:spacing w:before="39"/>
        <w:ind w:left="1400" w:hanging="600"/>
        <w:rPr>
          <w:color w:val="auto"/>
          <w:sz w:val="24"/>
          <w:highlight w:val="none"/>
        </w:rPr>
      </w:pPr>
      <w:r>
        <w:rPr>
          <w:color w:val="auto"/>
          <w:sz w:val="24"/>
          <w:highlight w:val="none"/>
        </w:rPr>
        <w:t>本采购项目的磋商文件、成交供应商的磋商响应文件以及相关的澄清确认函</w:t>
      </w:r>
    </w:p>
    <w:p w14:paraId="2940DB33">
      <w:pPr>
        <w:pStyle w:val="7"/>
        <w:keepNext w:val="0"/>
        <w:keepLines w:val="0"/>
        <w:pageBreakBefore w:val="0"/>
        <w:kinsoku/>
        <w:wordWrap w:val="0"/>
        <w:overflowPunct/>
        <w:topLinePunct w:val="0"/>
        <w:bidi w:val="0"/>
        <w:spacing w:before="213"/>
        <w:rPr>
          <w:color w:val="auto"/>
          <w:highlight w:val="none"/>
        </w:rPr>
      </w:pPr>
      <w:r>
        <w:rPr>
          <w:color w:val="auto"/>
          <w:highlight w:val="none"/>
        </w:rPr>
        <w:t>（如果有的话）均为本合同不可分割的一部分，与本合同具有同等法律效力。</w:t>
      </w:r>
    </w:p>
    <w:p w14:paraId="11A4FF11">
      <w:pPr>
        <w:pStyle w:val="19"/>
        <w:keepNext w:val="0"/>
        <w:keepLines w:val="0"/>
        <w:pageBreakBefore w:val="0"/>
        <w:numPr>
          <w:ilvl w:val="1"/>
          <w:numId w:val="14"/>
        </w:numPr>
        <w:tabs>
          <w:tab w:val="left" w:pos="1401"/>
        </w:tabs>
        <w:kinsoku/>
        <w:wordWrap w:val="0"/>
        <w:overflowPunct/>
        <w:topLinePunct w:val="0"/>
        <w:bidi w:val="0"/>
        <w:spacing w:before="213"/>
        <w:ind w:left="1400" w:hanging="600"/>
        <w:rPr>
          <w:color w:val="auto"/>
          <w:sz w:val="24"/>
          <w:highlight w:val="none"/>
        </w:rPr>
      </w:pPr>
      <w:r>
        <w:rPr>
          <w:color w:val="auto"/>
          <w:sz w:val="24"/>
          <w:highlight w:val="none"/>
        </w:rPr>
        <w:t>本合同未尽事宜，双方另行补充。</w:t>
      </w:r>
    </w:p>
    <w:p w14:paraId="743C78E8">
      <w:pPr>
        <w:pStyle w:val="19"/>
        <w:keepNext w:val="0"/>
        <w:keepLines w:val="0"/>
        <w:pageBreakBefore w:val="0"/>
        <w:numPr>
          <w:ilvl w:val="1"/>
          <w:numId w:val="14"/>
        </w:numPr>
        <w:tabs>
          <w:tab w:val="left" w:pos="1341"/>
        </w:tabs>
        <w:kinsoku/>
        <w:wordWrap w:val="0"/>
        <w:overflowPunct/>
        <w:topLinePunct w:val="0"/>
        <w:bidi w:val="0"/>
        <w:spacing w:before="211"/>
        <w:ind w:left="1340" w:hanging="540"/>
        <w:rPr>
          <w:color w:val="auto"/>
          <w:sz w:val="24"/>
          <w:highlight w:val="none"/>
        </w:rPr>
      </w:pPr>
      <w:r>
        <w:rPr>
          <w:color w:val="auto"/>
          <w:sz w:val="24"/>
          <w:highlight w:val="none"/>
        </w:rPr>
        <w:t>本合同正本一式份，具有同等法律效力，甲、乙双方各执两份。</w:t>
      </w:r>
    </w:p>
    <w:p w14:paraId="62B33A1B">
      <w:pPr>
        <w:pStyle w:val="19"/>
        <w:keepNext w:val="0"/>
        <w:keepLines w:val="0"/>
        <w:pageBreakBefore w:val="0"/>
        <w:numPr>
          <w:ilvl w:val="1"/>
          <w:numId w:val="14"/>
        </w:numPr>
        <w:tabs>
          <w:tab w:val="left" w:pos="1401"/>
        </w:tabs>
        <w:kinsoku/>
        <w:wordWrap w:val="0"/>
        <w:overflowPunct/>
        <w:topLinePunct w:val="0"/>
        <w:bidi w:val="0"/>
        <w:spacing w:before="213"/>
        <w:ind w:left="1400" w:hanging="600"/>
        <w:rPr>
          <w:color w:val="auto"/>
          <w:sz w:val="24"/>
          <w:highlight w:val="none"/>
        </w:rPr>
      </w:pPr>
      <w:r>
        <w:rPr>
          <w:color w:val="auto"/>
          <w:sz w:val="24"/>
          <w:highlight w:val="none"/>
        </w:rPr>
        <w:t>签定地点：</w:t>
      </w:r>
    </w:p>
    <w:p w14:paraId="7C79A636">
      <w:pPr>
        <w:pStyle w:val="7"/>
        <w:keepNext w:val="0"/>
        <w:keepLines w:val="0"/>
        <w:pageBreakBefore w:val="0"/>
        <w:tabs>
          <w:tab w:val="left" w:pos="5960"/>
        </w:tabs>
        <w:kinsoku/>
        <w:wordWrap w:val="0"/>
        <w:overflowPunct/>
        <w:topLinePunct w:val="0"/>
        <w:bidi w:val="0"/>
        <w:spacing w:before="214"/>
        <w:ind w:left="800"/>
        <w:rPr>
          <w:color w:val="auto"/>
          <w:highlight w:val="none"/>
        </w:rPr>
      </w:pPr>
      <w:r>
        <w:rPr>
          <w:color w:val="auto"/>
          <w:highlight w:val="none"/>
        </w:rPr>
        <w:t>甲方：</w:t>
      </w:r>
      <w:r>
        <w:rPr>
          <w:color w:val="auto"/>
          <w:highlight w:val="none"/>
        </w:rPr>
        <w:tab/>
      </w:r>
      <w:r>
        <w:rPr>
          <w:color w:val="auto"/>
          <w:highlight w:val="none"/>
        </w:rPr>
        <w:t>乙方：</w:t>
      </w:r>
    </w:p>
    <w:p w14:paraId="667B5CDD">
      <w:pPr>
        <w:pStyle w:val="7"/>
        <w:keepNext w:val="0"/>
        <w:keepLines w:val="0"/>
        <w:pageBreakBefore w:val="0"/>
        <w:tabs>
          <w:tab w:val="left" w:pos="5840"/>
        </w:tabs>
        <w:kinsoku/>
        <w:wordWrap w:val="0"/>
        <w:overflowPunct/>
        <w:topLinePunct w:val="0"/>
        <w:bidi w:val="0"/>
        <w:spacing w:before="211"/>
        <w:ind w:left="800"/>
        <w:rPr>
          <w:color w:val="auto"/>
          <w:highlight w:val="none"/>
        </w:rPr>
      </w:pPr>
      <w:r>
        <w:rPr>
          <w:color w:val="auto"/>
          <w:highlight w:val="none"/>
        </w:rPr>
        <w:t>单位地址：</w:t>
      </w:r>
      <w:r>
        <w:rPr>
          <w:color w:val="auto"/>
          <w:highlight w:val="none"/>
        </w:rPr>
        <w:tab/>
      </w:r>
      <w:r>
        <w:rPr>
          <w:color w:val="auto"/>
          <w:highlight w:val="none"/>
        </w:rPr>
        <w:t>单位地址：</w:t>
      </w:r>
    </w:p>
    <w:p w14:paraId="2D5065A2">
      <w:pPr>
        <w:pStyle w:val="7"/>
        <w:keepNext w:val="0"/>
        <w:keepLines w:val="0"/>
        <w:pageBreakBefore w:val="0"/>
        <w:tabs>
          <w:tab w:val="left" w:pos="5840"/>
        </w:tabs>
        <w:kinsoku/>
        <w:wordWrap w:val="0"/>
        <w:overflowPunct/>
        <w:topLinePunct w:val="0"/>
        <w:bidi w:val="0"/>
        <w:spacing w:before="213"/>
        <w:ind w:left="800"/>
        <w:rPr>
          <w:color w:val="auto"/>
          <w:highlight w:val="none"/>
        </w:rPr>
      </w:pPr>
      <w:r>
        <w:rPr>
          <w:color w:val="auto"/>
          <w:highlight w:val="none"/>
        </w:rPr>
        <w:t>法定代表人：</w:t>
      </w:r>
      <w:r>
        <w:rPr>
          <w:color w:val="auto"/>
          <w:highlight w:val="none"/>
        </w:rPr>
        <w:tab/>
      </w:r>
      <w:r>
        <w:rPr>
          <w:color w:val="auto"/>
          <w:highlight w:val="none"/>
        </w:rPr>
        <w:t>法定代表人：</w:t>
      </w:r>
    </w:p>
    <w:p w14:paraId="43C6437C">
      <w:pPr>
        <w:pStyle w:val="7"/>
        <w:keepNext w:val="0"/>
        <w:keepLines w:val="0"/>
        <w:pageBreakBefore w:val="0"/>
        <w:tabs>
          <w:tab w:val="left" w:pos="5840"/>
        </w:tabs>
        <w:kinsoku/>
        <w:wordWrap w:val="0"/>
        <w:overflowPunct/>
        <w:topLinePunct w:val="0"/>
        <w:bidi w:val="0"/>
        <w:spacing w:before="213"/>
        <w:ind w:left="800"/>
        <w:rPr>
          <w:color w:val="auto"/>
          <w:highlight w:val="none"/>
        </w:rPr>
      </w:pPr>
      <w:r>
        <w:rPr>
          <w:color w:val="auto"/>
          <w:highlight w:val="none"/>
        </w:rPr>
        <w:t>委托代理人：</w:t>
      </w:r>
      <w:r>
        <w:rPr>
          <w:color w:val="auto"/>
          <w:highlight w:val="none"/>
        </w:rPr>
        <w:tab/>
      </w:r>
      <w:r>
        <w:rPr>
          <w:color w:val="auto"/>
          <w:highlight w:val="none"/>
        </w:rPr>
        <w:t>委托代理人：</w:t>
      </w:r>
    </w:p>
    <w:p w14:paraId="58B2FBAF">
      <w:pPr>
        <w:pStyle w:val="7"/>
        <w:keepNext w:val="0"/>
        <w:keepLines w:val="0"/>
        <w:pageBreakBefore w:val="0"/>
        <w:tabs>
          <w:tab w:val="left" w:pos="5840"/>
        </w:tabs>
        <w:kinsoku/>
        <w:wordWrap w:val="0"/>
        <w:overflowPunct/>
        <w:topLinePunct w:val="0"/>
        <w:bidi w:val="0"/>
        <w:spacing w:before="211"/>
        <w:ind w:left="800"/>
        <w:rPr>
          <w:color w:val="auto"/>
          <w:highlight w:val="none"/>
        </w:rPr>
      </w:pPr>
      <w:r>
        <w:rPr>
          <w:color w:val="auto"/>
          <w:highlight w:val="none"/>
        </w:rPr>
        <w:t>电话：</w:t>
      </w:r>
      <w:r>
        <w:rPr>
          <w:color w:val="auto"/>
          <w:highlight w:val="none"/>
        </w:rPr>
        <w:tab/>
      </w:r>
      <w:r>
        <w:rPr>
          <w:color w:val="auto"/>
          <w:highlight w:val="none"/>
        </w:rPr>
        <w:t>电话：</w:t>
      </w:r>
    </w:p>
    <w:p w14:paraId="6AECE814">
      <w:pPr>
        <w:pStyle w:val="7"/>
        <w:keepNext w:val="0"/>
        <w:keepLines w:val="0"/>
        <w:pageBreakBefore w:val="0"/>
        <w:tabs>
          <w:tab w:val="left" w:pos="4640"/>
          <w:tab w:val="left" w:pos="5120"/>
          <w:tab w:val="left" w:pos="5600"/>
        </w:tabs>
        <w:kinsoku/>
        <w:wordWrap w:val="0"/>
        <w:overflowPunct/>
        <w:topLinePunct w:val="0"/>
        <w:bidi w:val="0"/>
        <w:spacing w:before="213"/>
        <w:ind w:left="800"/>
        <w:rPr>
          <w:color w:val="auto"/>
          <w:highlight w:val="none"/>
        </w:rPr>
      </w:pPr>
    </w:p>
    <w:p w14:paraId="4BBA62F8">
      <w:pPr>
        <w:pStyle w:val="7"/>
        <w:keepNext w:val="0"/>
        <w:keepLines w:val="0"/>
        <w:pageBreakBefore w:val="0"/>
        <w:tabs>
          <w:tab w:val="left" w:pos="4640"/>
          <w:tab w:val="left" w:pos="5120"/>
          <w:tab w:val="left" w:pos="5600"/>
        </w:tabs>
        <w:kinsoku/>
        <w:wordWrap w:val="0"/>
        <w:overflowPunct/>
        <w:topLinePunct w:val="0"/>
        <w:bidi w:val="0"/>
        <w:spacing w:before="213"/>
        <w:ind w:left="800"/>
        <w:rPr>
          <w:color w:val="auto"/>
          <w:highlight w:val="none"/>
        </w:rPr>
      </w:pPr>
      <w:r>
        <w:rPr>
          <w:color w:val="auto"/>
          <w:highlight w:val="none"/>
        </w:rPr>
        <w:t>签订日期：</w:t>
      </w:r>
      <w:r>
        <w:rPr>
          <w:rFonts w:hint="eastAsia"/>
          <w:color w:val="auto"/>
          <w:highlight w:val="none"/>
          <w:lang w:val="en-US" w:eastAsia="zh-CN"/>
        </w:rPr>
        <w:t xml:space="preserve"> </w:t>
      </w:r>
      <w:r>
        <w:rPr>
          <w:color w:val="auto"/>
          <w:highlight w:val="none"/>
        </w:rPr>
        <w:t>年</w:t>
      </w:r>
      <w:r>
        <w:rPr>
          <w:rFonts w:hint="eastAsia"/>
          <w:color w:val="auto"/>
          <w:highlight w:val="none"/>
          <w:lang w:val="en-US" w:eastAsia="zh-CN"/>
        </w:rPr>
        <w:t xml:space="preserve"> </w:t>
      </w:r>
      <w:r>
        <w:rPr>
          <w:color w:val="auto"/>
          <w:highlight w:val="none"/>
        </w:rPr>
        <w:t>月</w:t>
      </w:r>
      <w:r>
        <w:rPr>
          <w:rFonts w:hint="eastAsia"/>
          <w:color w:val="auto"/>
          <w:highlight w:val="none"/>
          <w:lang w:val="en-US" w:eastAsia="zh-CN"/>
        </w:rPr>
        <w:t xml:space="preserve"> </w:t>
      </w:r>
      <w:r>
        <w:rPr>
          <w:color w:val="auto"/>
          <w:highlight w:val="none"/>
        </w:rPr>
        <w:t>日</w:t>
      </w:r>
    </w:p>
    <w:p w14:paraId="008F7B78">
      <w:pPr>
        <w:keepNext w:val="0"/>
        <w:keepLines w:val="0"/>
        <w:pageBreakBefore w:val="0"/>
        <w:kinsoku/>
        <w:wordWrap w:val="0"/>
        <w:overflowPunct/>
        <w:topLinePunct w:val="0"/>
        <w:bidi w:val="0"/>
        <w:rPr>
          <w:color w:val="auto"/>
          <w:highlight w:val="none"/>
        </w:rPr>
        <w:sectPr>
          <w:pgSz w:w="11910" w:h="16840"/>
          <w:pgMar w:top="1480" w:right="1020" w:bottom="900" w:left="1040" w:header="0" w:footer="640" w:gutter="0"/>
          <w:pgBorders>
            <w:top w:val="none" w:sz="0" w:space="0"/>
            <w:left w:val="none" w:sz="0" w:space="0"/>
            <w:bottom w:val="none" w:sz="0" w:space="0"/>
            <w:right w:val="none" w:sz="0" w:space="0"/>
          </w:pgBorders>
          <w:pgNumType w:fmt="decimal"/>
          <w:cols w:space="720" w:num="1"/>
        </w:sectPr>
      </w:pPr>
    </w:p>
    <w:p w14:paraId="21925E67">
      <w:pPr>
        <w:pStyle w:val="2"/>
        <w:keepNext w:val="0"/>
        <w:keepLines w:val="0"/>
        <w:pageBreakBefore w:val="0"/>
        <w:kinsoku/>
        <w:wordWrap w:val="0"/>
        <w:overflowPunct/>
        <w:topLinePunct w:val="0"/>
        <w:bidi w:val="0"/>
        <w:spacing w:before="31"/>
        <w:ind w:firstLine="1928" w:firstLineChars="600"/>
        <w:jc w:val="both"/>
        <w:rPr>
          <w:color w:val="auto"/>
          <w:highlight w:val="none"/>
        </w:rPr>
      </w:pPr>
      <w:bookmarkStart w:id="258" w:name="_Toc2461"/>
      <w:r>
        <w:rPr>
          <w:rFonts w:hint="eastAsia"/>
          <w:color w:val="auto"/>
          <w:highlight w:val="none"/>
        </w:rPr>
        <w:t>第六章</w:t>
      </w:r>
      <w:r>
        <w:rPr>
          <w:rFonts w:hint="eastAsia"/>
          <w:color w:val="auto"/>
          <w:highlight w:val="none"/>
          <w:lang w:val="en-US" w:eastAsia="zh-CN"/>
        </w:rPr>
        <w:t xml:space="preserve"> </w:t>
      </w:r>
      <w:r>
        <w:rPr>
          <w:rFonts w:hint="eastAsia"/>
          <w:color w:val="auto"/>
          <w:highlight w:val="none"/>
        </w:rPr>
        <w:t>响应文件内容及格式</w:t>
      </w:r>
      <w:bookmarkEnd w:id="258"/>
    </w:p>
    <w:p w14:paraId="4C9EAF17">
      <w:pPr>
        <w:pStyle w:val="7"/>
        <w:keepNext w:val="0"/>
        <w:keepLines w:val="0"/>
        <w:pageBreakBefore w:val="0"/>
        <w:kinsoku/>
        <w:wordWrap w:val="0"/>
        <w:overflowPunct/>
        <w:topLinePunct w:val="0"/>
        <w:bidi w:val="0"/>
        <w:ind w:left="0"/>
        <w:rPr>
          <w:b/>
          <w:color w:val="auto"/>
          <w:highlight w:val="none"/>
        </w:rPr>
      </w:pPr>
    </w:p>
    <w:p w14:paraId="18E1F763">
      <w:pPr>
        <w:pStyle w:val="7"/>
        <w:keepNext w:val="0"/>
        <w:keepLines w:val="0"/>
        <w:pageBreakBefore w:val="0"/>
        <w:kinsoku/>
        <w:wordWrap w:val="0"/>
        <w:overflowPunct/>
        <w:topLinePunct w:val="0"/>
        <w:bidi w:val="0"/>
        <w:spacing w:before="3"/>
        <w:ind w:left="0"/>
        <w:rPr>
          <w:b/>
          <w:color w:val="auto"/>
          <w:sz w:val="35"/>
          <w:highlight w:val="none"/>
        </w:rPr>
      </w:pPr>
    </w:p>
    <w:p w14:paraId="1DB3B6F7">
      <w:pPr>
        <w:pStyle w:val="7"/>
        <w:keepNext w:val="0"/>
        <w:keepLines w:val="0"/>
        <w:pageBreakBefore w:val="0"/>
        <w:kinsoku/>
        <w:wordWrap w:val="0"/>
        <w:overflowPunct/>
        <w:topLinePunct w:val="0"/>
        <w:bidi w:val="0"/>
        <w:ind w:left="0"/>
        <w:jc w:val="center"/>
        <w:rPr>
          <w:rFonts w:hint="eastAsia"/>
          <w:b/>
          <w:color w:val="auto"/>
          <w:sz w:val="56"/>
          <w:szCs w:val="20"/>
          <w:highlight w:val="none"/>
          <w:lang w:eastAsia="zh-CN"/>
        </w:rPr>
      </w:pPr>
      <w:r>
        <w:rPr>
          <w:rFonts w:hint="eastAsia"/>
          <w:b/>
          <w:color w:val="auto"/>
          <w:sz w:val="48"/>
          <w:szCs w:val="28"/>
          <w:highlight w:val="none"/>
          <w:lang w:val="en-US" w:eastAsia="zh-CN"/>
        </w:rPr>
        <w:t>卢氏县重点非煤矿山视频智能监控子系统建设项目</w:t>
      </w:r>
      <w:bookmarkStart w:id="259" w:name="_Toc20123_WPSOffice_Level1"/>
      <w:bookmarkStart w:id="260" w:name="_Toc839"/>
    </w:p>
    <w:p w14:paraId="40AD4665">
      <w:pPr>
        <w:keepNext w:val="0"/>
        <w:keepLines w:val="0"/>
        <w:pageBreakBefore w:val="0"/>
        <w:kinsoku/>
        <w:wordWrap w:val="0"/>
        <w:overflowPunct/>
        <w:topLinePunct w:val="0"/>
        <w:bidi w:val="0"/>
        <w:spacing w:before="375"/>
        <w:jc w:val="center"/>
        <w:outlineLvl w:val="0"/>
        <w:rPr>
          <w:b/>
          <w:color w:val="auto"/>
          <w:sz w:val="72"/>
          <w:highlight w:val="none"/>
        </w:rPr>
      </w:pPr>
      <w:r>
        <w:rPr>
          <w:rFonts w:hint="eastAsia"/>
          <w:b/>
          <w:color w:val="auto"/>
          <w:sz w:val="56"/>
          <w:szCs w:val="20"/>
          <w:highlight w:val="none"/>
          <w:lang w:eastAsia="zh-CN"/>
        </w:rPr>
        <w:t>（</w:t>
      </w:r>
      <w:r>
        <w:rPr>
          <w:rFonts w:hint="eastAsia"/>
          <w:b/>
          <w:color w:val="auto"/>
          <w:sz w:val="56"/>
          <w:szCs w:val="20"/>
          <w:highlight w:val="none"/>
          <w:lang w:val="en-US" w:eastAsia="zh-CN"/>
        </w:rPr>
        <w:t xml:space="preserve"> </w:t>
      </w:r>
      <w:r>
        <w:rPr>
          <w:rFonts w:hint="eastAsia"/>
          <w:b/>
          <w:color w:val="auto"/>
          <w:sz w:val="56"/>
          <w:szCs w:val="20"/>
          <w:highlight w:val="none"/>
          <w:lang w:eastAsia="zh-CN"/>
        </w:rPr>
        <w:t>）</w:t>
      </w:r>
      <w:r>
        <w:rPr>
          <w:rFonts w:hint="eastAsia"/>
          <w:b/>
          <w:color w:val="auto"/>
          <w:sz w:val="56"/>
          <w:szCs w:val="20"/>
          <w:highlight w:val="none"/>
          <w:lang w:val="en-US" w:eastAsia="zh-CN"/>
        </w:rPr>
        <w:t>标段</w:t>
      </w:r>
    </w:p>
    <w:p w14:paraId="37E6A325">
      <w:pPr>
        <w:keepNext w:val="0"/>
        <w:keepLines w:val="0"/>
        <w:pageBreakBefore w:val="0"/>
        <w:kinsoku/>
        <w:wordWrap w:val="0"/>
        <w:overflowPunct/>
        <w:topLinePunct w:val="0"/>
        <w:bidi w:val="0"/>
        <w:spacing w:before="375"/>
        <w:jc w:val="center"/>
        <w:outlineLvl w:val="0"/>
        <w:rPr>
          <w:b/>
          <w:color w:val="auto"/>
          <w:sz w:val="72"/>
          <w:highlight w:val="none"/>
        </w:rPr>
      </w:pPr>
    </w:p>
    <w:p w14:paraId="2F1D06CB">
      <w:pPr>
        <w:pStyle w:val="7"/>
        <w:keepNext w:val="0"/>
        <w:keepLines w:val="0"/>
        <w:pageBreakBefore w:val="0"/>
        <w:kinsoku/>
        <w:wordWrap w:val="0"/>
        <w:overflowPunct/>
        <w:topLinePunct w:val="0"/>
        <w:bidi w:val="0"/>
        <w:ind w:left="0"/>
        <w:jc w:val="center"/>
        <w:outlineLvl w:val="0"/>
        <w:rPr>
          <w:b/>
          <w:color w:val="auto"/>
          <w:sz w:val="30"/>
          <w:highlight w:val="none"/>
        </w:rPr>
      </w:pPr>
      <w:bookmarkStart w:id="261" w:name="_Toc12366_WPSOffice_Level1"/>
      <w:bookmarkStart w:id="262" w:name="_Toc25794"/>
      <w:r>
        <w:rPr>
          <w:b/>
          <w:color w:val="auto"/>
          <w:sz w:val="32"/>
          <w:highlight w:val="none"/>
        </w:rPr>
        <w:t>项目编号：</w:t>
      </w:r>
      <w:bookmarkEnd w:id="261"/>
      <w:bookmarkEnd w:id="262"/>
    </w:p>
    <w:p w14:paraId="6E0C1214">
      <w:pPr>
        <w:keepNext w:val="0"/>
        <w:keepLines w:val="0"/>
        <w:pageBreakBefore w:val="0"/>
        <w:kinsoku/>
        <w:wordWrap w:val="0"/>
        <w:overflowPunct/>
        <w:topLinePunct w:val="0"/>
        <w:bidi w:val="0"/>
        <w:spacing w:before="375"/>
        <w:jc w:val="center"/>
        <w:outlineLvl w:val="0"/>
        <w:rPr>
          <w:b/>
          <w:color w:val="auto"/>
          <w:sz w:val="72"/>
          <w:highlight w:val="none"/>
        </w:rPr>
      </w:pPr>
    </w:p>
    <w:p w14:paraId="212B8834">
      <w:pPr>
        <w:keepNext w:val="0"/>
        <w:keepLines w:val="0"/>
        <w:pageBreakBefore w:val="0"/>
        <w:kinsoku/>
        <w:wordWrap w:val="0"/>
        <w:overflowPunct/>
        <w:topLinePunct w:val="0"/>
        <w:bidi w:val="0"/>
        <w:spacing w:before="375"/>
        <w:jc w:val="center"/>
        <w:outlineLvl w:val="0"/>
        <w:rPr>
          <w:b/>
          <w:color w:val="auto"/>
          <w:sz w:val="72"/>
          <w:highlight w:val="none"/>
        </w:rPr>
      </w:pPr>
      <w:r>
        <w:rPr>
          <w:b/>
          <w:color w:val="auto"/>
          <w:sz w:val="72"/>
          <w:highlight w:val="none"/>
        </w:rPr>
        <w:t>响</w:t>
      </w:r>
      <w:r>
        <w:rPr>
          <w:rFonts w:hint="eastAsia"/>
          <w:b/>
          <w:color w:val="auto"/>
          <w:sz w:val="72"/>
          <w:highlight w:val="none"/>
          <w:lang w:val="en-US" w:eastAsia="zh-CN"/>
        </w:rPr>
        <w:t xml:space="preserve"> </w:t>
      </w:r>
      <w:r>
        <w:rPr>
          <w:b/>
          <w:color w:val="auto"/>
          <w:sz w:val="72"/>
          <w:highlight w:val="none"/>
        </w:rPr>
        <w:t>应</w:t>
      </w:r>
      <w:r>
        <w:rPr>
          <w:rFonts w:hint="eastAsia"/>
          <w:b/>
          <w:color w:val="auto"/>
          <w:sz w:val="72"/>
          <w:highlight w:val="none"/>
          <w:lang w:val="en-US" w:eastAsia="zh-CN"/>
        </w:rPr>
        <w:t xml:space="preserve"> </w:t>
      </w:r>
      <w:r>
        <w:rPr>
          <w:b/>
          <w:color w:val="auto"/>
          <w:sz w:val="72"/>
          <w:highlight w:val="none"/>
        </w:rPr>
        <w:t>文</w:t>
      </w:r>
      <w:r>
        <w:rPr>
          <w:rFonts w:hint="eastAsia"/>
          <w:b/>
          <w:color w:val="auto"/>
          <w:sz w:val="72"/>
          <w:highlight w:val="none"/>
          <w:lang w:val="en-US" w:eastAsia="zh-CN"/>
        </w:rPr>
        <w:t xml:space="preserve"> </w:t>
      </w:r>
      <w:r>
        <w:rPr>
          <w:b/>
          <w:color w:val="auto"/>
          <w:sz w:val="72"/>
          <w:highlight w:val="none"/>
        </w:rPr>
        <w:t>件</w:t>
      </w:r>
      <w:bookmarkEnd w:id="259"/>
      <w:bookmarkEnd w:id="260"/>
    </w:p>
    <w:p w14:paraId="646170BC">
      <w:pPr>
        <w:pStyle w:val="7"/>
        <w:keepNext w:val="0"/>
        <w:keepLines w:val="0"/>
        <w:pageBreakBefore w:val="0"/>
        <w:kinsoku/>
        <w:wordWrap w:val="0"/>
        <w:overflowPunct/>
        <w:topLinePunct w:val="0"/>
        <w:bidi w:val="0"/>
        <w:spacing w:before="3"/>
        <w:ind w:left="0"/>
        <w:jc w:val="both"/>
        <w:rPr>
          <w:b/>
          <w:color w:val="auto"/>
          <w:sz w:val="60"/>
          <w:highlight w:val="none"/>
        </w:rPr>
      </w:pPr>
    </w:p>
    <w:p w14:paraId="73A56DF0">
      <w:pPr>
        <w:pStyle w:val="7"/>
        <w:keepNext w:val="0"/>
        <w:keepLines w:val="0"/>
        <w:pageBreakBefore w:val="0"/>
        <w:kinsoku/>
        <w:wordWrap w:val="0"/>
        <w:overflowPunct/>
        <w:topLinePunct w:val="0"/>
        <w:bidi w:val="0"/>
        <w:ind w:left="0"/>
        <w:rPr>
          <w:b/>
          <w:color w:val="auto"/>
          <w:sz w:val="30"/>
          <w:highlight w:val="none"/>
        </w:rPr>
      </w:pPr>
    </w:p>
    <w:p w14:paraId="03091C18">
      <w:pPr>
        <w:keepNext w:val="0"/>
        <w:keepLines w:val="0"/>
        <w:pageBreakBefore w:val="0"/>
        <w:kinsoku/>
        <w:wordWrap w:val="0"/>
        <w:overflowPunct/>
        <w:topLinePunct w:val="0"/>
        <w:bidi w:val="0"/>
        <w:rPr>
          <w:color w:val="auto"/>
          <w:highlight w:val="none"/>
        </w:rPr>
      </w:pPr>
    </w:p>
    <w:p w14:paraId="2307A5ED">
      <w:pPr>
        <w:keepNext w:val="0"/>
        <w:keepLines w:val="0"/>
        <w:pageBreakBefore w:val="0"/>
        <w:kinsoku/>
        <w:wordWrap w:val="0"/>
        <w:overflowPunct/>
        <w:topLinePunct w:val="0"/>
        <w:bidi w:val="0"/>
        <w:rPr>
          <w:color w:val="auto"/>
          <w:highlight w:val="none"/>
        </w:rPr>
      </w:pPr>
    </w:p>
    <w:p w14:paraId="793BAD7A">
      <w:pPr>
        <w:pStyle w:val="7"/>
        <w:keepNext w:val="0"/>
        <w:keepLines w:val="0"/>
        <w:pageBreakBefore w:val="0"/>
        <w:kinsoku/>
        <w:wordWrap w:val="0"/>
        <w:overflowPunct/>
        <w:topLinePunct w:val="0"/>
        <w:bidi w:val="0"/>
        <w:ind w:left="0"/>
        <w:rPr>
          <w:b/>
          <w:color w:val="auto"/>
          <w:sz w:val="30"/>
          <w:highlight w:val="none"/>
        </w:rPr>
      </w:pPr>
    </w:p>
    <w:p w14:paraId="78DEB3B0">
      <w:pPr>
        <w:pStyle w:val="7"/>
        <w:keepNext w:val="0"/>
        <w:keepLines w:val="0"/>
        <w:pageBreakBefore w:val="0"/>
        <w:kinsoku/>
        <w:wordWrap w:val="0"/>
        <w:overflowPunct/>
        <w:topLinePunct w:val="0"/>
        <w:bidi w:val="0"/>
        <w:ind w:left="0"/>
        <w:rPr>
          <w:b/>
          <w:color w:val="auto"/>
          <w:sz w:val="30"/>
          <w:highlight w:val="none"/>
        </w:rPr>
      </w:pPr>
    </w:p>
    <w:p w14:paraId="1B500815">
      <w:pPr>
        <w:keepNext w:val="0"/>
        <w:keepLines w:val="0"/>
        <w:pageBreakBefore w:val="0"/>
        <w:kinsoku/>
        <w:wordWrap w:val="0"/>
        <w:overflowPunct/>
        <w:topLinePunct w:val="0"/>
        <w:bidi w:val="0"/>
        <w:spacing w:line="360" w:lineRule="auto"/>
        <w:jc w:val="center"/>
        <w:rPr>
          <w:rFonts w:hint="eastAsia"/>
          <w:color w:val="auto"/>
          <w:sz w:val="28"/>
          <w:szCs w:val="28"/>
          <w:highlight w:val="none"/>
        </w:rPr>
      </w:pPr>
      <w:bookmarkStart w:id="263" w:name="_Toc30532_WPSOffice_Level2"/>
    </w:p>
    <w:p w14:paraId="50748AD0">
      <w:pPr>
        <w:keepNext w:val="0"/>
        <w:keepLines w:val="0"/>
        <w:pageBreakBefore w:val="0"/>
        <w:kinsoku/>
        <w:wordWrap w:val="0"/>
        <w:overflowPunct/>
        <w:topLinePunct w:val="0"/>
        <w:bidi w:val="0"/>
        <w:spacing w:line="360" w:lineRule="auto"/>
        <w:jc w:val="center"/>
        <w:rPr>
          <w:color w:val="auto"/>
          <w:sz w:val="28"/>
          <w:szCs w:val="28"/>
          <w:highlight w:val="none"/>
        </w:rPr>
      </w:pPr>
      <w:r>
        <w:rPr>
          <w:rFonts w:hint="eastAsia"/>
          <w:color w:val="auto"/>
          <w:sz w:val="28"/>
          <w:szCs w:val="28"/>
          <w:highlight w:val="none"/>
        </w:rPr>
        <w:t>供应商：（公章签章）</w:t>
      </w:r>
      <w:bookmarkEnd w:id="263"/>
    </w:p>
    <w:p w14:paraId="3B08C3B9">
      <w:pPr>
        <w:keepNext w:val="0"/>
        <w:keepLines w:val="0"/>
        <w:pageBreakBefore w:val="0"/>
        <w:kinsoku/>
        <w:wordWrap w:val="0"/>
        <w:overflowPunct/>
        <w:topLinePunct w:val="0"/>
        <w:bidi w:val="0"/>
        <w:spacing w:line="360" w:lineRule="auto"/>
        <w:ind w:firstLine="560" w:firstLineChars="200"/>
        <w:rPr>
          <w:color w:val="auto"/>
          <w:sz w:val="28"/>
          <w:szCs w:val="28"/>
          <w:highlight w:val="none"/>
        </w:rPr>
      </w:pPr>
    </w:p>
    <w:p w14:paraId="59E11255">
      <w:pPr>
        <w:keepNext w:val="0"/>
        <w:keepLines w:val="0"/>
        <w:pageBreakBefore w:val="0"/>
        <w:kinsoku/>
        <w:wordWrap w:val="0"/>
        <w:overflowPunct/>
        <w:topLinePunct w:val="0"/>
        <w:bidi w:val="0"/>
        <w:spacing w:line="360" w:lineRule="auto"/>
        <w:ind w:firstLine="1540" w:firstLineChars="550"/>
        <w:rPr>
          <w:color w:val="auto"/>
          <w:sz w:val="28"/>
          <w:szCs w:val="28"/>
          <w:highlight w:val="none"/>
        </w:rPr>
      </w:pPr>
      <w:bookmarkStart w:id="264" w:name="_Toc1100_WPSOffice_Level3"/>
      <w:r>
        <w:rPr>
          <w:rFonts w:hint="eastAsia"/>
          <w:color w:val="auto"/>
          <w:sz w:val="28"/>
          <w:szCs w:val="28"/>
          <w:highlight w:val="none"/>
        </w:rPr>
        <w:t>法定代表人或其委托代理人：（法人签章）</w:t>
      </w:r>
      <w:bookmarkEnd w:id="264"/>
    </w:p>
    <w:p w14:paraId="5B8E4F55">
      <w:pPr>
        <w:keepNext w:val="0"/>
        <w:keepLines w:val="0"/>
        <w:pageBreakBefore w:val="0"/>
        <w:kinsoku/>
        <w:wordWrap w:val="0"/>
        <w:overflowPunct/>
        <w:topLinePunct w:val="0"/>
        <w:bidi w:val="0"/>
        <w:spacing w:line="360" w:lineRule="auto"/>
        <w:jc w:val="center"/>
        <w:rPr>
          <w:color w:val="auto"/>
          <w:szCs w:val="21"/>
          <w:highlight w:val="none"/>
          <w:u w:val="single"/>
        </w:rPr>
      </w:pPr>
    </w:p>
    <w:p w14:paraId="4C110F03">
      <w:pPr>
        <w:keepNext w:val="0"/>
        <w:keepLines w:val="0"/>
        <w:pageBreakBefore w:val="0"/>
        <w:kinsoku/>
        <w:wordWrap w:val="0"/>
        <w:overflowPunct/>
        <w:topLinePunct w:val="0"/>
        <w:bidi w:val="0"/>
        <w:spacing w:line="360" w:lineRule="auto"/>
        <w:jc w:val="center"/>
        <w:rPr>
          <w:color w:val="auto"/>
          <w:sz w:val="28"/>
          <w:szCs w:val="28"/>
          <w:highlight w:val="none"/>
        </w:rPr>
      </w:pPr>
      <w:bookmarkStart w:id="265" w:name="_Toc31948_WPSOffice_Level2"/>
      <w:r>
        <w:rPr>
          <w:rFonts w:hint="eastAsia"/>
          <w:color w:val="auto"/>
          <w:sz w:val="28"/>
          <w:szCs w:val="28"/>
          <w:highlight w:val="none"/>
        </w:rPr>
        <w:t>年</w:t>
      </w:r>
      <w:r>
        <w:rPr>
          <w:rFonts w:hint="eastAsia"/>
          <w:color w:val="auto"/>
          <w:sz w:val="28"/>
          <w:szCs w:val="28"/>
          <w:highlight w:val="none"/>
          <w:lang w:val="en-US" w:eastAsia="zh-CN"/>
        </w:rPr>
        <w:t xml:space="preserve"> </w:t>
      </w:r>
      <w:r>
        <w:rPr>
          <w:rFonts w:hint="eastAsia"/>
          <w:color w:val="auto"/>
          <w:sz w:val="28"/>
          <w:szCs w:val="28"/>
          <w:highlight w:val="none"/>
        </w:rPr>
        <w:t>月</w:t>
      </w:r>
      <w:r>
        <w:rPr>
          <w:rFonts w:hint="eastAsia"/>
          <w:color w:val="auto"/>
          <w:sz w:val="28"/>
          <w:szCs w:val="28"/>
          <w:highlight w:val="none"/>
          <w:lang w:val="en-US" w:eastAsia="zh-CN"/>
        </w:rPr>
        <w:t xml:space="preserve"> </w:t>
      </w:r>
      <w:r>
        <w:rPr>
          <w:rFonts w:hint="eastAsia"/>
          <w:color w:val="auto"/>
          <w:sz w:val="28"/>
          <w:szCs w:val="28"/>
          <w:highlight w:val="none"/>
        </w:rPr>
        <w:t>日</w:t>
      </w:r>
      <w:bookmarkEnd w:id="265"/>
    </w:p>
    <w:p w14:paraId="572E271A">
      <w:pPr>
        <w:keepNext w:val="0"/>
        <w:keepLines w:val="0"/>
        <w:pageBreakBefore w:val="0"/>
        <w:kinsoku/>
        <w:wordWrap w:val="0"/>
        <w:overflowPunct/>
        <w:topLinePunct w:val="0"/>
        <w:bidi w:val="0"/>
        <w:spacing w:before="13"/>
        <w:ind w:left="904" w:right="446"/>
        <w:jc w:val="center"/>
        <w:rPr>
          <w:color w:val="auto"/>
          <w:sz w:val="48"/>
          <w:highlight w:val="none"/>
        </w:rPr>
      </w:pPr>
      <w:r>
        <w:rPr>
          <w:color w:val="auto"/>
          <w:sz w:val="48"/>
          <w:highlight w:val="none"/>
        </w:rPr>
        <w:br w:type="page"/>
      </w:r>
    </w:p>
    <w:p w14:paraId="768B78E5">
      <w:pPr>
        <w:keepNext w:val="0"/>
        <w:keepLines w:val="0"/>
        <w:pageBreakBefore w:val="0"/>
        <w:kinsoku/>
        <w:wordWrap w:val="0"/>
        <w:overflowPunct/>
        <w:topLinePunct w:val="0"/>
        <w:bidi w:val="0"/>
        <w:spacing w:before="13"/>
        <w:ind w:left="904" w:right="446" w:firstLine="3360" w:firstLineChars="700"/>
        <w:jc w:val="both"/>
        <w:rPr>
          <w:color w:val="auto"/>
          <w:sz w:val="48"/>
          <w:highlight w:val="none"/>
        </w:rPr>
      </w:pPr>
      <w:bookmarkStart w:id="266" w:name="_Toc28927_WPSOffice_Level3"/>
      <w:r>
        <w:rPr>
          <w:color w:val="auto"/>
          <w:sz w:val="48"/>
          <w:highlight w:val="none"/>
        </w:rPr>
        <w:t>目</w:t>
      </w:r>
      <w:r>
        <w:rPr>
          <w:rFonts w:hint="eastAsia"/>
          <w:color w:val="auto"/>
          <w:sz w:val="48"/>
          <w:highlight w:val="none"/>
          <w:lang w:val="en-US" w:eastAsia="zh-CN"/>
        </w:rPr>
        <w:t xml:space="preserve">  </w:t>
      </w:r>
      <w:r>
        <w:rPr>
          <w:color w:val="auto"/>
          <w:sz w:val="48"/>
          <w:highlight w:val="none"/>
        </w:rPr>
        <w:t>录</w:t>
      </w:r>
      <w:bookmarkEnd w:id="266"/>
    </w:p>
    <w:p w14:paraId="0CCA2582">
      <w:pPr>
        <w:pStyle w:val="7"/>
        <w:keepNext w:val="0"/>
        <w:keepLines w:val="0"/>
        <w:pageBreakBefore w:val="0"/>
        <w:kinsoku/>
        <w:wordWrap w:val="0"/>
        <w:overflowPunct/>
        <w:topLinePunct w:val="0"/>
        <w:bidi w:val="0"/>
        <w:spacing w:before="12"/>
        <w:ind w:left="0"/>
        <w:jc w:val="center"/>
        <w:rPr>
          <w:color w:val="auto"/>
          <w:sz w:val="44"/>
          <w:highlight w:val="none"/>
        </w:rPr>
      </w:pPr>
    </w:p>
    <w:p w14:paraId="356B384B">
      <w:pPr>
        <w:keepNext w:val="0"/>
        <w:keepLines w:val="0"/>
        <w:pageBreakBefore w:val="0"/>
        <w:kinsoku/>
        <w:wordWrap w:val="0"/>
        <w:overflowPunct/>
        <w:topLinePunct w:val="0"/>
        <w:bidi w:val="0"/>
        <w:jc w:val="center"/>
        <w:rPr>
          <w:rFonts w:hint="eastAsia" w:eastAsia="宋体"/>
          <w:color w:val="auto"/>
          <w:highlight w:val="none"/>
          <w:lang w:eastAsia="zh-CN"/>
        </w:rPr>
        <w:sectPr>
          <w:footerReference r:id="rId8" w:type="default"/>
          <w:pgSz w:w="11910" w:h="16840"/>
          <w:pgMar w:top="1340" w:right="1020" w:bottom="900" w:left="1040" w:header="0" w:footer="720" w:gutter="0"/>
          <w:pgBorders>
            <w:top w:val="none" w:sz="0" w:space="0"/>
            <w:left w:val="none" w:sz="0" w:space="0"/>
            <w:bottom w:val="none" w:sz="0" w:space="0"/>
            <w:right w:val="none" w:sz="0" w:space="0"/>
          </w:pgBorders>
          <w:pgNumType w:fmt="decimal"/>
          <w:cols w:space="720" w:num="1"/>
        </w:sectPr>
      </w:pPr>
      <w:r>
        <w:rPr>
          <w:rFonts w:hint="eastAsia"/>
          <w:color w:val="auto"/>
          <w:highlight w:val="none"/>
          <w:lang w:eastAsia="zh-CN"/>
        </w:rPr>
        <w:t>（</w:t>
      </w:r>
      <w:r>
        <w:rPr>
          <w:rFonts w:hint="eastAsia"/>
          <w:color w:val="auto"/>
          <w:highlight w:val="none"/>
          <w:lang w:val="en-US" w:eastAsia="zh-CN"/>
        </w:rPr>
        <w:t>格式自拟</w:t>
      </w:r>
      <w:r>
        <w:rPr>
          <w:rFonts w:hint="eastAsia"/>
          <w:color w:val="auto"/>
          <w:highlight w:val="none"/>
          <w:lang w:eastAsia="zh-CN"/>
        </w:rPr>
        <w:t>）</w:t>
      </w:r>
    </w:p>
    <w:p w14:paraId="212B3293">
      <w:pPr>
        <w:keepNext w:val="0"/>
        <w:keepLines w:val="0"/>
        <w:pageBreakBefore w:val="0"/>
        <w:kinsoku/>
        <w:wordWrap w:val="0"/>
        <w:overflowPunct/>
        <w:topLinePunct w:val="0"/>
        <w:bidi w:val="0"/>
        <w:spacing w:line="360" w:lineRule="auto"/>
        <w:jc w:val="center"/>
        <w:outlineLvl w:val="0"/>
        <w:rPr>
          <w:color w:val="auto"/>
          <w:sz w:val="28"/>
          <w:szCs w:val="20"/>
          <w:highlight w:val="none"/>
          <w:lang w:val="en-US"/>
        </w:rPr>
      </w:pPr>
      <w:bookmarkStart w:id="267" w:name="_Toc152042577"/>
      <w:bookmarkStart w:id="268" w:name="_Toc144974857"/>
      <w:bookmarkStart w:id="269" w:name="_Toc152045788"/>
      <w:bookmarkStart w:id="270" w:name="_Toc8655_WPSOffice_Level1"/>
      <w:bookmarkStart w:id="271" w:name="_Toc25215"/>
      <w:bookmarkStart w:id="272" w:name="_Toc487498495"/>
      <w:bookmarkStart w:id="273" w:name="_Toc28978"/>
      <w:r>
        <w:rPr>
          <w:rFonts w:hint="eastAsia"/>
          <w:color w:val="auto"/>
          <w:sz w:val="28"/>
          <w:szCs w:val="20"/>
          <w:highlight w:val="none"/>
          <w:lang w:val="en-US"/>
        </w:rPr>
        <w:t>一、磋商函及</w:t>
      </w:r>
      <w:bookmarkEnd w:id="267"/>
      <w:bookmarkEnd w:id="268"/>
      <w:bookmarkEnd w:id="269"/>
      <w:r>
        <w:rPr>
          <w:rFonts w:hint="eastAsia"/>
          <w:color w:val="auto"/>
          <w:sz w:val="28"/>
          <w:szCs w:val="20"/>
          <w:highlight w:val="none"/>
          <w:lang w:val="en-US"/>
        </w:rPr>
        <w:t>磋商函附录</w:t>
      </w:r>
      <w:bookmarkEnd w:id="270"/>
      <w:bookmarkEnd w:id="271"/>
      <w:bookmarkEnd w:id="272"/>
      <w:bookmarkEnd w:id="273"/>
    </w:p>
    <w:p w14:paraId="4F203897">
      <w:pPr>
        <w:keepNext w:val="0"/>
        <w:keepLines w:val="0"/>
        <w:pageBreakBefore w:val="0"/>
        <w:kinsoku/>
        <w:wordWrap w:val="0"/>
        <w:overflowPunct/>
        <w:topLinePunct w:val="0"/>
        <w:bidi w:val="0"/>
        <w:spacing w:line="360" w:lineRule="auto"/>
        <w:jc w:val="center"/>
        <w:outlineLvl w:val="2"/>
        <w:rPr>
          <w:color w:val="auto"/>
          <w:sz w:val="28"/>
          <w:szCs w:val="20"/>
          <w:highlight w:val="none"/>
          <w:lang w:val="en-US"/>
        </w:rPr>
      </w:pPr>
      <w:bookmarkStart w:id="274" w:name="_Toc487498496"/>
      <w:bookmarkStart w:id="275" w:name="_Toc23888"/>
      <w:bookmarkStart w:id="276" w:name="_Toc18705"/>
      <w:bookmarkStart w:id="277" w:name="_Toc463701092"/>
      <w:bookmarkStart w:id="278" w:name="_Toc7366_WPSOffice_Level2"/>
      <w:bookmarkStart w:id="279" w:name="_Toc144974858"/>
      <w:bookmarkStart w:id="280" w:name="_Toc464035571"/>
      <w:bookmarkStart w:id="281" w:name="_Toc488504497"/>
      <w:bookmarkStart w:id="282" w:name="_Toc30581"/>
      <w:bookmarkStart w:id="283" w:name="_Toc455080170"/>
      <w:bookmarkStart w:id="284" w:name="_Toc26765"/>
      <w:bookmarkStart w:id="285" w:name="_Toc8915"/>
      <w:bookmarkStart w:id="286" w:name="_Toc318450744"/>
      <w:bookmarkStart w:id="287" w:name="_Toc152042578"/>
      <w:bookmarkStart w:id="288" w:name="_Toc11855"/>
      <w:bookmarkStart w:id="289" w:name="_Toc152045789"/>
      <w:bookmarkStart w:id="290" w:name="_Toc26262"/>
      <w:r>
        <w:rPr>
          <w:rFonts w:hint="eastAsia"/>
          <w:color w:val="auto"/>
          <w:sz w:val="28"/>
          <w:szCs w:val="20"/>
          <w:highlight w:val="none"/>
          <w:lang w:val="en-US"/>
        </w:rPr>
        <w:t>（一）磋商函</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00DF9B53">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u w:val="single"/>
        </w:rPr>
        <w:t>（采购人名称）</w:t>
      </w:r>
      <w:r>
        <w:rPr>
          <w:rFonts w:hint="eastAsia"/>
          <w:color w:val="auto"/>
          <w:sz w:val="24"/>
          <w:highlight w:val="none"/>
        </w:rPr>
        <w:t>：</w:t>
      </w:r>
    </w:p>
    <w:p w14:paraId="4E7B7952">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 xml:space="preserve">1．我方在考察现场并充分研究 </w:t>
      </w:r>
      <w:r>
        <w:rPr>
          <w:rFonts w:hint="eastAsia"/>
          <w:color w:val="auto"/>
          <w:sz w:val="24"/>
          <w:highlight w:val="none"/>
          <w:u w:val="single"/>
        </w:rPr>
        <w:t xml:space="preserve">                （项目名称）</w:t>
      </w:r>
      <w:r>
        <w:rPr>
          <w:rFonts w:hint="eastAsia"/>
          <w:color w:val="auto"/>
          <w:sz w:val="24"/>
          <w:highlight w:val="none"/>
          <w:u w:val="single"/>
          <w:lang w:eastAsia="zh-CN"/>
        </w:rPr>
        <w:t>、（</w:t>
      </w:r>
      <w:r>
        <w:rPr>
          <w:rFonts w:hint="eastAsia"/>
          <w:color w:val="auto"/>
          <w:sz w:val="24"/>
          <w:highlight w:val="none"/>
          <w:u w:val="single"/>
          <w:lang w:val="en-US" w:eastAsia="zh-CN"/>
        </w:rPr>
        <w:t xml:space="preserve">  标段</w:t>
      </w:r>
      <w:r>
        <w:rPr>
          <w:rFonts w:hint="eastAsia"/>
          <w:color w:val="auto"/>
          <w:sz w:val="24"/>
          <w:highlight w:val="none"/>
          <w:u w:val="single"/>
          <w:lang w:eastAsia="zh-CN"/>
        </w:rPr>
        <w:t>）</w:t>
      </w:r>
      <w:r>
        <w:rPr>
          <w:rFonts w:hint="eastAsia"/>
          <w:color w:val="auto"/>
          <w:sz w:val="24"/>
          <w:highlight w:val="none"/>
        </w:rPr>
        <w:t>磋商文件的全部内容，愿意以磋商函附录中的报价人民币</w:t>
      </w:r>
      <w:r>
        <w:rPr>
          <w:rFonts w:hint="eastAsia"/>
          <w:color w:val="auto"/>
          <w:sz w:val="24"/>
          <w:highlight w:val="none"/>
          <w:u w:val="single"/>
        </w:rPr>
        <w:t>（大写</w:t>
      </w:r>
      <w:r>
        <w:rPr>
          <w:rFonts w:hint="eastAsia"/>
          <w:color w:val="auto"/>
          <w:sz w:val="24"/>
          <w:highlight w:val="none"/>
          <w:u w:val="single"/>
          <w:lang w:val="en-US" w:eastAsia="zh-CN"/>
        </w:rPr>
        <w:t xml:space="preserve"> </w:t>
      </w:r>
      <w:r>
        <w:rPr>
          <w:rFonts w:hint="eastAsia"/>
          <w:color w:val="auto"/>
          <w:sz w:val="24"/>
          <w:highlight w:val="none"/>
          <w:u w:val="single"/>
        </w:rPr>
        <w:t>）（¥</w:t>
      </w:r>
      <w:r>
        <w:rPr>
          <w:rFonts w:hint="eastAsia"/>
          <w:color w:val="auto"/>
          <w:sz w:val="24"/>
          <w:highlight w:val="none"/>
          <w:u w:val="single"/>
          <w:lang w:val="en-US" w:eastAsia="zh-CN"/>
        </w:rPr>
        <w:t xml:space="preserve">  </w:t>
      </w:r>
      <w:r>
        <w:rPr>
          <w:rFonts w:hint="eastAsia"/>
          <w:color w:val="auto"/>
          <w:sz w:val="24"/>
          <w:highlight w:val="none"/>
          <w:u w:val="single"/>
          <w:lang w:val="en-US"/>
        </w:rPr>
        <w:t>元</w:t>
      </w:r>
      <w:r>
        <w:rPr>
          <w:rFonts w:hint="eastAsia"/>
          <w:color w:val="auto"/>
          <w:sz w:val="24"/>
          <w:highlight w:val="none"/>
          <w:u w:val="single"/>
        </w:rPr>
        <w:t>）</w:t>
      </w:r>
      <w:r>
        <w:rPr>
          <w:rFonts w:hint="eastAsia"/>
          <w:color w:val="auto"/>
          <w:sz w:val="24"/>
          <w:highlight w:val="none"/>
        </w:rPr>
        <w:t>，质量</w:t>
      </w:r>
      <w:r>
        <w:rPr>
          <w:rFonts w:hint="eastAsia"/>
          <w:color w:val="auto"/>
          <w:sz w:val="24"/>
          <w:highlight w:val="none"/>
          <w:u w:val="single"/>
          <w:lang w:val="en-US" w:eastAsia="zh-CN"/>
        </w:rPr>
        <w:t xml:space="preserve">     </w:t>
      </w:r>
      <w:r>
        <w:rPr>
          <w:rFonts w:hint="eastAsia"/>
          <w:color w:val="auto"/>
          <w:sz w:val="24"/>
          <w:highlight w:val="none"/>
        </w:rPr>
        <w:t>，供货期</w:t>
      </w:r>
      <w:r>
        <w:rPr>
          <w:rFonts w:hint="eastAsia"/>
          <w:color w:val="auto"/>
          <w:sz w:val="24"/>
          <w:highlight w:val="none"/>
          <w:u w:val="single"/>
          <w:lang w:val="en-US" w:eastAsia="zh-CN"/>
        </w:rPr>
        <w:t xml:space="preserve">    </w:t>
      </w:r>
      <w:r>
        <w:rPr>
          <w:rFonts w:hint="eastAsia"/>
          <w:color w:val="auto"/>
          <w:sz w:val="24"/>
          <w:highlight w:val="none"/>
        </w:rPr>
        <w:t>，并严格按照合同约定完成相关供货服务。</w:t>
      </w:r>
    </w:p>
    <w:p w14:paraId="4A9FA893">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lang w:val="en-US"/>
        </w:rPr>
        <w:t>2</w:t>
      </w:r>
      <w:r>
        <w:rPr>
          <w:rFonts w:hint="eastAsia"/>
          <w:color w:val="auto"/>
          <w:sz w:val="24"/>
          <w:highlight w:val="none"/>
        </w:rPr>
        <w:t>.</w:t>
      </w:r>
      <w:r>
        <w:rPr>
          <w:color w:val="auto"/>
          <w:sz w:val="24"/>
          <w:highlight w:val="none"/>
        </w:rPr>
        <w:t>据此函，经考察现场并</w:t>
      </w:r>
      <w:r>
        <w:rPr>
          <w:rFonts w:hint="eastAsia"/>
          <w:color w:val="auto"/>
          <w:sz w:val="24"/>
          <w:highlight w:val="none"/>
        </w:rPr>
        <w:t>认真</w:t>
      </w:r>
      <w:r>
        <w:rPr>
          <w:color w:val="auto"/>
          <w:sz w:val="24"/>
          <w:highlight w:val="none"/>
        </w:rPr>
        <w:t>研究</w:t>
      </w:r>
      <w:r>
        <w:rPr>
          <w:rFonts w:hint="eastAsia"/>
          <w:color w:val="auto"/>
          <w:sz w:val="24"/>
          <w:highlight w:val="none"/>
        </w:rPr>
        <w:t>磋商</w:t>
      </w:r>
      <w:r>
        <w:rPr>
          <w:color w:val="auto"/>
          <w:sz w:val="24"/>
          <w:highlight w:val="none"/>
        </w:rPr>
        <w:t>文件后，</w:t>
      </w:r>
      <w:r>
        <w:rPr>
          <w:rFonts w:hint="eastAsia"/>
          <w:color w:val="auto"/>
          <w:sz w:val="24"/>
          <w:highlight w:val="none"/>
        </w:rPr>
        <w:t>我方</w:t>
      </w:r>
      <w:r>
        <w:rPr>
          <w:color w:val="auto"/>
          <w:sz w:val="24"/>
          <w:highlight w:val="none"/>
        </w:rPr>
        <w:t>同意：</w:t>
      </w:r>
    </w:p>
    <w:p w14:paraId="267DA3BB">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lang w:val="en-US"/>
        </w:rPr>
        <w:t>2</w:t>
      </w:r>
      <w:r>
        <w:rPr>
          <w:color w:val="auto"/>
          <w:sz w:val="24"/>
          <w:highlight w:val="none"/>
        </w:rPr>
        <w:t>.1</w:t>
      </w:r>
      <w:r>
        <w:rPr>
          <w:rFonts w:hint="eastAsia"/>
          <w:color w:val="auto"/>
          <w:sz w:val="24"/>
          <w:highlight w:val="none"/>
        </w:rPr>
        <w:t>根据项目情况，</w:t>
      </w:r>
      <w:r>
        <w:rPr>
          <w:color w:val="auto"/>
          <w:sz w:val="24"/>
          <w:highlight w:val="none"/>
        </w:rPr>
        <w:t>自主报价参与商务投标报价并承担</w:t>
      </w:r>
      <w:r>
        <w:rPr>
          <w:rFonts w:hint="eastAsia"/>
          <w:color w:val="auto"/>
          <w:sz w:val="24"/>
          <w:highlight w:val="none"/>
        </w:rPr>
        <w:t>磋商</w:t>
      </w:r>
      <w:r>
        <w:rPr>
          <w:color w:val="auto"/>
          <w:sz w:val="24"/>
          <w:highlight w:val="none"/>
        </w:rPr>
        <w:t>文件规定的</w:t>
      </w:r>
      <w:r>
        <w:rPr>
          <w:rFonts w:hint="eastAsia"/>
          <w:color w:val="auto"/>
          <w:sz w:val="24"/>
          <w:highlight w:val="none"/>
        </w:rPr>
        <w:t>各项内容及服务</w:t>
      </w:r>
      <w:r>
        <w:rPr>
          <w:color w:val="auto"/>
          <w:sz w:val="24"/>
          <w:highlight w:val="none"/>
        </w:rPr>
        <w:t>（报价表附后）。</w:t>
      </w:r>
    </w:p>
    <w:p w14:paraId="6026F585">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lang w:val="en-US"/>
        </w:rPr>
        <w:t>2</w:t>
      </w:r>
      <w:r>
        <w:rPr>
          <w:color w:val="auto"/>
          <w:sz w:val="24"/>
          <w:highlight w:val="none"/>
        </w:rPr>
        <w:t>.2接受</w:t>
      </w:r>
      <w:r>
        <w:rPr>
          <w:rFonts w:hint="eastAsia"/>
          <w:color w:val="auto"/>
          <w:sz w:val="24"/>
          <w:highlight w:val="none"/>
        </w:rPr>
        <w:t>采购人“合同文本”中</w:t>
      </w:r>
      <w:r>
        <w:rPr>
          <w:color w:val="auto"/>
          <w:sz w:val="24"/>
          <w:highlight w:val="none"/>
        </w:rPr>
        <w:t>条款的所有要求。</w:t>
      </w:r>
    </w:p>
    <w:p w14:paraId="289E2E5E">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lang w:val="en-US"/>
        </w:rPr>
        <w:t>2</w:t>
      </w:r>
      <w:r>
        <w:rPr>
          <w:color w:val="auto"/>
          <w:sz w:val="24"/>
          <w:highlight w:val="none"/>
        </w:rPr>
        <w:t>.3一旦我方</w:t>
      </w:r>
      <w:r>
        <w:rPr>
          <w:rFonts w:hint="eastAsia"/>
          <w:color w:val="auto"/>
          <w:sz w:val="24"/>
          <w:highlight w:val="none"/>
        </w:rPr>
        <w:t>成交</w:t>
      </w:r>
      <w:r>
        <w:rPr>
          <w:color w:val="auto"/>
          <w:sz w:val="24"/>
          <w:highlight w:val="none"/>
        </w:rPr>
        <w:t>，保证按</w:t>
      </w:r>
      <w:r>
        <w:rPr>
          <w:rFonts w:hint="eastAsia"/>
          <w:color w:val="auto"/>
          <w:sz w:val="24"/>
          <w:highlight w:val="none"/>
        </w:rPr>
        <w:t>磋商</w:t>
      </w:r>
      <w:r>
        <w:rPr>
          <w:color w:val="auto"/>
          <w:sz w:val="24"/>
          <w:highlight w:val="none"/>
        </w:rPr>
        <w:t>文件的规定和投标时的相关承诺提供</w:t>
      </w:r>
      <w:r>
        <w:rPr>
          <w:rFonts w:hint="eastAsia"/>
          <w:color w:val="auto"/>
          <w:sz w:val="24"/>
          <w:highlight w:val="none"/>
        </w:rPr>
        <w:t>相关产品及</w:t>
      </w:r>
      <w:r>
        <w:rPr>
          <w:color w:val="auto"/>
          <w:sz w:val="24"/>
          <w:highlight w:val="none"/>
        </w:rPr>
        <w:t>服务。</w:t>
      </w:r>
    </w:p>
    <w:p w14:paraId="1C93C797">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lang w:val="en-US"/>
        </w:rPr>
        <w:t>2</w:t>
      </w:r>
      <w:r>
        <w:rPr>
          <w:rFonts w:hint="eastAsia"/>
          <w:color w:val="auto"/>
          <w:sz w:val="24"/>
          <w:highlight w:val="none"/>
        </w:rPr>
        <w:t>.</w:t>
      </w:r>
      <w:r>
        <w:rPr>
          <w:color w:val="auto"/>
          <w:sz w:val="24"/>
          <w:highlight w:val="none"/>
        </w:rPr>
        <w:t>4按</w:t>
      </w:r>
      <w:r>
        <w:rPr>
          <w:rFonts w:hint="eastAsia"/>
          <w:color w:val="auto"/>
          <w:sz w:val="24"/>
          <w:highlight w:val="none"/>
        </w:rPr>
        <w:t>磋商</w:t>
      </w:r>
      <w:r>
        <w:rPr>
          <w:color w:val="auto"/>
          <w:sz w:val="24"/>
          <w:highlight w:val="none"/>
        </w:rPr>
        <w:t>文件中的规定，认定本</w:t>
      </w:r>
      <w:r>
        <w:rPr>
          <w:rFonts w:hint="eastAsia"/>
          <w:color w:val="auto"/>
          <w:sz w:val="24"/>
          <w:highlight w:val="none"/>
        </w:rPr>
        <w:t>响应</w:t>
      </w:r>
      <w:r>
        <w:rPr>
          <w:color w:val="auto"/>
          <w:sz w:val="24"/>
          <w:highlight w:val="none"/>
        </w:rPr>
        <w:t>文件的有效期为</w:t>
      </w:r>
      <w:r>
        <w:rPr>
          <w:rFonts w:hint="eastAsia"/>
          <w:color w:val="auto"/>
          <w:sz w:val="24"/>
          <w:highlight w:val="none"/>
        </w:rPr>
        <w:t>响应文件递交</w:t>
      </w:r>
      <w:r>
        <w:rPr>
          <w:color w:val="auto"/>
          <w:sz w:val="24"/>
          <w:highlight w:val="none"/>
        </w:rPr>
        <w:t>截止</w:t>
      </w:r>
      <w:r>
        <w:rPr>
          <w:rFonts w:hint="eastAsia"/>
          <w:color w:val="auto"/>
          <w:sz w:val="24"/>
          <w:highlight w:val="none"/>
        </w:rPr>
        <w:t>日</w:t>
      </w:r>
      <w:r>
        <w:rPr>
          <w:color w:val="auto"/>
          <w:sz w:val="24"/>
          <w:highlight w:val="none"/>
        </w:rPr>
        <w:t>后60</w:t>
      </w:r>
      <w:r>
        <w:rPr>
          <w:rFonts w:hint="eastAsia"/>
          <w:color w:val="auto"/>
          <w:sz w:val="24"/>
          <w:highlight w:val="none"/>
        </w:rPr>
        <w:t>日历</w:t>
      </w:r>
      <w:r>
        <w:rPr>
          <w:color w:val="auto"/>
          <w:sz w:val="24"/>
          <w:highlight w:val="none"/>
        </w:rPr>
        <w:t>天。本</w:t>
      </w:r>
      <w:r>
        <w:rPr>
          <w:rFonts w:hint="eastAsia"/>
          <w:color w:val="auto"/>
          <w:sz w:val="24"/>
          <w:highlight w:val="none"/>
        </w:rPr>
        <w:t>响应</w:t>
      </w:r>
      <w:r>
        <w:rPr>
          <w:color w:val="auto"/>
          <w:sz w:val="24"/>
          <w:highlight w:val="none"/>
        </w:rPr>
        <w:t>文件在截止</w:t>
      </w:r>
      <w:r>
        <w:rPr>
          <w:rFonts w:hint="eastAsia"/>
          <w:color w:val="auto"/>
          <w:sz w:val="24"/>
          <w:highlight w:val="none"/>
        </w:rPr>
        <w:t>日起即</w:t>
      </w:r>
      <w:r>
        <w:rPr>
          <w:color w:val="auto"/>
          <w:sz w:val="24"/>
          <w:highlight w:val="none"/>
        </w:rPr>
        <w:t>对我方</w:t>
      </w:r>
      <w:r>
        <w:rPr>
          <w:rFonts w:hint="eastAsia"/>
          <w:color w:val="auto"/>
          <w:sz w:val="24"/>
          <w:highlight w:val="none"/>
        </w:rPr>
        <w:t>具</w:t>
      </w:r>
      <w:r>
        <w:rPr>
          <w:color w:val="auto"/>
          <w:sz w:val="24"/>
          <w:highlight w:val="none"/>
        </w:rPr>
        <w:t>有约束力</w:t>
      </w:r>
      <w:r>
        <w:rPr>
          <w:rFonts w:hint="eastAsia"/>
          <w:color w:val="auto"/>
          <w:sz w:val="24"/>
          <w:highlight w:val="none"/>
        </w:rPr>
        <w:t>。</w:t>
      </w:r>
    </w:p>
    <w:p w14:paraId="23657EF8">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lang w:val="en-US"/>
        </w:rPr>
        <w:t>2</w:t>
      </w:r>
      <w:r>
        <w:rPr>
          <w:rFonts w:hint="eastAsia"/>
          <w:color w:val="auto"/>
          <w:sz w:val="24"/>
          <w:highlight w:val="none"/>
        </w:rPr>
        <w:t>.</w:t>
      </w:r>
      <w:r>
        <w:rPr>
          <w:color w:val="auto"/>
          <w:sz w:val="24"/>
          <w:highlight w:val="none"/>
        </w:rPr>
        <w:t>5提供</w:t>
      </w:r>
      <w:r>
        <w:rPr>
          <w:rFonts w:hint="eastAsia"/>
          <w:color w:val="auto"/>
          <w:sz w:val="24"/>
          <w:highlight w:val="none"/>
        </w:rPr>
        <w:t>磋商</w:t>
      </w:r>
      <w:r>
        <w:rPr>
          <w:color w:val="auto"/>
          <w:sz w:val="24"/>
          <w:highlight w:val="none"/>
        </w:rPr>
        <w:t>文件中要求的所有文件资料。</w:t>
      </w:r>
    </w:p>
    <w:p w14:paraId="44161695">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lang w:val="en-US"/>
        </w:rPr>
        <w:t>2</w:t>
      </w:r>
      <w:r>
        <w:rPr>
          <w:rFonts w:hint="eastAsia"/>
          <w:color w:val="auto"/>
          <w:sz w:val="24"/>
          <w:highlight w:val="none"/>
        </w:rPr>
        <w:t>.</w:t>
      </w:r>
      <w:r>
        <w:rPr>
          <w:color w:val="auto"/>
          <w:sz w:val="24"/>
          <w:highlight w:val="none"/>
        </w:rPr>
        <w:t>6承认报价是评标的重要因素，但不是唯一标准。</w:t>
      </w:r>
      <w:r>
        <w:rPr>
          <w:rFonts w:hint="eastAsia"/>
          <w:color w:val="auto"/>
          <w:sz w:val="24"/>
          <w:highlight w:val="none"/>
        </w:rPr>
        <w:t>我方完全理解采购人不一定将合同授予最低报价的供应商的行为。</w:t>
      </w:r>
    </w:p>
    <w:p w14:paraId="1103327E">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lang w:val="en-US"/>
        </w:rPr>
        <w:t>2</w:t>
      </w:r>
      <w:r>
        <w:rPr>
          <w:rFonts w:hint="eastAsia"/>
          <w:color w:val="auto"/>
          <w:sz w:val="24"/>
          <w:highlight w:val="none"/>
        </w:rPr>
        <w:t>.7</w:t>
      </w:r>
      <w:r>
        <w:rPr>
          <w:color w:val="auto"/>
          <w:sz w:val="24"/>
          <w:highlight w:val="none"/>
        </w:rPr>
        <w:t>已经详细审核了全部</w:t>
      </w:r>
      <w:r>
        <w:rPr>
          <w:rFonts w:hint="eastAsia"/>
          <w:color w:val="auto"/>
          <w:sz w:val="24"/>
          <w:highlight w:val="none"/>
        </w:rPr>
        <w:t>磋商</w:t>
      </w:r>
      <w:r>
        <w:rPr>
          <w:color w:val="auto"/>
          <w:sz w:val="24"/>
          <w:highlight w:val="none"/>
        </w:rPr>
        <w:t>文件，包括修改、补充的文件（如果有的话）和参考资料，我们完全理解并同意放弃对这方面有不明及误解的权利。</w:t>
      </w:r>
    </w:p>
    <w:p w14:paraId="6E22F2B7">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lang w:val="en-US"/>
        </w:rPr>
        <w:t>2</w:t>
      </w:r>
      <w:r>
        <w:rPr>
          <w:rFonts w:hint="eastAsia"/>
          <w:color w:val="auto"/>
          <w:sz w:val="24"/>
          <w:highlight w:val="none"/>
        </w:rPr>
        <w:t>.8</w:t>
      </w:r>
      <w:r>
        <w:rPr>
          <w:color w:val="auto"/>
          <w:sz w:val="24"/>
          <w:highlight w:val="none"/>
        </w:rPr>
        <w:t>按《中华人民共和国</w:t>
      </w:r>
      <w:r>
        <w:rPr>
          <w:rFonts w:hint="eastAsia"/>
          <w:color w:val="auto"/>
          <w:sz w:val="24"/>
          <w:highlight w:val="none"/>
          <w:lang w:eastAsia="zh-CN"/>
        </w:rPr>
        <w:t>民法典</w:t>
      </w:r>
      <w:r>
        <w:rPr>
          <w:color w:val="auto"/>
          <w:sz w:val="24"/>
          <w:highlight w:val="none"/>
        </w:rPr>
        <w:t>》履行自己的全部责任。</w:t>
      </w:r>
    </w:p>
    <w:p w14:paraId="50FCCF64">
      <w:pPr>
        <w:keepNext w:val="0"/>
        <w:keepLines w:val="0"/>
        <w:pageBreakBefore w:val="0"/>
        <w:kinsoku/>
        <w:wordWrap w:val="0"/>
        <w:overflowPunct/>
        <w:topLinePunct w:val="0"/>
        <w:bidi w:val="0"/>
        <w:spacing w:line="400" w:lineRule="exact"/>
        <w:ind w:firstLine="4200" w:firstLineChars="1750"/>
        <w:rPr>
          <w:color w:val="auto"/>
          <w:sz w:val="24"/>
          <w:highlight w:val="none"/>
        </w:rPr>
      </w:pPr>
    </w:p>
    <w:p w14:paraId="0CD3CEDB">
      <w:pPr>
        <w:keepNext w:val="0"/>
        <w:keepLines w:val="0"/>
        <w:pageBreakBefore w:val="0"/>
        <w:kinsoku/>
        <w:wordWrap w:val="0"/>
        <w:overflowPunct/>
        <w:topLinePunct w:val="0"/>
        <w:bidi w:val="0"/>
        <w:spacing w:line="360" w:lineRule="auto"/>
        <w:ind w:firstLine="4200" w:firstLineChars="1750"/>
        <w:rPr>
          <w:color w:val="auto"/>
          <w:sz w:val="24"/>
          <w:highlight w:val="none"/>
        </w:rPr>
      </w:pPr>
      <w:r>
        <w:rPr>
          <w:rFonts w:hint="eastAsia"/>
          <w:color w:val="auto"/>
          <w:sz w:val="24"/>
          <w:highlight w:val="none"/>
        </w:rPr>
        <w:t>供应商：（公章签章）</w:t>
      </w:r>
    </w:p>
    <w:p w14:paraId="7EE16F7F">
      <w:pPr>
        <w:keepNext w:val="0"/>
        <w:keepLines w:val="0"/>
        <w:pageBreakBefore w:val="0"/>
        <w:kinsoku/>
        <w:wordWrap w:val="0"/>
        <w:overflowPunct/>
        <w:topLinePunct w:val="0"/>
        <w:bidi w:val="0"/>
        <w:spacing w:line="360" w:lineRule="auto"/>
        <w:jc w:val="center"/>
        <w:rPr>
          <w:color w:val="auto"/>
          <w:sz w:val="24"/>
          <w:highlight w:val="none"/>
        </w:rPr>
      </w:pPr>
      <w:bookmarkStart w:id="291" w:name="_Toc13053_WPSOffice_Level3"/>
      <w:r>
        <w:rPr>
          <w:rFonts w:hint="eastAsia"/>
          <w:color w:val="auto"/>
          <w:sz w:val="24"/>
          <w:highlight w:val="none"/>
        </w:rPr>
        <w:t>法定代表人或其委托代理人：（法人签章）</w:t>
      </w:r>
      <w:bookmarkEnd w:id="291"/>
    </w:p>
    <w:p w14:paraId="54B59951">
      <w:pPr>
        <w:keepNext w:val="0"/>
        <w:keepLines w:val="0"/>
        <w:pageBreakBefore w:val="0"/>
        <w:kinsoku/>
        <w:wordWrap w:val="0"/>
        <w:overflowPunct/>
        <w:topLinePunct w:val="0"/>
        <w:bidi w:val="0"/>
        <w:spacing w:line="360" w:lineRule="auto"/>
        <w:ind w:firstLine="960" w:firstLineChars="400"/>
        <w:jc w:val="both"/>
        <w:rPr>
          <w:color w:val="auto"/>
          <w:sz w:val="24"/>
          <w:highlight w:val="none"/>
        </w:rPr>
      </w:pPr>
      <w:r>
        <w:rPr>
          <w:rFonts w:hint="eastAsia"/>
          <w:color w:val="auto"/>
          <w:sz w:val="24"/>
          <w:highlight w:val="none"/>
        </w:rPr>
        <w:t xml:space="preserve">                                年  月   日</w:t>
      </w:r>
    </w:p>
    <w:p w14:paraId="50ABC501">
      <w:pPr>
        <w:keepNext w:val="0"/>
        <w:keepLines w:val="0"/>
        <w:pageBreakBefore w:val="0"/>
        <w:kinsoku/>
        <w:wordWrap w:val="0"/>
        <w:overflowPunct/>
        <w:topLinePunct w:val="0"/>
        <w:bidi w:val="0"/>
        <w:spacing w:line="360" w:lineRule="auto"/>
        <w:jc w:val="both"/>
        <w:outlineLvl w:val="2"/>
        <w:rPr>
          <w:b/>
          <w:color w:val="auto"/>
          <w:sz w:val="32"/>
          <w:highlight w:val="none"/>
        </w:rPr>
      </w:pPr>
    </w:p>
    <w:p w14:paraId="42FC0904">
      <w:pPr>
        <w:keepNext w:val="0"/>
        <w:keepLines w:val="0"/>
        <w:pageBreakBefore w:val="0"/>
        <w:kinsoku/>
        <w:wordWrap w:val="0"/>
        <w:overflowPunct/>
        <w:topLinePunct w:val="0"/>
        <w:bidi w:val="0"/>
        <w:spacing w:line="360" w:lineRule="auto"/>
        <w:jc w:val="center"/>
        <w:outlineLvl w:val="2"/>
        <w:rPr>
          <w:rFonts w:hint="eastAsia"/>
          <w:color w:val="auto"/>
          <w:sz w:val="28"/>
          <w:szCs w:val="20"/>
          <w:highlight w:val="none"/>
          <w:lang w:val="en-US"/>
        </w:rPr>
      </w:pPr>
      <w:bookmarkStart w:id="292" w:name="_Toc403418354"/>
      <w:bookmarkStart w:id="293" w:name="_Toc403418420"/>
      <w:bookmarkStart w:id="294" w:name="_Toc216842529"/>
      <w:bookmarkStart w:id="295" w:name="_Toc20293"/>
      <w:bookmarkStart w:id="296" w:name="_Toc25194"/>
      <w:bookmarkStart w:id="297" w:name="_Toc13604_WPSOffice_Level2"/>
      <w:bookmarkStart w:id="298" w:name="_Toc14822"/>
    </w:p>
    <w:p w14:paraId="4B47DA78">
      <w:pPr>
        <w:keepNext w:val="0"/>
        <w:keepLines w:val="0"/>
        <w:pageBreakBefore w:val="0"/>
        <w:kinsoku/>
        <w:wordWrap w:val="0"/>
        <w:overflowPunct/>
        <w:topLinePunct w:val="0"/>
        <w:bidi w:val="0"/>
        <w:spacing w:line="360" w:lineRule="auto"/>
        <w:jc w:val="center"/>
        <w:outlineLvl w:val="2"/>
        <w:rPr>
          <w:rFonts w:hint="eastAsia"/>
          <w:color w:val="auto"/>
          <w:sz w:val="28"/>
          <w:szCs w:val="20"/>
          <w:highlight w:val="none"/>
          <w:lang w:val="en-US"/>
        </w:rPr>
      </w:pPr>
    </w:p>
    <w:p w14:paraId="740BC25E">
      <w:pPr>
        <w:keepNext w:val="0"/>
        <w:keepLines w:val="0"/>
        <w:pageBreakBefore w:val="0"/>
        <w:kinsoku/>
        <w:wordWrap w:val="0"/>
        <w:overflowPunct/>
        <w:topLinePunct w:val="0"/>
        <w:bidi w:val="0"/>
        <w:spacing w:line="360" w:lineRule="auto"/>
        <w:jc w:val="center"/>
        <w:outlineLvl w:val="2"/>
        <w:rPr>
          <w:rFonts w:hint="eastAsia"/>
          <w:color w:val="auto"/>
          <w:sz w:val="28"/>
          <w:szCs w:val="20"/>
          <w:highlight w:val="none"/>
          <w:lang w:val="en-US"/>
        </w:rPr>
      </w:pPr>
    </w:p>
    <w:p w14:paraId="1DD3D988">
      <w:pPr>
        <w:keepNext w:val="0"/>
        <w:keepLines w:val="0"/>
        <w:pageBreakBefore w:val="0"/>
        <w:kinsoku/>
        <w:wordWrap w:val="0"/>
        <w:overflowPunct/>
        <w:topLinePunct w:val="0"/>
        <w:bidi w:val="0"/>
        <w:spacing w:line="360" w:lineRule="auto"/>
        <w:jc w:val="center"/>
        <w:outlineLvl w:val="2"/>
        <w:rPr>
          <w:rFonts w:hint="eastAsia"/>
          <w:color w:val="auto"/>
          <w:sz w:val="28"/>
          <w:szCs w:val="20"/>
          <w:highlight w:val="none"/>
          <w:lang w:val="en-US"/>
        </w:rPr>
      </w:pPr>
    </w:p>
    <w:p w14:paraId="01BD239B">
      <w:pPr>
        <w:keepNext w:val="0"/>
        <w:keepLines w:val="0"/>
        <w:pageBreakBefore w:val="0"/>
        <w:kinsoku/>
        <w:wordWrap w:val="0"/>
        <w:overflowPunct/>
        <w:topLinePunct w:val="0"/>
        <w:bidi w:val="0"/>
        <w:spacing w:line="360" w:lineRule="auto"/>
        <w:jc w:val="center"/>
        <w:outlineLvl w:val="2"/>
        <w:rPr>
          <w:rFonts w:hint="eastAsia"/>
          <w:color w:val="auto"/>
          <w:sz w:val="28"/>
          <w:szCs w:val="20"/>
          <w:highlight w:val="none"/>
          <w:lang w:val="en-US"/>
        </w:rPr>
      </w:pPr>
    </w:p>
    <w:p w14:paraId="3D052967">
      <w:pPr>
        <w:keepNext w:val="0"/>
        <w:keepLines w:val="0"/>
        <w:pageBreakBefore w:val="0"/>
        <w:kinsoku/>
        <w:wordWrap w:val="0"/>
        <w:overflowPunct/>
        <w:topLinePunct w:val="0"/>
        <w:bidi w:val="0"/>
        <w:spacing w:line="360" w:lineRule="auto"/>
        <w:jc w:val="center"/>
        <w:outlineLvl w:val="2"/>
        <w:rPr>
          <w:rFonts w:hint="eastAsia"/>
          <w:color w:val="auto"/>
          <w:sz w:val="28"/>
          <w:szCs w:val="20"/>
          <w:highlight w:val="none"/>
          <w:lang w:val="en-US"/>
        </w:rPr>
      </w:pPr>
    </w:p>
    <w:p w14:paraId="2D4974DF">
      <w:pPr>
        <w:keepNext w:val="0"/>
        <w:keepLines w:val="0"/>
        <w:pageBreakBefore w:val="0"/>
        <w:kinsoku/>
        <w:wordWrap w:val="0"/>
        <w:overflowPunct/>
        <w:topLinePunct w:val="0"/>
        <w:bidi w:val="0"/>
        <w:spacing w:line="360" w:lineRule="auto"/>
        <w:jc w:val="center"/>
        <w:outlineLvl w:val="2"/>
        <w:rPr>
          <w:color w:val="auto"/>
          <w:sz w:val="28"/>
          <w:szCs w:val="20"/>
          <w:highlight w:val="none"/>
          <w:lang w:val="en-US"/>
        </w:rPr>
      </w:pPr>
      <w:r>
        <w:rPr>
          <w:rFonts w:hint="eastAsia"/>
          <w:color w:val="auto"/>
          <w:sz w:val="28"/>
          <w:szCs w:val="20"/>
          <w:highlight w:val="none"/>
          <w:lang w:val="en-US"/>
        </w:rPr>
        <w:t>（二）</w:t>
      </w:r>
      <w:bookmarkEnd w:id="292"/>
      <w:bookmarkEnd w:id="293"/>
      <w:bookmarkEnd w:id="294"/>
      <w:r>
        <w:rPr>
          <w:rFonts w:hint="eastAsia"/>
          <w:color w:val="auto"/>
          <w:sz w:val="28"/>
          <w:szCs w:val="20"/>
          <w:highlight w:val="none"/>
          <w:lang w:val="en-US"/>
        </w:rPr>
        <w:t>磋商函附录</w:t>
      </w:r>
      <w:bookmarkEnd w:id="295"/>
      <w:bookmarkEnd w:id="296"/>
      <w:bookmarkEnd w:id="297"/>
      <w:bookmarkEnd w:id="29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3011"/>
        <w:gridCol w:w="1335"/>
        <w:gridCol w:w="3288"/>
      </w:tblGrid>
      <w:tr w14:paraId="6DF3B797">
        <w:tblPrEx>
          <w:tblCellMar>
            <w:top w:w="0" w:type="dxa"/>
            <w:left w:w="108" w:type="dxa"/>
            <w:bottom w:w="0" w:type="dxa"/>
            <w:right w:w="108" w:type="dxa"/>
          </w:tblCellMar>
        </w:tblPrEx>
        <w:trPr>
          <w:cantSplit/>
          <w:trHeight w:val="942" w:hRule="atLeast"/>
          <w:jc w:val="center"/>
        </w:trPr>
        <w:tc>
          <w:tcPr>
            <w:tcW w:w="1486" w:type="dxa"/>
            <w:noWrap/>
            <w:vAlign w:val="center"/>
          </w:tcPr>
          <w:p w14:paraId="24601B9C">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r>
              <w:rPr>
                <w:rFonts w:hint="eastAsia"/>
                <w:color w:val="auto"/>
                <w:sz w:val="24"/>
                <w:highlight w:val="none"/>
              </w:rPr>
              <w:t>项目名称</w:t>
            </w:r>
          </w:p>
        </w:tc>
        <w:tc>
          <w:tcPr>
            <w:tcW w:w="7634" w:type="dxa"/>
            <w:gridSpan w:val="3"/>
            <w:noWrap/>
            <w:vAlign w:val="center"/>
          </w:tcPr>
          <w:p w14:paraId="303304F3">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p>
        </w:tc>
      </w:tr>
      <w:tr w14:paraId="47E7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1486" w:type="dxa"/>
            <w:noWrap/>
            <w:vAlign w:val="center"/>
          </w:tcPr>
          <w:p w14:paraId="37741247">
            <w:pPr>
              <w:keepNext w:val="0"/>
              <w:keepLines w:val="0"/>
              <w:pageBreakBefore w:val="0"/>
              <w:kinsoku/>
              <w:wordWrap w:val="0"/>
              <w:overflowPunct/>
              <w:topLinePunct w:val="0"/>
              <w:bidi w:val="0"/>
              <w:adjustRightInd w:val="0"/>
              <w:snapToGrid w:val="0"/>
              <w:spacing w:line="300" w:lineRule="exact"/>
              <w:jc w:val="center"/>
              <w:rPr>
                <w:rFonts w:hint="eastAsia" w:eastAsia="宋体"/>
                <w:color w:val="auto"/>
                <w:sz w:val="24"/>
                <w:highlight w:val="none"/>
                <w:lang w:val="en-US" w:eastAsia="zh-CN"/>
              </w:rPr>
            </w:pPr>
            <w:r>
              <w:rPr>
                <w:rFonts w:hint="eastAsia"/>
                <w:color w:val="auto"/>
                <w:sz w:val="24"/>
                <w:highlight w:val="none"/>
                <w:lang w:val="en-US" w:eastAsia="zh-CN"/>
              </w:rPr>
              <w:t>所投标段</w:t>
            </w:r>
          </w:p>
        </w:tc>
        <w:tc>
          <w:tcPr>
            <w:tcW w:w="7634" w:type="dxa"/>
            <w:gridSpan w:val="3"/>
            <w:noWrap/>
            <w:vAlign w:val="center"/>
          </w:tcPr>
          <w:p w14:paraId="40989495">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p>
        </w:tc>
      </w:tr>
      <w:tr w14:paraId="3E86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1486" w:type="dxa"/>
            <w:noWrap/>
            <w:vAlign w:val="center"/>
          </w:tcPr>
          <w:p w14:paraId="459860ED">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r>
              <w:rPr>
                <w:rFonts w:hint="eastAsia"/>
                <w:color w:val="auto"/>
                <w:sz w:val="24"/>
                <w:highlight w:val="none"/>
              </w:rPr>
              <w:t>供应商</w:t>
            </w:r>
          </w:p>
        </w:tc>
        <w:tc>
          <w:tcPr>
            <w:tcW w:w="7634" w:type="dxa"/>
            <w:gridSpan w:val="3"/>
            <w:noWrap/>
            <w:vAlign w:val="center"/>
          </w:tcPr>
          <w:p w14:paraId="676AE167">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p>
        </w:tc>
      </w:tr>
      <w:tr w14:paraId="4833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486" w:type="dxa"/>
            <w:noWrap/>
            <w:vAlign w:val="center"/>
          </w:tcPr>
          <w:p w14:paraId="46FCFA52">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r>
              <w:rPr>
                <w:rFonts w:hint="eastAsia"/>
                <w:color w:val="auto"/>
                <w:sz w:val="24"/>
                <w:highlight w:val="none"/>
              </w:rPr>
              <w:t>投标内容</w:t>
            </w:r>
          </w:p>
        </w:tc>
        <w:tc>
          <w:tcPr>
            <w:tcW w:w="7634" w:type="dxa"/>
            <w:gridSpan w:val="3"/>
            <w:noWrap/>
            <w:vAlign w:val="center"/>
          </w:tcPr>
          <w:p w14:paraId="7317A3E0">
            <w:pPr>
              <w:keepNext w:val="0"/>
              <w:keepLines w:val="0"/>
              <w:pageBreakBefore w:val="0"/>
              <w:kinsoku/>
              <w:wordWrap w:val="0"/>
              <w:overflowPunct/>
              <w:topLinePunct w:val="0"/>
              <w:bidi w:val="0"/>
              <w:adjustRightInd w:val="0"/>
              <w:snapToGrid w:val="0"/>
              <w:spacing w:line="380" w:lineRule="exact"/>
              <w:jc w:val="center"/>
              <w:rPr>
                <w:color w:val="auto"/>
                <w:sz w:val="24"/>
                <w:highlight w:val="none"/>
              </w:rPr>
            </w:pPr>
          </w:p>
        </w:tc>
      </w:tr>
      <w:tr w14:paraId="0E6B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486" w:type="dxa"/>
            <w:noWrap/>
            <w:vAlign w:val="center"/>
          </w:tcPr>
          <w:p w14:paraId="76226FBB">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r>
              <w:rPr>
                <w:rFonts w:hint="eastAsia"/>
                <w:color w:val="auto"/>
                <w:sz w:val="24"/>
                <w:highlight w:val="none"/>
              </w:rPr>
              <w:t>投标总报价</w:t>
            </w:r>
          </w:p>
        </w:tc>
        <w:tc>
          <w:tcPr>
            <w:tcW w:w="7634" w:type="dxa"/>
            <w:gridSpan w:val="3"/>
            <w:noWrap/>
            <w:vAlign w:val="center"/>
          </w:tcPr>
          <w:p w14:paraId="0A44ECFA">
            <w:pPr>
              <w:keepNext w:val="0"/>
              <w:keepLines w:val="0"/>
              <w:pageBreakBefore w:val="0"/>
              <w:kinsoku/>
              <w:wordWrap w:val="0"/>
              <w:overflowPunct/>
              <w:topLinePunct w:val="0"/>
              <w:bidi w:val="0"/>
              <w:adjustRightInd w:val="0"/>
              <w:snapToGrid w:val="0"/>
              <w:spacing w:line="380" w:lineRule="exact"/>
              <w:jc w:val="center"/>
              <w:rPr>
                <w:color w:val="auto"/>
                <w:sz w:val="24"/>
                <w:highlight w:val="none"/>
              </w:rPr>
            </w:pPr>
            <w:r>
              <w:rPr>
                <w:rFonts w:hint="eastAsia"/>
                <w:color w:val="auto"/>
                <w:sz w:val="24"/>
                <w:highlight w:val="none"/>
              </w:rPr>
              <w:t>大写： ；小写：元</w:t>
            </w:r>
          </w:p>
        </w:tc>
      </w:tr>
      <w:tr w14:paraId="33F1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86" w:type="dxa"/>
            <w:noWrap/>
            <w:vAlign w:val="center"/>
          </w:tcPr>
          <w:p w14:paraId="255E9AAB">
            <w:pPr>
              <w:keepNext w:val="0"/>
              <w:keepLines w:val="0"/>
              <w:pageBreakBefore w:val="0"/>
              <w:kinsoku/>
              <w:wordWrap w:val="0"/>
              <w:overflowPunct/>
              <w:topLinePunct w:val="0"/>
              <w:bidi w:val="0"/>
              <w:adjustRightInd w:val="0"/>
              <w:snapToGrid w:val="0"/>
              <w:spacing w:line="300" w:lineRule="exact"/>
              <w:jc w:val="center"/>
              <w:rPr>
                <w:rFonts w:hint="eastAsia" w:eastAsia="宋体"/>
                <w:color w:val="auto"/>
                <w:sz w:val="24"/>
                <w:highlight w:val="none"/>
                <w:lang w:eastAsia="zh-CN"/>
              </w:rPr>
            </w:pPr>
            <w:r>
              <w:rPr>
                <w:rFonts w:hint="eastAsia"/>
                <w:color w:val="auto"/>
                <w:sz w:val="24"/>
                <w:highlight w:val="none"/>
                <w:lang w:eastAsia="zh-CN"/>
              </w:rPr>
              <w:t>项目负责人</w:t>
            </w:r>
          </w:p>
        </w:tc>
        <w:tc>
          <w:tcPr>
            <w:tcW w:w="3011" w:type="dxa"/>
            <w:noWrap/>
            <w:vAlign w:val="center"/>
          </w:tcPr>
          <w:p w14:paraId="4BCCBBD0">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p>
        </w:tc>
        <w:tc>
          <w:tcPr>
            <w:tcW w:w="1335" w:type="dxa"/>
            <w:noWrap/>
            <w:vAlign w:val="center"/>
          </w:tcPr>
          <w:p w14:paraId="417AD211">
            <w:pPr>
              <w:keepNext w:val="0"/>
              <w:keepLines w:val="0"/>
              <w:pageBreakBefore w:val="0"/>
              <w:kinsoku/>
              <w:wordWrap w:val="0"/>
              <w:overflowPunct/>
              <w:topLinePunct w:val="0"/>
              <w:bidi w:val="0"/>
              <w:adjustRightInd w:val="0"/>
              <w:snapToGrid w:val="0"/>
              <w:spacing w:line="300" w:lineRule="exact"/>
              <w:jc w:val="center"/>
              <w:rPr>
                <w:rFonts w:hint="eastAsia" w:eastAsia="宋体"/>
                <w:color w:val="auto"/>
                <w:sz w:val="24"/>
                <w:highlight w:val="none"/>
                <w:lang w:eastAsia="zh-CN"/>
              </w:rPr>
            </w:pPr>
            <w:r>
              <w:rPr>
                <w:rFonts w:hint="eastAsia"/>
                <w:color w:val="auto"/>
                <w:sz w:val="24"/>
                <w:highlight w:val="none"/>
                <w:lang w:eastAsia="zh-CN"/>
              </w:rPr>
              <w:t>联系方式</w:t>
            </w:r>
          </w:p>
        </w:tc>
        <w:tc>
          <w:tcPr>
            <w:tcW w:w="3288" w:type="dxa"/>
            <w:noWrap/>
            <w:vAlign w:val="center"/>
          </w:tcPr>
          <w:p w14:paraId="27286512">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p>
        </w:tc>
      </w:tr>
      <w:tr w14:paraId="0F21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486" w:type="dxa"/>
            <w:noWrap/>
            <w:vAlign w:val="center"/>
          </w:tcPr>
          <w:p w14:paraId="4CBD031B">
            <w:pPr>
              <w:keepNext w:val="0"/>
              <w:keepLines w:val="0"/>
              <w:pageBreakBefore w:val="0"/>
              <w:kinsoku/>
              <w:wordWrap w:val="0"/>
              <w:overflowPunct/>
              <w:topLinePunct w:val="0"/>
              <w:bidi w:val="0"/>
              <w:adjustRightInd w:val="0"/>
              <w:snapToGrid w:val="0"/>
              <w:spacing w:line="300" w:lineRule="exact"/>
              <w:jc w:val="center"/>
              <w:rPr>
                <w:rFonts w:hint="eastAsia"/>
                <w:color w:val="auto"/>
                <w:sz w:val="24"/>
                <w:highlight w:val="none"/>
                <w:lang w:eastAsia="zh-CN"/>
              </w:rPr>
            </w:pPr>
            <w:r>
              <w:rPr>
                <w:rFonts w:hint="eastAsia"/>
                <w:color w:val="auto"/>
                <w:sz w:val="24"/>
                <w:highlight w:val="none"/>
              </w:rPr>
              <w:t>供货期</w:t>
            </w:r>
          </w:p>
        </w:tc>
        <w:tc>
          <w:tcPr>
            <w:tcW w:w="7634" w:type="dxa"/>
            <w:gridSpan w:val="3"/>
            <w:noWrap/>
            <w:vAlign w:val="center"/>
          </w:tcPr>
          <w:p w14:paraId="690F52CC">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p>
        </w:tc>
      </w:tr>
      <w:tr w14:paraId="76E1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86" w:type="dxa"/>
            <w:noWrap/>
            <w:vAlign w:val="center"/>
          </w:tcPr>
          <w:p w14:paraId="0BB2EFFE">
            <w:pPr>
              <w:keepNext w:val="0"/>
              <w:keepLines w:val="0"/>
              <w:pageBreakBefore w:val="0"/>
              <w:kinsoku/>
              <w:wordWrap w:val="0"/>
              <w:overflowPunct/>
              <w:topLinePunct w:val="0"/>
              <w:bidi w:val="0"/>
              <w:adjustRightInd w:val="0"/>
              <w:snapToGrid w:val="0"/>
              <w:spacing w:line="300" w:lineRule="exact"/>
              <w:jc w:val="center"/>
              <w:rPr>
                <w:color w:val="auto"/>
                <w:sz w:val="24"/>
                <w:highlight w:val="none"/>
                <w:lang w:val="en-US"/>
              </w:rPr>
            </w:pPr>
            <w:r>
              <w:rPr>
                <w:rFonts w:hint="eastAsia"/>
                <w:color w:val="auto"/>
                <w:sz w:val="24"/>
                <w:highlight w:val="none"/>
              </w:rPr>
              <w:t>质量</w:t>
            </w:r>
          </w:p>
        </w:tc>
        <w:tc>
          <w:tcPr>
            <w:tcW w:w="7634" w:type="dxa"/>
            <w:gridSpan w:val="3"/>
            <w:noWrap/>
            <w:vAlign w:val="center"/>
          </w:tcPr>
          <w:p w14:paraId="2055967A">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p>
        </w:tc>
      </w:tr>
      <w:tr w14:paraId="67DC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486" w:type="dxa"/>
            <w:noWrap/>
            <w:vAlign w:val="center"/>
          </w:tcPr>
          <w:p w14:paraId="71DE6EBC">
            <w:pPr>
              <w:keepNext w:val="0"/>
              <w:keepLines w:val="0"/>
              <w:pageBreakBefore w:val="0"/>
              <w:kinsoku/>
              <w:wordWrap w:val="0"/>
              <w:overflowPunct/>
              <w:topLinePunct w:val="0"/>
              <w:bidi w:val="0"/>
              <w:adjustRightInd w:val="0"/>
              <w:snapToGrid w:val="0"/>
              <w:spacing w:line="300" w:lineRule="exact"/>
              <w:jc w:val="center"/>
              <w:rPr>
                <w:rFonts w:hint="default" w:eastAsia="宋体"/>
                <w:color w:val="auto"/>
                <w:sz w:val="24"/>
                <w:highlight w:val="none"/>
                <w:lang w:val="en-US" w:eastAsia="zh-CN"/>
              </w:rPr>
            </w:pPr>
            <w:r>
              <w:rPr>
                <w:rFonts w:hint="eastAsia"/>
                <w:color w:val="auto"/>
                <w:sz w:val="24"/>
                <w:highlight w:val="none"/>
                <w:lang w:val="en-US" w:eastAsia="zh-CN"/>
              </w:rPr>
              <w:t>质保期</w:t>
            </w:r>
          </w:p>
        </w:tc>
        <w:tc>
          <w:tcPr>
            <w:tcW w:w="7634" w:type="dxa"/>
            <w:gridSpan w:val="3"/>
            <w:noWrap/>
            <w:vAlign w:val="center"/>
          </w:tcPr>
          <w:p w14:paraId="0437BD62">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p>
        </w:tc>
      </w:tr>
      <w:tr w14:paraId="55D5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486" w:type="dxa"/>
            <w:noWrap/>
            <w:vAlign w:val="center"/>
          </w:tcPr>
          <w:p w14:paraId="6E094A63">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r>
              <w:rPr>
                <w:rFonts w:hint="eastAsia"/>
                <w:color w:val="auto"/>
                <w:sz w:val="24"/>
                <w:highlight w:val="none"/>
              </w:rPr>
              <w:t>投标有效期</w:t>
            </w:r>
          </w:p>
        </w:tc>
        <w:tc>
          <w:tcPr>
            <w:tcW w:w="7634" w:type="dxa"/>
            <w:gridSpan w:val="3"/>
            <w:noWrap/>
            <w:vAlign w:val="center"/>
          </w:tcPr>
          <w:p w14:paraId="664299F7">
            <w:pPr>
              <w:keepNext w:val="0"/>
              <w:keepLines w:val="0"/>
              <w:pageBreakBefore w:val="0"/>
              <w:kinsoku/>
              <w:wordWrap w:val="0"/>
              <w:overflowPunct/>
              <w:topLinePunct w:val="0"/>
              <w:bidi w:val="0"/>
              <w:adjustRightInd w:val="0"/>
              <w:snapToGrid w:val="0"/>
              <w:spacing w:line="300" w:lineRule="exact"/>
              <w:jc w:val="center"/>
              <w:rPr>
                <w:color w:val="auto"/>
                <w:sz w:val="24"/>
                <w:highlight w:val="none"/>
                <w:lang w:val="en-US"/>
              </w:rPr>
            </w:pPr>
            <w:r>
              <w:rPr>
                <w:rFonts w:hint="eastAsia"/>
                <w:color w:val="auto"/>
                <w:sz w:val="24"/>
                <w:highlight w:val="none"/>
                <w:lang w:val="en-US"/>
              </w:rPr>
              <w:t>60日历天</w:t>
            </w:r>
          </w:p>
        </w:tc>
      </w:tr>
    </w:tbl>
    <w:p w14:paraId="1C8B3AEA">
      <w:pPr>
        <w:keepNext w:val="0"/>
        <w:keepLines w:val="0"/>
        <w:pageBreakBefore w:val="0"/>
        <w:kinsoku/>
        <w:wordWrap w:val="0"/>
        <w:overflowPunct/>
        <w:topLinePunct w:val="0"/>
        <w:bidi w:val="0"/>
        <w:spacing w:line="300" w:lineRule="exact"/>
        <w:rPr>
          <w:color w:val="auto"/>
          <w:szCs w:val="21"/>
          <w:highlight w:val="none"/>
        </w:rPr>
      </w:pPr>
    </w:p>
    <w:p w14:paraId="285303B5">
      <w:pPr>
        <w:keepNext w:val="0"/>
        <w:keepLines w:val="0"/>
        <w:pageBreakBefore w:val="0"/>
        <w:kinsoku/>
        <w:wordWrap w:val="0"/>
        <w:overflowPunct/>
        <w:topLinePunct w:val="0"/>
        <w:bidi w:val="0"/>
        <w:spacing w:line="360" w:lineRule="exact"/>
        <w:rPr>
          <w:b/>
          <w:bCs/>
          <w:color w:val="auto"/>
          <w:szCs w:val="21"/>
          <w:highlight w:val="none"/>
        </w:rPr>
      </w:pPr>
      <w:r>
        <w:rPr>
          <w:rFonts w:hint="eastAsia"/>
          <w:b/>
          <w:bCs/>
          <w:color w:val="auto"/>
          <w:szCs w:val="21"/>
          <w:highlight w:val="none"/>
        </w:rPr>
        <w:t>注：1、投标报价仅且只有一个有效报价，不得出现两个及以上报价，否则作废标处理。</w:t>
      </w:r>
    </w:p>
    <w:p w14:paraId="1FFE2256">
      <w:pPr>
        <w:keepNext w:val="0"/>
        <w:keepLines w:val="0"/>
        <w:pageBreakBefore w:val="0"/>
        <w:kinsoku/>
        <w:wordWrap w:val="0"/>
        <w:overflowPunct/>
        <w:topLinePunct w:val="0"/>
        <w:bidi w:val="0"/>
        <w:spacing w:line="360" w:lineRule="exact"/>
        <w:rPr>
          <w:color w:val="auto"/>
          <w:szCs w:val="21"/>
          <w:highlight w:val="none"/>
        </w:rPr>
      </w:pPr>
      <w:r>
        <w:rPr>
          <w:rFonts w:hint="eastAsia"/>
          <w:b/>
          <w:bCs/>
          <w:color w:val="auto"/>
          <w:szCs w:val="21"/>
          <w:highlight w:val="none"/>
        </w:rPr>
        <w:t>2、此处为第一轮报价供</w:t>
      </w:r>
      <w:r>
        <w:rPr>
          <w:rFonts w:hint="eastAsia"/>
          <w:b/>
          <w:bCs/>
          <w:color w:val="auto"/>
          <w:szCs w:val="21"/>
          <w:highlight w:val="none"/>
          <w:lang w:eastAsia="zh-CN"/>
        </w:rPr>
        <w:t>磋商</w:t>
      </w:r>
      <w:r>
        <w:rPr>
          <w:rFonts w:hint="eastAsia"/>
          <w:b/>
          <w:bCs/>
          <w:color w:val="auto"/>
          <w:szCs w:val="21"/>
          <w:highlight w:val="none"/>
        </w:rPr>
        <w:t>小组在评审时参考比较，此时的最低报价并不是成交的条件。</w:t>
      </w:r>
    </w:p>
    <w:p w14:paraId="405AB1A5">
      <w:pPr>
        <w:keepNext w:val="0"/>
        <w:keepLines w:val="0"/>
        <w:pageBreakBefore w:val="0"/>
        <w:kinsoku/>
        <w:wordWrap w:val="0"/>
        <w:overflowPunct/>
        <w:topLinePunct w:val="0"/>
        <w:bidi w:val="0"/>
        <w:spacing w:line="300" w:lineRule="exact"/>
        <w:rPr>
          <w:color w:val="auto"/>
          <w:szCs w:val="21"/>
          <w:highlight w:val="none"/>
        </w:rPr>
      </w:pPr>
    </w:p>
    <w:p w14:paraId="45DA116A">
      <w:pPr>
        <w:keepNext w:val="0"/>
        <w:keepLines w:val="0"/>
        <w:pageBreakBefore w:val="0"/>
        <w:kinsoku/>
        <w:wordWrap w:val="0"/>
        <w:overflowPunct/>
        <w:topLinePunct w:val="0"/>
        <w:bidi w:val="0"/>
        <w:spacing w:line="300" w:lineRule="exact"/>
        <w:rPr>
          <w:color w:val="auto"/>
          <w:szCs w:val="21"/>
          <w:highlight w:val="none"/>
        </w:rPr>
      </w:pPr>
    </w:p>
    <w:p w14:paraId="66BEBB88">
      <w:pPr>
        <w:keepNext w:val="0"/>
        <w:keepLines w:val="0"/>
        <w:pageBreakBefore w:val="0"/>
        <w:kinsoku/>
        <w:wordWrap w:val="0"/>
        <w:overflowPunct/>
        <w:topLinePunct w:val="0"/>
        <w:bidi w:val="0"/>
        <w:spacing w:line="300" w:lineRule="exact"/>
        <w:ind w:firstLine="3600" w:firstLineChars="1500"/>
        <w:rPr>
          <w:color w:val="auto"/>
          <w:sz w:val="24"/>
          <w:highlight w:val="none"/>
        </w:rPr>
      </w:pPr>
      <w:r>
        <w:rPr>
          <w:rFonts w:hint="eastAsia"/>
          <w:color w:val="auto"/>
          <w:sz w:val="24"/>
          <w:highlight w:val="none"/>
        </w:rPr>
        <w:t>供应商：（公章签章）</w:t>
      </w:r>
    </w:p>
    <w:p w14:paraId="05A70392">
      <w:pPr>
        <w:keepNext w:val="0"/>
        <w:keepLines w:val="0"/>
        <w:pageBreakBefore w:val="0"/>
        <w:kinsoku/>
        <w:wordWrap w:val="0"/>
        <w:overflowPunct/>
        <w:topLinePunct w:val="0"/>
        <w:bidi w:val="0"/>
        <w:spacing w:line="300" w:lineRule="exact"/>
        <w:rPr>
          <w:color w:val="auto"/>
          <w:sz w:val="24"/>
          <w:highlight w:val="none"/>
        </w:rPr>
      </w:pPr>
    </w:p>
    <w:p w14:paraId="421FD73E">
      <w:pPr>
        <w:keepNext w:val="0"/>
        <w:keepLines w:val="0"/>
        <w:pageBreakBefore w:val="0"/>
        <w:kinsoku/>
        <w:wordWrap w:val="0"/>
        <w:overflowPunct/>
        <w:topLinePunct w:val="0"/>
        <w:bidi w:val="0"/>
        <w:spacing w:line="300" w:lineRule="exact"/>
        <w:ind w:firstLine="3600" w:firstLineChars="1500"/>
        <w:rPr>
          <w:color w:val="auto"/>
          <w:sz w:val="24"/>
          <w:highlight w:val="none"/>
        </w:rPr>
      </w:pPr>
      <w:r>
        <w:rPr>
          <w:rFonts w:hint="eastAsia"/>
          <w:color w:val="auto"/>
          <w:sz w:val="24"/>
          <w:highlight w:val="none"/>
        </w:rPr>
        <w:t>联系人：          电话 ：</w:t>
      </w:r>
    </w:p>
    <w:p w14:paraId="624B9C49">
      <w:pPr>
        <w:keepNext w:val="0"/>
        <w:keepLines w:val="0"/>
        <w:pageBreakBefore w:val="0"/>
        <w:kinsoku/>
        <w:wordWrap w:val="0"/>
        <w:overflowPunct/>
        <w:topLinePunct w:val="0"/>
        <w:bidi w:val="0"/>
        <w:spacing w:line="300" w:lineRule="exact"/>
        <w:rPr>
          <w:color w:val="auto"/>
          <w:sz w:val="24"/>
          <w:highlight w:val="none"/>
        </w:rPr>
      </w:pPr>
    </w:p>
    <w:p w14:paraId="3F2D2130">
      <w:pPr>
        <w:keepNext w:val="0"/>
        <w:keepLines w:val="0"/>
        <w:pageBreakBefore w:val="0"/>
        <w:kinsoku/>
        <w:wordWrap w:val="0"/>
        <w:overflowPunct/>
        <w:topLinePunct w:val="0"/>
        <w:bidi w:val="0"/>
        <w:spacing w:line="300" w:lineRule="exact"/>
        <w:ind w:firstLine="3600" w:firstLineChars="1500"/>
        <w:rPr>
          <w:color w:val="auto"/>
          <w:sz w:val="24"/>
          <w:highlight w:val="none"/>
        </w:rPr>
      </w:pPr>
      <w:r>
        <w:rPr>
          <w:rFonts w:hint="eastAsia"/>
          <w:color w:val="auto"/>
          <w:sz w:val="24"/>
          <w:highlight w:val="none"/>
        </w:rPr>
        <w:t xml:space="preserve">法定代表人或其委托代理人：（法人签章）       </w:t>
      </w:r>
    </w:p>
    <w:p w14:paraId="2988E2C5">
      <w:pPr>
        <w:keepNext w:val="0"/>
        <w:keepLines w:val="0"/>
        <w:pageBreakBefore w:val="0"/>
        <w:kinsoku/>
        <w:wordWrap w:val="0"/>
        <w:overflowPunct/>
        <w:topLinePunct w:val="0"/>
        <w:bidi w:val="0"/>
        <w:spacing w:line="300" w:lineRule="exact"/>
        <w:rPr>
          <w:color w:val="auto"/>
          <w:sz w:val="24"/>
          <w:highlight w:val="none"/>
        </w:rPr>
      </w:pPr>
    </w:p>
    <w:p w14:paraId="799DD5DF">
      <w:pPr>
        <w:keepNext w:val="0"/>
        <w:keepLines w:val="0"/>
        <w:pageBreakBefore w:val="0"/>
        <w:kinsoku/>
        <w:wordWrap w:val="0"/>
        <w:overflowPunct/>
        <w:topLinePunct w:val="0"/>
        <w:bidi w:val="0"/>
        <w:spacing w:line="300" w:lineRule="exact"/>
        <w:ind w:firstLine="3600" w:firstLineChars="1500"/>
        <w:rPr>
          <w:color w:val="auto"/>
          <w:sz w:val="24"/>
          <w:highlight w:val="none"/>
        </w:rPr>
      </w:pPr>
      <w:r>
        <w:rPr>
          <w:rFonts w:hint="eastAsia"/>
          <w:color w:val="auto"/>
          <w:sz w:val="24"/>
          <w:highlight w:val="none"/>
        </w:rPr>
        <w:t>日期：     年   月   日</w:t>
      </w:r>
    </w:p>
    <w:p w14:paraId="62984114">
      <w:pPr>
        <w:keepNext w:val="0"/>
        <w:keepLines w:val="0"/>
        <w:pageBreakBefore w:val="0"/>
        <w:kinsoku/>
        <w:wordWrap w:val="0"/>
        <w:overflowPunct/>
        <w:topLinePunct w:val="0"/>
        <w:bidi w:val="0"/>
        <w:spacing w:line="300" w:lineRule="exact"/>
        <w:rPr>
          <w:color w:val="auto"/>
          <w:sz w:val="24"/>
          <w:highlight w:val="none"/>
        </w:rPr>
      </w:pPr>
    </w:p>
    <w:p w14:paraId="1E06FE73">
      <w:pPr>
        <w:keepNext w:val="0"/>
        <w:keepLines w:val="0"/>
        <w:pageBreakBefore w:val="0"/>
        <w:kinsoku/>
        <w:wordWrap w:val="0"/>
        <w:overflowPunct/>
        <w:topLinePunct w:val="0"/>
        <w:bidi w:val="0"/>
        <w:spacing w:before="38"/>
        <w:ind w:right="909"/>
        <w:jc w:val="both"/>
        <w:rPr>
          <w:rFonts w:hint="eastAsia" w:eastAsia="宋体"/>
          <w:b/>
          <w:color w:val="auto"/>
          <w:sz w:val="28"/>
          <w:szCs w:val="21"/>
          <w:highlight w:val="none"/>
          <w:lang w:eastAsia="zh-CN"/>
        </w:rPr>
      </w:pPr>
      <w:r>
        <w:rPr>
          <w:b/>
          <w:color w:val="auto"/>
          <w:sz w:val="32"/>
          <w:highlight w:val="none"/>
        </w:rPr>
        <w:br w:type="page"/>
      </w:r>
      <w:r>
        <w:rPr>
          <w:rFonts w:hint="eastAsia"/>
          <w:b w:val="0"/>
          <w:bCs/>
          <w:color w:val="auto"/>
          <w:sz w:val="28"/>
          <w:szCs w:val="21"/>
          <w:highlight w:val="none"/>
          <w:lang w:eastAsia="zh-CN"/>
        </w:rPr>
        <w:t>附表一：报价明细表</w:t>
      </w:r>
    </w:p>
    <w:p w14:paraId="0F62FEDF">
      <w:pPr>
        <w:pStyle w:val="18"/>
        <w:keepNext w:val="0"/>
        <w:keepLines w:val="0"/>
        <w:pageBreakBefore w:val="0"/>
        <w:kinsoku/>
        <w:wordWrap w:val="0"/>
        <w:overflowPunct/>
        <w:topLinePunct w:val="0"/>
        <w:bidi w:val="0"/>
        <w:ind w:left="0"/>
        <w:jc w:val="center"/>
        <w:rPr>
          <w:rFonts w:hint="eastAsia" w:ascii="宋体" w:hAnsi="宋体"/>
          <w:color w:val="auto"/>
          <w:highlight w:val="none"/>
        </w:rPr>
      </w:pPr>
      <w:bookmarkStart w:id="299" w:name="_Toc464814119"/>
      <w:bookmarkStart w:id="300" w:name="_Toc9538"/>
      <w:bookmarkStart w:id="301" w:name="_Toc358213385"/>
      <w:bookmarkStart w:id="302" w:name="_Toc30992"/>
      <w:bookmarkStart w:id="303" w:name="_Toc17292_WPSOffice_Level2"/>
    </w:p>
    <w:tbl>
      <w:tblPr>
        <w:tblStyle w:val="14"/>
        <w:tblW w:w="4827" w:type="pct"/>
        <w:jc w:val="center"/>
        <w:tblLayout w:type="autofit"/>
        <w:tblCellMar>
          <w:top w:w="0" w:type="dxa"/>
          <w:left w:w="108" w:type="dxa"/>
          <w:bottom w:w="0" w:type="dxa"/>
          <w:right w:w="108" w:type="dxa"/>
        </w:tblCellMar>
      </w:tblPr>
      <w:tblGrid>
        <w:gridCol w:w="679"/>
        <w:gridCol w:w="874"/>
        <w:gridCol w:w="1288"/>
        <w:gridCol w:w="1112"/>
        <w:gridCol w:w="972"/>
        <w:gridCol w:w="906"/>
        <w:gridCol w:w="947"/>
        <w:gridCol w:w="947"/>
        <w:gridCol w:w="947"/>
        <w:gridCol w:w="1046"/>
      </w:tblGrid>
      <w:tr w14:paraId="629CFF5C">
        <w:tblPrEx>
          <w:tblCellMar>
            <w:top w:w="0" w:type="dxa"/>
            <w:left w:w="108" w:type="dxa"/>
            <w:bottom w:w="0" w:type="dxa"/>
            <w:right w:w="108" w:type="dxa"/>
          </w:tblCellMar>
        </w:tblPrEx>
        <w:trPr>
          <w:trHeight w:val="1348" w:hRule="atLeast"/>
          <w:jc w:val="center"/>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7B8A77D9">
            <w:pPr>
              <w:keepNext w:val="0"/>
              <w:keepLines w:val="0"/>
              <w:pageBreakBefore w:val="0"/>
              <w:widowControl/>
              <w:kinsoku/>
              <w:wordWrap w:val="0"/>
              <w:overflowPunct/>
              <w:topLinePunct w:val="0"/>
              <w:bidi w:val="0"/>
              <w:snapToGrid w:val="0"/>
              <w:spacing w:line="5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序号</w:t>
            </w:r>
          </w:p>
        </w:tc>
        <w:tc>
          <w:tcPr>
            <w:tcW w:w="450" w:type="pct"/>
            <w:tcBorders>
              <w:top w:val="single" w:color="000000" w:sz="4" w:space="0"/>
              <w:left w:val="nil"/>
              <w:bottom w:val="single" w:color="000000" w:sz="4" w:space="0"/>
              <w:right w:val="single" w:color="000000" w:sz="4" w:space="0"/>
            </w:tcBorders>
            <w:noWrap w:val="0"/>
            <w:vAlign w:val="center"/>
          </w:tcPr>
          <w:p w14:paraId="35E71653">
            <w:pPr>
              <w:keepNext w:val="0"/>
              <w:keepLines w:val="0"/>
              <w:pageBreakBefore w:val="0"/>
              <w:widowControl/>
              <w:kinsoku/>
              <w:wordWrap w:val="0"/>
              <w:overflowPunct/>
              <w:topLinePunct w:val="0"/>
              <w:bidi w:val="0"/>
              <w:snapToGrid w:val="0"/>
              <w:spacing w:line="5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名称</w:t>
            </w:r>
          </w:p>
        </w:tc>
        <w:tc>
          <w:tcPr>
            <w:tcW w:w="663" w:type="pct"/>
            <w:tcBorders>
              <w:top w:val="single" w:color="000000" w:sz="4" w:space="0"/>
              <w:left w:val="nil"/>
              <w:bottom w:val="single" w:color="000000" w:sz="4" w:space="0"/>
              <w:right w:val="single" w:color="auto" w:sz="4" w:space="0"/>
            </w:tcBorders>
            <w:noWrap w:val="0"/>
            <w:vAlign w:val="center"/>
          </w:tcPr>
          <w:p w14:paraId="59AB2C0C">
            <w:pPr>
              <w:keepNext w:val="0"/>
              <w:keepLines w:val="0"/>
              <w:pageBreakBefore w:val="0"/>
              <w:widowControl/>
              <w:kinsoku/>
              <w:wordWrap w:val="0"/>
              <w:overflowPunct/>
              <w:topLinePunct w:val="0"/>
              <w:bidi w:val="0"/>
              <w:snapToGrid w:val="0"/>
              <w:spacing w:line="500" w:lineRule="exact"/>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品牌及规格型号</w:t>
            </w:r>
          </w:p>
        </w:tc>
        <w:tc>
          <w:tcPr>
            <w:tcW w:w="571" w:type="pct"/>
            <w:tcBorders>
              <w:top w:val="single" w:color="000000" w:sz="4" w:space="0"/>
              <w:left w:val="nil"/>
              <w:bottom w:val="single" w:color="000000" w:sz="4" w:space="0"/>
              <w:right w:val="single" w:color="auto" w:sz="4" w:space="0"/>
            </w:tcBorders>
            <w:noWrap w:val="0"/>
            <w:vAlign w:val="center"/>
          </w:tcPr>
          <w:p w14:paraId="61E73C3A">
            <w:pPr>
              <w:keepNext w:val="0"/>
              <w:keepLines w:val="0"/>
              <w:pageBreakBefore w:val="0"/>
              <w:widowControl/>
              <w:suppressLineNumbers w:val="0"/>
              <w:kinsoku/>
              <w:wordWrap w:val="0"/>
              <w:overflowPunct/>
              <w:topLinePunct w:val="0"/>
              <w:bidi w:val="0"/>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rPr>
              <w:t>主要设备的</w:t>
            </w:r>
            <w:r>
              <w:rPr>
                <w:rFonts w:hint="eastAsia" w:ascii="宋体" w:hAnsi="宋体" w:cs="宋体"/>
                <w:color w:val="auto"/>
                <w:kern w:val="0"/>
                <w:sz w:val="22"/>
                <w:szCs w:val="22"/>
                <w:highlight w:val="none"/>
                <w:lang w:val="en-US" w:eastAsia="zh-CN"/>
              </w:rPr>
              <w:t>制造商</w:t>
            </w:r>
          </w:p>
        </w:tc>
        <w:tc>
          <w:tcPr>
            <w:tcW w:w="500" w:type="pct"/>
            <w:tcBorders>
              <w:top w:val="single" w:color="000000" w:sz="4" w:space="0"/>
              <w:left w:val="single" w:color="auto" w:sz="4" w:space="0"/>
              <w:bottom w:val="single" w:color="000000" w:sz="4" w:space="0"/>
              <w:right w:val="single" w:color="000000" w:sz="4" w:space="0"/>
            </w:tcBorders>
            <w:noWrap w:val="0"/>
            <w:vAlign w:val="center"/>
          </w:tcPr>
          <w:p w14:paraId="145366B7">
            <w:pPr>
              <w:keepNext w:val="0"/>
              <w:keepLines w:val="0"/>
              <w:pageBreakBefore w:val="0"/>
              <w:widowControl/>
              <w:suppressLineNumbers w:val="0"/>
              <w:kinsoku/>
              <w:wordWrap w:val="0"/>
              <w:overflowPunct/>
              <w:topLinePunct w:val="0"/>
              <w:bidi w:val="0"/>
              <w:jc w:val="center"/>
              <w:textAlignment w:val="center"/>
              <w:rPr>
                <w:rFonts w:hint="eastAsia" w:ascii="宋体" w:hAnsi="宋体" w:cs="宋体"/>
                <w:color w:val="auto"/>
                <w:kern w:val="0"/>
                <w:sz w:val="22"/>
                <w:szCs w:val="22"/>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参数</w:t>
            </w:r>
          </w:p>
        </w:tc>
        <w:tc>
          <w:tcPr>
            <w:tcW w:w="466" w:type="pct"/>
            <w:tcBorders>
              <w:top w:val="single" w:color="000000" w:sz="4" w:space="0"/>
              <w:left w:val="single" w:color="auto" w:sz="4" w:space="0"/>
              <w:bottom w:val="single" w:color="000000" w:sz="4" w:space="0"/>
              <w:right w:val="single" w:color="000000" w:sz="4" w:space="0"/>
            </w:tcBorders>
            <w:noWrap w:val="0"/>
            <w:vAlign w:val="center"/>
          </w:tcPr>
          <w:p w14:paraId="79A844F1">
            <w:pPr>
              <w:keepNext w:val="0"/>
              <w:keepLines w:val="0"/>
              <w:pageBreakBefore w:val="0"/>
              <w:widowControl/>
              <w:kinsoku/>
              <w:wordWrap w:val="0"/>
              <w:overflowPunct/>
              <w:topLinePunct w:val="0"/>
              <w:bidi w:val="0"/>
              <w:snapToGrid w:val="0"/>
              <w:spacing w:line="5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单位</w:t>
            </w:r>
          </w:p>
        </w:tc>
        <w:tc>
          <w:tcPr>
            <w:tcW w:w="487" w:type="pct"/>
            <w:tcBorders>
              <w:top w:val="single" w:color="000000" w:sz="4" w:space="0"/>
              <w:left w:val="nil"/>
              <w:bottom w:val="single" w:color="000000" w:sz="4" w:space="0"/>
              <w:right w:val="single" w:color="000000" w:sz="4" w:space="0"/>
            </w:tcBorders>
            <w:noWrap w:val="0"/>
            <w:vAlign w:val="center"/>
          </w:tcPr>
          <w:p w14:paraId="2903AD73">
            <w:pPr>
              <w:keepNext w:val="0"/>
              <w:keepLines w:val="0"/>
              <w:pageBreakBefore w:val="0"/>
              <w:widowControl/>
              <w:kinsoku/>
              <w:wordWrap w:val="0"/>
              <w:overflowPunct/>
              <w:topLinePunct w:val="0"/>
              <w:bidi w:val="0"/>
              <w:snapToGrid w:val="0"/>
              <w:spacing w:line="500" w:lineRule="exact"/>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数量</w:t>
            </w:r>
          </w:p>
        </w:tc>
        <w:tc>
          <w:tcPr>
            <w:tcW w:w="487" w:type="pct"/>
            <w:tcBorders>
              <w:top w:val="single" w:color="000000" w:sz="4" w:space="0"/>
              <w:left w:val="nil"/>
              <w:bottom w:val="single" w:color="000000" w:sz="4" w:space="0"/>
              <w:right w:val="single" w:color="000000" w:sz="4" w:space="0"/>
            </w:tcBorders>
            <w:noWrap w:val="0"/>
            <w:vAlign w:val="center"/>
          </w:tcPr>
          <w:p w14:paraId="399EB5AA">
            <w:pPr>
              <w:keepNext w:val="0"/>
              <w:keepLines w:val="0"/>
              <w:pageBreakBefore w:val="0"/>
              <w:widowControl/>
              <w:kinsoku/>
              <w:wordWrap w:val="0"/>
              <w:overflowPunct/>
              <w:topLinePunct w:val="0"/>
              <w:bidi w:val="0"/>
              <w:snapToGrid w:val="0"/>
              <w:spacing w:line="5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单价</w:t>
            </w:r>
          </w:p>
        </w:tc>
        <w:tc>
          <w:tcPr>
            <w:tcW w:w="487" w:type="pct"/>
            <w:tcBorders>
              <w:top w:val="single" w:color="000000" w:sz="4" w:space="0"/>
              <w:left w:val="nil"/>
              <w:bottom w:val="single" w:color="000000" w:sz="4" w:space="0"/>
              <w:right w:val="single" w:color="000000" w:sz="4" w:space="0"/>
            </w:tcBorders>
            <w:noWrap w:val="0"/>
            <w:vAlign w:val="center"/>
          </w:tcPr>
          <w:p w14:paraId="722E6EED">
            <w:pPr>
              <w:keepNext w:val="0"/>
              <w:keepLines w:val="0"/>
              <w:pageBreakBefore w:val="0"/>
              <w:widowControl/>
              <w:kinsoku/>
              <w:wordWrap w:val="0"/>
              <w:overflowPunct/>
              <w:topLinePunct w:val="0"/>
              <w:bidi w:val="0"/>
              <w:snapToGrid w:val="0"/>
              <w:spacing w:line="5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小计</w:t>
            </w:r>
          </w:p>
        </w:tc>
        <w:tc>
          <w:tcPr>
            <w:tcW w:w="536" w:type="pct"/>
            <w:tcBorders>
              <w:top w:val="single" w:color="000000" w:sz="4" w:space="0"/>
              <w:left w:val="nil"/>
              <w:bottom w:val="single" w:color="000000" w:sz="4" w:space="0"/>
              <w:right w:val="single" w:color="000000" w:sz="4" w:space="0"/>
            </w:tcBorders>
            <w:noWrap w:val="0"/>
            <w:vAlign w:val="center"/>
          </w:tcPr>
          <w:p w14:paraId="46D82AEE">
            <w:pPr>
              <w:keepNext w:val="0"/>
              <w:keepLines w:val="0"/>
              <w:pageBreakBefore w:val="0"/>
              <w:widowControl/>
              <w:kinsoku/>
              <w:wordWrap w:val="0"/>
              <w:overflowPunct/>
              <w:topLinePunct w:val="0"/>
              <w:bidi w:val="0"/>
              <w:snapToGrid w:val="0"/>
              <w:spacing w:line="500" w:lineRule="exact"/>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备注</w:t>
            </w:r>
          </w:p>
        </w:tc>
      </w:tr>
      <w:tr w14:paraId="45478C3E">
        <w:tblPrEx>
          <w:tblCellMar>
            <w:top w:w="0" w:type="dxa"/>
            <w:left w:w="108" w:type="dxa"/>
            <w:bottom w:w="0" w:type="dxa"/>
            <w:right w:w="108" w:type="dxa"/>
          </w:tblCellMar>
        </w:tblPrEx>
        <w:trPr>
          <w:trHeight w:val="785" w:hRule="atLeast"/>
          <w:jc w:val="center"/>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5450C3FB">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450" w:type="pct"/>
            <w:tcBorders>
              <w:top w:val="single" w:color="000000" w:sz="4" w:space="0"/>
              <w:left w:val="nil"/>
              <w:bottom w:val="single" w:color="000000" w:sz="4" w:space="0"/>
              <w:right w:val="single" w:color="000000" w:sz="4" w:space="0"/>
            </w:tcBorders>
            <w:noWrap w:val="0"/>
            <w:vAlign w:val="center"/>
          </w:tcPr>
          <w:p w14:paraId="623E74AF">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663" w:type="pct"/>
            <w:tcBorders>
              <w:top w:val="single" w:color="000000" w:sz="4" w:space="0"/>
              <w:left w:val="nil"/>
              <w:bottom w:val="single" w:color="000000" w:sz="4" w:space="0"/>
              <w:right w:val="single" w:color="auto" w:sz="4" w:space="0"/>
            </w:tcBorders>
            <w:noWrap w:val="0"/>
            <w:vAlign w:val="center"/>
          </w:tcPr>
          <w:p w14:paraId="5DFBE665">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71" w:type="pct"/>
            <w:tcBorders>
              <w:top w:val="single" w:color="000000" w:sz="4" w:space="0"/>
              <w:left w:val="nil"/>
              <w:bottom w:val="single" w:color="000000" w:sz="4" w:space="0"/>
              <w:right w:val="single" w:color="auto" w:sz="4" w:space="0"/>
            </w:tcBorders>
            <w:noWrap w:val="0"/>
            <w:vAlign w:val="center"/>
          </w:tcPr>
          <w:p w14:paraId="0CF174CA">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00" w:type="pct"/>
            <w:tcBorders>
              <w:top w:val="single" w:color="000000" w:sz="4" w:space="0"/>
              <w:left w:val="single" w:color="auto" w:sz="4" w:space="0"/>
              <w:bottom w:val="single" w:color="000000" w:sz="4" w:space="0"/>
              <w:right w:val="single" w:color="000000" w:sz="4" w:space="0"/>
            </w:tcBorders>
            <w:noWrap w:val="0"/>
            <w:vAlign w:val="center"/>
          </w:tcPr>
          <w:p w14:paraId="0C4207D7">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66" w:type="pct"/>
            <w:tcBorders>
              <w:top w:val="single" w:color="000000" w:sz="4" w:space="0"/>
              <w:left w:val="single" w:color="auto" w:sz="4" w:space="0"/>
              <w:bottom w:val="single" w:color="000000" w:sz="4" w:space="0"/>
              <w:right w:val="single" w:color="000000" w:sz="4" w:space="0"/>
            </w:tcBorders>
            <w:noWrap w:val="0"/>
            <w:vAlign w:val="center"/>
          </w:tcPr>
          <w:p w14:paraId="4E964027">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1864F483">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3310D684">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31990BC9">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36" w:type="pct"/>
            <w:tcBorders>
              <w:top w:val="single" w:color="000000" w:sz="4" w:space="0"/>
              <w:left w:val="nil"/>
              <w:bottom w:val="single" w:color="000000" w:sz="4" w:space="0"/>
              <w:right w:val="single" w:color="000000" w:sz="4" w:space="0"/>
            </w:tcBorders>
            <w:noWrap w:val="0"/>
            <w:vAlign w:val="center"/>
          </w:tcPr>
          <w:p w14:paraId="14A243D1">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r>
      <w:tr w14:paraId="06DBC417">
        <w:tblPrEx>
          <w:tblCellMar>
            <w:top w:w="0" w:type="dxa"/>
            <w:left w:w="108" w:type="dxa"/>
            <w:bottom w:w="0" w:type="dxa"/>
            <w:right w:w="108" w:type="dxa"/>
          </w:tblCellMar>
        </w:tblPrEx>
        <w:trPr>
          <w:trHeight w:val="785" w:hRule="atLeast"/>
          <w:jc w:val="center"/>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0DD1CEF6">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450" w:type="pct"/>
            <w:tcBorders>
              <w:top w:val="single" w:color="000000" w:sz="4" w:space="0"/>
              <w:left w:val="nil"/>
              <w:bottom w:val="single" w:color="000000" w:sz="4" w:space="0"/>
              <w:right w:val="single" w:color="000000" w:sz="4" w:space="0"/>
            </w:tcBorders>
            <w:noWrap w:val="0"/>
            <w:vAlign w:val="center"/>
          </w:tcPr>
          <w:p w14:paraId="098FD7AC">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663" w:type="pct"/>
            <w:tcBorders>
              <w:top w:val="single" w:color="000000" w:sz="4" w:space="0"/>
              <w:left w:val="nil"/>
              <w:bottom w:val="single" w:color="000000" w:sz="4" w:space="0"/>
              <w:right w:val="single" w:color="auto" w:sz="4" w:space="0"/>
            </w:tcBorders>
            <w:noWrap w:val="0"/>
            <w:vAlign w:val="center"/>
          </w:tcPr>
          <w:p w14:paraId="1EFB8D7A">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71" w:type="pct"/>
            <w:tcBorders>
              <w:top w:val="single" w:color="000000" w:sz="4" w:space="0"/>
              <w:left w:val="nil"/>
              <w:bottom w:val="single" w:color="000000" w:sz="4" w:space="0"/>
              <w:right w:val="single" w:color="auto" w:sz="4" w:space="0"/>
            </w:tcBorders>
            <w:noWrap w:val="0"/>
            <w:vAlign w:val="center"/>
          </w:tcPr>
          <w:p w14:paraId="54C3DA7D">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00" w:type="pct"/>
            <w:tcBorders>
              <w:top w:val="single" w:color="000000" w:sz="4" w:space="0"/>
              <w:left w:val="single" w:color="auto" w:sz="4" w:space="0"/>
              <w:bottom w:val="single" w:color="000000" w:sz="4" w:space="0"/>
              <w:right w:val="single" w:color="000000" w:sz="4" w:space="0"/>
            </w:tcBorders>
            <w:noWrap w:val="0"/>
            <w:vAlign w:val="center"/>
          </w:tcPr>
          <w:p w14:paraId="1EB4474E">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66" w:type="pct"/>
            <w:tcBorders>
              <w:top w:val="single" w:color="000000" w:sz="4" w:space="0"/>
              <w:left w:val="single" w:color="auto" w:sz="4" w:space="0"/>
              <w:bottom w:val="single" w:color="000000" w:sz="4" w:space="0"/>
              <w:right w:val="single" w:color="000000" w:sz="4" w:space="0"/>
            </w:tcBorders>
            <w:noWrap w:val="0"/>
            <w:vAlign w:val="center"/>
          </w:tcPr>
          <w:p w14:paraId="04B8783A">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00D765EC">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4A8A192A">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0A55FD3D">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36" w:type="pct"/>
            <w:tcBorders>
              <w:top w:val="single" w:color="000000" w:sz="4" w:space="0"/>
              <w:left w:val="nil"/>
              <w:bottom w:val="single" w:color="000000" w:sz="4" w:space="0"/>
              <w:right w:val="single" w:color="000000" w:sz="4" w:space="0"/>
            </w:tcBorders>
            <w:noWrap w:val="0"/>
            <w:vAlign w:val="center"/>
          </w:tcPr>
          <w:p w14:paraId="15819C78">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r>
      <w:tr w14:paraId="0A4520CA">
        <w:tblPrEx>
          <w:tblCellMar>
            <w:top w:w="0" w:type="dxa"/>
            <w:left w:w="108" w:type="dxa"/>
            <w:bottom w:w="0" w:type="dxa"/>
            <w:right w:w="108" w:type="dxa"/>
          </w:tblCellMar>
        </w:tblPrEx>
        <w:trPr>
          <w:trHeight w:val="785" w:hRule="atLeast"/>
          <w:jc w:val="center"/>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6A8F3329">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450" w:type="pct"/>
            <w:tcBorders>
              <w:top w:val="single" w:color="000000" w:sz="4" w:space="0"/>
              <w:left w:val="nil"/>
              <w:bottom w:val="single" w:color="000000" w:sz="4" w:space="0"/>
              <w:right w:val="single" w:color="000000" w:sz="4" w:space="0"/>
            </w:tcBorders>
            <w:noWrap w:val="0"/>
            <w:vAlign w:val="center"/>
          </w:tcPr>
          <w:p w14:paraId="7FACF7A9">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663" w:type="pct"/>
            <w:tcBorders>
              <w:top w:val="single" w:color="000000" w:sz="4" w:space="0"/>
              <w:left w:val="nil"/>
              <w:bottom w:val="single" w:color="000000" w:sz="4" w:space="0"/>
              <w:right w:val="single" w:color="auto" w:sz="4" w:space="0"/>
            </w:tcBorders>
            <w:noWrap w:val="0"/>
            <w:vAlign w:val="center"/>
          </w:tcPr>
          <w:p w14:paraId="7BEFC122">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71" w:type="pct"/>
            <w:tcBorders>
              <w:top w:val="single" w:color="000000" w:sz="4" w:space="0"/>
              <w:left w:val="nil"/>
              <w:bottom w:val="single" w:color="000000" w:sz="4" w:space="0"/>
              <w:right w:val="single" w:color="auto" w:sz="4" w:space="0"/>
            </w:tcBorders>
            <w:noWrap w:val="0"/>
            <w:vAlign w:val="center"/>
          </w:tcPr>
          <w:p w14:paraId="6BBD6838">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00" w:type="pct"/>
            <w:tcBorders>
              <w:top w:val="single" w:color="000000" w:sz="4" w:space="0"/>
              <w:left w:val="single" w:color="auto" w:sz="4" w:space="0"/>
              <w:bottom w:val="single" w:color="000000" w:sz="4" w:space="0"/>
              <w:right w:val="single" w:color="000000" w:sz="4" w:space="0"/>
            </w:tcBorders>
            <w:noWrap w:val="0"/>
            <w:vAlign w:val="center"/>
          </w:tcPr>
          <w:p w14:paraId="31BC7495">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66" w:type="pct"/>
            <w:tcBorders>
              <w:top w:val="single" w:color="000000" w:sz="4" w:space="0"/>
              <w:left w:val="single" w:color="auto" w:sz="4" w:space="0"/>
              <w:bottom w:val="single" w:color="000000" w:sz="4" w:space="0"/>
              <w:right w:val="single" w:color="000000" w:sz="4" w:space="0"/>
            </w:tcBorders>
            <w:noWrap w:val="0"/>
            <w:vAlign w:val="center"/>
          </w:tcPr>
          <w:p w14:paraId="1F22BBAD">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3454E9F8">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7B661D40">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368387AF">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36" w:type="pct"/>
            <w:tcBorders>
              <w:top w:val="single" w:color="000000" w:sz="4" w:space="0"/>
              <w:left w:val="nil"/>
              <w:bottom w:val="single" w:color="000000" w:sz="4" w:space="0"/>
              <w:right w:val="single" w:color="000000" w:sz="4" w:space="0"/>
            </w:tcBorders>
            <w:noWrap w:val="0"/>
            <w:vAlign w:val="center"/>
          </w:tcPr>
          <w:p w14:paraId="3D05BEDD">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r>
      <w:tr w14:paraId="14688559">
        <w:tblPrEx>
          <w:tblCellMar>
            <w:top w:w="0" w:type="dxa"/>
            <w:left w:w="108" w:type="dxa"/>
            <w:bottom w:w="0" w:type="dxa"/>
            <w:right w:w="108" w:type="dxa"/>
          </w:tblCellMar>
        </w:tblPrEx>
        <w:trPr>
          <w:trHeight w:val="785" w:hRule="atLeast"/>
          <w:jc w:val="center"/>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4F247D9B">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r>
              <w:rPr>
                <w:rFonts w:ascii="宋体" w:hAnsi="宋体" w:cs="宋体"/>
                <w:color w:val="auto"/>
                <w:kern w:val="0"/>
                <w:sz w:val="22"/>
                <w:szCs w:val="22"/>
                <w:highlight w:val="none"/>
              </w:rPr>
              <w:t>……</w:t>
            </w:r>
          </w:p>
        </w:tc>
        <w:tc>
          <w:tcPr>
            <w:tcW w:w="450" w:type="pct"/>
            <w:tcBorders>
              <w:top w:val="single" w:color="000000" w:sz="4" w:space="0"/>
              <w:left w:val="nil"/>
              <w:bottom w:val="single" w:color="000000" w:sz="4" w:space="0"/>
              <w:right w:val="single" w:color="000000" w:sz="4" w:space="0"/>
            </w:tcBorders>
            <w:noWrap w:val="0"/>
            <w:vAlign w:val="center"/>
          </w:tcPr>
          <w:p w14:paraId="4462DB18">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663" w:type="pct"/>
            <w:tcBorders>
              <w:top w:val="single" w:color="000000" w:sz="4" w:space="0"/>
              <w:left w:val="nil"/>
              <w:bottom w:val="single" w:color="000000" w:sz="4" w:space="0"/>
              <w:right w:val="single" w:color="auto" w:sz="4" w:space="0"/>
            </w:tcBorders>
            <w:noWrap w:val="0"/>
            <w:vAlign w:val="center"/>
          </w:tcPr>
          <w:p w14:paraId="0CE649AD">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71" w:type="pct"/>
            <w:tcBorders>
              <w:top w:val="single" w:color="000000" w:sz="4" w:space="0"/>
              <w:left w:val="nil"/>
              <w:bottom w:val="single" w:color="000000" w:sz="4" w:space="0"/>
              <w:right w:val="single" w:color="auto" w:sz="4" w:space="0"/>
            </w:tcBorders>
            <w:noWrap w:val="0"/>
            <w:vAlign w:val="center"/>
          </w:tcPr>
          <w:p w14:paraId="5CC117E3">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00" w:type="pct"/>
            <w:tcBorders>
              <w:top w:val="single" w:color="000000" w:sz="4" w:space="0"/>
              <w:left w:val="single" w:color="auto" w:sz="4" w:space="0"/>
              <w:bottom w:val="single" w:color="000000" w:sz="4" w:space="0"/>
              <w:right w:val="single" w:color="000000" w:sz="4" w:space="0"/>
            </w:tcBorders>
            <w:noWrap w:val="0"/>
            <w:vAlign w:val="center"/>
          </w:tcPr>
          <w:p w14:paraId="30B8F473">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66" w:type="pct"/>
            <w:tcBorders>
              <w:top w:val="single" w:color="000000" w:sz="4" w:space="0"/>
              <w:left w:val="single" w:color="auto" w:sz="4" w:space="0"/>
              <w:bottom w:val="single" w:color="000000" w:sz="4" w:space="0"/>
              <w:right w:val="single" w:color="000000" w:sz="4" w:space="0"/>
            </w:tcBorders>
            <w:noWrap w:val="0"/>
            <w:vAlign w:val="center"/>
          </w:tcPr>
          <w:p w14:paraId="3F78C61F">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5CCBA316">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57EA5B7C">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299A2361">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36" w:type="pct"/>
            <w:tcBorders>
              <w:top w:val="single" w:color="000000" w:sz="4" w:space="0"/>
              <w:left w:val="nil"/>
              <w:bottom w:val="single" w:color="000000" w:sz="4" w:space="0"/>
              <w:right w:val="single" w:color="000000" w:sz="4" w:space="0"/>
            </w:tcBorders>
            <w:noWrap w:val="0"/>
            <w:vAlign w:val="center"/>
          </w:tcPr>
          <w:p w14:paraId="4A26B578">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r>
      <w:tr w14:paraId="1EE4D178">
        <w:tblPrEx>
          <w:tblCellMar>
            <w:top w:w="0" w:type="dxa"/>
            <w:left w:w="108" w:type="dxa"/>
            <w:bottom w:w="0" w:type="dxa"/>
            <w:right w:w="108" w:type="dxa"/>
          </w:tblCellMar>
        </w:tblPrEx>
        <w:trPr>
          <w:trHeight w:val="785" w:hRule="atLeast"/>
          <w:jc w:val="center"/>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5B0BE2AB">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50" w:type="pct"/>
            <w:tcBorders>
              <w:top w:val="single" w:color="000000" w:sz="4" w:space="0"/>
              <w:left w:val="nil"/>
              <w:bottom w:val="single" w:color="000000" w:sz="4" w:space="0"/>
              <w:right w:val="single" w:color="000000" w:sz="4" w:space="0"/>
            </w:tcBorders>
            <w:noWrap w:val="0"/>
            <w:vAlign w:val="center"/>
          </w:tcPr>
          <w:p w14:paraId="18C3DDFE">
            <w:pPr>
              <w:keepNext w:val="0"/>
              <w:keepLines w:val="0"/>
              <w:pageBreakBefore w:val="0"/>
              <w:widowControl/>
              <w:kinsoku/>
              <w:wordWrap w:val="0"/>
              <w:overflowPunct/>
              <w:topLinePunct w:val="0"/>
              <w:bidi w:val="0"/>
              <w:snapToGrid w:val="0"/>
              <w:spacing w:line="500" w:lineRule="exact"/>
              <w:jc w:val="center"/>
              <w:rPr>
                <w:rFonts w:ascii="宋体" w:hAnsi="宋体" w:cs="宋体"/>
                <w:color w:val="auto"/>
                <w:kern w:val="0"/>
                <w:sz w:val="22"/>
                <w:szCs w:val="22"/>
                <w:highlight w:val="none"/>
              </w:rPr>
            </w:pPr>
          </w:p>
        </w:tc>
        <w:tc>
          <w:tcPr>
            <w:tcW w:w="663" w:type="pct"/>
            <w:tcBorders>
              <w:top w:val="single" w:color="000000" w:sz="4" w:space="0"/>
              <w:left w:val="nil"/>
              <w:bottom w:val="single" w:color="000000" w:sz="4" w:space="0"/>
              <w:right w:val="single" w:color="auto" w:sz="4" w:space="0"/>
            </w:tcBorders>
            <w:noWrap w:val="0"/>
            <w:vAlign w:val="center"/>
          </w:tcPr>
          <w:p w14:paraId="6B3DAEF4">
            <w:pPr>
              <w:keepNext w:val="0"/>
              <w:keepLines w:val="0"/>
              <w:pageBreakBefore w:val="0"/>
              <w:widowControl/>
              <w:kinsoku/>
              <w:wordWrap w:val="0"/>
              <w:overflowPunct/>
              <w:topLinePunct w:val="0"/>
              <w:bidi w:val="0"/>
              <w:snapToGrid w:val="0"/>
              <w:spacing w:line="500" w:lineRule="exact"/>
              <w:jc w:val="center"/>
              <w:rPr>
                <w:rFonts w:ascii="宋体" w:hAnsi="宋体" w:cs="宋体"/>
                <w:color w:val="auto"/>
                <w:kern w:val="0"/>
                <w:sz w:val="22"/>
                <w:szCs w:val="22"/>
                <w:highlight w:val="none"/>
              </w:rPr>
            </w:pPr>
          </w:p>
        </w:tc>
        <w:tc>
          <w:tcPr>
            <w:tcW w:w="571" w:type="pct"/>
            <w:tcBorders>
              <w:top w:val="single" w:color="000000" w:sz="4" w:space="0"/>
              <w:left w:val="nil"/>
              <w:bottom w:val="single" w:color="000000" w:sz="4" w:space="0"/>
              <w:right w:val="single" w:color="auto" w:sz="4" w:space="0"/>
            </w:tcBorders>
            <w:noWrap w:val="0"/>
            <w:vAlign w:val="center"/>
          </w:tcPr>
          <w:p w14:paraId="5B659352">
            <w:pPr>
              <w:keepNext w:val="0"/>
              <w:keepLines w:val="0"/>
              <w:pageBreakBefore w:val="0"/>
              <w:widowControl/>
              <w:kinsoku/>
              <w:wordWrap w:val="0"/>
              <w:overflowPunct/>
              <w:topLinePunct w:val="0"/>
              <w:bidi w:val="0"/>
              <w:snapToGrid w:val="0"/>
              <w:spacing w:line="500" w:lineRule="exact"/>
              <w:jc w:val="center"/>
              <w:rPr>
                <w:rFonts w:ascii="宋体" w:hAnsi="宋体" w:cs="宋体"/>
                <w:color w:val="auto"/>
                <w:kern w:val="0"/>
                <w:sz w:val="22"/>
                <w:szCs w:val="22"/>
                <w:highlight w:val="none"/>
              </w:rPr>
            </w:pPr>
          </w:p>
        </w:tc>
        <w:tc>
          <w:tcPr>
            <w:tcW w:w="500" w:type="pct"/>
            <w:tcBorders>
              <w:top w:val="single" w:color="000000" w:sz="4" w:space="0"/>
              <w:left w:val="single" w:color="auto" w:sz="4" w:space="0"/>
              <w:bottom w:val="single" w:color="000000" w:sz="4" w:space="0"/>
              <w:right w:val="single" w:color="000000" w:sz="4" w:space="0"/>
            </w:tcBorders>
            <w:noWrap w:val="0"/>
            <w:vAlign w:val="center"/>
          </w:tcPr>
          <w:p w14:paraId="485D4D70">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66" w:type="pct"/>
            <w:tcBorders>
              <w:top w:val="single" w:color="000000" w:sz="4" w:space="0"/>
              <w:left w:val="single" w:color="auto" w:sz="4" w:space="0"/>
              <w:bottom w:val="single" w:color="000000" w:sz="4" w:space="0"/>
              <w:right w:val="single" w:color="000000" w:sz="4" w:space="0"/>
            </w:tcBorders>
            <w:noWrap w:val="0"/>
            <w:vAlign w:val="center"/>
          </w:tcPr>
          <w:p w14:paraId="6C779881">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2A8974AA">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53D8D530">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68AE1B6A">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36" w:type="pct"/>
            <w:tcBorders>
              <w:top w:val="single" w:color="000000" w:sz="4" w:space="0"/>
              <w:left w:val="nil"/>
              <w:bottom w:val="single" w:color="000000" w:sz="4" w:space="0"/>
              <w:right w:val="single" w:color="000000" w:sz="4" w:space="0"/>
            </w:tcBorders>
            <w:noWrap w:val="0"/>
            <w:vAlign w:val="center"/>
          </w:tcPr>
          <w:p w14:paraId="228D30DE">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r>
      <w:tr w14:paraId="42B5BAD7">
        <w:tblPrEx>
          <w:tblCellMar>
            <w:top w:w="0" w:type="dxa"/>
            <w:left w:w="108" w:type="dxa"/>
            <w:bottom w:w="0" w:type="dxa"/>
            <w:right w:w="108" w:type="dxa"/>
          </w:tblCellMar>
        </w:tblPrEx>
        <w:trPr>
          <w:trHeight w:val="1190" w:hRule="atLeast"/>
          <w:jc w:val="center"/>
        </w:trPr>
        <w:tc>
          <w:tcPr>
            <w:tcW w:w="2035" w:type="pct"/>
            <w:gridSpan w:val="4"/>
            <w:tcBorders>
              <w:top w:val="single" w:color="000000" w:sz="4" w:space="0"/>
              <w:left w:val="single" w:color="000000" w:sz="4" w:space="0"/>
              <w:bottom w:val="single" w:color="000000" w:sz="4" w:space="0"/>
              <w:right w:val="single" w:color="auto" w:sz="4" w:space="0"/>
            </w:tcBorders>
            <w:noWrap w:val="0"/>
            <w:vAlign w:val="center"/>
          </w:tcPr>
          <w:p w14:paraId="5868AC93">
            <w:pPr>
              <w:keepNext w:val="0"/>
              <w:keepLines w:val="0"/>
              <w:pageBreakBefore w:val="0"/>
              <w:widowControl/>
              <w:kinsoku/>
              <w:wordWrap w:val="0"/>
              <w:overflowPunct/>
              <w:topLinePunct w:val="0"/>
              <w:bidi w:val="0"/>
              <w:snapToGrid w:val="0"/>
              <w:spacing w:before="100" w:beforeAutospacing="1" w:after="100" w:afterAutospacing="1" w:line="500" w:lineRule="exact"/>
              <w:ind w:right="-330"/>
              <w:jc w:val="center"/>
              <w:rPr>
                <w:rFonts w:ascii="宋体" w:hAnsi="宋体" w:cs="宋体"/>
                <w:color w:val="auto"/>
                <w:kern w:val="0"/>
                <w:sz w:val="22"/>
                <w:szCs w:val="22"/>
                <w:highlight w:val="none"/>
              </w:rPr>
            </w:pPr>
            <w:r>
              <w:rPr>
                <w:rFonts w:hint="eastAsia" w:ascii="宋体" w:hAnsi="宋体" w:cs="宋体"/>
                <w:color w:val="auto"/>
                <w:sz w:val="22"/>
                <w:szCs w:val="22"/>
                <w:highlight w:val="none"/>
              </w:rPr>
              <w:t>报价金额合计</w:t>
            </w:r>
          </w:p>
        </w:tc>
        <w:tc>
          <w:tcPr>
            <w:tcW w:w="2964" w:type="pct"/>
            <w:gridSpan w:val="6"/>
            <w:tcBorders>
              <w:top w:val="single" w:color="000000" w:sz="4" w:space="0"/>
              <w:left w:val="single" w:color="auto" w:sz="4" w:space="0"/>
              <w:bottom w:val="single" w:color="000000" w:sz="4" w:space="0"/>
              <w:right w:val="single" w:color="000000" w:sz="4" w:space="0"/>
            </w:tcBorders>
            <w:noWrap w:val="0"/>
            <w:vAlign w:val="center"/>
          </w:tcPr>
          <w:p w14:paraId="0F39727C">
            <w:pPr>
              <w:keepNext w:val="0"/>
              <w:keepLines w:val="0"/>
              <w:pageBreakBefore w:val="0"/>
              <w:kinsoku/>
              <w:wordWrap w:val="0"/>
              <w:overflowPunct/>
              <w:topLinePunct w:val="0"/>
              <w:bidi w:val="0"/>
              <w:spacing w:line="500" w:lineRule="exact"/>
              <w:rPr>
                <w:rFonts w:ascii="宋体" w:hAnsi="宋体" w:cs="宋体"/>
                <w:color w:val="auto"/>
                <w:sz w:val="22"/>
                <w:szCs w:val="22"/>
                <w:highlight w:val="none"/>
              </w:rPr>
            </w:pPr>
            <w:r>
              <w:rPr>
                <w:rFonts w:hint="eastAsia" w:ascii="宋体" w:hAnsi="宋体" w:cs="宋体"/>
                <w:color w:val="auto"/>
                <w:sz w:val="22"/>
                <w:szCs w:val="22"/>
                <w:highlight w:val="none"/>
              </w:rPr>
              <w:t>大写：</w:t>
            </w:r>
          </w:p>
          <w:p w14:paraId="4BBF7C30">
            <w:pPr>
              <w:keepNext w:val="0"/>
              <w:keepLines w:val="0"/>
              <w:pageBreakBefore w:val="0"/>
              <w:kinsoku/>
              <w:wordWrap w:val="0"/>
              <w:overflowPunct/>
              <w:topLinePunct w:val="0"/>
              <w:bidi w:val="0"/>
              <w:spacing w:line="5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小写：</w:t>
            </w:r>
          </w:p>
        </w:tc>
      </w:tr>
      <w:tr w14:paraId="26B5F818">
        <w:tblPrEx>
          <w:tblCellMar>
            <w:top w:w="0" w:type="dxa"/>
            <w:left w:w="108" w:type="dxa"/>
            <w:bottom w:w="0" w:type="dxa"/>
            <w:right w:w="108" w:type="dxa"/>
          </w:tblCellMar>
        </w:tblPrEx>
        <w:trPr>
          <w:trHeight w:val="837"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noWrap w:val="0"/>
            <w:vAlign w:val="center"/>
          </w:tcPr>
          <w:p w14:paraId="465CB296">
            <w:pPr>
              <w:keepNext w:val="0"/>
              <w:keepLines w:val="0"/>
              <w:pageBreakBefore w:val="0"/>
              <w:widowControl/>
              <w:kinsoku/>
              <w:wordWrap w:val="0"/>
              <w:overflowPunct/>
              <w:topLinePunct w:val="0"/>
              <w:bidi w:val="0"/>
              <w:snapToGrid w:val="0"/>
              <w:spacing w:before="100" w:beforeAutospacing="1" w:after="100" w:afterAutospacing="1" w:line="500" w:lineRule="exact"/>
              <w:ind w:right="-330"/>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 xml:space="preserve">备注： </w:t>
            </w:r>
          </w:p>
        </w:tc>
      </w:tr>
    </w:tbl>
    <w:p w14:paraId="0A679DBC">
      <w:pPr>
        <w:pStyle w:val="18"/>
        <w:keepNext w:val="0"/>
        <w:keepLines w:val="0"/>
        <w:pageBreakBefore w:val="0"/>
        <w:kinsoku/>
        <w:wordWrap w:val="0"/>
        <w:overflowPunct/>
        <w:topLinePunct w:val="0"/>
        <w:bidi w:val="0"/>
        <w:ind w:left="0" w:firstLine="480" w:firstLineChars="200"/>
        <w:jc w:val="both"/>
        <w:rPr>
          <w:rFonts w:hint="eastAsia" w:ascii="宋体" w:hAnsi="宋体"/>
          <w:color w:val="auto"/>
          <w:highlight w:val="none"/>
        </w:rPr>
      </w:pPr>
      <w:r>
        <w:rPr>
          <w:rFonts w:hint="eastAsia"/>
          <w:bCs/>
          <w:color w:val="auto"/>
          <w:sz w:val="24"/>
          <w:highlight w:val="none"/>
        </w:rPr>
        <w:t>注：此表格若不够用，可根据实际自行扩展表格。</w:t>
      </w:r>
    </w:p>
    <w:p w14:paraId="61804F6C">
      <w:pPr>
        <w:pStyle w:val="18"/>
        <w:keepNext w:val="0"/>
        <w:keepLines w:val="0"/>
        <w:pageBreakBefore w:val="0"/>
        <w:kinsoku/>
        <w:wordWrap w:val="0"/>
        <w:overflowPunct/>
        <w:topLinePunct w:val="0"/>
        <w:bidi w:val="0"/>
        <w:ind w:left="0"/>
        <w:jc w:val="center"/>
        <w:rPr>
          <w:rFonts w:hint="eastAsia" w:ascii="宋体" w:hAnsi="宋体"/>
          <w:color w:val="auto"/>
          <w:highlight w:val="none"/>
        </w:rPr>
      </w:pPr>
    </w:p>
    <w:p w14:paraId="45D1E7C5">
      <w:pPr>
        <w:pStyle w:val="18"/>
        <w:keepNext w:val="0"/>
        <w:keepLines w:val="0"/>
        <w:pageBreakBefore w:val="0"/>
        <w:kinsoku/>
        <w:wordWrap w:val="0"/>
        <w:overflowPunct/>
        <w:topLinePunct w:val="0"/>
        <w:bidi w:val="0"/>
        <w:ind w:left="0"/>
        <w:jc w:val="center"/>
        <w:rPr>
          <w:rFonts w:hint="eastAsia" w:ascii="宋体" w:hAnsi="宋体"/>
          <w:color w:val="auto"/>
          <w:highlight w:val="none"/>
        </w:rPr>
      </w:pPr>
    </w:p>
    <w:p w14:paraId="33E41277">
      <w:pPr>
        <w:keepNext w:val="0"/>
        <w:keepLines w:val="0"/>
        <w:pageBreakBefore w:val="0"/>
        <w:kinsoku/>
        <w:wordWrap w:val="0"/>
        <w:overflowPunct/>
        <w:topLinePunct w:val="0"/>
        <w:bidi w:val="0"/>
        <w:spacing w:line="480" w:lineRule="exact"/>
        <w:ind w:firstLine="480" w:firstLineChars="200"/>
        <w:rPr>
          <w:bCs/>
          <w:color w:val="auto"/>
          <w:sz w:val="24"/>
          <w:highlight w:val="none"/>
        </w:rPr>
      </w:pPr>
      <w:r>
        <w:rPr>
          <w:rFonts w:hint="eastAsia"/>
          <w:bCs/>
          <w:color w:val="auto"/>
          <w:sz w:val="24"/>
          <w:highlight w:val="none"/>
        </w:rPr>
        <w:t>供应商名称：（公章签章）</w:t>
      </w:r>
    </w:p>
    <w:p w14:paraId="55445F8D">
      <w:pPr>
        <w:keepNext w:val="0"/>
        <w:keepLines w:val="0"/>
        <w:pageBreakBefore w:val="0"/>
        <w:kinsoku/>
        <w:wordWrap w:val="0"/>
        <w:overflowPunct/>
        <w:topLinePunct w:val="0"/>
        <w:bidi w:val="0"/>
        <w:spacing w:line="480" w:lineRule="exact"/>
        <w:ind w:firstLine="480" w:firstLineChars="200"/>
        <w:rPr>
          <w:bCs/>
          <w:color w:val="auto"/>
          <w:sz w:val="24"/>
          <w:highlight w:val="none"/>
        </w:rPr>
      </w:pPr>
      <w:r>
        <w:rPr>
          <w:rFonts w:hint="eastAsia"/>
          <w:bCs/>
          <w:color w:val="auto"/>
          <w:sz w:val="24"/>
          <w:highlight w:val="none"/>
        </w:rPr>
        <w:t xml:space="preserve">法定代表人或委托代理人：（法人签章）                                                                     </w:t>
      </w:r>
    </w:p>
    <w:p w14:paraId="583E5A13">
      <w:pPr>
        <w:keepNext w:val="0"/>
        <w:keepLines w:val="0"/>
        <w:pageBreakBefore w:val="0"/>
        <w:kinsoku/>
        <w:wordWrap w:val="0"/>
        <w:overflowPunct/>
        <w:topLinePunct w:val="0"/>
        <w:bidi w:val="0"/>
        <w:spacing w:line="480" w:lineRule="exact"/>
        <w:ind w:firstLine="480" w:firstLineChars="200"/>
        <w:rPr>
          <w:bCs/>
          <w:color w:val="auto"/>
          <w:sz w:val="24"/>
          <w:highlight w:val="none"/>
        </w:rPr>
      </w:pPr>
      <w:r>
        <w:rPr>
          <w:rFonts w:hint="eastAsia"/>
          <w:bCs/>
          <w:color w:val="auto"/>
          <w:sz w:val="24"/>
          <w:highlight w:val="none"/>
        </w:rPr>
        <w:t>日期：      年    月    日</w:t>
      </w:r>
    </w:p>
    <w:p w14:paraId="7AB65E5D">
      <w:pPr>
        <w:keepNext w:val="0"/>
        <w:keepLines w:val="0"/>
        <w:pageBreakBefore w:val="0"/>
        <w:kinsoku/>
        <w:wordWrap w:val="0"/>
        <w:overflowPunct/>
        <w:topLinePunct w:val="0"/>
        <w:bidi w:val="0"/>
        <w:spacing w:line="480" w:lineRule="exact"/>
        <w:rPr>
          <w:bCs/>
          <w:color w:val="auto"/>
          <w:sz w:val="24"/>
          <w:highlight w:val="none"/>
        </w:rPr>
      </w:pPr>
    </w:p>
    <w:p w14:paraId="6B8A7BE3">
      <w:pPr>
        <w:pStyle w:val="18"/>
        <w:keepNext w:val="0"/>
        <w:keepLines w:val="0"/>
        <w:pageBreakBefore w:val="0"/>
        <w:kinsoku/>
        <w:wordWrap w:val="0"/>
        <w:overflowPunct/>
        <w:topLinePunct w:val="0"/>
        <w:bidi w:val="0"/>
        <w:ind w:left="0"/>
        <w:jc w:val="center"/>
        <w:rPr>
          <w:rFonts w:hint="eastAsia" w:ascii="宋体" w:hAnsi="宋体"/>
          <w:color w:val="auto"/>
          <w:highlight w:val="none"/>
        </w:rPr>
      </w:pPr>
    </w:p>
    <w:p w14:paraId="078C72C8">
      <w:pPr>
        <w:pStyle w:val="18"/>
        <w:keepNext w:val="0"/>
        <w:keepLines w:val="0"/>
        <w:pageBreakBefore w:val="0"/>
        <w:kinsoku/>
        <w:wordWrap w:val="0"/>
        <w:overflowPunct/>
        <w:topLinePunct w:val="0"/>
        <w:bidi w:val="0"/>
        <w:ind w:left="0"/>
        <w:jc w:val="center"/>
        <w:rPr>
          <w:rFonts w:hint="eastAsia" w:ascii="宋体" w:hAnsi="宋体"/>
          <w:color w:val="auto"/>
          <w:highlight w:val="none"/>
        </w:rPr>
      </w:pPr>
    </w:p>
    <w:p w14:paraId="0C3D2360">
      <w:pPr>
        <w:pStyle w:val="18"/>
        <w:keepNext w:val="0"/>
        <w:keepLines w:val="0"/>
        <w:pageBreakBefore w:val="0"/>
        <w:kinsoku/>
        <w:wordWrap w:val="0"/>
        <w:overflowPunct/>
        <w:topLinePunct w:val="0"/>
        <w:bidi w:val="0"/>
        <w:ind w:left="0"/>
        <w:jc w:val="both"/>
        <w:rPr>
          <w:rFonts w:ascii="宋体" w:hAnsi="宋体"/>
          <w:color w:val="auto"/>
          <w:highlight w:val="none"/>
        </w:rPr>
      </w:pPr>
      <w:r>
        <w:rPr>
          <w:rFonts w:hint="eastAsia" w:ascii="宋体" w:hAnsi="宋体" w:eastAsia="宋体" w:cs="宋体"/>
          <w:color w:val="auto"/>
          <w:highlight w:val="none"/>
          <w:lang w:eastAsia="zh-CN"/>
        </w:rPr>
        <w:br w:type="page"/>
      </w:r>
      <w:r>
        <w:rPr>
          <w:rFonts w:hint="eastAsia" w:ascii="宋体" w:hAnsi="宋体" w:eastAsia="宋体" w:cs="宋体"/>
          <w:color w:val="auto"/>
          <w:highlight w:val="none"/>
          <w:lang w:eastAsia="zh-CN"/>
        </w:rPr>
        <w:t>附表二：</w:t>
      </w:r>
      <w:r>
        <w:rPr>
          <w:rFonts w:hint="eastAsia" w:ascii="宋体" w:hAnsi="宋体" w:eastAsia="宋体" w:cs="宋体"/>
          <w:color w:val="auto"/>
          <w:highlight w:val="none"/>
        </w:rPr>
        <w:t>货物规</w:t>
      </w:r>
      <w:r>
        <w:rPr>
          <w:rFonts w:hint="eastAsia" w:ascii="宋体" w:hAnsi="宋体"/>
          <w:color w:val="auto"/>
          <w:highlight w:val="none"/>
        </w:rPr>
        <w:t>格、技术参数偏离表</w:t>
      </w:r>
      <w:bookmarkEnd w:id="299"/>
      <w:bookmarkEnd w:id="300"/>
      <w:bookmarkEnd w:id="301"/>
      <w:bookmarkEnd w:id="302"/>
      <w:bookmarkEnd w:id="303"/>
    </w:p>
    <w:p w14:paraId="14A6119C">
      <w:pPr>
        <w:keepNext w:val="0"/>
        <w:keepLines w:val="0"/>
        <w:pageBreakBefore w:val="0"/>
        <w:kinsoku/>
        <w:wordWrap w:val="0"/>
        <w:overflowPunct/>
        <w:topLinePunct w:val="0"/>
        <w:bidi w:val="0"/>
        <w:spacing w:line="480" w:lineRule="exact"/>
        <w:rPr>
          <w:bCs/>
          <w:color w:val="auto"/>
          <w:sz w:val="24"/>
          <w:highlight w:val="none"/>
          <w:u w:val="single"/>
        </w:rPr>
      </w:pPr>
      <w:r>
        <w:rPr>
          <w:rFonts w:hint="eastAsia"/>
          <w:bCs/>
          <w:color w:val="auto"/>
          <w:sz w:val="24"/>
          <w:highlight w:val="none"/>
        </w:rPr>
        <w:t>供应商（名称）：</w:t>
      </w:r>
    </w:p>
    <w:p w14:paraId="65639E86">
      <w:pPr>
        <w:keepNext w:val="0"/>
        <w:keepLines w:val="0"/>
        <w:pageBreakBefore w:val="0"/>
        <w:kinsoku/>
        <w:wordWrap w:val="0"/>
        <w:overflowPunct/>
        <w:topLinePunct w:val="0"/>
        <w:bidi w:val="0"/>
        <w:spacing w:line="480" w:lineRule="exact"/>
        <w:rPr>
          <w:bCs/>
          <w:color w:val="auto"/>
          <w:sz w:val="24"/>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1800"/>
        <w:gridCol w:w="2018"/>
        <w:gridCol w:w="1922"/>
        <w:gridCol w:w="1276"/>
      </w:tblGrid>
      <w:tr w14:paraId="455A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14:paraId="756FAB71">
            <w:pPr>
              <w:keepNext w:val="0"/>
              <w:keepLines w:val="0"/>
              <w:pageBreakBefore w:val="0"/>
              <w:kinsoku/>
              <w:wordWrap w:val="0"/>
              <w:overflowPunct/>
              <w:topLinePunct w:val="0"/>
              <w:bidi w:val="0"/>
              <w:spacing w:line="480" w:lineRule="exact"/>
              <w:rPr>
                <w:bCs/>
                <w:color w:val="auto"/>
                <w:sz w:val="24"/>
                <w:highlight w:val="none"/>
              </w:rPr>
            </w:pPr>
            <w:r>
              <w:rPr>
                <w:rFonts w:hint="eastAsia"/>
                <w:bCs/>
                <w:color w:val="auto"/>
                <w:sz w:val="24"/>
                <w:highlight w:val="none"/>
              </w:rPr>
              <w:t>序号</w:t>
            </w:r>
          </w:p>
        </w:tc>
        <w:tc>
          <w:tcPr>
            <w:tcW w:w="1620" w:type="dxa"/>
            <w:noWrap/>
            <w:vAlign w:val="top"/>
          </w:tcPr>
          <w:p w14:paraId="3F3E1C31">
            <w:pPr>
              <w:keepNext w:val="0"/>
              <w:keepLines w:val="0"/>
              <w:pageBreakBefore w:val="0"/>
              <w:kinsoku/>
              <w:wordWrap w:val="0"/>
              <w:overflowPunct/>
              <w:topLinePunct w:val="0"/>
              <w:bidi w:val="0"/>
              <w:spacing w:line="480" w:lineRule="exact"/>
              <w:jc w:val="center"/>
              <w:rPr>
                <w:bCs/>
                <w:color w:val="auto"/>
                <w:sz w:val="24"/>
                <w:highlight w:val="none"/>
              </w:rPr>
            </w:pPr>
            <w:r>
              <w:rPr>
                <w:rFonts w:hint="eastAsia"/>
                <w:bCs/>
                <w:color w:val="auto"/>
                <w:sz w:val="24"/>
                <w:highlight w:val="none"/>
              </w:rPr>
              <w:t>货物名称</w:t>
            </w:r>
          </w:p>
        </w:tc>
        <w:tc>
          <w:tcPr>
            <w:tcW w:w="1800" w:type="dxa"/>
            <w:noWrap/>
            <w:vAlign w:val="top"/>
          </w:tcPr>
          <w:p w14:paraId="31BCD2B7">
            <w:pPr>
              <w:keepNext w:val="0"/>
              <w:keepLines w:val="0"/>
              <w:pageBreakBefore w:val="0"/>
              <w:kinsoku/>
              <w:wordWrap w:val="0"/>
              <w:overflowPunct/>
              <w:topLinePunct w:val="0"/>
              <w:bidi w:val="0"/>
              <w:spacing w:line="480" w:lineRule="exact"/>
              <w:rPr>
                <w:bCs/>
                <w:color w:val="auto"/>
                <w:sz w:val="24"/>
                <w:highlight w:val="none"/>
              </w:rPr>
            </w:pPr>
            <w:r>
              <w:rPr>
                <w:rFonts w:hint="eastAsia"/>
                <w:bCs/>
                <w:color w:val="auto"/>
                <w:sz w:val="24"/>
                <w:highlight w:val="none"/>
              </w:rPr>
              <w:t>招标功能参数</w:t>
            </w:r>
          </w:p>
        </w:tc>
        <w:tc>
          <w:tcPr>
            <w:tcW w:w="2018" w:type="dxa"/>
            <w:noWrap/>
            <w:vAlign w:val="top"/>
          </w:tcPr>
          <w:p w14:paraId="5A000C2D">
            <w:pPr>
              <w:keepNext w:val="0"/>
              <w:keepLines w:val="0"/>
              <w:pageBreakBefore w:val="0"/>
              <w:kinsoku/>
              <w:wordWrap w:val="0"/>
              <w:overflowPunct/>
              <w:topLinePunct w:val="0"/>
              <w:bidi w:val="0"/>
              <w:spacing w:line="480" w:lineRule="exact"/>
              <w:rPr>
                <w:rFonts w:hint="eastAsia" w:eastAsia="宋体"/>
                <w:bCs/>
                <w:color w:val="auto"/>
                <w:sz w:val="24"/>
                <w:highlight w:val="none"/>
                <w:lang w:eastAsia="zh-CN"/>
              </w:rPr>
            </w:pPr>
            <w:r>
              <w:rPr>
                <w:rFonts w:hint="eastAsia"/>
                <w:bCs/>
                <w:color w:val="auto"/>
                <w:sz w:val="24"/>
                <w:highlight w:val="none"/>
              </w:rPr>
              <w:t>投标品牌</w:t>
            </w:r>
            <w:r>
              <w:rPr>
                <w:rFonts w:hint="eastAsia"/>
                <w:bCs/>
                <w:color w:val="auto"/>
                <w:sz w:val="24"/>
                <w:highlight w:val="none"/>
                <w:lang w:eastAsia="zh-CN"/>
              </w:rPr>
              <w:t>及型号</w:t>
            </w:r>
          </w:p>
        </w:tc>
        <w:tc>
          <w:tcPr>
            <w:tcW w:w="1922" w:type="dxa"/>
            <w:noWrap/>
            <w:vAlign w:val="top"/>
          </w:tcPr>
          <w:p w14:paraId="1C516B8E">
            <w:pPr>
              <w:keepNext w:val="0"/>
              <w:keepLines w:val="0"/>
              <w:pageBreakBefore w:val="0"/>
              <w:kinsoku/>
              <w:wordWrap w:val="0"/>
              <w:overflowPunct/>
              <w:topLinePunct w:val="0"/>
              <w:bidi w:val="0"/>
              <w:spacing w:line="480" w:lineRule="exact"/>
              <w:rPr>
                <w:bCs/>
                <w:color w:val="auto"/>
                <w:sz w:val="24"/>
                <w:highlight w:val="none"/>
              </w:rPr>
            </w:pPr>
            <w:r>
              <w:rPr>
                <w:rFonts w:hint="eastAsia"/>
                <w:bCs/>
                <w:color w:val="auto"/>
                <w:sz w:val="24"/>
                <w:highlight w:val="none"/>
              </w:rPr>
              <w:t>投标功能参数</w:t>
            </w:r>
          </w:p>
        </w:tc>
        <w:tc>
          <w:tcPr>
            <w:tcW w:w="1276" w:type="dxa"/>
            <w:noWrap/>
            <w:vAlign w:val="top"/>
          </w:tcPr>
          <w:p w14:paraId="4A497A9D">
            <w:pPr>
              <w:keepNext w:val="0"/>
              <w:keepLines w:val="0"/>
              <w:pageBreakBefore w:val="0"/>
              <w:kinsoku/>
              <w:wordWrap w:val="0"/>
              <w:overflowPunct/>
              <w:topLinePunct w:val="0"/>
              <w:bidi w:val="0"/>
              <w:spacing w:line="480" w:lineRule="exact"/>
              <w:rPr>
                <w:bCs/>
                <w:color w:val="auto"/>
                <w:sz w:val="24"/>
                <w:highlight w:val="none"/>
              </w:rPr>
            </w:pPr>
            <w:r>
              <w:rPr>
                <w:rFonts w:hint="eastAsia"/>
                <w:bCs/>
                <w:color w:val="auto"/>
                <w:sz w:val="24"/>
                <w:highlight w:val="none"/>
              </w:rPr>
              <w:t>偏离说明</w:t>
            </w:r>
          </w:p>
        </w:tc>
      </w:tr>
      <w:tr w14:paraId="7375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14:paraId="6E990934">
            <w:pPr>
              <w:keepNext w:val="0"/>
              <w:keepLines w:val="0"/>
              <w:pageBreakBefore w:val="0"/>
              <w:kinsoku/>
              <w:wordWrap w:val="0"/>
              <w:overflowPunct/>
              <w:topLinePunct w:val="0"/>
              <w:bidi w:val="0"/>
              <w:spacing w:line="480" w:lineRule="exact"/>
              <w:rPr>
                <w:bCs/>
                <w:color w:val="auto"/>
                <w:sz w:val="24"/>
                <w:highlight w:val="none"/>
              </w:rPr>
            </w:pPr>
          </w:p>
        </w:tc>
        <w:tc>
          <w:tcPr>
            <w:tcW w:w="1620" w:type="dxa"/>
            <w:noWrap/>
            <w:vAlign w:val="top"/>
          </w:tcPr>
          <w:p w14:paraId="16F1114F">
            <w:pPr>
              <w:keepNext w:val="0"/>
              <w:keepLines w:val="0"/>
              <w:pageBreakBefore w:val="0"/>
              <w:kinsoku/>
              <w:wordWrap w:val="0"/>
              <w:overflowPunct/>
              <w:topLinePunct w:val="0"/>
              <w:bidi w:val="0"/>
              <w:spacing w:line="480" w:lineRule="exact"/>
              <w:rPr>
                <w:bCs/>
                <w:color w:val="auto"/>
                <w:sz w:val="24"/>
                <w:highlight w:val="none"/>
              </w:rPr>
            </w:pPr>
          </w:p>
        </w:tc>
        <w:tc>
          <w:tcPr>
            <w:tcW w:w="1800" w:type="dxa"/>
            <w:noWrap/>
            <w:vAlign w:val="top"/>
          </w:tcPr>
          <w:p w14:paraId="3C899C30">
            <w:pPr>
              <w:keepNext w:val="0"/>
              <w:keepLines w:val="0"/>
              <w:pageBreakBefore w:val="0"/>
              <w:kinsoku/>
              <w:wordWrap w:val="0"/>
              <w:overflowPunct/>
              <w:topLinePunct w:val="0"/>
              <w:bidi w:val="0"/>
              <w:spacing w:line="480" w:lineRule="exact"/>
              <w:rPr>
                <w:bCs/>
                <w:color w:val="auto"/>
                <w:sz w:val="24"/>
                <w:highlight w:val="none"/>
              </w:rPr>
            </w:pPr>
          </w:p>
        </w:tc>
        <w:tc>
          <w:tcPr>
            <w:tcW w:w="2018" w:type="dxa"/>
            <w:noWrap/>
            <w:vAlign w:val="top"/>
          </w:tcPr>
          <w:p w14:paraId="4F8C7A78">
            <w:pPr>
              <w:keepNext w:val="0"/>
              <w:keepLines w:val="0"/>
              <w:pageBreakBefore w:val="0"/>
              <w:kinsoku/>
              <w:wordWrap w:val="0"/>
              <w:overflowPunct/>
              <w:topLinePunct w:val="0"/>
              <w:bidi w:val="0"/>
              <w:spacing w:line="480" w:lineRule="exact"/>
              <w:rPr>
                <w:bCs/>
                <w:color w:val="auto"/>
                <w:sz w:val="24"/>
                <w:highlight w:val="none"/>
              </w:rPr>
            </w:pPr>
          </w:p>
        </w:tc>
        <w:tc>
          <w:tcPr>
            <w:tcW w:w="1922" w:type="dxa"/>
            <w:noWrap/>
            <w:vAlign w:val="top"/>
          </w:tcPr>
          <w:p w14:paraId="6A7C839D">
            <w:pPr>
              <w:keepNext w:val="0"/>
              <w:keepLines w:val="0"/>
              <w:pageBreakBefore w:val="0"/>
              <w:kinsoku/>
              <w:wordWrap w:val="0"/>
              <w:overflowPunct/>
              <w:topLinePunct w:val="0"/>
              <w:bidi w:val="0"/>
              <w:spacing w:line="480" w:lineRule="exact"/>
              <w:rPr>
                <w:bCs/>
                <w:color w:val="auto"/>
                <w:sz w:val="24"/>
                <w:highlight w:val="none"/>
              </w:rPr>
            </w:pPr>
          </w:p>
        </w:tc>
        <w:tc>
          <w:tcPr>
            <w:tcW w:w="1276" w:type="dxa"/>
            <w:noWrap/>
            <w:vAlign w:val="top"/>
          </w:tcPr>
          <w:p w14:paraId="6968DAFB">
            <w:pPr>
              <w:keepNext w:val="0"/>
              <w:keepLines w:val="0"/>
              <w:pageBreakBefore w:val="0"/>
              <w:kinsoku/>
              <w:wordWrap w:val="0"/>
              <w:overflowPunct/>
              <w:topLinePunct w:val="0"/>
              <w:bidi w:val="0"/>
              <w:spacing w:line="480" w:lineRule="exact"/>
              <w:rPr>
                <w:bCs/>
                <w:color w:val="auto"/>
                <w:sz w:val="24"/>
                <w:highlight w:val="none"/>
              </w:rPr>
            </w:pPr>
          </w:p>
        </w:tc>
      </w:tr>
      <w:tr w14:paraId="12D39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14:paraId="686EDE5C">
            <w:pPr>
              <w:keepNext w:val="0"/>
              <w:keepLines w:val="0"/>
              <w:pageBreakBefore w:val="0"/>
              <w:kinsoku/>
              <w:wordWrap w:val="0"/>
              <w:overflowPunct/>
              <w:topLinePunct w:val="0"/>
              <w:bidi w:val="0"/>
              <w:spacing w:line="480" w:lineRule="exact"/>
              <w:rPr>
                <w:bCs/>
                <w:color w:val="auto"/>
                <w:sz w:val="24"/>
                <w:highlight w:val="none"/>
              </w:rPr>
            </w:pPr>
          </w:p>
        </w:tc>
        <w:tc>
          <w:tcPr>
            <w:tcW w:w="1620" w:type="dxa"/>
            <w:noWrap/>
            <w:vAlign w:val="top"/>
          </w:tcPr>
          <w:p w14:paraId="28C3592A">
            <w:pPr>
              <w:keepNext w:val="0"/>
              <w:keepLines w:val="0"/>
              <w:pageBreakBefore w:val="0"/>
              <w:kinsoku/>
              <w:wordWrap w:val="0"/>
              <w:overflowPunct/>
              <w:topLinePunct w:val="0"/>
              <w:bidi w:val="0"/>
              <w:spacing w:line="480" w:lineRule="exact"/>
              <w:rPr>
                <w:bCs/>
                <w:color w:val="auto"/>
                <w:sz w:val="24"/>
                <w:highlight w:val="none"/>
              </w:rPr>
            </w:pPr>
          </w:p>
        </w:tc>
        <w:tc>
          <w:tcPr>
            <w:tcW w:w="1800" w:type="dxa"/>
            <w:noWrap/>
            <w:vAlign w:val="top"/>
          </w:tcPr>
          <w:p w14:paraId="39E796B0">
            <w:pPr>
              <w:keepNext w:val="0"/>
              <w:keepLines w:val="0"/>
              <w:pageBreakBefore w:val="0"/>
              <w:kinsoku/>
              <w:wordWrap w:val="0"/>
              <w:overflowPunct/>
              <w:topLinePunct w:val="0"/>
              <w:bidi w:val="0"/>
              <w:spacing w:line="480" w:lineRule="exact"/>
              <w:rPr>
                <w:bCs/>
                <w:color w:val="auto"/>
                <w:sz w:val="24"/>
                <w:highlight w:val="none"/>
              </w:rPr>
            </w:pPr>
          </w:p>
        </w:tc>
        <w:tc>
          <w:tcPr>
            <w:tcW w:w="2018" w:type="dxa"/>
            <w:noWrap/>
            <w:vAlign w:val="top"/>
          </w:tcPr>
          <w:p w14:paraId="49BABCA1">
            <w:pPr>
              <w:keepNext w:val="0"/>
              <w:keepLines w:val="0"/>
              <w:pageBreakBefore w:val="0"/>
              <w:kinsoku/>
              <w:wordWrap w:val="0"/>
              <w:overflowPunct/>
              <w:topLinePunct w:val="0"/>
              <w:bidi w:val="0"/>
              <w:spacing w:line="480" w:lineRule="exact"/>
              <w:rPr>
                <w:bCs/>
                <w:color w:val="auto"/>
                <w:sz w:val="24"/>
                <w:highlight w:val="none"/>
              </w:rPr>
            </w:pPr>
          </w:p>
        </w:tc>
        <w:tc>
          <w:tcPr>
            <w:tcW w:w="1922" w:type="dxa"/>
            <w:noWrap/>
            <w:vAlign w:val="top"/>
          </w:tcPr>
          <w:p w14:paraId="2FF777D5">
            <w:pPr>
              <w:keepNext w:val="0"/>
              <w:keepLines w:val="0"/>
              <w:pageBreakBefore w:val="0"/>
              <w:kinsoku/>
              <w:wordWrap w:val="0"/>
              <w:overflowPunct/>
              <w:topLinePunct w:val="0"/>
              <w:bidi w:val="0"/>
              <w:spacing w:line="480" w:lineRule="exact"/>
              <w:rPr>
                <w:bCs/>
                <w:color w:val="auto"/>
                <w:sz w:val="24"/>
                <w:highlight w:val="none"/>
              </w:rPr>
            </w:pPr>
          </w:p>
        </w:tc>
        <w:tc>
          <w:tcPr>
            <w:tcW w:w="1276" w:type="dxa"/>
            <w:noWrap/>
            <w:vAlign w:val="top"/>
          </w:tcPr>
          <w:p w14:paraId="5B0522B2">
            <w:pPr>
              <w:keepNext w:val="0"/>
              <w:keepLines w:val="0"/>
              <w:pageBreakBefore w:val="0"/>
              <w:kinsoku/>
              <w:wordWrap w:val="0"/>
              <w:overflowPunct/>
              <w:topLinePunct w:val="0"/>
              <w:bidi w:val="0"/>
              <w:spacing w:line="480" w:lineRule="exact"/>
              <w:rPr>
                <w:bCs/>
                <w:color w:val="auto"/>
                <w:sz w:val="24"/>
                <w:highlight w:val="none"/>
              </w:rPr>
            </w:pPr>
          </w:p>
        </w:tc>
      </w:tr>
      <w:tr w14:paraId="33A7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14:paraId="3E609C36">
            <w:pPr>
              <w:keepNext w:val="0"/>
              <w:keepLines w:val="0"/>
              <w:pageBreakBefore w:val="0"/>
              <w:kinsoku/>
              <w:wordWrap w:val="0"/>
              <w:overflowPunct/>
              <w:topLinePunct w:val="0"/>
              <w:bidi w:val="0"/>
              <w:spacing w:line="480" w:lineRule="exact"/>
              <w:rPr>
                <w:bCs/>
                <w:color w:val="auto"/>
                <w:sz w:val="24"/>
                <w:highlight w:val="none"/>
              </w:rPr>
            </w:pPr>
          </w:p>
        </w:tc>
        <w:tc>
          <w:tcPr>
            <w:tcW w:w="1620" w:type="dxa"/>
            <w:noWrap/>
            <w:vAlign w:val="top"/>
          </w:tcPr>
          <w:p w14:paraId="48E34C95">
            <w:pPr>
              <w:keepNext w:val="0"/>
              <w:keepLines w:val="0"/>
              <w:pageBreakBefore w:val="0"/>
              <w:kinsoku/>
              <w:wordWrap w:val="0"/>
              <w:overflowPunct/>
              <w:topLinePunct w:val="0"/>
              <w:bidi w:val="0"/>
              <w:spacing w:line="480" w:lineRule="exact"/>
              <w:rPr>
                <w:bCs/>
                <w:color w:val="auto"/>
                <w:sz w:val="24"/>
                <w:highlight w:val="none"/>
              </w:rPr>
            </w:pPr>
          </w:p>
        </w:tc>
        <w:tc>
          <w:tcPr>
            <w:tcW w:w="1800" w:type="dxa"/>
            <w:noWrap/>
            <w:vAlign w:val="top"/>
          </w:tcPr>
          <w:p w14:paraId="310ED3CC">
            <w:pPr>
              <w:keepNext w:val="0"/>
              <w:keepLines w:val="0"/>
              <w:pageBreakBefore w:val="0"/>
              <w:kinsoku/>
              <w:wordWrap w:val="0"/>
              <w:overflowPunct/>
              <w:topLinePunct w:val="0"/>
              <w:bidi w:val="0"/>
              <w:spacing w:line="480" w:lineRule="exact"/>
              <w:rPr>
                <w:bCs/>
                <w:color w:val="auto"/>
                <w:sz w:val="24"/>
                <w:highlight w:val="none"/>
              </w:rPr>
            </w:pPr>
          </w:p>
        </w:tc>
        <w:tc>
          <w:tcPr>
            <w:tcW w:w="2018" w:type="dxa"/>
            <w:noWrap/>
            <w:vAlign w:val="top"/>
          </w:tcPr>
          <w:p w14:paraId="06533096">
            <w:pPr>
              <w:keepNext w:val="0"/>
              <w:keepLines w:val="0"/>
              <w:pageBreakBefore w:val="0"/>
              <w:kinsoku/>
              <w:wordWrap w:val="0"/>
              <w:overflowPunct/>
              <w:topLinePunct w:val="0"/>
              <w:bidi w:val="0"/>
              <w:spacing w:line="480" w:lineRule="exact"/>
              <w:rPr>
                <w:bCs/>
                <w:color w:val="auto"/>
                <w:sz w:val="24"/>
                <w:highlight w:val="none"/>
              </w:rPr>
            </w:pPr>
          </w:p>
        </w:tc>
        <w:tc>
          <w:tcPr>
            <w:tcW w:w="1922" w:type="dxa"/>
            <w:noWrap/>
            <w:vAlign w:val="top"/>
          </w:tcPr>
          <w:p w14:paraId="47861E2B">
            <w:pPr>
              <w:keepNext w:val="0"/>
              <w:keepLines w:val="0"/>
              <w:pageBreakBefore w:val="0"/>
              <w:kinsoku/>
              <w:wordWrap w:val="0"/>
              <w:overflowPunct/>
              <w:topLinePunct w:val="0"/>
              <w:bidi w:val="0"/>
              <w:spacing w:line="480" w:lineRule="exact"/>
              <w:rPr>
                <w:bCs/>
                <w:color w:val="auto"/>
                <w:sz w:val="24"/>
                <w:highlight w:val="none"/>
              </w:rPr>
            </w:pPr>
          </w:p>
        </w:tc>
        <w:tc>
          <w:tcPr>
            <w:tcW w:w="1276" w:type="dxa"/>
            <w:noWrap/>
            <w:vAlign w:val="top"/>
          </w:tcPr>
          <w:p w14:paraId="2F3B740D">
            <w:pPr>
              <w:keepNext w:val="0"/>
              <w:keepLines w:val="0"/>
              <w:pageBreakBefore w:val="0"/>
              <w:kinsoku/>
              <w:wordWrap w:val="0"/>
              <w:overflowPunct/>
              <w:topLinePunct w:val="0"/>
              <w:bidi w:val="0"/>
              <w:spacing w:line="480" w:lineRule="exact"/>
              <w:rPr>
                <w:bCs/>
                <w:color w:val="auto"/>
                <w:sz w:val="24"/>
                <w:highlight w:val="none"/>
              </w:rPr>
            </w:pPr>
          </w:p>
        </w:tc>
      </w:tr>
      <w:tr w14:paraId="50B7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14:paraId="039149FC">
            <w:pPr>
              <w:keepNext w:val="0"/>
              <w:keepLines w:val="0"/>
              <w:pageBreakBefore w:val="0"/>
              <w:kinsoku/>
              <w:wordWrap w:val="0"/>
              <w:overflowPunct/>
              <w:topLinePunct w:val="0"/>
              <w:bidi w:val="0"/>
              <w:spacing w:line="480" w:lineRule="exact"/>
              <w:rPr>
                <w:bCs/>
                <w:color w:val="auto"/>
                <w:sz w:val="24"/>
                <w:highlight w:val="none"/>
              </w:rPr>
            </w:pPr>
          </w:p>
        </w:tc>
        <w:tc>
          <w:tcPr>
            <w:tcW w:w="1620" w:type="dxa"/>
            <w:noWrap/>
            <w:vAlign w:val="top"/>
          </w:tcPr>
          <w:p w14:paraId="7EE7D70B">
            <w:pPr>
              <w:keepNext w:val="0"/>
              <w:keepLines w:val="0"/>
              <w:pageBreakBefore w:val="0"/>
              <w:kinsoku/>
              <w:wordWrap w:val="0"/>
              <w:overflowPunct/>
              <w:topLinePunct w:val="0"/>
              <w:bidi w:val="0"/>
              <w:spacing w:line="480" w:lineRule="exact"/>
              <w:rPr>
                <w:bCs/>
                <w:color w:val="auto"/>
                <w:sz w:val="24"/>
                <w:highlight w:val="none"/>
              </w:rPr>
            </w:pPr>
          </w:p>
        </w:tc>
        <w:tc>
          <w:tcPr>
            <w:tcW w:w="1800" w:type="dxa"/>
            <w:noWrap/>
            <w:vAlign w:val="top"/>
          </w:tcPr>
          <w:p w14:paraId="3768EE2C">
            <w:pPr>
              <w:keepNext w:val="0"/>
              <w:keepLines w:val="0"/>
              <w:pageBreakBefore w:val="0"/>
              <w:kinsoku/>
              <w:wordWrap w:val="0"/>
              <w:overflowPunct/>
              <w:topLinePunct w:val="0"/>
              <w:bidi w:val="0"/>
              <w:spacing w:line="480" w:lineRule="exact"/>
              <w:rPr>
                <w:bCs/>
                <w:color w:val="auto"/>
                <w:sz w:val="24"/>
                <w:highlight w:val="none"/>
              </w:rPr>
            </w:pPr>
          </w:p>
        </w:tc>
        <w:tc>
          <w:tcPr>
            <w:tcW w:w="2018" w:type="dxa"/>
            <w:noWrap/>
            <w:vAlign w:val="top"/>
          </w:tcPr>
          <w:p w14:paraId="378139C9">
            <w:pPr>
              <w:keepNext w:val="0"/>
              <w:keepLines w:val="0"/>
              <w:pageBreakBefore w:val="0"/>
              <w:kinsoku/>
              <w:wordWrap w:val="0"/>
              <w:overflowPunct/>
              <w:topLinePunct w:val="0"/>
              <w:bidi w:val="0"/>
              <w:spacing w:line="480" w:lineRule="exact"/>
              <w:rPr>
                <w:bCs/>
                <w:color w:val="auto"/>
                <w:sz w:val="24"/>
                <w:highlight w:val="none"/>
              </w:rPr>
            </w:pPr>
          </w:p>
        </w:tc>
        <w:tc>
          <w:tcPr>
            <w:tcW w:w="1922" w:type="dxa"/>
            <w:noWrap/>
            <w:vAlign w:val="top"/>
          </w:tcPr>
          <w:p w14:paraId="20E536B3">
            <w:pPr>
              <w:keepNext w:val="0"/>
              <w:keepLines w:val="0"/>
              <w:pageBreakBefore w:val="0"/>
              <w:kinsoku/>
              <w:wordWrap w:val="0"/>
              <w:overflowPunct/>
              <w:topLinePunct w:val="0"/>
              <w:bidi w:val="0"/>
              <w:spacing w:line="480" w:lineRule="exact"/>
              <w:rPr>
                <w:bCs/>
                <w:color w:val="auto"/>
                <w:sz w:val="24"/>
                <w:highlight w:val="none"/>
              </w:rPr>
            </w:pPr>
          </w:p>
        </w:tc>
        <w:tc>
          <w:tcPr>
            <w:tcW w:w="1276" w:type="dxa"/>
            <w:noWrap/>
            <w:vAlign w:val="top"/>
          </w:tcPr>
          <w:p w14:paraId="2F2E175F">
            <w:pPr>
              <w:keepNext w:val="0"/>
              <w:keepLines w:val="0"/>
              <w:pageBreakBefore w:val="0"/>
              <w:kinsoku/>
              <w:wordWrap w:val="0"/>
              <w:overflowPunct/>
              <w:topLinePunct w:val="0"/>
              <w:bidi w:val="0"/>
              <w:spacing w:line="480" w:lineRule="exact"/>
              <w:rPr>
                <w:bCs/>
                <w:color w:val="auto"/>
                <w:sz w:val="24"/>
                <w:highlight w:val="none"/>
              </w:rPr>
            </w:pPr>
          </w:p>
        </w:tc>
      </w:tr>
      <w:tr w14:paraId="5C44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14:paraId="46A46432">
            <w:pPr>
              <w:keepNext w:val="0"/>
              <w:keepLines w:val="0"/>
              <w:pageBreakBefore w:val="0"/>
              <w:kinsoku/>
              <w:wordWrap w:val="0"/>
              <w:overflowPunct/>
              <w:topLinePunct w:val="0"/>
              <w:bidi w:val="0"/>
              <w:spacing w:line="480" w:lineRule="exact"/>
              <w:rPr>
                <w:bCs/>
                <w:color w:val="auto"/>
                <w:sz w:val="24"/>
                <w:highlight w:val="none"/>
              </w:rPr>
            </w:pPr>
          </w:p>
        </w:tc>
        <w:tc>
          <w:tcPr>
            <w:tcW w:w="1620" w:type="dxa"/>
            <w:noWrap/>
            <w:vAlign w:val="top"/>
          </w:tcPr>
          <w:p w14:paraId="6EFAAA60">
            <w:pPr>
              <w:keepNext w:val="0"/>
              <w:keepLines w:val="0"/>
              <w:pageBreakBefore w:val="0"/>
              <w:kinsoku/>
              <w:wordWrap w:val="0"/>
              <w:overflowPunct/>
              <w:topLinePunct w:val="0"/>
              <w:bidi w:val="0"/>
              <w:spacing w:line="480" w:lineRule="exact"/>
              <w:rPr>
                <w:bCs/>
                <w:color w:val="auto"/>
                <w:sz w:val="24"/>
                <w:highlight w:val="none"/>
              </w:rPr>
            </w:pPr>
          </w:p>
        </w:tc>
        <w:tc>
          <w:tcPr>
            <w:tcW w:w="1800" w:type="dxa"/>
            <w:noWrap/>
            <w:vAlign w:val="top"/>
          </w:tcPr>
          <w:p w14:paraId="4BF1F219">
            <w:pPr>
              <w:keepNext w:val="0"/>
              <w:keepLines w:val="0"/>
              <w:pageBreakBefore w:val="0"/>
              <w:kinsoku/>
              <w:wordWrap w:val="0"/>
              <w:overflowPunct/>
              <w:topLinePunct w:val="0"/>
              <w:bidi w:val="0"/>
              <w:spacing w:line="480" w:lineRule="exact"/>
              <w:rPr>
                <w:bCs/>
                <w:color w:val="auto"/>
                <w:sz w:val="24"/>
                <w:highlight w:val="none"/>
              </w:rPr>
            </w:pPr>
          </w:p>
        </w:tc>
        <w:tc>
          <w:tcPr>
            <w:tcW w:w="2018" w:type="dxa"/>
            <w:noWrap/>
            <w:vAlign w:val="top"/>
          </w:tcPr>
          <w:p w14:paraId="555A134E">
            <w:pPr>
              <w:keepNext w:val="0"/>
              <w:keepLines w:val="0"/>
              <w:pageBreakBefore w:val="0"/>
              <w:kinsoku/>
              <w:wordWrap w:val="0"/>
              <w:overflowPunct/>
              <w:topLinePunct w:val="0"/>
              <w:bidi w:val="0"/>
              <w:spacing w:line="480" w:lineRule="exact"/>
              <w:rPr>
                <w:bCs/>
                <w:color w:val="auto"/>
                <w:sz w:val="24"/>
                <w:highlight w:val="none"/>
              </w:rPr>
            </w:pPr>
          </w:p>
        </w:tc>
        <w:tc>
          <w:tcPr>
            <w:tcW w:w="1922" w:type="dxa"/>
            <w:noWrap/>
            <w:vAlign w:val="top"/>
          </w:tcPr>
          <w:p w14:paraId="740AAEB6">
            <w:pPr>
              <w:keepNext w:val="0"/>
              <w:keepLines w:val="0"/>
              <w:pageBreakBefore w:val="0"/>
              <w:kinsoku/>
              <w:wordWrap w:val="0"/>
              <w:overflowPunct/>
              <w:topLinePunct w:val="0"/>
              <w:bidi w:val="0"/>
              <w:spacing w:line="480" w:lineRule="exact"/>
              <w:rPr>
                <w:bCs/>
                <w:color w:val="auto"/>
                <w:sz w:val="24"/>
                <w:highlight w:val="none"/>
              </w:rPr>
            </w:pPr>
          </w:p>
        </w:tc>
        <w:tc>
          <w:tcPr>
            <w:tcW w:w="1276" w:type="dxa"/>
            <w:noWrap/>
            <w:vAlign w:val="top"/>
          </w:tcPr>
          <w:p w14:paraId="758DE75A">
            <w:pPr>
              <w:keepNext w:val="0"/>
              <w:keepLines w:val="0"/>
              <w:pageBreakBefore w:val="0"/>
              <w:kinsoku/>
              <w:wordWrap w:val="0"/>
              <w:overflowPunct/>
              <w:topLinePunct w:val="0"/>
              <w:bidi w:val="0"/>
              <w:spacing w:line="480" w:lineRule="exact"/>
              <w:rPr>
                <w:bCs/>
                <w:color w:val="auto"/>
                <w:sz w:val="24"/>
                <w:highlight w:val="none"/>
              </w:rPr>
            </w:pPr>
          </w:p>
        </w:tc>
      </w:tr>
      <w:tr w14:paraId="281B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14:paraId="0705226A">
            <w:pPr>
              <w:keepNext w:val="0"/>
              <w:keepLines w:val="0"/>
              <w:pageBreakBefore w:val="0"/>
              <w:kinsoku/>
              <w:wordWrap w:val="0"/>
              <w:overflowPunct/>
              <w:topLinePunct w:val="0"/>
              <w:bidi w:val="0"/>
              <w:spacing w:line="480" w:lineRule="exact"/>
              <w:rPr>
                <w:bCs/>
                <w:color w:val="auto"/>
                <w:sz w:val="24"/>
                <w:highlight w:val="none"/>
              </w:rPr>
            </w:pPr>
          </w:p>
        </w:tc>
        <w:tc>
          <w:tcPr>
            <w:tcW w:w="1620" w:type="dxa"/>
            <w:noWrap/>
            <w:vAlign w:val="top"/>
          </w:tcPr>
          <w:p w14:paraId="3918C340">
            <w:pPr>
              <w:keepNext w:val="0"/>
              <w:keepLines w:val="0"/>
              <w:pageBreakBefore w:val="0"/>
              <w:kinsoku/>
              <w:wordWrap w:val="0"/>
              <w:overflowPunct/>
              <w:topLinePunct w:val="0"/>
              <w:bidi w:val="0"/>
              <w:spacing w:line="480" w:lineRule="exact"/>
              <w:rPr>
                <w:bCs/>
                <w:color w:val="auto"/>
                <w:sz w:val="24"/>
                <w:highlight w:val="none"/>
              </w:rPr>
            </w:pPr>
          </w:p>
        </w:tc>
        <w:tc>
          <w:tcPr>
            <w:tcW w:w="1800" w:type="dxa"/>
            <w:noWrap/>
            <w:vAlign w:val="top"/>
          </w:tcPr>
          <w:p w14:paraId="62AED477">
            <w:pPr>
              <w:keepNext w:val="0"/>
              <w:keepLines w:val="0"/>
              <w:pageBreakBefore w:val="0"/>
              <w:kinsoku/>
              <w:wordWrap w:val="0"/>
              <w:overflowPunct/>
              <w:topLinePunct w:val="0"/>
              <w:bidi w:val="0"/>
              <w:spacing w:line="480" w:lineRule="exact"/>
              <w:rPr>
                <w:bCs/>
                <w:color w:val="auto"/>
                <w:sz w:val="24"/>
                <w:highlight w:val="none"/>
              </w:rPr>
            </w:pPr>
          </w:p>
        </w:tc>
        <w:tc>
          <w:tcPr>
            <w:tcW w:w="2018" w:type="dxa"/>
            <w:noWrap/>
            <w:vAlign w:val="top"/>
          </w:tcPr>
          <w:p w14:paraId="52DA5650">
            <w:pPr>
              <w:keepNext w:val="0"/>
              <w:keepLines w:val="0"/>
              <w:pageBreakBefore w:val="0"/>
              <w:kinsoku/>
              <w:wordWrap w:val="0"/>
              <w:overflowPunct/>
              <w:topLinePunct w:val="0"/>
              <w:bidi w:val="0"/>
              <w:spacing w:line="480" w:lineRule="exact"/>
              <w:rPr>
                <w:bCs/>
                <w:color w:val="auto"/>
                <w:sz w:val="24"/>
                <w:highlight w:val="none"/>
              </w:rPr>
            </w:pPr>
          </w:p>
        </w:tc>
        <w:tc>
          <w:tcPr>
            <w:tcW w:w="1922" w:type="dxa"/>
            <w:noWrap/>
            <w:vAlign w:val="top"/>
          </w:tcPr>
          <w:p w14:paraId="475D1EA2">
            <w:pPr>
              <w:keepNext w:val="0"/>
              <w:keepLines w:val="0"/>
              <w:pageBreakBefore w:val="0"/>
              <w:kinsoku/>
              <w:wordWrap w:val="0"/>
              <w:overflowPunct/>
              <w:topLinePunct w:val="0"/>
              <w:bidi w:val="0"/>
              <w:spacing w:line="480" w:lineRule="exact"/>
              <w:rPr>
                <w:bCs/>
                <w:color w:val="auto"/>
                <w:sz w:val="24"/>
                <w:highlight w:val="none"/>
              </w:rPr>
            </w:pPr>
          </w:p>
        </w:tc>
        <w:tc>
          <w:tcPr>
            <w:tcW w:w="1276" w:type="dxa"/>
            <w:noWrap/>
            <w:vAlign w:val="top"/>
          </w:tcPr>
          <w:p w14:paraId="5F657804">
            <w:pPr>
              <w:keepNext w:val="0"/>
              <w:keepLines w:val="0"/>
              <w:pageBreakBefore w:val="0"/>
              <w:kinsoku/>
              <w:wordWrap w:val="0"/>
              <w:overflowPunct/>
              <w:topLinePunct w:val="0"/>
              <w:bidi w:val="0"/>
              <w:spacing w:line="480" w:lineRule="exact"/>
              <w:rPr>
                <w:bCs/>
                <w:color w:val="auto"/>
                <w:sz w:val="24"/>
                <w:highlight w:val="none"/>
              </w:rPr>
            </w:pPr>
          </w:p>
        </w:tc>
      </w:tr>
      <w:tr w14:paraId="5F9A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14:paraId="64BC309A">
            <w:pPr>
              <w:keepNext w:val="0"/>
              <w:keepLines w:val="0"/>
              <w:pageBreakBefore w:val="0"/>
              <w:kinsoku/>
              <w:wordWrap w:val="0"/>
              <w:overflowPunct/>
              <w:topLinePunct w:val="0"/>
              <w:bidi w:val="0"/>
              <w:spacing w:line="480" w:lineRule="exact"/>
              <w:rPr>
                <w:bCs/>
                <w:color w:val="auto"/>
                <w:sz w:val="24"/>
                <w:highlight w:val="none"/>
              </w:rPr>
            </w:pPr>
          </w:p>
        </w:tc>
        <w:tc>
          <w:tcPr>
            <w:tcW w:w="1620" w:type="dxa"/>
            <w:noWrap/>
            <w:vAlign w:val="top"/>
          </w:tcPr>
          <w:p w14:paraId="289F16DB">
            <w:pPr>
              <w:keepNext w:val="0"/>
              <w:keepLines w:val="0"/>
              <w:pageBreakBefore w:val="0"/>
              <w:kinsoku/>
              <w:wordWrap w:val="0"/>
              <w:overflowPunct/>
              <w:topLinePunct w:val="0"/>
              <w:bidi w:val="0"/>
              <w:spacing w:line="480" w:lineRule="exact"/>
              <w:rPr>
                <w:bCs/>
                <w:color w:val="auto"/>
                <w:sz w:val="24"/>
                <w:highlight w:val="none"/>
              </w:rPr>
            </w:pPr>
          </w:p>
        </w:tc>
        <w:tc>
          <w:tcPr>
            <w:tcW w:w="1800" w:type="dxa"/>
            <w:noWrap/>
            <w:vAlign w:val="top"/>
          </w:tcPr>
          <w:p w14:paraId="318165ED">
            <w:pPr>
              <w:keepNext w:val="0"/>
              <w:keepLines w:val="0"/>
              <w:pageBreakBefore w:val="0"/>
              <w:kinsoku/>
              <w:wordWrap w:val="0"/>
              <w:overflowPunct/>
              <w:topLinePunct w:val="0"/>
              <w:bidi w:val="0"/>
              <w:spacing w:line="480" w:lineRule="exact"/>
              <w:rPr>
                <w:bCs/>
                <w:color w:val="auto"/>
                <w:sz w:val="24"/>
                <w:highlight w:val="none"/>
              </w:rPr>
            </w:pPr>
          </w:p>
        </w:tc>
        <w:tc>
          <w:tcPr>
            <w:tcW w:w="2018" w:type="dxa"/>
            <w:noWrap/>
            <w:vAlign w:val="top"/>
          </w:tcPr>
          <w:p w14:paraId="7594DCE6">
            <w:pPr>
              <w:keepNext w:val="0"/>
              <w:keepLines w:val="0"/>
              <w:pageBreakBefore w:val="0"/>
              <w:kinsoku/>
              <w:wordWrap w:val="0"/>
              <w:overflowPunct/>
              <w:topLinePunct w:val="0"/>
              <w:bidi w:val="0"/>
              <w:spacing w:line="480" w:lineRule="exact"/>
              <w:rPr>
                <w:bCs/>
                <w:color w:val="auto"/>
                <w:sz w:val="24"/>
                <w:highlight w:val="none"/>
              </w:rPr>
            </w:pPr>
          </w:p>
        </w:tc>
        <w:tc>
          <w:tcPr>
            <w:tcW w:w="1922" w:type="dxa"/>
            <w:noWrap/>
            <w:vAlign w:val="top"/>
          </w:tcPr>
          <w:p w14:paraId="73EC78FF">
            <w:pPr>
              <w:keepNext w:val="0"/>
              <w:keepLines w:val="0"/>
              <w:pageBreakBefore w:val="0"/>
              <w:kinsoku/>
              <w:wordWrap w:val="0"/>
              <w:overflowPunct/>
              <w:topLinePunct w:val="0"/>
              <w:bidi w:val="0"/>
              <w:spacing w:line="480" w:lineRule="exact"/>
              <w:rPr>
                <w:bCs/>
                <w:color w:val="auto"/>
                <w:sz w:val="24"/>
                <w:highlight w:val="none"/>
              </w:rPr>
            </w:pPr>
          </w:p>
        </w:tc>
        <w:tc>
          <w:tcPr>
            <w:tcW w:w="1276" w:type="dxa"/>
            <w:noWrap/>
            <w:vAlign w:val="top"/>
          </w:tcPr>
          <w:p w14:paraId="1B2105C4">
            <w:pPr>
              <w:keepNext w:val="0"/>
              <w:keepLines w:val="0"/>
              <w:pageBreakBefore w:val="0"/>
              <w:kinsoku/>
              <w:wordWrap w:val="0"/>
              <w:overflowPunct/>
              <w:topLinePunct w:val="0"/>
              <w:bidi w:val="0"/>
              <w:spacing w:line="480" w:lineRule="exact"/>
              <w:rPr>
                <w:bCs/>
                <w:color w:val="auto"/>
                <w:sz w:val="24"/>
                <w:highlight w:val="none"/>
              </w:rPr>
            </w:pPr>
          </w:p>
        </w:tc>
      </w:tr>
    </w:tbl>
    <w:p w14:paraId="0CE02A0D">
      <w:pPr>
        <w:keepNext w:val="0"/>
        <w:keepLines w:val="0"/>
        <w:pageBreakBefore w:val="0"/>
        <w:kinsoku/>
        <w:wordWrap w:val="0"/>
        <w:overflowPunct/>
        <w:topLinePunct w:val="0"/>
        <w:bidi w:val="0"/>
        <w:spacing w:line="480" w:lineRule="exact"/>
        <w:rPr>
          <w:bCs/>
          <w:color w:val="auto"/>
          <w:sz w:val="24"/>
          <w:highlight w:val="none"/>
        </w:rPr>
      </w:pPr>
      <w:r>
        <w:rPr>
          <w:rFonts w:hint="eastAsia"/>
          <w:bCs/>
          <w:color w:val="auto"/>
          <w:sz w:val="24"/>
          <w:highlight w:val="none"/>
        </w:rPr>
        <w:t>（注：只须对比偏离情况）</w:t>
      </w:r>
    </w:p>
    <w:p w14:paraId="74FE3202">
      <w:pPr>
        <w:pStyle w:val="7"/>
        <w:keepNext w:val="0"/>
        <w:keepLines w:val="0"/>
        <w:pageBreakBefore w:val="0"/>
        <w:kinsoku/>
        <w:wordWrap w:val="0"/>
        <w:overflowPunct/>
        <w:topLinePunct w:val="0"/>
        <w:bidi w:val="0"/>
        <w:rPr>
          <w:bCs/>
          <w:color w:val="auto"/>
          <w:highlight w:val="none"/>
        </w:rPr>
      </w:pPr>
    </w:p>
    <w:p w14:paraId="5AF02C17">
      <w:pPr>
        <w:keepNext w:val="0"/>
        <w:keepLines w:val="0"/>
        <w:pageBreakBefore w:val="0"/>
        <w:kinsoku/>
        <w:wordWrap w:val="0"/>
        <w:overflowPunct/>
        <w:topLinePunct w:val="0"/>
        <w:bidi w:val="0"/>
        <w:spacing w:line="480" w:lineRule="exact"/>
        <w:rPr>
          <w:bCs/>
          <w:color w:val="auto"/>
          <w:sz w:val="24"/>
          <w:highlight w:val="none"/>
        </w:rPr>
      </w:pPr>
      <w:r>
        <w:rPr>
          <w:rFonts w:hint="eastAsia"/>
          <w:bCs/>
          <w:color w:val="auto"/>
          <w:sz w:val="24"/>
          <w:highlight w:val="none"/>
        </w:rPr>
        <w:t>供应商名称：（公章签章）</w:t>
      </w:r>
    </w:p>
    <w:p w14:paraId="67908048">
      <w:pPr>
        <w:keepNext w:val="0"/>
        <w:keepLines w:val="0"/>
        <w:pageBreakBefore w:val="0"/>
        <w:kinsoku/>
        <w:wordWrap w:val="0"/>
        <w:overflowPunct/>
        <w:topLinePunct w:val="0"/>
        <w:bidi w:val="0"/>
        <w:spacing w:line="480" w:lineRule="exact"/>
        <w:rPr>
          <w:bCs/>
          <w:color w:val="auto"/>
          <w:sz w:val="24"/>
          <w:highlight w:val="none"/>
        </w:rPr>
      </w:pPr>
      <w:r>
        <w:rPr>
          <w:rFonts w:hint="eastAsia"/>
          <w:bCs/>
          <w:color w:val="auto"/>
          <w:sz w:val="24"/>
          <w:highlight w:val="none"/>
        </w:rPr>
        <w:t xml:space="preserve">法定代表人或委托代理人：（法人签章）                                                                     </w:t>
      </w:r>
    </w:p>
    <w:p w14:paraId="1CA9569D">
      <w:pPr>
        <w:keepNext w:val="0"/>
        <w:keepLines w:val="0"/>
        <w:pageBreakBefore w:val="0"/>
        <w:kinsoku/>
        <w:wordWrap w:val="0"/>
        <w:overflowPunct/>
        <w:topLinePunct w:val="0"/>
        <w:bidi w:val="0"/>
        <w:spacing w:line="480" w:lineRule="exact"/>
        <w:rPr>
          <w:bCs/>
          <w:color w:val="auto"/>
          <w:sz w:val="24"/>
          <w:highlight w:val="none"/>
        </w:rPr>
      </w:pPr>
      <w:r>
        <w:rPr>
          <w:rFonts w:hint="eastAsia"/>
          <w:bCs/>
          <w:color w:val="auto"/>
          <w:sz w:val="24"/>
          <w:highlight w:val="none"/>
        </w:rPr>
        <w:t>日期：      年    月    日</w:t>
      </w:r>
    </w:p>
    <w:p w14:paraId="1A26396B">
      <w:pPr>
        <w:keepNext w:val="0"/>
        <w:keepLines w:val="0"/>
        <w:pageBreakBefore w:val="0"/>
        <w:kinsoku/>
        <w:wordWrap w:val="0"/>
        <w:overflowPunct/>
        <w:topLinePunct w:val="0"/>
        <w:bidi w:val="0"/>
        <w:spacing w:line="480" w:lineRule="exact"/>
        <w:rPr>
          <w:bCs/>
          <w:color w:val="auto"/>
          <w:sz w:val="24"/>
          <w:highlight w:val="none"/>
        </w:rPr>
      </w:pPr>
    </w:p>
    <w:p w14:paraId="784FB15A">
      <w:pPr>
        <w:keepNext w:val="0"/>
        <w:keepLines w:val="0"/>
        <w:pageBreakBefore w:val="0"/>
        <w:kinsoku/>
        <w:wordWrap w:val="0"/>
        <w:overflowPunct/>
        <w:topLinePunct w:val="0"/>
        <w:bidi w:val="0"/>
        <w:spacing w:line="480" w:lineRule="exact"/>
        <w:ind w:firstLine="120" w:firstLineChars="50"/>
        <w:rPr>
          <w:bCs/>
          <w:color w:val="auto"/>
          <w:sz w:val="24"/>
          <w:highlight w:val="none"/>
        </w:rPr>
      </w:pPr>
      <w:r>
        <w:rPr>
          <w:rFonts w:hint="eastAsia"/>
          <w:bCs/>
          <w:color w:val="auto"/>
          <w:sz w:val="24"/>
          <w:highlight w:val="none"/>
        </w:rPr>
        <w:t>注：此表格若不够用，可根据实际自行扩展表格。</w:t>
      </w:r>
    </w:p>
    <w:p w14:paraId="772AA901">
      <w:pPr>
        <w:keepNext w:val="0"/>
        <w:keepLines w:val="0"/>
        <w:pageBreakBefore w:val="0"/>
        <w:kinsoku/>
        <w:wordWrap w:val="0"/>
        <w:overflowPunct/>
        <w:topLinePunct w:val="0"/>
        <w:bidi w:val="0"/>
        <w:spacing w:line="440" w:lineRule="exact"/>
        <w:rPr>
          <w:color w:val="auto"/>
          <w:sz w:val="20"/>
          <w:szCs w:val="20"/>
          <w:highlight w:val="none"/>
        </w:rPr>
      </w:pPr>
      <w:r>
        <w:rPr>
          <w:bCs/>
          <w:color w:val="auto"/>
          <w:sz w:val="24"/>
          <w:highlight w:val="none"/>
        </w:rPr>
        <w:t>（本项目所涉及的技术参数，供应商可提供相应的</w:t>
      </w:r>
      <w:r>
        <w:rPr>
          <w:rFonts w:hint="eastAsia"/>
          <w:bCs/>
          <w:color w:val="auto"/>
          <w:sz w:val="24"/>
          <w:highlight w:val="none"/>
        </w:rPr>
        <w:t>证明文件附后</w:t>
      </w:r>
      <w:r>
        <w:rPr>
          <w:bCs/>
          <w:color w:val="auto"/>
          <w:sz w:val="24"/>
          <w:highlight w:val="none"/>
        </w:rPr>
        <w:t>。</w:t>
      </w:r>
      <w:r>
        <w:rPr>
          <w:rFonts w:hint="eastAsia"/>
          <w:bCs/>
          <w:color w:val="auto"/>
          <w:sz w:val="24"/>
          <w:highlight w:val="none"/>
        </w:rPr>
        <w:t>证明文件</w:t>
      </w:r>
      <w:r>
        <w:rPr>
          <w:bCs/>
          <w:color w:val="auto"/>
          <w:sz w:val="24"/>
          <w:highlight w:val="none"/>
        </w:rPr>
        <w:t>可以是产品彩页、网页公告、检测报告或投标产品详细参数说明</w:t>
      </w:r>
      <w:r>
        <w:rPr>
          <w:rFonts w:hint="eastAsia"/>
          <w:bCs/>
          <w:color w:val="auto"/>
          <w:sz w:val="24"/>
          <w:highlight w:val="none"/>
        </w:rPr>
        <w:t>等资料</w:t>
      </w:r>
      <w:r>
        <w:rPr>
          <w:bCs/>
          <w:color w:val="auto"/>
          <w:sz w:val="24"/>
          <w:highlight w:val="none"/>
        </w:rPr>
        <w:t>）</w:t>
      </w:r>
    </w:p>
    <w:p w14:paraId="09B24D1D">
      <w:pPr>
        <w:keepNext w:val="0"/>
        <w:keepLines w:val="0"/>
        <w:pageBreakBefore w:val="0"/>
        <w:numPr>
          <w:ilvl w:val="0"/>
          <w:numId w:val="16"/>
        </w:numPr>
        <w:kinsoku/>
        <w:wordWrap w:val="0"/>
        <w:overflowPunct/>
        <w:topLinePunct w:val="0"/>
        <w:bidi w:val="0"/>
        <w:spacing w:before="24"/>
        <w:ind w:left="904" w:right="766"/>
        <w:jc w:val="center"/>
        <w:rPr>
          <w:rFonts w:hint="eastAsia" w:ascii="宋体" w:hAnsi="宋体" w:eastAsia="宋体" w:cs="宋体"/>
          <w:color w:val="auto"/>
          <w:sz w:val="28"/>
          <w:szCs w:val="20"/>
          <w:highlight w:val="none"/>
          <w:lang w:val="en-US"/>
        </w:rPr>
      </w:pPr>
      <w:r>
        <w:rPr>
          <w:b/>
          <w:color w:val="auto"/>
          <w:sz w:val="32"/>
          <w:highlight w:val="none"/>
        </w:rPr>
        <w:br w:type="page"/>
      </w:r>
      <w:bookmarkStart w:id="304" w:name="_Toc424308521"/>
      <w:bookmarkStart w:id="305" w:name="_Toc29682"/>
      <w:bookmarkStart w:id="306" w:name="_Toc4976_WPSOffice_Level1"/>
      <w:bookmarkStart w:id="307" w:name="_Toc30441"/>
      <w:bookmarkStart w:id="308" w:name="_Toc465887466"/>
      <w:bookmarkStart w:id="309" w:name="_Toc467255652"/>
      <w:r>
        <w:rPr>
          <w:rFonts w:hint="eastAsia" w:ascii="宋体" w:hAnsi="宋体" w:eastAsia="宋体" w:cs="宋体"/>
          <w:color w:val="auto"/>
          <w:sz w:val="28"/>
          <w:szCs w:val="20"/>
          <w:highlight w:val="none"/>
          <w:lang w:val="en-US"/>
        </w:rPr>
        <w:t>法定代表人身份证明</w:t>
      </w:r>
      <w:bookmarkEnd w:id="304"/>
      <w:bookmarkEnd w:id="305"/>
      <w:bookmarkEnd w:id="306"/>
      <w:bookmarkEnd w:id="307"/>
      <w:bookmarkEnd w:id="308"/>
      <w:bookmarkEnd w:id="309"/>
    </w:p>
    <w:p w14:paraId="1766B913">
      <w:pPr>
        <w:keepNext w:val="0"/>
        <w:keepLines w:val="0"/>
        <w:pageBreakBefore w:val="0"/>
        <w:numPr>
          <w:ilvl w:val="0"/>
          <w:numId w:val="0"/>
        </w:numPr>
        <w:kinsoku/>
        <w:wordWrap w:val="0"/>
        <w:overflowPunct/>
        <w:topLinePunct w:val="0"/>
        <w:bidi w:val="0"/>
        <w:spacing w:before="24"/>
        <w:ind w:right="766" w:rightChars="0"/>
        <w:jc w:val="both"/>
        <w:rPr>
          <w:rFonts w:hint="eastAsia" w:ascii="宋体" w:hAnsi="宋体" w:eastAsia="宋体" w:cs="宋体"/>
          <w:color w:val="auto"/>
          <w:sz w:val="28"/>
          <w:szCs w:val="20"/>
          <w:highlight w:val="none"/>
          <w:lang w:val="en-US"/>
        </w:rPr>
      </w:pPr>
    </w:p>
    <w:p w14:paraId="1AF4C6B0">
      <w:pPr>
        <w:pStyle w:val="3"/>
        <w:keepNext w:val="0"/>
        <w:keepLines w:val="0"/>
        <w:pageBreakBefore w:val="0"/>
        <w:tabs>
          <w:tab w:val="left" w:pos="720"/>
        </w:tabs>
        <w:kinsoku/>
        <w:wordWrap w:val="0"/>
        <w:overflowPunct/>
        <w:topLinePunct w:val="0"/>
        <w:bidi w:val="0"/>
        <w:snapToGrid w:val="0"/>
        <w:spacing w:before="0"/>
        <w:ind w:left="0"/>
        <w:rPr>
          <w:b w:val="0"/>
          <w:color w:val="auto"/>
          <w:sz w:val="24"/>
          <w:szCs w:val="24"/>
          <w:highlight w:val="none"/>
        </w:rPr>
      </w:pPr>
      <w:bookmarkStart w:id="310" w:name="_Toc467255653"/>
      <w:bookmarkStart w:id="311" w:name="_Toc465887467"/>
      <w:bookmarkStart w:id="312" w:name="_Toc424308522"/>
      <w:bookmarkStart w:id="313" w:name="_Toc32377"/>
    </w:p>
    <w:p w14:paraId="20BE7D24">
      <w:pPr>
        <w:pStyle w:val="3"/>
        <w:keepNext w:val="0"/>
        <w:keepLines w:val="0"/>
        <w:pageBreakBefore w:val="0"/>
        <w:tabs>
          <w:tab w:val="left" w:pos="720"/>
        </w:tabs>
        <w:kinsoku/>
        <w:wordWrap w:val="0"/>
        <w:overflowPunct/>
        <w:topLinePunct w:val="0"/>
        <w:bidi w:val="0"/>
        <w:snapToGrid w:val="0"/>
        <w:spacing w:before="0"/>
        <w:ind w:left="0"/>
        <w:rPr>
          <w:b w:val="0"/>
          <w:color w:val="auto"/>
          <w:sz w:val="24"/>
          <w:szCs w:val="24"/>
          <w:highlight w:val="none"/>
        </w:rPr>
      </w:pPr>
      <w:r>
        <w:rPr>
          <w:rFonts w:hint="eastAsia"/>
          <w:b w:val="0"/>
          <w:color w:val="auto"/>
          <w:sz w:val="24"/>
          <w:szCs w:val="24"/>
          <w:highlight w:val="none"/>
        </w:rPr>
        <w:t>单位名称：</w:t>
      </w:r>
      <w:bookmarkEnd w:id="310"/>
      <w:bookmarkEnd w:id="311"/>
      <w:bookmarkEnd w:id="312"/>
      <w:bookmarkEnd w:id="313"/>
    </w:p>
    <w:p w14:paraId="7D8E96AD">
      <w:pPr>
        <w:keepNext w:val="0"/>
        <w:keepLines w:val="0"/>
        <w:pageBreakBefore w:val="0"/>
        <w:kinsoku/>
        <w:wordWrap w:val="0"/>
        <w:overflowPunct/>
        <w:topLinePunct w:val="0"/>
        <w:bidi w:val="0"/>
        <w:snapToGrid w:val="0"/>
        <w:rPr>
          <w:color w:val="auto"/>
          <w:sz w:val="24"/>
          <w:highlight w:val="none"/>
        </w:rPr>
      </w:pPr>
    </w:p>
    <w:p w14:paraId="788A0E7A">
      <w:pPr>
        <w:keepNext w:val="0"/>
        <w:keepLines w:val="0"/>
        <w:pageBreakBefore w:val="0"/>
        <w:kinsoku/>
        <w:wordWrap w:val="0"/>
        <w:overflowPunct/>
        <w:topLinePunct w:val="0"/>
        <w:bidi w:val="0"/>
        <w:snapToGrid w:val="0"/>
        <w:rPr>
          <w:color w:val="auto"/>
          <w:sz w:val="24"/>
          <w:highlight w:val="none"/>
        </w:rPr>
      </w:pPr>
      <w:r>
        <w:rPr>
          <w:rFonts w:hint="eastAsia"/>
          <w:color w:val="auto"/>
          <w:sz w:val="24"/>
          <w:highlight w:val="none"/>
        </w:rPr>
        <w:t>单位性质：</w:t>
      </w:r>
    </w:p>
    <w:p w14:paraId="35D7EC30">
      <w:pPr>
        <w:keepNext w:val="0"/>
        <w:keepLines w:val="0"/>
        <w:pageBreakBefore w:val="0"/>
        <w:kinsoku/>
        <w:wordWrap w:val="0"/>
        <w:overflowPunct/>
        <w:topLinePunct w:val="0"/>
        <w:bidi w:val="0"/>
        <w:snapToGrid w:val="0"/>
        <w:rPr>
          <w:color w:val="auto"/>
          <w:sz w:val="24"/>
          <w:highlight w:val="none"/>
        </w:rPr>
      </w:pPr>
    </w:p>
    <w:p w14:paraId="5A86FE3D">
      <w:pPr>
        <w:keepNext w:val="0"/>
        <w:keepLines w:val="0"/>
        <w:pageBreakBefore w:val="0"/>
        <w:kinsoku/>
        <w:wordWrap w:val="0"/>
        <w:overflowPunct/>
        <w:topLinePunct w:val="0"/>
        <w:bidi w:val="0"/>
        <w:snapToGrid w:val="0"/>
        <w:rPr>
          <w:color w:val="auto"/>
          <w:sz w:val="24"/>
          <w:highlight w:val="none"/>
        </w:rPr>
      </w:pPr>
      <w:r>
        <w:rPr>
          <w:rFonts w:hint="eastAsia"/>
          <w:color w:val="auto"/>
          <w:sz w:val="24"/>
          <w:highlight w:val="none"/>
        </w:rPr>
        <w:t>地   址：</w:t>
      </w:r>
    </w:p>
    <w:p w14:paraId="25EF3B7D">
      <w:pPr>
        <w:keepNext w:val="0"/>
        <w:keepLines w:val="0"/>
        <w:pageBreakBefore w:val="0"/>
        <w:kinsoku/>
        <w:wordWrap w:val="0"/>
        <w:overflowPunct/>
        <w:topLinePunct w:val="0"/>
        <w:bidi w:val="0"/>
        <w:snapToGrid w:val="0"/>
        <w:rPr>
          <w:color w:val="auto"/>
          <w:sz w:val="24"/>
          <w:highlight w:val="none"/>
        </w:rPr>
      </w:pPr>
    </w:p>
    <w:p w14:paraId="7223BD0C">
      <w:pPr>
        <w:keepNext w:val="0"/>
        <w:keepLines w:val="0"/>
        <w:pageBreakBefore w:val="0"/>
        <w:kinsoku/>
        <w:wordWrap w:val="0"/>
        <w:overflowPunct/>
        <w:topLinePunct w:val="0"/>
        <w:bidi w:val="0"/>
        <w:snapToGrid w:val="0"/>
        <w:rPr>
          <w:color w:val="auto"/>
          <w:sz w:val="24"/>
          <w:highlight w:val="none"/>
        </w:rPr>
      </w:pPr>
      <w:r>
        <w:rPr>
          <w:rFonts w:hint="eastAsia"/>
          <w:color w:val="auto"/>
          <w:sz w:val="24"/>
          <w:highlight w:val="none"/>
        </w:rPr>
        <w:t>成立时间：</w:t>
      </w:r>
    </w:p>
    <w:p w14:paraId="21DB8FA5">
      <w:pPr>
        <w:keepNext w:val="0"/>
        <w:keepLines w:val="0"/>
        <w:pageBreakBefore w:val="0"/>
        <w:kinsoku/>
        <w:wordWrap w:val="0"/>
        <w:overflowPunct/>
        <w:topLinePunct w:val="0"/>
        <w:bidi w:val="0"/>
        <w:snapToGrid w:val="0"/>
        <w:rPr>
          <w:color w:val="auto"/>
          <w:sz w:val="24"/>
          <w:highlight w:val="none"/>
        </w:rPr>
      </w:pPr>
    </w:p>
    <w:p w14:paraId="7E2D3081">
      <w:pPr>
        <w:keepNext w:val="0"/>
        <w:keepLines w:val="0"/>
        <w:pageBreakBefore w:val="0"/>
        <w:kinsoku/>
        <w:wordWrap w:val="0"/>
        <w:overflowPunct/>
        <w:topLinePunct w:val="0"/>
        <w:bidi w:val="0"/>
        <w:snapToGrid w:val="0"/>
        <w:rPr>
          <w:color w:val="auto"/>
          <w:sz w:val="24"/>
          <w:highlight w:val="none"/>
        </w:rPr>
      </w:pPr>
      <w:r>
        <w:rPr>
          <w:rFonts w:hint="eastAsia"/>
          <w:color w:val="auto"/>
          <w:sz w:val="24"/>
          <w:highlight w:val="none"/>
        </w:rPr>
        <w:t>经营期限：</w:t>
      </w:r>
    </w:p>
    <w:p w14:paraId="27A2DB5A">
      <w:pPr>
        <w:keepNext w:val="0"/>
        <w:keepLines w:val="0"/>
        <w:pageBreakBefore w:val="0"/>
        <w:kinsoku/>
        <w:wordWrap w:val="0"/>
        <w:overflowPunct/>
        <w:topLinePunct w:val="0"/>
        <w:bidi w:val="0"/>
        <w:snapToGrid w:val="0"/>
        <w:rPr>
          <w:color w:val="auto"/>
          <w:sz w:val="24"/>
          <w:highlight w:val="none"/>
        </w:rPr>
      </w:pPr>
    </w:p>
    <w:p w14:paraId="0AA973F8">
      <w:pPr>
        <w:keepNext w:val="0"/>
        <w:keepLines w:val="0"/>
        <w:pageBreakBefore w:val="0"/>
        <w:kinsoku/>
        <w:wordWrap w:val="0"/>
        <w:overflowPunct/>
        <w:topLinePunct w:val="0"/>
        <w:bidi w:val="0"/>
        <w:snapToGrid w:val="0"/>
        <w:rPr>
          <w:color w:val="auto"/>
          <w:sz w:val="24"/>
          <w:highlight w:val="none"/>
          <w:u w:val="single"/>
        </w:rPr>
      </w:pPr>
      <w:r>
        <w:rPr>
          <w:rFonts w:hint="eastAsia"/>
          <w:color w:val="auto"/>
          <w:sz w:val="24"/>
          <w:highlight w:val="none"/>
        </w:rPr>
        <w:t>姓  名：</w:t>
      </w:r>
      <w:r>
        <w:rPr>
          <w:rFonts w:hint="eastAsia"/>
          <w:color w:val="auto"/>
          <w:sz w:val="24"/>
          <w:highlight w:val="none"/>
          <w:lang w:val="en-US" w:eastAsia="zh-CN"/>
        </w:rPr>
        <w:t xml:space="preserve">     </w:t>
      </w:r>
      <w:r>
        <w:rPr>
          <w:rFonts w:hint="eastAsia"/>
          <w:color w:val="auto"/>
          <w:sz w:val="24"/>
          <w:highlight w:val="none"/>
        </w:rPr>
        <w:t xml:space="preserve"> 性 别：</w:t>
      </w:r>
    </w:p>
    <w:p w14:paraId="491ED199">
      <w:pPr>
        <w:keepNext w:val="0"/>
        <w:keepLines w:val="0"/>
        <w:pageBreakBefore w:val="0"/>
        <w:kinsoku/>
        <w:wordWrap w:val="0"/>
        <w:overflowPunct/>
        <w:topLinePunct w:val="0"/>
        <w:bidi w:val="0"/>
        <w:snapToGrid w:val="0"/>
        <w:rPr>
          <w:color w:val="auto"/>
          <w:sz w:val="24"/>
          <w:highlight w:val="none"/>
          <w:u w:val="single"/>
        </w:rPr>
      </w:pPr>
    </w:p>
    <w:p w14:paraId="53EEA4DE">
      <w:pPr>
        <w:keepNext w:val="0"/>
        <w:keepLines w:val="0"/>
        <w:pageBreakBefore w:val="0"/>
        <w:kinsoku/>
        <w:wordWrap w:val="0"/>
        <w:overflowPunct/>
        <w:topLinePunct w:val="0"/>
        <w:bidi w:val="0"/>
        <w:snapToGrid w:val="0"/>
        <w:rPr>
          <w:color w:val="auto"/>
          <w:sz w:val="24"/>
          <w:highlight w:val="none"/>
        </w:rPr>
      </w:pPr>
      <w:r>
        <w:rPr>
          <w:rFonts w:hint="eastAsia"/>
          <w:color w:val="auto"/>
          <w:sz w:val="24"/>
          <w:highlight w:val="none"/>
        </w:rPr>
        <w:t xml:space="preserve">年 龄：  </w:t>
      </w:r>
      <w:r>
        <w:rPr>
          <w:rFonts w:hint="eastAsia"/>
          <w:color w:val="auto"/>
          <w:sz w:val="24"/>
          <w:highlight w:val="none"/>
          <w:lang w:val="en-US" w:eastAsia="zh-CN"/>
        </w:rPr>
        <w:t xml:space="preserve">    </w:t>
      </w:r>
      <w:r>
        <w:rPr>
          <w:rFonts w:hint="eastAsia"/>
          <w:color w:val="auto"/>
          <w:sz w:val="24"/>
          <w:highlight w:val="none"/>
        </w:rPr>
        <w:t xml:space="preserve"> 职务：</w:t>
      </w:r>
    </w:p>
    <w:p w14:paraId="4B543E88">
      <w:pPr>
        <w:keepNext w:val="0"/>
        <w:keepLines w:val="0"/>
        <w:pageBreakBefore w:val="0"/>
        <w:kinsoku/>
        <w:wordWrap w:val="0"/>
        <w:overflowPunct/>
        <w:topLinePunct w:val="0"/>
        <w:bidi w:val="0"/>
        <w:snapToGrid w:val="0"/>
        <w:rPr>
          <w:color w:val="auto"/>
          <w:sz w:val="24"/>
          <w:highlight w:val="none"/>
        </w:rPr>
      </w:pPr>
    </w:p>
    <w:p w14:paraId="1B057460">
      <w:pPr>
        <w:keepNext w:val="0"/>
        <w:keepLines w:val="0"/>
        <w:pageBreakBefore w:val="0"/>
        <w:kinsoku/>
        <w:wordWrap w:val="0"/>
        <w:overflowPunct/>
        <w:topLinePunct w:val="0"/>
        <w:bidi w:val="0"/>
        <w:snapToGrid w:val="0"/>
        <w:rPr>
          <w:color w:val="auto"/>
          <w:sz w:val="24"/>
          <w:highlight w:val="none"/>
        </w:rPr>
      </w:pPr>
      <w:r>
        <w:rPr>
          <w:rFonts w:hint="eastAsia"/>
          <w:color w:val="auto"/>
          <w:sz w:val="24"/>
          <w:highlight w:val="none"/>
        </w:rPr>
        <w:t>系（投标供应商名称）的法定代表人。</w:t>
      </w:r>
    </w:p>
    <w:p w14:paraId="11015F92">
      <w:pPr>
        <w:keepNext w:val="0"/>
        <w:keepLines w:val="0"/>
        <w:pageBreakBefore w:val="0"/>
        <w:kinsoku/>
        <w:wordWrap w:val="0"/>
        <w:overflowPunct/>
        <w:topLinePunct w:val="0"/>
        <w:bidi w:val="0"/>
        <w:snapToGrid w:val="0"/>
        <w:spacing w:line="360" w:lineRule="auto"/>
        <w:rPr>
          <w:color w:val="auto"/>
          <w:sz w:val="24"/>
          <w:highlight w:val="none"/>
        </w:rPr>
      </w:pPr>
    </w:p>
    <w:p w14:paraId="4AF047D0">
      <w:pPr>
        <w:keepNext w:val="0"/>
        <w:keepLines w:val="0"/>
        <w:pageBreakBefore w:val="0"/>
        <w:kinsoku/>
        <w:wordWrap w:val="0"/>
        <w:overflowPunct/>
        <w:topLinePunct w:val="0"/>
        <w:bidi w:val="0"/>
        <w:snapToGrid w:val="0"/>
        <w:spacing w:line="360" w:lineRule="auto"/>
        <w:rPr>
          <w:color w:val="auto"/>
          <w:sz w:val="24"/>
          <w:highlight w:val="none"/>
        </w:rPr>
      </w:pPr>
    </w:p>
    <w:p w14:paraId="51C0D0B0">
      <w:pPr>
        <w:keepNext w:val="0"/>
        <w:keepLines w:val="0"/>
        <w:pageBreakBefore w:val="0"/>
        <w:kinsoku/>
        <w:wordWrap w:val="0"/>
        <w:overflowPunct/>
        <w:topLinePunct w:val="0"/>
        <w:bidi w:val="0"/>
        <w:snapToGrid w:val="0"/>
        <w:spacing w:line="360" w:lineRule="auto"/>
        <w:ind w:firstLine="480" w:firstLineChars="200"/>
        <w:rPr>
          <w:color w:val="auto"/>
          <w:sz w:val="24"/>
          <w:highlight w:val="none"/>
        </w:rPr>
      </w:pPr>
      <w:r>
        <w:rPr>
          <w:rFonts w:hint="eastAsia"/>
          <w:color w:val="auto"/>
          <w:sz w:val="24"/>
          <w:highlight w:val="none"/>
        </w:rPr>
        <w:t xml:space="preserve">特此证明   </w:t>
      </w:r>
    </w:p>
    <w:p w14:paraId="6FA65FFE">
      <w:pPr>
        <w:keepNext w:val="0"/>
        <w:keepLines w:val="0"/>
        <w:pageBreakBefore w:val="0"/>
        <w:kinsoku/>
        <w:wordWrap w:val="0"/>
        <w:overflowPunct/>
        <w:topLinePunct w:val="0"/>
        <w:bidi w:val="0"/>
        <w:snapToGrid w:val="0"/>
        <w:spacing w:line="360" w:lineRule="auto"/>
        <w:rPr>
          <w:color w:val="auto"/>
          <w:sz w:val="24"/>
          <w:highlight w:val="none"/>
        </w:rPr>
      </w:pPr>
    </w:p>
    <w:p w14:paraId="57EA8D88">
      <w:pPr>
        <w:keepNext w:val="0"/>
        <w:keepLines w:val="0"/>
        <w:pageBreakBefore w:val="0"/>
        <w:kinsoku/>
        <w:wordWrap w:val="0"/>
        <w:overflowPunct/>
        <w:topLinePunct w:val="0"/>
        <w:bidi w:val="0"/>
        <w:snapToGrid w:val="0"/>
        <w:spacing w:line="360" w:lineRule="auto"/>
        <w:rPr>
          <w:color w:val="auto"/>
          <w:sz w:val="24"/>
          <w:highlight w:val="none"/>
        </w:rPr>
      </w:pPr>
    </w:p>
    <w:p w14:paraId="06BE832F">
      <w:pPr>
        <w:keepNext w:val="0"/>
        <w:keepLines w:val="0"/>
        <w:pageBreakBefore w:val="0"/>
        <w:kinsoku/>
        <w:wordWrap w:val="0"/>
        <w:overflowPunct/>
        <w:topLinePunct w:val="0"/>
        <w:bidi w:val="0"/>
        <w:snapToGrid w:val="0"/>
        <w:spacing w:line="360" w:lineRule="auto"/>
        <w:ind w:firstLine="480" w:firstLineChars="200"/>
        <w:rPr>
          <w:color w:val="auto"/>
          <w:sz w:val="24"/>
          <w:highlight w:val="none"/>
        </w:rPr>
      </w:pPr>
      <w:r>
        <w:rPr>
          <w:rFonts w:hint="eastAsia"/>
          <w:color w:val="auto"/>
          <w:sz w:val="24"/>
          <w:highlight w:val="none"/>
        </w:rPr>
        <w:t>供应商：（公章签章）</w:t>
      </w:r>
    </w:p>
    <w:p w14:paraId="76C5AD64">
      <w:pPr>
        <w:keepNext w:val="0"/>
        <w:keepLines w:val="0"/>
        <w:pageBreakBefore w:val="0"/>
        <w:kinsoku/>
        <w:wordWrap w:val="0"/>
        <w:overflowPunct/>
        <w:topLinePunct w:val="0"/>
        <w:bidi w:val="0"/>
        <w:snapToGrid w:val="0"/>
        <w:spacing w:line="360" w:lineRule="auto"/>
        <w:rPr>
          <w:color w:val="auto"/>
          <w:highlight w:val="none"/>
        </w:rPr>
      </w:pPr>
    </w:p>
    <w:p w14:paraId="7637C688">
      <w:pPr>
        <w:keepNext w:val="0"/>
        <w:keepLines w:val="0"/>
        <w:pageBreakBefore w:val="0"/>
        <w:kinsoku/>
        <w:wordWrap w:val="0"/>
        <w:overflowPunct/>
        <w:topLinePunct w:val="0"/>
        <w:bidi w:val="0"/>
        <w:snapToGrid w:val="0"/>
        <w:spacing w:line="360" w:lineRule="auto"/>
        <w:jc w:val="center"/>
        <w:rPr>
          <w:color w:val="auto"/>
          <w:sz w:val="24"/>
          <w:highlight w:val="none"/>
        </w:rPr>
      </w:pPr>
      <w:bookmarkStart w:id="314" w:name="_Toc11862_WPSOffice_Level2"/>
      <w:r>
        <w:rPr>
          <w:rFonts w:hint="eastAsia"/>
          <w:color w:val="auto"/>
          <w:sz w:val="24"/>
          <w:highlight w:val="none"/>
        </w:rPr>
        <w:t>年    月    日</w:t>
      </w:r>
      <w:bookmarkEnd w:id="314"/>
    </w:p>
    <w:p w14:paraId="36F8A80B">
      <w:pPr>
        <w:pStyle w:val="4"/>
        <w:keepNext w:val="0"/>
        <w:keepLines w:val="0"/>
        <w:pageBreakBefore w:val="0"/>
        <w:tabs>
          <w:tab w:val="left" w:pos="425"/>
          <w:tab w:val="left" w:pos="720"/>
        </w:tabs>
        <w:kinsoku/>
        <w:wordWrap w:val="0"/>
        <w:overflowPunct/>
        <w:topLinePunct w:val="0"/>
        <w:bidi w:val="0"/>
        <w:ind w:left="288"/>
        <w:jc w:val="center"/>
        <w:rPr>
          <w:color w:val="auto"/>
          <w:highlight w:val="none"/>
        </w:rPr>
      </w:pPr>
      <w:r>
        <w:rPr>
          <w:rFonts w:hint="eastAsia"/>
          <w:bCs w:val="0"/>
          <w:color w:val="auto"/>
          <w:sz w:val="36"/>
          <w:szCs w:val="36"/>
          <w:highlight w:val="none"/>
        </w:rPr>
        <w:br w:type="page"/>
      </w:r>
    </w:p>
    <w:p w14:paraId="06A0D962">
      <w:pPr>
        <w:pStyle w:val="18"/>
        <w:keepNext w:val="0"/>
        <w:keepLines w:val="0"/>
        <w:pageBreakBefore w:val="0"/>
        <w:kinsoku/>
        <w:wordWrap w:val="0"/>
        <w:overflowPunct/>
        <w:topLinePunct w:val="0"/>
        <w:bidi w:val="0"/>
        <w:ind w:left="0"/>
        <w:jc w:val="center"/>
        <w:outlineLvl w:val="0"/>
        <w:rPr>
          <w:rFonts w:ascii="宋体" w:hAnsi="宋体"/>
          <w:color w:val="auto"/>
          <w:highlight w:val="none"/>
        </w:rPr>
      </w:pPr>
      <w:bookmarkStart w:id="315" w:name="_Toc424308523"/>
      <w:bookmarkStart w:id="316" w:name="_Toc465887468"/>
      <w:bookmarkStart w:id="317" w:name="_Toc13521"/>
      <w:bookmarkStart w:id="318" w:name="_Toc3669_WPSOffice_Level1"/>
      <w:bookmarkStart w:id="319" w:name="_Toc467255654"/>
      <w:bookmarkStart w:id="320" w:name="_Toc29749"/>
      <w:r>
        <w:rPr>
          <w:rFonts w:hint="eastAsia" w:ascii="宋体" w:hAnsi="宋体"/>
          <w:color w:val="auto"/>
          <w:highlight w:val="none"/>
        </w:rPr>
        <w:t>三、法定代表人授权书</w:t>
      </w:r>
      <w:bookmarkEnd w:id="315"/>
      <w:bookmarkEnd w:id="316"/>
      <w:bookmarkEnd w:id="317"/>
      <w:bookmarkEnd w:id="318"/>
      <w:bookmarkEnd w:id="319"/>
      <w:bookmarkEnd w:id="320"/>
    </w:p>
    <w:p w14:paraId="653215DD">
      <w:pPr>
        <w:pStyle w:val="20"/>
        <w:keepNext w:val="0"/>
        <w:keepLines w:val="0"/>
        <w:pageBreakBefore w:val="0"/>
        <w:kinsoku/>
        <w:wordWrap w:val="0"/>
        <w:overflowPunct/>
        <w:topLinePunct w:val="0"/>
        <w:bidi w:val="0"/>
        <w:jc w:val="both"/>
        <w:rPr>
          <w:rFonts w:hAnsi="宋体"/>
          <w:color w:val="auto"/>
          <w:highlight w:val="none"/>
        </w:rPr>
      </w:pPr>
    </w:p>
    <w:p w14:paraId="70C3A885">
      <w:pPr>
        <w:keepNext w:val="0"/>
        <w:keepLines w:val="0"/>
        <w:pageBreakBefore w:val="0"/>
        <w:kinsoku/>
        <w:wordWrap w:val="0"/>
        <w:overflowPunct/>
        <w:topLinePunct w:val="0"/>
        <w:bidi w:val="0"/>
        <w:snapToGrid w:val="0"/>
        <w:spacing w:line="360" w:lineRule="auto"/>
        <w:ind w:firstLine="480" w:firstLineChars="200"/>
        <w:rPr>
          <w:color w:val="auto"/>
          <w:sz w:val="24"/>
          <w:highlight w:val="none"/>
        </w:rPr>
      </w:pPr>
    </w:p>
    <w:p w14:paraId="634502DB">
      <w:pPr>
        <w:keepNext w:val="0"/>
        <w:keepLines w:val="0"/>
        <w:pageBreakBefore w:val="0"/>
        <w:kinsoku/>
        <w:wordWrap w:val="0"/>
        <w:overflowPunct/>
        <w:topLinePunct w:val="0"/>
        <w:bidi w:val="0"/>
        <w:spacing w:line="600" w:lineRule="auto"/>
        <w:ind w:firstLine="480" w:firstLineChars="200"/>
        <w:rPr>
          <w:color w:val="auto"/>
          <w:sz w:val="24"/>
          <w:szCs w:val="24"/>
          <w:highlight w:val="none"/>
        </w:rPr>
      </w:pPr>
      <w:r>
        <w:rPr>
          <w:rFonts w:hint="eastAsia"/>
          <w:color w:val="auto"/>
          <w:sz w:val="24"/>
          <w:szCs w:val="24"/>
          <w:highlight w:val="none"/>
        </w:rPr>
        <w:t>本人</w:t>
      </w:r>
      <w:r>
        <w:rPr>
          <w:rFonts w:hint="eastAsia"/>
          <w:color w:val="auto"/>
          <w:sz w:val="24"/>
          <w:szCs w:val="24"/>
          <w:highlight w:val="none"/>
          <w:u w:val="single"/>
        </w:rPr>
        <w:t>（姓名）</w:t>
      </w:r>
      <w:r>
        <w:rPr>
          <w:rFonts w:hint="eastAsia"/>
          <w:color w:val="auto"/>
          <w:sz w:val="24"/>
          <w:szCs w:val="24"/>
          <w:highlight w:val="none"/>
        </w:rPr>
        <w:t>系</w:t>
      </w:r>
      <w:r>
        <w:rPr>
          <w:rFonts w:hint="eastAsia"/>
          <w:color w:val="auto"/>
          <w:sz w:val="24"/>
          <w:szCs w:val="24"/>
          <w:highlight w:val="none"/>
          <w:u w:val="single"/>
        </w:rPr>
        <w:t>（供应商名称）</w:t>
      </w:r>
      <w:r>
        <w:rPr>
          <w:rFonts w:hint="eastAsia"/>
          <w:color w:val="auto"/>
          <w:sz w:val="24"/>
          <w:szCs w:val="24"/>
          <w:highlight w:val="none"/>
        </w:rPr>
        <w:t>的法定代表人，现委托</w:t>
      </w:r>
      <w:r>
        <w:rPr>
          <w:rFonts w:hint="eastAsia"/>
          <w:color w:val="auto"/>
          <w:sz w:val="24"/>
          <w:szCs w:val="24"/>
          <w:highlight w:val="none"/>
          <w:u w:val="single"/>
        </w:rPr>
        <w:t>（姓名）</w:t>
      </w:r>
      <w:r>
        <w:rPr>
          <w:rFonts w:hint="eastAsia"/>
          <w:color w:val="auto"/>
          <w:sz w:val="24"/>
          <w:szCs w:val="24"/>
          <w:highlight w:val="none"/>
        </w:rPr>
        <w:t>为我方代理人。代理人根据授权，以我方名义签署、澄清、说明、补正、递交、撤回、修改</w:t>
      </w:r>
      <w:r>
        <w:rPr>
          <w:rFonts w:hint="eastAsia"/>
          <w:color w:val="auto"/>
          <w:sz w:val="24"/>
          <w:szCs w:val="24"/>
          <w:highlight w:val="none"/>
          <w:u w:val="single"/>
        </w:rPr>
        <w:t>（项目名称）</w:t>
      </w:r>
      <w:r>
        <w:rPr>
          <w:rFonts w:hint="eastAsia"/>
          <w:color w:val="auto"/>
          <w:sz w:val="24"/>
          <w:szCs w:val="24"/>
          <w:highlight w:val="none"/>
          <w:u w:val="single"/>
          <w:lang w:eastAsia="zh-CN"/>
        </w:rPr>
        <w:t>（</w:t>
      </w:r>
      <w:r>
        <w:rPr>
          <w:rFonts w:hint="eastAsia"/>
          <w:color w:val="auto"/>
          <w:sz w:val="24"/>
          <w:szCs w:val="24"/>
          <w:highlight w:val="none"/>
          <w:u w:val="single"/>
          <w:lang w:val="en-US" w:eastAsia="zh-CN"/>
        </w:rPr>
        <w:t>标段</w:t>
      </w:r>
      <w:r>
        <w:rPr>
          <w:rFonts w:hint="eastAsia"/>
          <w:color w:val="auto"/>
          <w:sz w:val="24"/>
          <w:szCs w:val="24"/>
          <w:highlight w:val="none"/>
          <w:u w:val="single"/>
          <w:lang w:eastAsia="zh-CN"/>
        </w:rPr>
        <w:t>）</w:t>
      </w:r>
      <w:r>
        <w:rPr>
          <w:rFonts w:hint="eastAsia"/>
          <w:color w:val="auto"/>
          <w:sz w:val="24"/>
          <w:szCs w:val="24"/>
          <w:highlight w:val="none"/>
        </w:rPr>
        <w:t>的响应文件、签订合同和处理有关事宜，其法律后果由我方承担。</w:t>
      </w:r>
    </w:p>
    <w:p w14:paraId="1640BE3E">
      <w:pPr>
        <w:keepNext w:val="0"/>
        <w:keepLines w:val="0"/>
        <w:pageBreakBefore w:val="0"/>
        <w:kinsoku/>
        <w:wordWrap w:val="0"/>
        <w:overflowPunct/>
        <w:topLinePunct w:val="0"/>
        <w:bidi w:val="0"/>
        <w:spacing w:line="600" w:lineRule="auto"/>
        <w:ind w:firstLine="480" w:firstLineChars="200"/>
        <w:rPr>
          <w:color w:val="auto"/>
          <w:sz w:val="24"/>
          <w:szCs w:val="24"/>
          <w:highlight w:val="none"/>
        </w:rPr>
      </w:pPr>
      <w:r>
        <w:rPr>
          <w:rFonts w:hint="eastAsia"/>
          <w:color w:val="auto"/>
          <w:sz w:val="24"/>
          <w:szCs w:val="24"/>
          <w:highlight w:val="none"/>
        </w:rPr>
        <w:t>本授权书于</w:t>
      </w:r>
      <w:r>
        <w:rPr>
          <w:rFonts w:hint="eastAsia"/>
          <w:color w:val="auto"/>
          <w:sz w:val="24"/>
          <w:szCs w:val="24"/>
          <w:highlight w:val="none"/>
          <w:lang w:val="en-US" w:eastAsia="zh-CN"/>
        </w:rPr>
        <w:t xml:space="preserve"> </w:t>
      </w:r>
      <w:r>
        <w:rPr>
          <w:rFonts w:hint="eastAsia"/>
          <w:color w:val="auto"/>
          <w:sz w:val="24"/>
          <w:szCs w:val="24"/>
          <w:highlight w:val="none"/>
        </w:rPr>
        <w:t>年</w:t>
      </w:r>
      <w:r>
        <w:rPr>
          <w:rFonts w:hint="eastAsia"/>
          <w:color w:val="auto"/>
          <w:sz w:val="24"/>
          <w:szCs w:val="24"/>
          <w:highlight w:val="none"/>
          <w:lang w:val="en-US" w:eastAsia="zh-CN"/>
        </w:rPr>
        <w:t xml:space="preserve"> </w:t>
      </w:r>
      <w:r>
        <w:rPr>
          <w:rFonts w:hint="eastAsia"/>
          <w:color w:val="auto"/>
          <w:sz w:val="24"/>
          <w:szCs w:val="24"/>
          <w:highlight w:val="none"/>
        </w:rPr>
        <w:t>月</w:t>
      </w:r>
      <w:r>
        <w:rPr>
          <w:rFonts w:hint="eastAsia"/>
          <w:color w:val="auto"/>
          <w:sz w:val="24"/>
          <w:szCs w:val="24"/>
          <w:highlight w:val="none"/>
          <w:lang w:val="en-US" w:eastAsia="zh-CN"/>
        </w:rPr>
        <w:t xml:space="preserve"> </w:t>
      </w:r>
      <w:r>
        <w:rPr>
          <w:rFonts w:hint="eastAsia"/>
          <w:color w:val="auto"/>
          <w:sz w:val="24"/>
          <w:szCs w:val="24"/>
          <w:highlight w:val="none"/>
        </w:rPr>
        <w:t>日签字生效， 特此声明。</w:t>
      </w:r>
    </w:p>
    <w:p w14:paraId="0055ECA3">
      <w:pPr>
        <w:keepNext w:val="0"/>
        <w:keepLines w:val="0"/>
        <w:pageBreakBefore w:val="0"/>
        <w:kinsoku/>
        <w:wordWrap w:val="0"/>
        <w:overflowPunct/>
        <w:topLinePunct w:val="0"/>
        <w:bidi w:val="0"/>
        <w:ind w:firstLine="480" w:firstLineChars="200"/>
        <w:rPr>
          <w:color w:val="auto"/>
          <w:sz w:val="24"/>
          <w:szCs w:val="24"/>
          <w:highlight w:val="none"/>
        </w:rPr>
      </w:pPr>
      <w:r>
        <w:rPr>
          <w:rFonts w:hint="eastAsia"/>
          <w:color w:val="auto"/>
          <w:sz w:val="24"/>
          <w:szCs w:val="24"/>
          <w:highlight w:val="none"/>
        </w:rPr>
        <w:t>附：法定代表人身份证和委托人身份证扫描件</w:t>
      </w:r>
    </w:p>
    <w:p w14:paraId="7C6B89D3">
      <w:pPr>
        <w:keepNext w:val="0"/>
        <w:keepLines w:val="0"/>
        <w:pageBreakBefore w:val="0"/>
        <w:kinsoku/>
        <w:wordWrap w:val="0"/>
        <w:overflowPunct/>
        <w:topLinePunct w:val="0"/>
        <w:bidi w:val="0"/>
        <w:spacing w:line="740" w:lineRule="exact"/>
        <w:ind w:firstLine="480" w:firstLineChars="200"/>
        <w:rPr>
          <w:color w:val="auto"/>
          <w:sz w:val="24"/>
          <w:highlight w:val="none"/>
        </w:rPr>
      </w:pPr>
    </w:p>
    <w:p w14:paraId="2D55FFC5">
      <w:pPr>
        <w:keepNext w:val="0"/>
        <w:keepLines w:val="0"/>
        <w:pageBreakBefore w:val="0"/>
        <w:kinsoku/>
        <w:wordWrap w:val="0"/>
        <w:overflowPunct/>
        <w:topLinePunct w:val="0"/>
        <w:bidi w:val="0"/>
        <w:spacing w:line="740" w:lineRule="exact"/>
        <w:rPr>
          <w:color w:val="auto"/>
          <w:sz w:val="24"/>
          <w:highlight w:val="none"/>
        </w:rPr>
      </w:pPr>
      <w:r>
        <w:rPr>
          <w:rFonts w:hint="eastAsia"/>
          <w:color w:val="auto"/>
          <w:sz w:val="24"/>
          <w:highlight w:val="none"/>
        </w:rPr>
        <w:t>投标单位： （公章签章）</w:t>
      </w:r>
    </w:p>
    <w:p w14:paraId="7A75DE6D">
      <w:pPr>
        <w:keepNext w:val="0"/>
        <w:keepLines w:val="0"/>
        <w:pageBreakBefore w:val="0"/>
        <w:kinsoku/>
        <w:wordWrap w:val="0"/>
        <w:overflowPunct/>
        <w:topLinePunct w:val="0"/>
        <w:bidi w:val="0"/>
        <w:spacing w:line="740" w:lineRule="exact"/>
        <w:rPr>
          <w:color w:val="auto"/>
          <w:sz w:val="24"/>
          <w:highlight w:val="none"/>
          <w:u w:val="single"/>
        </w:rPr>
      </w:pPr>
      <w:r>
        <w:rPr>
          <w:rFonts w:hint="eastAsia"/>
          <w:color w:val="auto"/>
          <w:sz w:val="24"/>
          <w:highlight w:val="none"/>
        </w:rPr>
        <w:t>法定代表人：</w:t>
      </w:r>
      <w:r>
        <w:rPr>
          <w:rFonts w:hint="eastAsia"/>
          <w:color w:val="auto"/>
          <w:sz w:val="24"/>
          <w:highlight w:val="none"/>
          <w:u w:val="single"/>
        </w:rPr>
        <w:t xml:space="preserve">                        　　　　</w:t>
      </w:r>
      <w:r>
        <w:rPr>
          <w:rFonts w:hint="eastAsia"/>
          <w:color w:val="auto"/>
          <w:sz w:val="24"/>
          <w:highlight w:val="none"/>
        </w:rPr>
        <w:t>（法人签章）</w:t>
      </w:r>
    </w:p>
    <w:p w14:paraId="21080DC6">
      <w:pPr>
        <w:keepNext w:val="0"/>
        <w:keepLines w:val="0"/>
        <w:pageBreakBefore w:val="0"/>
        <w:kinsoku/>
        <w:wordWrap w:val="0"/>
        <w:overflowPunct/>
        <w:topLinePunct w:val="0"/>
        <w:bidi w:val="0"/>
        <w:spacing w:line="740" w:lineRule="exact"/>
        <w:rPr>
          <w:color w:val="auto"/>
          <w:szCs w:val="21"/>
          <w:highlight w:val="none"/>
          <w:u w:val="single"/>
          <w:lang w:val="en-US"/>
        </w:rPr>
      </w:pPr>
      <w:r>
        <w:rPr>
          <w:rFonts w:hint="eastAsia"/>
          <w:color w:val="auto"/>
          <w:sz w:val="24"/>
          <w:highlight w:val="none"/>
        </w:rPr>
        <w:t>委托代理人：</w:t>
      </w:r>
      <w:r>
        <w:rPr>
          <w:rFonts w:hint="eastAsia"/>
          <w:color w:val="auto"/>
          <w:sz w:val="24"/>
          <w:highlight w:val="none"/>
          <w:u w:val="single"/>
        </w:rPr>
        <w:t xml:space="preserve">  　　　　           </w:t>
      </w:r>
    </w:p>
    <w:p w14:paraId="1396D91C">
      <w:pPr>
        <w:keepNext w:val="0"/>
        <w:keepLines w:val="0"/>
        <w:pageBreakBefore w:val="0"/>
        <w:kinsoku/>
        <w:wordWrap w:val="0"/>
        <w:overflowPunct/>
        <w:topLinePunct w:val="0"/>
        <w:bidi w:val="0"/>
        <w:spacing w:line="740" w:lineRule="exact"/>
        <w:rPr>
          <w:rFonts w:hint="default" w:eastAsia="宋体"/>
          <w:color w:val="auto"/>
          <w:sz w:val="24"/>
          <w:highlight w:val="none"/>
          <w:lang w:val="en-US" w:eastAsia="zh-CN"/>
        </w:rPr>
      </w:pPr>
      <w:r>
        <w:rPr>
          <w:rFonts w:hint="eastAsia"/>
          <w:color w:val="auto"/>
          <w:sz w:val="24"/>
          <w:highlight w:val="none"/>
          <w:lang w:val="en-US" w:eastAsia="zh-CN"/>
        </w:rPr>
        <w:t>日期：   年  月  日</w:t>
      </w:r>
    </w:p>
    <w:p w14:paraId="243CD613">
      <w:pPr>
        <w:pStyle w:val="4"/>
        <w:keepNext w:val="0"/>
        <w:keepLines w:val="0"/>
        <w:pageBreakBefore w:val="0"/>
        <w:kinsoku/>
        <w:wordWrap w:val="0"/>
        <w:overflowPunct/>
        <w:topLinePunct w:val="0"/>
        <w:bidi w:val="0"/>
        <w:ind w:left="892" w:right="909"/>
        <w:jc w:val="center"/>
        <w:rPr>
          <w:color w:val="auto"/>
          <w:highlight w:val="none"/>
        </w:rPr>
      </w:pPr>
    </w:p>
    <w:p w14:paraId="249FB882">
      <w:pPr>
        <w:keepNext w:val="0"/>
        <w:keepLines w:val="0"/>
        <w:pageBreakBefore w:val="0"/>
        <w:kinsoku/>
        <w:wordWrap w:val="0"/>
        <w:overflowPunct/>
        <w:topLinePunct w:val="0"/>
        <w:bidi w:val="0"/>
        <w:jc w:val="center"/>
        <w:rPr>
          <w:color w:val="auto"/>
          <w:highlight w:val="none"/>
        </w:rPr>
      </w:pPr>
      <w:r>
        <w:rPr>
          <w:color w:val="auto"/>
          <w:highlight w:val="none"/>
        </w:rPr>
        <w:br w:type="page"/>
      </w:r>
    </w:p>
    <w:p w14:paraId="14CC4A55">
      <w:pPr>
        <w:keepNext w:val="0"/>
        <w:keepLines w:val="0"/>
        <w:pageBreakBefore w:val="0"/>
        <w:kinsoku/>
        <w:wordWrap w:val="0"/>
        <w:overflowPunct/>
        <w:topLinePunct w:val="0"/>
        <w:bidi w:val="0"/>
        <w:spacing w:line="400" w:lineRule="exact"/>
        <w:ind w:firstLine="560" w:firstLineChars="200"/>
        <w:jc w:val="center"/>
        <w:outlineLvl w:val="0"/>
        <w:rPr>
          <w:color w:val="auto"/>
          <w:sz w:val="28"/>
          <w:szCs w:val="20"/>
          <w:highlight w:val="none"/>
        </w:rPr>
      </w:pPr>
      <w:bookmarkStart w:id="321" w:name="_Toc27582"/>
      <w:bookmarkStart w:id="322" w:name="_Toc31152"/>
      <w:bookmarkStart w:id="323" w:name="_Toc25188"/>
      <w:r>
        <w:rPr>
          <w:rFonts w:hint="eastAsia"/>
          <w:color w:val="auto"/>
          <w:sz w:val="28"/>
          <w:szCs w:val="20"/>
          <w:highlight w:val="none"/>
        </w:rPr>
        <w:t>四、投标承诺书</w:t>
      </w:r>
      <w:bookmarkEnd w:id="321"/>
      <w:bookmarkEnd w:id="322"/>
      <w:bookmarkEnd w:id="323"/>
    </w:p>
    <w:p w14:paraId="10501188">
      <w:pPr>
        <w:pStyle w:val="18"/>
        <w:keepNext w:val="0"/>
        <w:keepLines w:val="0"/>
        <w:pageBreakBefore w:val="0"/>
        <w:kinsoku/>
        <w:wordWrap w:val="0"/>
        <w:overflowPunct/>
        <w:topLinePunct w:val="0"/>
        <w:bidi w:val="0"/>
        <w:outlineLvl w:val="9"/>
        <w:rPr>
          <w:rFonts w:cs="Times New Roman"/>
          <w:color w:val="auto"/>
          <w:sz w:val="21"/>
          <w:szCs w:val="21"/>
          <w:highlight w:val="none"/>
        </w:rPr>
      </w:pPr>
    </w:p>
    <w:p w14:paraId="2ADE34BC">
      <w:pPr>
        <w:keepNext w:val="0"/>
        <w:keepLines w:val="0"/>
        <w:pageBreakBefore w:val="0"/>
        <w:kinsoku/>
        <w:wordWrap w:val="0"/>
        <w:overflowPunct/>
        <w:topLinePunct w:val="0"/>
        <w:bidi w:val="0"/>
        <w:spacing w:line="360" w:lineRule="auto"/>
        <w:rPr>
          <w:rFonts w:hint="eastAsia" w:eastAsia="宋体"/>
          <w:bCs/>
          <w:color w:val="auto"/>
          <w:sz w:val="24"/>
          <w:szCs w:val="28"/>
          <w:highlight w:val="none"/>
          <w:u w:val="single"/>
          <w:lang w:eastAsia="zh-CN"/>
        </w:rPr>
      </w:pPr>
      <w:r>
        <w:rPr>
          <w:rFonts w:hint="eastAsia"/>
          <w:b/>
          <w:bCs/>
          <w:color w:val="auto"/>
          <w:sz w:val="24"/>
          <w:szCs w:val="28"/>
          <w:highlight w:val="none"/>
        </w:rPr>
        <w:t>致：</w:t>
      </w:r>
      <w:r>
        <w:rPr>
          <w:rFonts w:hint="eastAsia"/>
          <w:bCs/>
          <w:color w:val="auto"/>
          <w:sz w:val="24"/>
          <w:szCs w:val="28"/>
          <w:highlight w:val="none"/>
          <w:u w:val="single"/>
          <w:lang w:eastAsia="zh-CN"/>
        </w:rPr>
        <w:t>卢氏县应急管理局</w:t>
      </w:r>
    </w:p>
    <w:p w14:paraId="088ABAE3">
      <w:pPr>
        <w:pStyle w:val="20"/>
        <w:keepNext w:val="0"/>
        <w:keepLines w:val="0"/>
        <w:pageBreakBefore w:val="0"/>
        <w:kinsoku/>
        <w:wordWrap w:val="0"/>
        <w:overflowPunct/>
        <w:topLinePunct w:val="0"/>
        <w:bidi w:val="0"/>
        <w:spacing w:line="500" w:lineRule="exact"/>
        <w:ind w:firstLine="564" w:firstLineChars="235"/>
        <w:rPr>
          <w:rFonts w:hAnsi="宋体"/>
          <w:color w:val="auto"/>
          <w:highlight w:val="none"/>
        </w:rPr>
      </w:pPr>
      <w:r>
        <w:rPr>
          <w:rFonts w:hint="eastAsia" w:hAnsi="宋体"/>
          <w:color w:val="auto"/>
          <w:highlight w:val="none"/>
        </w:rPr>
        <w:t>我方已充分了解了</w:t>
      </w:r>
      <w:r>
        <w:rPr>
          <w:rFonts w:hint="eastAsia" w:hAnsi="宋体"/>
          <w:color w:val="auto"/>
          <w:highlight w:val="none"/>
          <w:u w:val="single"/>
        </w:rPr>
        <w:t>（项目名称）</w:t>
      </w:r>
      <w:r>
        <w:rPr>
          <w:rFonts w:hint="eastAsia" w:hAnsi="宋体"/>
          <w:color w:val="auto"/>
          <w:highlight w:val="none"/>
          <w:u w:val="single"/>
          <w:lang w:eastAsia="zh-CN"/>
        </w:rPr>
        <w:t>（</w:t>
      </w:r>
      <w:r>
        <w:rPr>
          <w:rFonts w:hint="eastAsia" w:hAnsi="宋体"/>
          <w:color w:val="auto"/>
          <w:highlight w:val="none"/>
          <w:u w:val="single"/>
          <w:lang w:val="en-US" w:eastAsia="zh-CN"/>
        </w:rPr>
        <w:t>标段</w:t>
      </w:r>
      <w:r>
        <w:rPr>
          <w:rFonts w:hint="eastAsia" w:hAnsi="宋体"/>
          <w:color w:val="auto"/>
          <w:highlight w:val="none"/>
          <w:u w:val="single"/>
          <w:lang w:eastAsia="zh-CN"/>
        </w:rPr>
        <w:t>）</w:t>
      </w:r>
      <w:r>
        <w:rPr>
          <w:rFonts w:hint="eastAsia" w:hAnsi="宋体"/>
          <w:color w:val="auto"/>
          <w:highlight w:val="none"/>
          <w:u w:val="single"/>
        </w:rPr>
        <w:t>（项目编号）</w:t>
      </w:r>
      <w:r>
        <w:rPr>
          <w:rFonts w:hint="eastAsia" w:hAnsi="宋体"/>
          <w:color w:val="auto"/>
          <w:highlight w:val="none"/>
        </w:rPr>
        <w:t>的竞争性磋商文件，愿意遵照本项目磋商文件、《中华人民共和国政府采购法》等有关规定参与竞标，并承诺如下：</w:t>
      </w:r>
    </w:p>
    <w:p w14:paraId="58BC78EB">
      <w:pPr>
        <w:pStyle w:val="20"/>
        <w:keepNext w:val="0"/>
        <w:keepLines w:val="0"/>
        <w:pageBreakBefore w:val="0"/>
        <w:kinsoku/>
        <w:wordWrap w:val="0"/>
        <w:overflowPunct/>
        <w:topLinePunct w:val="0"/>
        <w:bidi w:val="0"/>
        <w:spacing w:line="500" w:lineRule="exact"/>
        <w:ind w:firstLine="564" w:firstLineChars="235"/>
        <w:rPr>
          <w:rFonts w:hAnsi="宋体"/>
          <w:color w:val="auto"/>
          <w:highlight w:val="none"/>
        </w:rPr>
      </w:pPr>
      <w:r>
        <w:rPr>
          <w:rFonts w:hint="eastAsia" w:hAnsi="宋体"/>
          <w:color w:val="auto"/>
          <w:highlight w:val="none"/>
        </w:rPr>
        <w:t>1、我方承诺将严格按照“公开、公平、公正和诚实信用原则”参与本项目竞标活动。</w:t>
      </w:r>
    </w:p>
    <w:p w14:paraId="4DD411C8">
      <w:pPr>
        <w:pStyle w:val="20"/>
        <w:keepNext w:val="0"/>
        <w:keepLines w:val="0"/>
        <w:pageBreakBefore w:val="0"/>
        <w:kinsoku/>
        <w:wordWrap w:val="0"/>
        <w:overflowPunct/>
        <w:topLinePunct w:val="0"/>
        <w:bidi w:val="0"/>
        <w:spacing w:line="500" w:lineRule="exact"/>
        <w:ind w:firstLine="564" w:firstLineChars="235"/>
        <w:rPr>
          <w:rFonts w:hAnsi="宋体"/>
          <w:color w:val="auto"/>
          <w:highlight w:val="none"/>
        </w:rPr>
      </w:pPr>
      <w:r>
        <w:rPr>
          <w:rFonts w:hint="eastAsia" w:hAnsi="宋体"/>
          <w:color w:val="auto"/>
          <w:highlight w:val="none"/>
        </w:rPr>
        <w:t>2、我方承诺在投标有效期内不撤销响应文件；</w:t>
      </w:r>
    </w:p>
    <w:p w14:paraId="0B464DAA">
      <w:pPr>
        <w:pStyle w:val="20"/>
        <w:keepNext w:val="0"/>
        <w:keepLines w:val="0"/>
        <w:pageBreakBefore w:val="0"/>
        <w:kinsoku/>
        <w:wordWrap w:val="0"/>
        <w:overflowPunct/>
        <w:topLinePunct w:val="0"/>
        <w:bidi w:val="0"/>
        <w:spacing w:line="500" w:lineRule="exact"/>
        <w:ind w:firstLine="564" w:firstLineChars="235"/>
        <w:rPr>
          <w:rFonts w:hAnsi="宋体"/>
          <w:color w:val="auto"/>
          <w:highlight w:val="none"/>
        </w:rPr>
      </w:pPr>
      <w:r>
        <w:rPr>
          <w:rFonts w:hint="eastAsia" w:hAnsi="宋体"/>
          <w:color w:val="auto"/>
          <w:highlight w:val="none"/>
        </w:rPr>
        <w:t>3、我方承诺在响应文件中及三门峡市公共资源交易供应商市场主体信息库中提供的材料真实有效；</w:t>
      </w:r>
    </w:p>
    <w:p w14:paraId="477348D0">
      <w:pPr>
        <w:pStyle w:val="20"/>
        <w:keepNext w:val="0"/>
        <w:keepLines w:val="0"/>
        <w:pageBreakBefore w:val="0"/>
        <w:kinsoku/>
        <w:wordWrap w:val="0"/>
        <w:overflowPunct/>
        <w:topLinePunct w:val="0"/>
        <w:bidi w:val="0"/>
        <w:spacing w:line="500" w:lineRule="exact"/>
        <w:ind w:firstLine="564" w:firstLineChars="235"/>
        <w:rPr>
          <w:rFonts w:hAnsi="宋体"/>
          <w:color w:val="auto"/>
          <w:highlight w:val="none"/>
        </w:rPr>
      </w:pPr>
      <w:r>
        <w:rPr>
          <w:rFonts w:hint="eastAsia" w:hAnsi="宋体"/>
          <w:color w:val="auto"/>
          <w:highlight w:val="none"/>
        </w:rPr>
        <w:t>4、我方承诺绝不采取不正当手段谋取中标；</w:t>
      </w:r>
    </w:p>
    <w:p w14:paraId="00575E64">
      <w:pPr>
        <w:pStyle w:val="20"/>
        <w:keepNext w:val="0"/>
        <w:keepLines w:val="0"/>
        <w:pageBreakBefore w:val="0"/>
        <w:kinsoku/>
        <w:wordWrap w:val="0"/>
        <w:overflowPunct/>
        <w:topLinePunct w:val="0"/>
        <w:bidi w:val="0"/>
        <w:spacing w:line="500" w:lineRule="exact"/>
        <w:ind w:firstLine="564" w:firstLineChars="235"/>
        <w:rPr>
          <w:rFonts w:hAnsi="宋体"/>
          <w:color w:val="auto"/>
          <w:highlight w:val="none"/>
        </w:rPr>
      </w:pPr>
      <w:r>
        <w:rPr>
          <w:rFonts w:hint="eastAsia" w:hAnsi="宋体"/>
          <w:color w:val="auto"/>
          <w:highlight w:val="none"/>
        </w:rPr>
        <w:t>5、如我方中标，我方承诺在收到成交通知书后，在成交通知书规定的期限内，根据</w:t>
      </w:r>
      <w:r>
        <w:rPr>
          <w:rFonts w:hint="eastAsia" w:hAnsi="宋体"/>
          <w:color w:val="auto"/>
          <w:highlight w:val="none"/>
          <w:lang w:eastAsia="zh-CN"/>
        </w:rPr>
        <w:t>磋商</w:t>
      </w:r>
      <w:r>
        <w:rPr>
          <w:rFonts w:hint="eastAsia" w:hAnsi="宋体"/>
          <w:color w:val="auto"/>
          <w:highlight w:val="none"/>
        </w:rPr>
        <w:t>文件、我方的响应文件及有关澄清承诺书的要求，与采购人订立书面合同，并按照合同约定承担完成合同的责任和义务.</w:t>
      </w:r>
    </w:p>
    <w:p w14:paraId="15FF8165">
      <w:pPr>
        <w:pStyle w:val="20"/>
        <w:keepNext w:val="0"/>
        <w:keepLines w:val="0"/>
        <w:pageBreakBefore w:val="0"/>
        <w:kinsoku/>
        <w:wordWrap w:val="0"/>
        <w:overflowPunct/>
        <w:topLinePunct w:val="0"/>
        <w:bidi w:val="0"/>
        <w:spacing w:line="500" w:lineRule="exact"/>
        <w:ind w:firstLine="564" w:firstLineChars="235"/>
        <w:rPr>
          <w:rFonts w:hAnsi="宋体"/>
          <w:color w:val="auto"/>
          <w:highlight w:val="none"/>
        </w:rPr>
      </w:pPr>
      <w:r>
        <w:rPr>
          <w:rFonts w:hint="eastAsia" w:hAnsi="宋体"/>
          <w:color w:val="auto"/>
          <w:highlight w:val="none"/>
        </w:rPr>
        <w:t>6、如我方违反以上承诺，愿意接受本项目预算金额10%的处罚，同时依法承担相应法律责任。</w:t>
      </w:r>
    </w:p>
    <w:p w14:paraId="70305890">
      <w:pPr>
        <w:pStyle w:val="20"/>
        <w:keepNext w:val="0"/>
        <w:keepLines w:val="0"/>
        <w:pageBreakBefore w:val="0"/>
        <w:kinsoku/>
        <w:wordWrap w:val="0"/>
        <w:overflowPunct/>
        <w:topLinePunct w:val="0"/>
        <w:bidi w:val="0"/>
        <w:spacing w:line="500" w:lineRule="exact"/>
        <w:ind w:firstLine="564" w:firstLineChars="235"/>
        <w:rPr>
          <w:rFonts w:hAnsi="宋体"/>
          <w:color w:val="auto"/>
          <w:highlight w:val="none"/>
        </w:rPr>
      </w:pPr>
    </w:p>
    <w:p w14:paraId="3A2AD6BF">
      <w:pPr>
        <w:pStyle w:val="20"/>
        <w:keepNext w:val="0"/>
        <w:keepLines w:val="0"/>
        <w:pageBreakBefore w:val="0"/>
        <w:kinsoku/>
        <w:wordWrap w:val="0"/>
        <w:overflowPunct/>
        <w:topLinePunct w:val="0"/>
        <w:bidi w:val="0"/>
        <w:spacing w:line="500" w:lineRule="exact"/>
        <w:ind w:firstLine="564" w:firstLineChars="235"/>
        <w:rPr>
          <w:rFonts w:hAnsi="宋体"/>
          <w:color w:val="auto"/>
          <w:highlight w:val="none"/>
        </w:rPr>
      </w:pPr>
    </w:p>
    <w:p w14:paraId="2D346A26">
      <w:pPr>
        <w:keepNext w:val="0"/>
        <w:keepLines w:val="0"/>
        <w:pageBreakBefore w:val="0"/>
        <w:kinsoku/>
        <w:wordWrap w:val="0"/>
        <w:overflowPunct/>
        <w:topLinePunct w:val="0"/>
        <w:bidi w:val="0"/>
        <w:spacing w:line="500" w:lineRule="exact"/>
        <w:ind w:firstLine="4252" w:firstLineChars="1772"/>
        <w:rPr>
          <w:bCs/>
          <w:color w:val="auto"/>
          <w:sz w:val="24"/>
          <w:highlight w:val="none"/>
        </w:rPr>
      </w:pPr>
      <w:r>
        <w:rPr>
          <w:rFonts w:hint="eastAsia"/>
          <w:bCs/>
          <w:color w:val="auto"/>
          <w:sz w:val="24"/>
          <w:highlight w:val="none"/>
        </w:rPr>
        <w:t>供应商：（公章签章）</w:t>
      </w:r>
    </w:p>
    <w:p w14:paraId="3B4E5462">
      <w:pPr>
        <w:keepNext w:val="0"/>
        <w:keepLines w:val="0"/>
        <w:pageBreakBefore w:val="0"/>
        <w:kinsoku/>
        <w:wordWrap w:val="0"/>
        <w:overflowPunct/>
        <w:topLinePunct w:val="0"/>
        <w:bidi w:val="0"/>
        <w:spacing w:line="500" w:lineRule="exact"/>
        <w:ind w:firstLine="4252" w:firstLineChars="1772"/>
        <w:rPr>
          <w:bCs/>
          <w:color w:val="auto"/>
          <w:sz w:val="24"/>
          <w:highlight w:val="none"/>
        </w:rPr>
      </w:pPr>
      <w:r>
        <w:rPr>
          <w:rFonts w:hint="eastAsia"/>
          <w:bCs/>
          <w:color w:val="auto"/>
          <w:sz w:val="24"/>
          <w:highlight w:val="none"/>
        </w:rPr>
        <w:t>法定代表人：（签章）</w:t>
      </w:r>
    </w:p>
    <w:p w14:paraId="45A839E1">
      <w:pPr>
        <w:keepNext w:val="0"/>
        <w:keepLines w:val="0"/>
        <w:pageBreakBefore w:val="0"/>
        <w:kinsoku/>
        <w:wordWrap w:val="0"/>
        <w:overflowPunct/>
        <w:topLinePunct w:val="0"/>
        <w:bidi w:val="0"/>
        <w:spacing w:line="500" w:lineRule="exact"/>
        <w:ind w:firstLine="4252" w:firstLineChars="1772"/>
        <w:rPr>
          <w:bCs/>
          <w:color w:val="auto"/>
          <w:sz w:val="24"/>
          <w:highlight w:val="none"/>
        </w:rPr>
      </w:pPr>
      <w:r>
        <w:rPr>
          <w:rFonts w:hint="eastAsia"/>
          <w:bCs/>
          <w:color w:val="auto"/>
          <w:sz w:val="24"/>
          <w:highlight w:val="none"/>
        </w:rPr>
        <w:t>日期：</w:t>
      </w:r>
    </w:p>
    <w:p w14:paraId="722F4667">
      <w:pPr>
        <w:pStyle w:val="7"/>
        <w:keepNext w:val="0"/>
        <w:keepLines w:val="0"/>
        <w:pageBreakBefore w:val="0"/>
        <w:kinsoku/>
        <w:wordWrap w:val="0"/>
        <w:overflowPunct/>
        <w:topLinePunct w:val="0"/>
        <w:bidi w:val="0"/>
        <w:rPr>
          <w:color w:val="auto"/>
          <w:highlight w:val="none"/>
        </w:rPr>
      </w:pPr>
      <w:r>
        <w:rPr>
          <w:color w:val="auto"/>
          <w:highlight w:val="none"/>
        </w:rPr>
        <w:br w:type="page"/>
      </w:r>
    </w:p>
    <w:p w14:paraId="78A0463B">
      <w:pPr>
        <w:pStyle w:val="18"/>
        <w:keepNext w:val="0"/>
        <w:keepLines w:val="0"/>
        <w:pageBreakBefore w:val="0"/>
        <w:numPr>
          <w:ilvl w:val="0"/>
          <w:numId w:val="17"/>
        </w:numPr>
        <w:kinsoku/>
        <w:wordWrap w:val="0"/>
        <w:overflowPunct/>
        <w:topLinePunct w:val="0"/>
        <w:bidi w:val="0"/>
        <w:ind w:left="0"/>
        <w:jc w:val="center"/>
        <w:outlineLvl w:val="0"/>
        <w:rPr>
          <w:rFonts w:hint="eastAsia" w:ascii="宋体" w:hAnsi="宋体"/>
          <w:color w:val="auto"/>
          <w:highlight w:val="none"/>
        </w:rPr>
      </w:pPr>
      <w:bookmarkStart w:id="324" w:name="_Toc4328_WPSOffice_Level1"/>
      <w:bookmarkStart w:id="325" w:name="_Toc30303"/>
      <w:bookmarkStart w:id="326" w:name="_Toc25743"/>
      <w:r>
        <w:rPr>
          <w:rFonts w:hint="eastAsia" w:ascii="宋体" w:hAnsi="宋体"/>
          <w:color w:val="auto"/>
          <w:highlight w:val="none"/>
        </w:rPr>
        <w:t>资格审查资料</w:t>
      </w:r>
      <w:bookmarkEnd w:id="324"/>
      <w:bookmarkEnd w:id="325"/>
      <w:bookmarkEnd w:id="326"/>
    </w:p>
    <w:p w14:paraId="47AF1F72">
      <w:pPr>
        <w:pStyle w:val="18"/>
        <w:keepNext w:val="0"/>
        <w:keepLines w:val="0"/>
        <w:pageBreakBefore w:val="0"/>
        <w:numPr>
          <w:ilvl w:val="0"/>
          <w:numId w:val="0"/>
        </w:numPr>
        <w:kinsoku/>
        <w:wordWrap w:val="0"/>
        <w:overflowPunct/>
        <w:topLinePunct w:val="0"/>
        <w:bidi w:val="0"/>
        <w:jc w:val="both"/>
        <w:outlineLvl w:val="0"/>
        <w:rPr>
          <w:rFonts w:hint="eastAsia" w:ascii="宋体" w:hAnsi="宋体" w:eastAsia="宋体"/>
          <w:color w:val="auto"/>
          <w:highlight w:val="none"/>
          <w:lang w:eastAsia="zh-CN"/>
        </w:rPr>
      </w:pPr>
      <w:r>
        <w:rPr>
          <w:rFonts w:hint="eastAsia" w:ascii="宋体" w:hAnsi="宋体"/>
          <w:color w:val="auto"/>
          <w:highlight w:val="none"/>
          <w:lang w:eastAsia="zh-CN"/>
        </w:rPr>
        <w:t>（一）供应商情况一般介绍</w:t>
      </w:r>
    </w:p>
    <w:p w14:paraId="4F96F79F">
      <w:pPr>
        <w:keepNext w:val="0"/>
        <w:keepLines w:val="0"/>
        <w:pageBreakBefore w:val="0"/>
        <w:kinsoku/>
        <w:wordWrap w:val="0"/>
        <w:overflowPunct/>
        <w:topLinePunct w:val="0"/>
        <w:bidi w:val="0"/>
        <w:spacing w:line="360" w:lineRule="auto"/>
        <w:jc w:val="both"/>
        <w:rPr>
          <w:color w:val="auto"/>
          <w:sz w:val="28"/>
          <w:szCs w:val="20"/>
          <w:highlight w:val="none"/>
        </w:rPr>
      </w:pPr>
      <w:bookmarkStart w:id="327" w:name="_Toc10295_WPSOffice_Level2"/>
      <w:r>
        <w:rPr>
          <w:rFonts w:hint="eastAsia"/>
          <w:color w:val="auto"/>
          <w:sz w:val="28"/>
          <w:szCs w:val="20"/>
          <w:highlight w:val="none"/>
        </w:rPr>
        <w:t>（</w:t>
      </w:r>
      <w:r>
        <w:rPr>
          <w:rFonts w:hint="eastAsia"/>
          <w:color w:val="auto"/>
          <w:sz w:val="28"/>
          <w:szCs w:val="20"/>
          <w:highlight w:val="none"/>
          <w:lang w:eastAsia="zh-CN"/>
        </w:rPr>
        <w:t>二</w:t>
      </w:r>
      <w:r>
        <w:rPr>
          <w:rFonts w:hint="eastAsia"/>
          <w:color w:val="auto"/>
          <w:sz w:val="28"/>
          <w:szCs w:val="20"/>
          <w:highlight w:val="none"/>
        </w:rPr>
        <w:t>）供应商基本情况表</w:t>
      </w:r>
      <w:bookmarkEnd w:id="32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73"/>
        <w:gridCol w:w="1551"/>
        <w:gridCol w:w="1119"/>
        <w:gridCol w:w="1132"/>
        <w:gridCol w:w="235"/>
        <w:gridCol w:w="1679"/>
      </w:tblGrid>
      <w:tr w14:paraId="4386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62F30D53">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供应商名称</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44EC8F67">
            <w:pPr>
              <w:keepNext w:val="0"/>
              <w:keepLines w:val="0"/>
              <w:pageBreakBefore w:val="0"/>
              <w:kinsoku/>
              <w:wordWrap w:val="0"/>
              <w:overflowPunct/>
              <w:topLinePunct w:val="0"/>
              <w:bidi w:val="0"/>
              <w:spacing w:line="360" w:lineRule="auto"/>
              <w:rPr>
                <w:color w:val="auto"/>
                <w:sz w:val="24"/>
                <w:highlight w:val="none"/>
              </w:rPr>
            </w:pPr>
          </w:p>
        </w:tc>
      </w:tr>
      <w:tr w14:paraId="7E0A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29DF3317">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注册地址</w:t>
            </w:r>
          </w:p>
        </w:tc>
        <w:tc>
          <w:tcPr>
            <w:tcW w:w="3643" w:type="dxa"/>
            <w:gridSpan w:val="3"/>
            <w:tcBorders>
              <w:top w:val="single" w:color="auto" w:sz="4" w:space="0"/>
              <w:left w:val="single" w:color="auto" w:sz="4" w:space="0"/>
              <w:bottom w:val="single" w:color="auto" w:sz="4" w:space="0"/>
              <w:right w:val="single" w:color="auto" w:sz="4" w:space="0"/>
            </w:tcBorders>
            <w:noWrap/>
            <w:vAlign w:val="center"/>
          </w:tcPr>
          <w:p w14:paraId="4D9372CB">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558C2022">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邮政编码</w:t>
            </w:r>
          </w:p>
        </w:tc>
        <w:tc>
          <w:tcPr>
            <w:tcW w:w="1679" w:type="dxa"/>
            <w:tcBorders>
              <w:top w:val="single" w:color="auto" w:sz="4" w:space="0"/>
              <w:left w:val="single" w:color="auto" w:sz="4" w:space="0"/>
              <w:bottom w:val="single" w:color="auto" w:sz="4" w:space="0"/>
              <w:right w:val="single" w:color="auto" w:sz="4" w:space="0"/>
            </w:tcBorders>
            <w:noWrap/>
            <w:vAlign w:val="center"/>
          </w:tcPr>
          <w:p w14:paraId="2CDB8A9B">
            <w:pPr>
              <w:keepNext w:val="0"/>
              <w:keepLines w:val="0"/>
              <w:pageBreakBefore w:val="0"/>
              <w:kinsoku/>
              <w:wordWrap w:val="0"/>
              <w:overflowPunct/>
              <w:topLinePunct w:val="0"/>
              <w:bidi w:val="0"/>
              <w:spacing w:line="360" w:lineRule="auto"/>
              <w:rPr>
                <w:color w:val="auto"/>
                <w:sz w:val="24"/>
                <w:highlight w:val="none"/>
              </w:rPr>
            </w:pPr>
          </w:p>
        </w:tc>
      </w:tr>
      <w:tr w14:paraId="036B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1" w:type="dxa"/>
            <w:vMerge w:val="restart"/>
            <w:tcBorders>
              <w:top w:val="single" w:color="auto" w:sz="4" w:space="0"/>
              <w:left w:val="single" w:color="auto" w:sz="4" w:space="0"/>
              <w:bottom w:val="single" w:color="auto" w:sz="4" w:space="0"/>
              <w:right w:val="single" w:color="auto" w:sz="4" w:space="0"/>
            </w:tcBorders>
            <w:noWrap/>
            <w:vAlign w:val="center"/>
          </w:tcPr>
          <w:p w14:paraId="4D84F503">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联系方式</w:t>
            </w:r>
          </w:p>
        </w:tc>
        <w:tc>
          <w:tcPr>
            <w:tcW w:w="973" w:type="dxa"/>
            <w:tcBorders>
              <w:top w:val="single" w:color="auto" w:sz="4" w:space="0"/>
              <w:left w:val="single" w:color="auto" w:sz="4" w:space="0"/>
              <w:bottom w:val="single" w:color="auto" w:sz="4" w:space="0"/>
              <w:right w:val="single" w:color="auto" w:sz="4" w:space="0"/>
            </w:tcBorders>
            <w:noWrap/>
            <w:vAlign w:val="center"/>
          </w:tcPr>
          <w:p w14:paraId="6DDF6986">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联系人</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50D14178">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08A844F0">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电话</w:t>
            </w:r>
          </w:p>
        </w:tc>
        <w:tc>
          <w:tcPr>
            <w:tcW w:w="1679" w:type="dxa"/>
            <w:tcBorders>
              <w:top w:val="single" w:color="auto" w:sz="4" w:space="0"/>
              <w:left w:val="single" w:color="auto" w:sz="4" w:space="0"/>
              <w:bottom w:val="single" w:color="auto" w:sz="4" w:space="0"/>
              <w:right w:val="single" w:color="auto" w:sz="4" w:space="0"/>
            </w:tcBorders>
            <w:noWrap/>
            <w:vAlign w:val="center"/>
          </w:tcPr>
          <w:p w14:paraId="6B2EC424">
            <w:pPr>
              <w:keepNext w:val="0"/>
              <w:keepLines w:val="0"/>
              <w:pageBreakBefore w:val="0"/>
              <w:kinsoku/>
              <w:wordWrap w:val="0"/>
              <w:overflowPunct/>
              <w:topLinePunct w:val="0"/>
              <w:bidi w:val="0"/>
              <w:spacing w:line="360" w:lineRule="auto"/>
              <w:rPr>
                <w:color w:val="auto"/>
                <w:sz w:val="24"/>
                <w:highlight w:val="none"/>
              </w:rPr>
            </w:pPr>
          </w:p>
        </w:tc>
      </w:tr>
      <w:tr w14:paraId="3231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1" w:type="dxa"/>
            <w:vMerge w:val="continue"/>
            <w:tcBorders>
              <w:top w:val="single" w:color="auto" w:sz="4" w:space="0"/>
              <w:left w:val="single" w:color="auto" w:sz="4" w:space="0"/>
              <w:bottom w:val="single" w:color="auto" w:sz="4" w:space="0"/>
              <w:right w:val="single" w:color="auto" w:sz="4" w:space="0"/>
            </w:tcBorders>
            <w:noWrap/>
            <w:vAlign w:val="center"/>
          </w:tcPr>
          <w:p w14:paraId="29B2BB30">
            <w:pPr>
              <w:keepNext w:val="0"/>
              <w:keepLines w:val="0"/>
              <w:pageBreakBefore w:val="0"/>
              <w:kinsoku/>
              <w:wordWrap w:val="0"/>
              <w:overflowPunct/>
              <w:topLinePunct w:val="0"/>
              <w:bidi w:val="0"/>
              <w:rPr>
                <w:color w:val="auto"/>
                <w:sz w:val="20"/>
                <w:szCs w:val="20"/>
                <w:highlight w:val="none"/>
              </w:rPr>
            </w:pPr>
          </w:p>
        </w:tc>
        <w:tc>
          <w:tcPr>
            <w:tcW w:w="973" w:type="dxa"/>
            <w:tcBorders>
              <w:top w:val="single" w:color="auto" w:sz="4" w:space="0"/>
              <w:left w:val="single" w:color="auto" w:sz="4" w:space="0"/>
              <w:bottom w:val="single" w:color="auto" w:sz="4" w:space="0"/>
              <w:right w:val="single" w:color="auto" w:sz="4" w:space="0"/>
            </w:tcBorders>
            <w:noWrap/>
            <w:vAlign w:val="center"/>
          </w:tcPr>
          <w:p w14:paraId="7768B5A0">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传真</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0C68D66A">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65BBD792">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网址</w:t>
            </w:r>
          </w:p>
        </w:tc>
        <w:tc>
          <w:tcPr>
            <w:tcW w:w="1679" w:type="dxa"/>
            <w:tcBorders>
              <w:top w:val="single" w:color="auto" w:sz="4" w:space="0"/>
              <w:left w:val="single" w:color="auto" w:sz="4" w:space="0"/>
              <w:bottom w:val="single" w:color="auto" w:sz="4" w:space="0"/>
              <w:right w:val="single" w:color="auto" w:sz="4" w:space="0"/>
            </w:tcBorders>
            <w:noWrap/>
            <w:vAlign w:val="center"/>
          </w:tcPr>
          <w:p w14:paraId="5ECBAD0C">
            <w:pPr>
              <w:keepNext w:val="0"/>
              <w:keepLines w:val="0"/>
              <w:pageBreakBefore w:val="0"/>
              <w:kinsoku/>
              <w:wordWrap w:val="0"/>
              <w:overflowPunct/>
              <w:topLinePunct w:val="0"/>
              <w:bidi w:val="0"/>
              <w:spacing w:line="360" w:lineRule="auto"/>
              <w:rPr>
                <w:color w:val="auto"/>
                <w:sz w:val="24"/>
                <w:highlight w:val="none"/>
              </w:rPr>
            </w:pPr>
          </w:p>
        </w:tc>
      </w:tr>
      <w:tr w14:paraId="6245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6E845F3">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组织结构</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4C250D3E">
            <w:pPr>
              <w:keepNext w:val="0"/>
              <w:keepLines w:val="0"/>
              <w:pageBreakBefore w:val="0"/>
              <w:tabs>
                <w:tab w:val="left" w:pos="4776"/>
              </w:tabs>
              <w:kinsoku/>
              <w:wordWrap w:val="0"/>
              <w:overflowPunct/>
              <w:topLinePunct w:val="0"/>
              <w:bidi w:val="0"/>
              <w:spacing w:line="360" w:lineRule="auto"/>
              <w:rPr>
                <w:color w:val="auto"/>
                <w:sz w:val="24"/>
                <w:highlight w:val="none"/>
              </w:rPr>
            </w:pPr>
          </w:p>
        </w:tc>
      </w:tr>
      <w:tr w14:paraId="54AB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4E50712">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法定代表人</w:t>
            </w:r>
          </w:p>
        </w:tc>
        <w:tc>
          <w:tcPr>
            <w:tcW w:w="973" w:type="dxa"/>
            <w:tcBorders>
              <w:top w:val="single" w:color="auto" w:sz="4" w:space="0"/>
              <w:left w:val="single" w:color="auto" w:sz="4" w:space="0"/>
              <w:bottom w:val="single" w:color="auto" w:sz="4" w:space="0"/>
              <w:right w:val="single" w:color="auto" w:sz="4" w:space="0"/>
            </w:tcBorders>
            <w:noWrap/>
            <w:vAlign w:val="center"/>
          </w:tcPr>
          <w:p w14:paraId="502B37B2">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姓名</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00407A1D">
            <w:pPr>
              <w:keepNext w:val="0"/>
              <w:keepLines w:val="0"/>
              <w:pageBreakBefore w:val="0"/>
              <w:kinsoku/>
              <w:wordWrap w:val="0"/>
              <w:overflowPunct/>
              <w:topLinePunct w:val="0"/>
              <w:bidi w:val="0"/>
              <w:spacing w:line="360" w:lineRule="auto"/>
              <w:rPr>
                <w:color w:val="auto"/>
                <w:sz w:val="24"/>
                <w:highlight w:val="none"/>
              </w:rPr>
            </w:pPr>
          </w:p>
        </w:tc>
        <w:tc>
          <w:tcPr>
            <w:tcW w:w="1132" w:type="dxa"/>
            <w:tcBorders>
              <w:top w:val="single" w:color="auto" w:sz="4" w:space="0"/>
              <w:left w:val="single" w:color="auto" w:sz="4" w:space="0"/>
              <w:bottom w:val="single" w:color="auto" w:sz="4" w:space="0"/>
              <w:right w:val="single" w:color="auto" w:sz="4" w:space="0"/>
            </w:tcBorders>
            <w:noWrap/>
            <w:vAlign w:val="center"/>
          </w:tcPr>
          <w:p w14:paraId="284C4DA7">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电话</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35739BB9">
            <w:pPr>
              <w:keepNext w:val="0"/>
              <w:keepLines w:val="0"/>
              <w:pageBreakBefore w:val="0"/>
              <w:kinsoku/>
              <w:wordWrap w:val="0"/>
              <w:overflowPunct/>
              <w:topLinePunct w:val="0"/>
              <w:bidi w:val="0"/>
              <w:spacing w:line="360" w:lineRule="auto"/>
              <w:rPr>
                <w:color w:val="auto"/>
                <w:sz w:val="24"/>
                <w:highlight w:val="none"/>
              </w:rPr>
            </w:pPr>
          </w:p>
        </w:tc>
      </w:tr>
      <w:tr w14:paraId="4652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619D2CF">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成立时间</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23C0A5B4">
            <w:pPr>
              <w:keepNext w:val="0"/>
              <w:keepLines w:val="0"/>
              <w:pageBreakBefore w:val="0"/>
              <w:kinsoku/>
              <w:wordWrap w:val="0"/>
              <w:overflowPunct/>
              <w:topLinePunct w:val="0"/>
              <w:bidi w:val="0"/>
              <w:spacing w:line="360" w:lineRule="auto"/>
              <w:rPr>
                <w:color w:val="auto"/>
                <w:sz w:val="24"/>
                <w:highlight w:val="none"/>
              </w:rPr>
            </w:pPr>
          </w:p>
        </w:tc>
        <w:tc>
          <w:tcPr>
            <w:tcW w:w="4165" w:type="dxa"/>
            <w:gridSpan w:val="4"/>
            <w:tcBorders>
              <w:top w:val="single" w:color="auto" w:sz="4" w:space="0"/>
              <w:left w:val="single" w:color="auto" w:sz="4" w:space="0"/>
              <w:bottom w:val="single" w:color="auto" w:sz="4" w:space="0"/>
              <w:right w:val="single" w:color="auto" w:sz="4" w:space="0"/>
            </w:tcBorders>
            <w:noWrap/>
            <w:vAlign w:val="center"/>
          </w:tcPr>
          <w:p w14:paraId="4207A1B0">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员工总人数：</w:t>
            </w:r>
          </w:p>
        </w:tc>
      </w:tr>
      <w:tr w14:paraId="68B2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404A9A5">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营业执照号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180462A6">
            <w:pPr>
              <w:keepNext w:val="0"/>
              <w:keepLines w:val="0"/>
              <w:pageBreakBefore w:val="0"/>
              <w:kinsoku/>
              <w:wordWrap w:val="0"/>
              <w:overflowPunct/>
              <w:topLinePunct w:val="0"/>
              <w:bidi w:val="0"/>
              <w:spacing w:line="360" w:lineRule="auto"/>
              <w:rPr>
                <w:color w:val="auto"/>
                <w:sz w:val="24"/>
                <w:highlight w:val="none"/>
              </w:rPr>
            </w:pPr>
          </w:p>
        </w:tc>
      </w:tr>
      <w:tr w14:paraId="1859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5473F9B">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注册资金</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4964F192">
            <w:pPr>
              <w:keepNext w:val="0"/>
              <w:keepLines w:val="0"/>
              <w:pageBreakBefore w:val="0"/>
              <w:kinsoku/>
              <w:wordWrap w:val="0"/>
              <w:overflowPunct/>
              <w:topLinePunct w:val="0"/>
              <w:bidi w:val="0"/>
              <w:spacing w:line="360" w:lineRule="auto"/>
              <w:rPr>
                <w:color w:val="auto"/>
                <w:sz w:val="24"/>
                <w:highlight w:val="none"/>
              </w:rPr>
            </w:pP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14:paraId="2D097DA7">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开户银行</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5F19D986">
            <w:pPr>
              <w:keepNext w:val="0"/>
              <w:keepLines w:val="0"/>
              <w:pageBreakBefore w:val="0"/>
              <w:kinsoku/>
              <w:wordWrap w:val="0"/>
              <w:overflowPunct/>
              <w:topLinePunct w:val="0"/>
              <w:bidi w:val="0"/>
              <w:spacing w:line="360" w:lineRule="auto"/>
              <w:rPr>
                <w:color w:val="auto"/>
                <w:sz w:val="24"/>
                <w:highlight w:val="none"/>
              </w:rPr>
            </w:pPr>
          </w:p>
        </w:tc>
      </w:tr>
      <w:tr w14:paraId="35AE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40ED8A9">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账号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3E6DFAB1">
            <w:pPr>
              <w:keepNext w:val="0"/>
              <w:keepLines w:val="0"/>
              <w:pageBreakBefore w:val="0"/>
              <w:kinsoku/>
              <w:wordWrap w:val="0"/>
              <w:overflowPunct/>
              <w:topLinePunct w:val="0"/>
              <w:bidi w:val="0"/>
              <w:spacing w:line="360" w:lineRule="auto"/>
              <w:rPr>
                <w:color w:val="auto"/>
                <w:sz w:val="24"/>
                <w:highlight w:val="none"/>
              </w:rPr>
            </w:pPr>
          </w:p>
        </w:tc>
      </w:tr>
      <w:tr w14:paraId="0A21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C570A42">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经营范围备注</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0B4A020C">
            <w:pPr>
              <w:keepNext w:val="0"/>
              <w:keepLines w:val="0"/>
              <w:pageBreakBefore w:val="0"/>
              <w:kinsoku/>
              <w:wordWrap w:val="0"/>
              <w:overflowPunct/>
              <w:topLinePunct w:val="0"/>
              <w:bidi w:val="0"/>
              <w:spacing w:line="360" w:lineRule="auto"/>
              <w:rPr>
                <w:color w:val="auto"/>
                <w:sz w:val="24"/>
                <w:highlight w:val="none"/>
              </w:rPr>
            </w:pPr>
          </w:p>
        </w:tc>
      </w:tr>
    </w:tbl>
    <w:p w14:paraId="4BE2AF3C">
      <w:pPr>
        <w:keepNext w:val="0"/>
        <w:keepLines w:val="0"/>
        <w:pageBreakBefore w:val="0"/>
        <w:kinsoku/>
        <w:wordWrap w:val="0"/>
        <w:overflowPunct/>
        <w:topLinePunct w:val="0"/>
        <w:bidi w:val="0"/>
        <w:spacing w:line="360" w:lineRule="auto"/>
        <w:rPr>
          <w:color w:val="auto"/>
          <w:sz w:val="24"/>
          <w:highlight w:val="none"/>
        </w:rPr>
      </w:pPr>
      <w:bookmarkStart w:id="328" w:name="_Toc15473_WPSOffice_Level3"/>
      <w:r>
        <w:rPr>
          <w:rFonts w:hint="eastAsia"/>
          <w:color w:val="auto"/>
          <w:sz w:val="24"/>
          <w:highlight w:val="none"/>
        </w:rPr>
        <w:t>附：1、营业执照、税务登记证、组织机构代码证等相关证件的扫描件</w:t>
      </w:r>
      <w:bookmarkEnd w:id="328"/>
    </w:p>
    <w:p w14:paraId="696B7866">
      <w:pPr>
        <w:keepNext w:val="0"/>
        <w:keepLines w:val="0"/>
        <w:pageBreakBefore w:val="0"/>
        <w:kinsoku/>
        <w:wordWrap w:val="0"/>
        <w:overflowPunct/>
        <w:topLinePunct w:val="0"/>
        <w:bidi w:val="0"/>
        <w:spacing w:line="360" w:lineRule="auto"/>
        <w:rPr>
          <w:color w:val="auto"/>
          <w:sz w:val="24"/>
          <w:highlight w:val="none"/>
        </w:rPr>
      </w:pPr>
    </w:p>
    <w:p w14:paraId="7500DD6F">
      <w:pPr>
        <w:keepNext w:val="0"/>
        <w:keepLines w:val="0"/>
        <w:pageBreakBefore w:val="0"/>
        <w:kinsoku/>
        <w:wordWrap w:val="0"/>
        <w:overflowPunct/>
        <w:topLinePunct w:val="0"/>
        <w:bidi w:val="0"/>
        <w:spacing w:line="360" w:lineRule="auto"/>
        <w:rPr>
          <w:color w:val="auto"/>
          <w:sz w:val="24"/>
          <w:highlight w:val="none"/>
        </w:rPr>
      </w:pPr>
    </w:p>
    <w:p w14:paraId="3A6CF7A5">
      <w:pPr>
        <w:keepNext w:val="0"/>
        <w:keepLines w:val="0"/>
        <w:pageBreakBefore w:val="0"/>
        <w:kinsoku/>
        <w:wordWrap w:val="0"/>
        <w:overflowPunct/>
        <w:topLinePunct w:val="0"/>
        <w:bidi w:val="0"/>
        <w:spacing w:line="360" w:lineRule="auto"/>
        <w:rPr>
          <w:color w:val="auto"/>
          <w:sz w:val="24"/>
          <w:highlight w:val="none"/>
        </w:rPr>
      </w:pPr>
    </w:p>
    <w:p w14:paraId="5ABDAFF0">
      <w:pPr>
        <w:keepNext w:val="0"/>
        <w:keepLines w:val="0"/>
        <w:pageBreakBefore w:val="0"/>
        <w:kinsoku/>
        <w:wordWrap w:val="0"/>
        <w:overflowPunct/>
        <w:topLinePunct w:val="0"/>
        <w:bidi w:val="0"/>
        <w:spacing w:line="360" w:lineRule="auto"/>
        <w:rPr>
          <w:color w:val="auto"/>
          <w:sz w:val="24"/>
          <w:highlight w:val="none"/>
        </w:rPr>
      </w:pPr>
    </w:p>
    <w:p w14:paraId="7A957360">
      <w:pPr>
        <w:keepNext w:val="0"/>
        <w:keepLines w:val="0"/>
        <w:pageBreakBefore w:val="0"/>
        <w:kinsoku/>
        <w:wordWrap w:val="0"/>
        <w:overflowPunct/>
        <w:topLinePunct w:val="0"/>
        <w:bidi w:val="0"/>
        <w:spacing w:line="360" w:lineRule="auto"/>
        <w:rPr>
          <w:color w:val="auto"/>
          <w:sz w:val="24"/>
          <w:highlight w:val="none"/>
        </w:rPr>
      </w:pPr>
    </w:p>
    <w:p w14:paraId="20DF41EA">
      <w:pPr>
        <w:keepNext w:val="0"/>
        <w:keepLines w:val="0"/>
        <w:pageBreakBefore w:val="0"/>
        <w:kinsoku/>
        <w:wordWrap w:val="0"/>
        <w:overflowPunct/>
        <w:topLinePunct w:val="0"/>
        <w:bidi w:val="0"/>
        <w:spacing w:line="360" w:lineRule="auto"/>
        <w:rPr>
          <w:color w:val="auto"/>
          <w:sz w:val="24"/>
          <w:highlight w:val="none"/>
        </w:rPr>
      </w:pPr>
    </w:p>
    <w:p w14:paraId="7E2B55FC">
      <w:pPr>
        <w:keepNext w:val="0"/>
        <w:keepLines w:val="0"/>
        <w:pageBreakBefore w:val="0"/>
        <w:kinsoku/>
        <w:wordWrap w:val="0"/>
        <w:overflowPunct/>
        <w:topLinePunct w:val="0"/>
        <w:bidi w:val="0"/>
        <w:spacing w:line="360" w:lineRule="auto"/>
        <w:rPr>
          <w:color w:val="auto"/>
          <w:sz w:val="24"/>
          <w:highlight w:val="none"/>
        </w:rPr>
      </w:pPr>
    </w:p>
    <w:p w14:paraId="5AA095CD">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br w:type="page"/>
      </w:r>
    </w:p>
    <w:p w14:paraId="24C0FF7B">
      <w:pPr>
        <w:keepNext w:val="0"/>
        <w:keepLines w:val="0"/>
        <w:pageBreakBefore w:val="0"/>
        <w:kinsoku/>
        <w:wordWrap w:val="0"/>
        <w:overflowPunct/>
        <w:topLinePunct w:val="0"/>
        <w:bidi w:val="0"/>
        <w:spacing w:line="360" w:lineRule="auto"/>
        <w:jc w:val="center"/>
        <w:rPr>
          <w:color w:val="auto"/>
          <w:sz w:val="28"/>
          <w:szCs w:val="20"/>
          <w:highlight w:val="none"/>
        </w:rPr>
      </w:pPr>
      <w:bookmarkStart w:id="329" w:name="_Toc13068_WPSOffice_Level2"/>
      <w:r>
        <w:rPr>
          <w:rFonts w:hint="eastAsia"/>
          <w:color w:val="auto"/>
          <w:sz w:val="28"/>
          <w:szCs w:val="20"/>
          <w:highlight w:val="none"/>
        </w:rPr>
        <w:t>（</w:t>
      </w:r>
      <w:r>
        <w:rPr>
          <w:rFonts w:hint="eastAsia"/>
          <w:color w:val="auto"/>
          <w:sz w:val="28"/>
          <w:szCs w:val="20"/>
          <w:highlight w:val="none"/>
          <w:lang w:eastAsia="zh-CN"/>
        </w:rPr>
        <w:t>三</w:t>
      </w:r>
      <w:r>
        <w:rPr>
          <w:rFonts w:hint="eastAsia"/>
          <w:color w:val="auto"/>
          <w:sz w:val="28"/>
          <w:szCs w:val="20"/>
          <w:highlight w:val="none"/>
        </w:rPr>
        <w:t>）竞争性磋商文件规定的资格审查资料</w:t>
      </w:r>
      <w:bookmarkEnd w:id="329"/>
    </w:p>
    <w:p w14:paraId="13F2FFA4">
      <w:pPr>
        <w:keepNext w:val="0"/>
        <w:keepLines w:val="0"/>
        <w:pageBreakBefore w:val="0"/>
        <w:kinsoku/>
        <w:wordWrap w:val="0"/>
        <w:overflowPunct/>
        <w:topLinePunct w:val="0"/>
        <w:bidi w:val="0"/>
        <w:spacing w:line="360" w:lineRule="auto"/>
        <w:rPr>
          <w:color w:val="auto"/>
          <w:sz w:val="24"/>
          <w:highlight w:val="none"/>
        </w:rPr>
      </w:pPr>
    </w:p>
    <w:p w14:paraId="1EF0951C">
      <w:pPr>
        <w:pStyle w:val="18"/>
        <w:keepNext w:val="0"/>
        <w:keepLines w:val="0"/>
        <w:pageBreakBefore w:val="0"/>
        <w:kinsoku/>
        <w:wordWrap w:val="0"/>
        <w:overflowPunct/>
        <w:topLinePunct w:val="0"/>
        <w:bidi w:val="0"/>
        <w:ind w:left="0"/>
        <w:jc w:val="center"/>
        <w:outlineLvl w:val="0"/>
        <w:rPr>
          <w:rFonts w:hint="eastAsia" w:eastAsia="宋体"/>
          <w:color w:val="auto"/>
          <w:highlight w:val="none"/>
          <w:lang w:eastAsia="zh-CN"/>
        </w:rPr>
        <w:sectPr>
          <w:pgSz w:w="11910" w:h="16840"/>
          <w:pgMar w:top="1400" w:right="1020" w:bottom="900" w:left="1040" w:header="0" w:footer="720" w:gutter="0"/>
          <w:pgBorders>
            <w:top w:val="none" w:sz="0" w:space="0"/>
            <w:left w:val="none" w:sz="0" w:space="0"/>
            <w:bottom w:val="none" w:sz="0" w:space="0"/>
            <w:right w:val="none" w:sz="0" w:space="0"/>
          </w:pgBorders>
          <w:pgNumType w:fmt="decimal"/>
          <w:cols w:space="720" w:num="1"/>
        </w:sectPr>
      </w:pPr>
      <w:bookmarkStart w:id="330" w:name="_Toc15130"/>
      <w:bookmarkStart w:id="331" w:name="_Toc14892_WPSOffice_Level1"/>
      <w:r>
        <w:rPr>
          <w:rFonts w:hint="eastAsia" w:ascii="宋体" w:hAnsi="宋体"/>
          <w:color w:val="auto"/>
          <w:highlight w:val="none"/>
        </w:rPr>
        <w:br w:type="page"/>
      </w:r>
      <w:r>
        <w:rPr>
          <w:rFonts w:hint="eastAsia" w:ascii="宋体" w:hAnsi="宋体"/>
          <w:color w:val="auto"/>
          <w:highlight w:val="none"/>
        </w:rPr>
        <w:t>六、</w:t>
      </w:r>
      <w:bookmarkEnd w:id="330"/>
      <w:bookmarkEnd w:id="331"/>
      <w:r>
        <w:rPr>
          <w:rFonts w:hint="eastAsia" w:ascii="宋体" w:hAnsi="宋体"/>
          <w:color w:val="auto"/>
          <w:highlight w:val="none"/>
          <w:lang w:val="en-US" w:eastAsia="zh-CN"/>
        </w:rPr>
        <w:t>技术标</w:t>
      </w:r>
    </w:p>
    <w:p w14:paraId="5EA133A0">
      <w:pPr>
        <w:pStyle w:val="18"/>
        <w:keepNext w:val="0"/>
        <w:keepLines w:val="0"/>
        <w:pageBreakBefore w:val="0"/>
        <w:kinsoku/>
        <w:wordWrap w:val="0"/>
        <w:overflowPunct/>
        <w:topLinePunct w:val="0"/>
        <w:bidi w:val="0"/>
        <w:ind w:left="0"/>
        <w:jc w:val="center"/>
        <w:outlineLvl w:val="0"/>
        <w:rPr>
          <w:rFonts w:ascii="宋体" w:hAnsi="宋体"/>
          <w:color w:val="auto"/>
          <w:highlight w:val="none"/>
        </w:rPr>
      </w:pPr>
      <w:bookmarkStart w:id="332" w:name="5、资格审查资料"/>
      <w:bookmarkEnd w:id="332"/>
      <w:bookmarkStart w:id="333" w:name="_Toc16713_WPSOffice_Level1"/>
      <w:bookmarkStart w:id="334" w:name="_Toc5833"/>
      <w:r>
        <w:rPr>
          <w:rFonts w:hint="eastAsia" w:ascii="宋体" w:hAnsi="宋体"/>
          <w:color w:val="auto"/>
          <w:highlight w:val="none"/>
          <w:lang w:val="en-US" w:eastAsia="zh-CN"/>
        </w:rPr>
        <w:t>七、商务标</w:t>
      </w:r>
      <w:r>
        <w:rPr>
          <w:rFonts w:hint="eastAsia" w:ascii="宋体" w:hAnsi="宋体"/>
          <w:color w:val="auto"/>
          <w:highlight w:val="none"/>
        </w:rPr>
        <w:br w:type="page"/>
      </w:r>
      <w:r>
        <w:rPr>
          <w:rFonts w:hint="eastAsia" w:ascii="宋体" w:hAnsi="宋体"/>
          <w:color w:val="auto"/>
          <w:highlight w:val="none"/>
          <w:lang w:val="en-US" w:eastAsia="zh-CN"/>
        </w:rPr>
        <w:t>八</w:t>
      </w:r>
      <w:r>
        <w:rPr>
          <w:rFonts w:hint="eastAsia" w:ascii="宋体" w:hAnsi="宋体"/>
          <w:color w:val="auto"/>
          <w:highlight w:val="none"/>
        </w:rPr>
        <w:t>、磋商设备证明材料</w:t>
      </w:r>
      <w:bookmarkEnd w:id="333"/>
      <w:bookmarkEnd w:id="334"/>
    </w:p>
    <w:p w14:paraId="7A3C919C">
      <w:pPr>
        <w:pStyle w:val="18"/>
        <w:keepNext w:val="0"/>
        <w:keepLines w:val="0"/>
        <w:pageBreakBefore w:val="0"/>
        <w:kinsoku/>
        <w:wordWrap w:val="0"/>
        <w:overflowPunct/>
        <w:topLinePunct w:val="0"/>
        <w:bidi w:val="0"/>
        <w:ind w:left="0"/>
        <w:jc w:val="center"/>
        <w:rPr>
          <w:rFonts w:ascii="宋体" w:hAnsi="宋体"/>
          <w:color w:val="auto"/>
          <w:highlight w:val="none"/>
        </w:rPr>
        <w:sectPr>
          <w:footerReference r:id="rId9" w:type="default"/>
          <w:pgSz w:w="11910" w:h="16840"/>
          <w:pgMar w:top="1300" w:right="1020" w:bottom="1180" w:left="1040" w:header="0" w:footer="993" w:gutter="0"/>
          <w:pgBorders>
            <w:top w:val="none" w:sz="0" w:space="0"/>
            <w:left w:val="none" w:sz="0" w:space="0"/>
            <w:bottom w:val="none" w:sz="0" w:space="0"/>
            <w:right w:val="none" w:sz="0" w:space="0"/>
          </w:pgBorders>
          <w:pgNumType w:fmt="decimal"/>
          <w:cols w:space="720" w:num="1"/>
        </w:sectPr>
      </w:pPr>
      <w:bookmarkStart w:id="335" w:name="_Toc9443_WPSOffice_Level2"/>
      <w:r>
        <w:rPr>
          <w:rFonts w:hint="eastAsia" w:ascii="宋体" w:hAnsi="宋体"/>
          <w:color w:val="auto"/>
          <w:highlight w:val="none"/>
        </w:rPr>
        <w:t>依据竞争性磋商文件第三章要求提供相关证明文件，磋商响应文件中附扫描件。</w:t>
      </w:r>
      <w:bookmarkEnd w:id="335"/>
    </w:p>
    <w:p w14:paraId="46F1C996">
      <w:pPr>
        <w:pStyle w:val="18"/>
        <w:keepNext w:val="0"/>
        <w:keepLines w:val="0"/>
        <w:pageBreakBefore w:val="0"/>
        <w:kinsoku/>
        <w:wordWrap w:val="0"/>
        <w:overflowPunct/>
        <w:topLinePunct w:val="0"/>
        <w:bidi w:val="0"/>
        <w:ind w:left="0"/>
        <w:jc w:val="center"/>
        <w:outlineLvl w:val="0"/>
        <w:rPr>
          <w:rFonts w:ascii="宋体" w:hAnsi="宋体"/>
          <w:color w:val="auto"/>
          <w:highlight w:val="none"/>
        </w:rPr>
      </w:pPr>
      <w:bookmarkStart w:id="336" w:name="_Toc28583_WPSOffice_Level1"/>
      <w:bookmarkStart w:id="337" w:name="_Toc17021"/>
      <w:r>
        <w:rPr>
          <w:rFonts w:hint="eastAsia" w:ascii="宋体" w:hAnsi="宋体"/>
          <w:color w:val="auto"/>
          <w:highlight w:val="none"/>
          <w:lang w:val="en-US" w:eastAsia="zh-CN"/>
        </w:rPr>
        <w:t>九</w:t>
      </w:r>
      <w:r>
        <w:rPr>
          <w:rFonts w:hint="eastAsia" w:ascii="宋体" w:hAnsi="宋体"/>
          <w:color w:val="auto"/>
          <w:highlight w:val="none"/>
        </w:rPr>
        <w:t>、磋商响应供应商可提交的其他资料</w:t>
      </w:r>
      <w:bookmarkEnd w:id="336"/>
      <w:bookmarkEnd w:id="337"/>
    </w:p>
    <w:p w14:paraId="3B9B8189">
      <w:pPr>
        <w:keepNext w:val="0"/>
        <w:keepLines w:val="0"/>
        <w:pageBreakBefore w:val="0"/>
        <w:kinsoku/>
        <w:wordWrap w:val="0"/>
        <w:overflowPunct/>
        <w:topLinePunct w:val="0"/>
        <w:bidi w:val="0"/>
        <w:rPr>
          <w:color w:val="auto"/>
          <w:highlight w:val="none"/>
        </w:rPr>
      </w:pPr>
    </w:p>
    <w:p w14:paraId="5AF0D015">
      <w:pPr>
        <w:keepNext w:val="0"/>
        <w:keepLines w:val="0"/>
        <w:pageBreakBefore w:val="0"/>
        <w:kinsoku/>
        <w:wordWrap w:val="0"/>
        <w:overflowPunct/>
        <w:topLinePunct w:val="0"/>
        <w:bidi w:val="0"/>
        <w:rPr>
          <w:color w:val="auto"/>
          <w:highlight w:val="none"/>
        </w:rPr>
      </w:pPr>
    </w:p>
    <w:p w14:paraId="5F8B9802">
      <w:pPr>
        <w:keepNext w:val="0"/>
        <w:keepLines w:val="0"/>
        <w:pageBreakBefore w:val="0"/>
        <w:kinsoku/>
        <w:wordWrap w:val="0"/>
        <w:overflowPunct/>
        <w:topLinePunct w:val="0"/>
        <w:bidi w:val="0"/>
        <w:rPr>
          <w:color w:val="auto"/>
          <w:highlight w:val="none"/>
        </w:rPr>
      </w:pPr>
    </w:p>
    <w:p w14:paraId="52A22558">
      <w:pPr>
        <w:pStyle w:val="18"/>
        <w:keepNext w:val="0"/>
        <w:keepLines w:val="0"/>
        <w:pageBreakBefore w:val="0"/>
        <w:kinsoku/>
        <w:wordWrap w:val="0"/>
        <w:overflowPunct/>
        <w:topLinePunct w:val="0"/>
        <w:bidi w:val="0"/>
        <w:ind w:left="0"/>
        <w:jc w:val="both"/>
        <w:outlineLvl w:val="0"/>
        <w:rPr>
          <w:rFonts w:hint="eastAsia" w:ascii="宋体" w:hAnsi="宋体" w:eastAsia="宋体"/>
          <w:color w:val="auto"/>
          <w:highlight w:val="none"/>
          <w:lang w:val="en-US" w:eastAsia="zh-CN"/>
        </w:rPr>
      </w:pPr>
      <w:r>
        <w:rPr>
          <w:color w:val="auto"/>
          <w:highlight w:val="none"/>
        </w:rPr>
        <w:br w:type="page"/>
      </w:r>
      <w:bookmarkStart w:id="338" w:name="OLE_LINK9"/>
      <w:r>
        <w:rPr>
          <w:rFonts w:hint="eastAsia" w:ascii="宋体" w:hAnsi="宋体"/>
          <w:color w:val="auto"/>
          <w:highlight w:val="none"/>
          <w:lang w:val="en-US" w:eastAsia="zh-CN"/>
        </w:rPr>
        <w:t>附件1：</w:t>
      </w:r>
    </w:p>
    <w:p w14:paraId="27638268">
      <w:pPr>
        <w:keepNext w:val="0"/>
        <w:keepLines w:val="0"/>
        <w:pageBreakBefore w:val="0"/>
        <w:kinsoku/>
        <w:wordWrap w:val="0"/>
        <w:overflowPunct/>
        <w:topLinePunct w:val="0"/>
        <w:bidi w:val="0"/>
        <w:rPr>
          <w:color w:val="auto"/>
          <w:highlight w:val="none"/>
        </w:rPr>
      </w:pPr>
    </w:p>
    <w:p w14:paraId="30A9DC10">
      <w:pPr>
        <w:keepNext w:val="0"/>
        <w:keepLines w:val="0"/>
        <w:pageBreakBefore w:val="0"/>
        <w:kinsoku/>
        <w:wordWrap w:val="0"/>
        <w:overflowPunct/>
        <w:topLinePunct w:val="0"/>
        <w:autoSpaceDE w:val="0"/>
        <w:autoSpaceDN w:val="0"/>
        <w:bidi w:val="0"/>
        <w:adjustRightInd w:val="0"/>
        <w:spacing w:line="440" w:lineRule="exact"/>
        <w:jc w:val="center"/>
        <w:rPr>
          <w:rFonts w:hint="eastAsia" w:ascii="宋体" w:cs="宋体"/>
          <w:color w:val="auto"/>
          <w:sz w:val="24"/>
          <w:szCs w:val="24"/>
          <w:highlight w:val="none"/>
        </w:rPr>
      </w:pPr>
      <w:r>
        <w:rPr>
          <w:rFonts w:hint="eastAsia" w:ascii="宋体" w:cs="宋体"/>
          <w:color w:val="auto"/>
          <w:sz w:val="24"/>
          <w:szCs w:val="24"/>
          <w:highlight w:val="none"/>
        </w:rPr>
        <w:t>中小企业声明函（货物）</w:t>
      </w:r>
    </w:p>
    <w:p w14:paraId="2E5576F0">
      <w:pPr>
        <w:pStyle w:val="12"/>
        <w:autoSpaceDE/>
        <w:autoSpaceDN/>
        <w:spacing w:line="600" w:lineRule="exact"/>
        <w:ind w:left="0" w:firstLine="0" w:firstLineChars="0"/>
        <w:jc w:val="center"/>
        <w:rPr>
          <w:rFonts w:hint="eastAsia"/>
          <w:b/>
          <w:color w:val="auto"/>
          <w:kern w:val="2"/>
          <w:szCs w:val="24"/>
          <w:highlight w:val="none"/>
          <w:lang w:val="en-US" w:bidi="ar-SA"/>
        </w:rPr>
      </w:pPr>
      <w:r>
        <w:rPr>
          <w:rFonts w:hint="eastAsia"/>
          <w:b/>
          <w:color w:val="auto"/>
          <w:kern w:val="2"/>
          <w:szCs w:val="24"/>
          <w:highlight w:val="none"/>
          <w:lang w:val="en-US" w:bidi="ar-SA"/>
        </w:rPr>
        <w:t>（属于中小微企业的填写，不属于的无需填写此项内容）</w:t>
      </w:r>
    </w:p>
    <w:p w14:paraId="00B16006">
      <w:pPr>
        <w:keepNext w:val="0"/>
        <w:keepLines w:val="0"/>
        <w:pageBreakBefore w:val="0"/>
        <w:kinsoku/>
        <w:wordWrap w:val="0"/>
        <w:overflowPunct/>
        <w:topLinePunct w:val="0"/>
        <w:autoSpaceDE w:val="0"/>
        <w:autoSpaceDN w:val="0"/>
        <w:bidi w:val="0"/>
        <w:adjustRightInd w:val="0"/>
        <w:spacing w:line="440" w:lineRule="exact"/>
        <w:jc w:val="center"/>
        <w:rPr>
          <w:rFonts w:hint="eastAsia" w:ascii="宋体" w:cs="宋体"/>
          <w:color w:val="auto"/>
          <w:sz w:val="24"/>
          <w:szCs w:val="24"/>
          <w:highlight w:val="none"/>
        </w:rPr>
      </w:pPr>
    </w:p>
    <w:p w14:paraId="61D05B9D">
      <w:pPr>
        <w:keepNext w:val="0"/>
        <w:keepLines w:val="0"/>
        <w:pageBreakBefore w:val="0"/>
        <w:kinsoku/>
        <w:wordWrap w:val="0"/>
        <w:overflowPunct/>
        <w:topLinePunct w:val="0"/>
        <w:autoSpaceDE w:val="0"/>
        <w:autoSpaceDN w:val="0"/>
        <w:bidi w:val="0"/>
        <w:adjustRightInd w:val="0"/>
        <w:spacing w:line="440" w:lineRule="exact"/>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本公司（联合体）郑重声明，根据《政府采购促进中小企业发展管理办法》（财库</w:t>
      </w:r>
      <w:r>
        <w:rPr>
          <w:rFonts w:hint="eastAsia" w:ascii="宋体" w:hAnsi="宋体" w:cs="宋体"/>
          <w:color w:val="auto"/>
          <w:sz w:val="24"/>
          <w:szCs w:val="24"/>
          <w:highlight w:val="none"/>
        </w:rPr>
        <w:t>﹝</w:t>
      </w:r>
      <w:r>
        <w:rPr>
          <w:rFonts w:ascii="宋体" w:hAnsi="宋体" w:cs="仿宋"/>
          <w:color w:val="auto"/>
          <w:sz w:val="24"/>
          <w:szCs w:val="24"/>
          <w:highlight w:val="none"/>
        </w:rPr>
        <w:t>2020</w:t>
      </w:r>
      <w:r>
        <w:rPr>
          <w:rFonts w:hint="eastAsia" w:ascii="宋体" w:hAnsi="宋体" w:cs="宋体"/>
          <w:color w:val="auto"/>
          <w:sz w:val="24"/>
          <w:szCs w:val="24"/>
          <w:highlight w:val="none"/>
        </w:rPr>
        <w:t>﹞</w:t>
      </w:r>
      <w:r>
        <w:rPr>
          <w:rFonts w:ascii="宋体" w:hAnsi="宋体" w:cs="仿宋"/>
          <w:color w:val="auto"/>
          <w:sz w:val="24"/>
          <w:szCs w:val="24"/>
          <w:highlight w:val="none"/>
        </w:rPr>
        <w:t xml:space="preserve">46 </w:t>
      </w:r>
      <w:r>
        <w:rPr>
          <w:rFonts w:hint="eastAsia" w:ascii="宋体" w:hAnsi="宋体" w:cs="仿宋"/>
          <w:color w:val="auto"/>
          <w:sz w:val="24"/>
          <w:szCs w:val="24"/>
          <w:highlight w:val="none"/>
        </w:rPr>
        <w:t>号）的规定，本公司（联合体）参加</w:t>
      </w:r>
      <w:r>
        <w:rPr>
          <w:rFonts w:hint="eastAsia" w:ascii="宋体" w:hAnsi="宋体" w:cs="仿宋"/>
          <w:color w:val="auto"/>
          <w:sz w:val="24"/>
          <w:szCs w:val="24"/>
          <w:highlight w:val="none"/>
          <w:u w:val="single"/>
        </w:rPr>
        <w:t>（单位名称）</w:t>
      </w:r>
      <w:r>
        <w:rPr>
          <w:rFonts w:hint="eastAsia" w:ascii="宋体" w:hAnsi="宋体" w:cs="仿宋"/>
          <w:color w:val="auto"/>
          <w:sz w:val="24"/>
          <w:szCs w:val="24"/>
          <w:highlight w:val="none"/>
        </w:rPr>
        <w:t>的</w:t>
      </w:r>
      <w:r>
        <w:rPr>
          <w:rFonts w:hint="eastAsia" w:ascii="宋体" w:hAnsi="宋体" w:cs="仿宋"/>
          <w:color w:val="auto"/>
          <w:sz w:val="24"/>
          <w:szCs w:val="24"/>
          <w:highlight w:val="none"/>
          <w:u w:val="single"/>
        </w:rPr>
        <w:t>（项目名称）</w:t>
      </w:r>
      <w:r>
        <w:rPr>
          <w:rFonts w:hint="eastAsia" w:ascii="宋体" w:hAnsi="宋体" w:cs="仿宋"/>
          <w:color w:val="auto"/>
          <w:sz w:val="24"/>
          <w:szCs w:val="24"/>
          <w:highlight w:val="none"/>
          <w:u w:val="single"/>
          <w:lang w:eastAsia="zh-CN"/>
        </w:rPr>
        <w:t>（</w:t>
      </w:r>
      <w:r>
        <w:rPr>
          <w:rFonts w:hint="eastAsia" w:ascii="宋体" w:hAnsi="宋体" w:cs="仿宋"/>
          <w:color w:val="auto"/>
          <w:sz w:val="24"/>
          <w:szCs w:val="24"/>
          <w:highlight w:val="none"/>
          <w:u w:val="single"/>
          <w:lang w:val="en-US" w:eastAsia="zh-CN"/>
        </w:rPr>
        <w:t xml:space="preserve"> 标段</w:t>
      </w:r>
      <w:r>
        <w:rPr>
          <w:rFonts w:hint="eastAsia" w:ascii="宋体" w:hAnsi="宋体" w:cs="仿宋"/>
          <w:color w:val="auto"/>
          <w:sz w:val="24"/>
          <w:szCs w:val="24"/>
          <w:highlight w:val="none"/>
          <w:u w:val="single"/>
          <w:lang w:eastAsia="zh-CN"/>
        </w:rPr>
        <w:t>）</w:t>
      </w:r>
      <w:r>
        <w:rPr>
          <w:rFonts w:hint="eastAsia" w:ascii="宋体" w:hAnsi="宋体" w:cs="仿宋"/>
          <w:color w:val="auto"/>
          <w:sz w:val="24"/>
          <w:szCs w:val="24"/>
          <w:highlight w:val="none"/>
        </w:rPr>
        <w:t>采购活动，工程的施工单位全部为符合政策要求的中小企业（或者：货物全部由符合政策要求的中小企业承接）。相关企业（含联合体中的中小企业、签订分包意向协议的中小企业）的具体情况如下：</w:t>
      </w:r>
    </w:p>
    <w:p w14:paraId="15BBF7A1">
      <w:pPr>
        <w:keepNext w:val="0"/>
        <w:keepLines w:val="0"/>
        <w:pageBreakBefore w:val="0"/>
        <w:kinsoku/>
        <w:wordWrap w:val="0"/>
        <w:overflowPunct/>
        <w:topLinePunct w:val="0"/>
        <w:autoSpaceDE w:val="0"/>
        <w:autoSpaceDN w:val="0"/>
        <w:bidi w:val="0"/>
        <w:adjustRightInd w:val="0"/>
        <w:spacing w:line="440" w:lineRule="exact"/>
        <w:ind w:firstLine="480" w:firstLineChars="200"/>
        <w:rPr>
          <w:rFonts w:ascii="宋体" w:hAnsi="宋体" w:cs="仿宋"/>
          <w:color w:val="auto"/>
          <w:sz w:val="24"/>
          <w:szCs w:val="24"/>
          <w:highlight w:val="none"/>
        </w:rPr>
      </w:pPr>
      <w:r>
        <w:rPr>
          <w:rFonts w:ascii="宋体" w:hAnsi="宋体" w:cs="仿宋"/>
          <w:color w:val="auto"/>
          <w:sz w:val="24"/>
          <w:szCs w:val="24"/>
          <w:highlight w:val="none"/>
        </w:rPr>
        <w:t xml:space="preserve">1. </w:t>
      </w:r>
      <w:r>
        <w:rPr>
          <w:rFonts w:hint="eastAsia" w:ascii="宋体" w:hAnsi="宋体" w:cs="仿宋"/>
          <w:color w:val="auto"/>
          <w:sz w:val="24"/>
          <w:szCs w:val="24"/>
          <w:highlight w:val="none"/>
          <w:u w:val="single"/>
        </w:rPr>
        <w:t>（标的名称）</w:t>
      </w:r>
      <w:r>
        <w:rPr>
          <w:rFonts w:ascii="宋体" w:hAnsi="宋体" w:cs="仿宋"/>
          <w:color w:val="auto"/>
          <w:sz w:val="24"/>
          <w:szCs w:val="24"/>
          <w:highlight w:val="none"/>
        </w:rPr>
        <w:t xml:space="preserve"> </w:t>
      </w:r>
      <w:r>
        <w:rPr>
          <w:rFonts w:hint="eastAsia" w:ascii="宋体" w:hAnsi="宋体" w:cs="仿宋"/>
          <w:color w:val="auto"/>
          <w:sz w:val="24"/>
          <w:szCs w:val="24"/>
          <w:highlight w:val="none"/>
        </w:rPr>
        <w:t>，属于</w:t>
      </w:r>
      <w:r>
        <w:rPr>
          <w:rFonts w:hint="eastAsia" w:ascii="宋体" w:hAnsi="宋体" w:cs="仿宋"/>
          <w:color w:val="auto"/>
          <w:sz w:val="24"/>
          <w:szCs w:val="24"/>
          <w:highlight w:val="none"/>
          <w:u w:val="single"/>
          <w:lang w:val="en-US" w:eastAsia="zh-CN"/>
        </w:rPr>
        <w:t xml:space="preserve">   </w:t>
      </w:r>
      <w:r>
        <w:rPr>
          <w:rFonts w:hint="eastAsia" w:ascii="宋体" w:hAnsi="宋体" w:cs="仿宋"/>
          <w:color w:val="auto"/>
          <w:sz w:val="24"/>
          <w:szCs w:val="24"/>
          <w:highlight w:val="none"/>
          <w:u w:val="single"/>
        </w:rPr>
        <w:t>（采购文件中明确的所属行业）</w:t>
      </w:r>
      <w:r>
        <w:rPr>
          <w:rFonts w:hint="eastAsia" w:ascii="宋体" w:hAnsi="宋体" w:cs="仿宋"/>
          <w:color w:val="auto"/>
          <w:sz w:val="24"/>
          <w:szCs w:val="24"/>
          <w:highlight w:val="none"/>
        </w:rPr>
        <w:t>；承建（承接）企业为</w:t>
      </w:r>
      <w:r>
        <w:rPr>
          <w:rFonts w:hint="eastAsia" w:ascii="宋体" w:hAnsi="宋体" w:cs="仿宋"/>
          <w:color w:val="auto"/>
          <w:sz w:val="24"/>
          <w:szCs w:val="24"/>
          <w:highlight w:val="none"/>
          <w:u w:val="single"/>
        </w:rPr>
        <w:t>（企业名称）</w:t>
      </w:r>
      <w:r>
        <w:rPr>
          <w:rFonts w:hint="eastAsia" w:ascii="宋体" w:hAnsi="宋体" w:cs="仿宋"/>
          <w:color w:val="auto"/>
          <w:sz w:val="24"/>
          <w:szCs w:val="24"/>
          <w:highlight w:val="none"/>
        </w:rPr>
        <w:t>，从业人员</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 xml:space="preserve"> 人，营业收入为</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万元，资产总额为</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万元，属于</w:t>
      </w:r>
      <w:r>
        <w:rPr>
          <w:rFonts w:hint="eastAsia" w:ascii="宋体" w:hAnsi="宋体" w:cs="仿宋"/>
          <w:color w:val="auto"/>
          <w:sz w:val="24"/>
          <w:szCs w:val="24"/>
          <w:highlight w:val="none"/>
          <w:u w:val="single"/>
        </w:rPr>
        <w:t>（中型企业、小型企业、微型企业）</w:t>
      </w:r>
      <w:r>
        <w:rPr>
          <w:rFonts w:hint="eastAsia" w:ascii="宋体" w:hAnsi="宋体" w:cs="仿宋"/>
          <w:color w:val="auto"/>
          <w:sz w:val="24"/>
          <w:szCs w:val="24"/>
          <w:highlight w:val="none"/>
        </w:rPr>
        <w:t>；</w:t>
      </w:r>
    </w:p>
    <w:p w14:paraId="7FB454C6">
      <w:pPr>
        <w:keepNext w:val="0"/>
        <w:keepLines w:val="0"/>
        <w:pageBreakBefore w:val="0"/>
        <w:kinsoku/>
        <w:wordWrap w:val="0"/>
        <w:overflowPunct/>
        <w:topLinePunct w:val="0"/>
        <w:autoSpaceDE w:val="0"/>
        <w:autoSpaceDN w:val="0"/>
        <w:bidi w:val="0"/>
        <w:adjustRightInd w:val="0"/>
        <w:spacing w:line="440" w:lineRule="exact"/>
        <w:ind w:firstLine="480" w:firstLineChars="200"/>
        <w:rPr>
          <w:rFonts w:ascii="宋体" w:hAnsi="宋体" w:cs="仿宋"/>
          <w:color w:val="auto"/>
          <w:sz w:val="24"/>
          <w:szCs w:val="24"/>
          <w:highlight w:val="none"/>
        </w:rPr>
      </w:pPr>
      <w:r>
        <w:rPr>
          <w:rFonts w:ascii="宋体" w:hAnsi="宋体" w:cs="仿宋"/>
          <w:color w:val="auto"/>
          <w:sz w:val="24"/>
          <w:szCs w:val="24"/>
          <w:highlight w:val="none"/>
        </w:rPr>
        <w:t xml:space="preserve">2. </w:t>
      </w:r>
      <w:r>
        <w:rPr>
          <w:rFonts w:hint="eastAsia" w:ascii="宋体" w:hAnsi="宋体" w:cs="仿宋"/>
          <w:color w:val="auto"/>
          <w:sz w:val="24"/>
          <w:szCs w:val="24"/>
          <w:highlight w:val="none"/>
          <w:u w:val="single"/>
        </w:rPr>
        <w:t>（标的名称</w:t>
      </w:r>
      <w:r>
        <w:rPr>
          <w:rFonts w:hint="eastAsia" w:ascii="宋体" w:hAnsi="宋体" w:cs="仿宋"/>
          <w:color w:val="auto"/>
          <w:sz w:val="24"/>
          <w:szCs w:val="24"/>
          <w:highlight w:val="none"/>
        </w:rPr>
        <w:t>）</w:t>
      </w:r>
      <w:r>
        <w:rPr>
          <w:rFonts w:ascii="宋体" w:hAnsi="宋体" w:cs="仿宋"/>
          <w:color w:val="auto"/>
          <w:sz w:val="24"/>
          <w:szCs w:val="24"/>
          <w:highlight w:val="none"/>
        </w:rPr>
        <w:t xml:space="preserve"> </w:t>
      </w:r>
      <w:r>
        <w:rPr>
          <w:rFonts w:hint="eastAsia" w:ascii="宋体" w:hAnsi="宋体" w:cs="仿宋"/>
          <w:color w:val="auto"/>
          <w:sz w:val="24"/>
          <w:szCs w:val="24"/>
          <w:highlight w:val="none"/>
        </w:rPr>
        <w:t>，属于</w:t>
      </w:r>
      <w:r>
        <w:rPr>
          <w:rFonts w:hint="eastAsia" w:ascii="宋体" w:hAnsi="宋体" w:cs="仿宋"/>
          <w:color w:val="auto"/>
          <w:sz w:val="24"/>
          <w:szCs w:val="24"/>
          <w:highlight w:val="none"/>
          <w:u w:val="single"/>
        </w:rPr>
        <w:t>（采购文件中明确的所属行业）</w:t>
      </w:r>
      <w:r>
        <w:rPr>
          <w:rFonts w:hint="eastAsia" w:ascii="宋体" w:hAnsi="宋体" w:cs="仿宋"/>
          <w:color w:val="auto"/>
          <w:sz w:val="24"/>
          <w:szCs w:val="24"/>
          <w:highlight w:val="none"/>
        </w:rPr>
        <w:t>；承建（承接）企业为（</w:t>
      </w:r>
      <w:r>
        <w:rPr>
          <w:rFonts w:hint="eastAsia" w:ascii="宋体" w:hAnsi="宋体" w:cs="仿宋"/>
          <w:color w:val="auto"/>
          <w:sz w:val="24"/>
          <w:szCs w:val="24"/>
          <w:highlight w:val="none"/>
          <w:u w:val="single"/>
        </w:rPr>
        <w:t>企业名称</w:t>
      </w:r>
      <w:r>
        <w:rPr>
          <w:rFonts w:hint="eastAsia" w:ascii="宋体" w:hAnsi="宋体" w:cs="仿宋"/>
          <w:color w:val="auto"/>
          <w:sz w:val="24"/>
          <w:szCs w:val="24"/>
          <w:highlight w:val="none"/>
        </w:rPr>
        <w:t>），从业人员</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 xml:space="preserve"> 人，营业收入为</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万元，资产总额为</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万元，属于</w:t>
      </w:r>
      <w:r>
        <w:rPr>
          <w:rFonts w:hint="eastAsia" w:ascii="宋体" w:hAnsi="宋体" w:cs="仿宋"/>
          <w:color w:val="auto"/>
          <w:sz w:val="24"/>
          <w:szCs w:val="24"/>
          <w:highlight w:val="none"/>
          <w:u w:val="single"/>
        </w:rPr>
        <w:t>（中型企业、小型企业、微型企业）</w:t>
      </w:r>
      <w:r>
        <w:rPr>
          <w:rFonts w:hint="eastAsia" w:ascii="宋体" w:hAnsi="宋体" w:cs="仿宋"/>
          <w:color w:val="auto"/>
          <w:sz w:val="24"/>
          <w:szCs w:val="24"/>
          <w:highlight w:val="none"/>
        </w:rPr>
        <w:t>；</w:t>
      </w:r>
    </w:p>
    <w:p w14:paraId="7048A1FB">
      <w:pPr>
        <w:keepNext w:val="0"/>
        <w:keepLines w:val="0"/>
        <w:pageBreakBefore w:val="0"/>
        <w:kinsoku/>
        <w:wordWrap w:val="0"/>
        <w:overflowPunct/>
        <w:topLinePunct w:val="0"/>
        <w:autoSpaceDE w:val="0"/>
        <w:autoSpaceDN w:val="0"/>
        <w:bidi w:val="0"/>
        <w:adjustRightInd w:val="0"/>
        <w:spacing w:line="440" w:lineRule="exact"/>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w:t>
      </w:r>
    </w:p>
    <w:p w14:paraId="25FE27D1">
      <w:pPr>
        <w:keepNext w:val="0"/>
        <w:keepLines w:val="0"/>
        <w:pageBreakBefore w:val="0"/>
        <w:kinsoku/>
        <w:wordWrap w:val="0"/>
        <w:overflowPunct/>
        <w:topLinePunct w:val="0"/>
        <w:autoSpaceDE w:val="0"/>
        <w:autoSpaceDN w:val="0"/>
        <w:bidi w:val="0"/>
        <w:adjustRightInd w:val="0"/>
        <w:spacing w:line="440" w:lineRule="exact"/>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以上企业，不属于大企业的分支机构，不存在控股股东为大企业的情形，也不存在与大企业的负责人为同一人的情形。</w:t>
      </w:r>
    </w:p>
    <w:p w14:paraId="2CAB77AA">
      <w:pPr>
        <w:keepNext w:val="0"/>
        <w:keepLines w:val="0"/>
        <w:pageBreakBefore w:val="0"/>
        <w:kinsoku/>
        <w:wordWrap w:val="0"/>
        <w:overflowPunct/>
        <w:topLinePunct w:val="0"/>
        <w:autoSpaceDE w:val="0"/>
        <w:autoSpaceDN w:val="0"/>
        <w:bidi w:val="0"/>
        <w:adjustRightInd w:val="0"/>
        <w:spacing w:line="440" w:lineRule="exact"/>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本企业对上述声明内容的真实性负责。如有虚假，将依法承担相应责任。</w:t>
      </w:r>
    </w:p>
    <w:p w14:paraId="01AB7337">
      <w:pPr>
        <w:keepNext w:val="0"/>
        <w:keepLines w:val="0"/>
        <w:pageBreakBefore w:val="0"/>
        <w:kinsoku/>
        <w:wordWrap w:val="0"/>
        <w:overflowPunct/>
        <w:topLinePunct w:val="0"/>
        <w:autoSpaceDE w:val="0"/>
        <w:autoSpaceDN w:val="0"/>
        <w:bidi w:val="0"/>
        <w:adjustRightInd w:val="0"/>
        <w:spacing w:line="440" w:lineRule="exact"/>
        <w:jc w:val="right"/>
        <w:rPr>
          <w:rFonts w:ascii="宋体" w:hAnsi="宋体" w:cs="仿宋"/>
          <w:color w:val="auto"/>
          <w:sz w:val="24"/>
          <w:szCs w:val="24"/>
          <w:highlight w:val="none"/>
        </w:rPr>
      </w:pPr>
    </w:p>
    <w:p w14:paraId="18DF4CBE">
      <w:pPr>
        <w:keepNext w:val="0"/>
        <w:keepLines w:val="0"/>
        <w:pageBreakBefore w:val="0"/>
        <w:kinsoku/>
        <w:wordWrap w:val="0"/>
        <w:overflowPunct/>
        <w:topLinePunct w:val="0"/>
        <w:bidi w:val="0"/>
        <w:spacing w:line="400" w:lineRule="exact"/>
        <w:ind w:firstLine="504" w:firstLineChars="200"/>
        <w:rPr>
          <w:rFonts w:ascii="宋体" w:hAnsi="宋体" w:cs="宋体"/>
          <w:color w:val="auto"/>
          <w:spacing w:val="6"/>
          <w:sz w:val="24"/>
          <w:szCs w:val="24"/>
          <w:highlight w:val="none"/>
        </w:rPr>
      </w:pPr>
    </w:p>
    <w:p w14:paraId="1761A556">
      <w:pPr>
        <w:keepNext w:val="0"/>
        <w:keepLines w:val="0"/>
        <w:pageBreakBefore w:val="0"/>
        <w:widowControl w:val="0"/>
        <w:kinsoku/>
        <w:wordWrap w:val="0"/>
        <w:overflowPunct/>
        <w:topLinePunct w:val="0"/>
        <w:autoSpaceDE w:val="0"/>
        <w:autoSpaceDN w:val="0"/>
        <w:bidi w:val="0"/>
        <w:adjustRightInd/>
        <w:snapToGrid w:val="0"/>
        <w:spacing w:line="480" w:lineRule="exact"/>
        <w:ind w:right="-856" w:rightChars="-389" w:firstLine="3600" w:firstLineChars="15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（电子签章） </w:t>
      </w:r>
    </w:p>
    <w:p w14:paraId="1AFEF516">
      <w:pPr>
        <w:keepNext w:val="0"/>
        <w:keepLines w:val="0"/>
        <w:pageBreakBefore w:val="0"/>
        <w:widowControl w:val="0"/>
        <w:kinsoku/>
        <w:wordWrap w:val="0"/>
        <w:overflowPunct/>
        <w:topLinePunct w:val="0"/>
        <w:autoSpaceDE w:val="0"/>
        <w:autoSpaceDN w:val="0"/>
        <w:bidi w:val="0"/>
        <w:adjustRightInd/>
        <w:spacing w:line="480" w:lineRule="exact"/>
        <w:ind w:firstLine="2640" w:firstLineChars="11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法定代表人或委托代理人：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（签章） </w:t>
      </w:r>
    </w:p>
    <w:p w14:paraId="7814796F">
      <w:pPr>
        <w:keepNext w:val="0"/>
        <w:keepLines w:val="0"/>
        <w:pageBreakBefore w:val="0"/>
        <w:widowControl w:val="0"/>
        <w:kinsoku/>
        <w:wordWrap w:val="0"/>
        <w:overflowPunct/>
        <w:topLinePunct w:val="0"/>
        <w:autoSpaceDE w:val="0"/>
        <w:autoSpaceDN w:val="0"/>
        <w:bidi w:val="0"/>
        <w:adjustRightInd/>
        <w:spacing w:line="480" w:lineRule="exact"/>
        <w:ind w:firstLine="3600" w:firstLineChars="15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68219488">
      <w:pPr>
        <w:keepNext w:val="0"/>
        <w:keepLines w:val="0"/>
        <w:pageBreakBefore w:val="0"/>
        <w:kinsoku/>
        <w:wordWrap w:val="0"/>
        <w:overflowPunct/>
        <w:topLinePunct w:val="0"/>
        <w:bidi w:val="0"/>
        <w:spacing w:line="400" w:lineRule="exact"/>
        <w:ind w:firstLine="506" w:firstLineChars="200"/>
        <w:rPr>
          <w:rFonts w:hint="eastAsia" w:ascii="宋体" w:hAnsi="宋体" w:cs="宋体"/>
          <w:b/>
          <w:color w:val="auto"/>
          <w:spacing w:val="6"/>
          <w:sz w:val="24"/>
          <w:szCs w:val="24"/>
          <w:highlight w:val="none"/>
        </w:rPr>
      </w:pPr>
    </w:p>
    <w:p w14:paraId="0B0C4726">
      <w:pPr>
        <w:keepNext w:val="0"/>
        <w:keepLines w:val="0"/>
        <w:pageBreakBefore w:val="0"/>
        <w:kinsoku/>
        <w:wordWrap w:val="0"/>
        <w:overflowPunct/>
        <w:topLinePunct w:val="0"/>
        <w:bidi w:val="0"/>
        <w:spacing w:line="400" w:lineRule="exact"/>
        <w:ind w:firstLine="506" w:firstLineChars="200"/>
        <w:rPr>
          <w:rFonts w:ascii="宋体" w:hAnsi="宋体"/>
          <w:color w:val="auto"/>
          <w:highlight w:val="none"/>
        </w:rPr>
      </w:pPr>
      <w:r>
        <w:rPr>
          <w:rFonts w:hint="eastAsia" w:ascii="宋体" w:hAnsi="宋体" w:cs="宋体"/>
          <w:b/>
          <w:color w:val="auto"/>
          <w:spacing w:val="6"/>
          <w:sz w:val="24"/>
          <w:szCs w:val="24"/>
          <w:highlight w:val="none"/>
        </w:rPr>
        <w:t>从业人员、营业收入、资产总额填报上一年度数据，无上一年度数据的新成立企业可不填报</w:t>
      </w:r>
    </w:p>
    <w:bookmarkEnd w:id="338"/>
    <w:p w14:paraId="2FFB2B88">
      <w:pPr>
        <w:pStyle w:val="18"/>
        <w:keepNext w:val="0"/>
        <w:keepLines w:val="0"/>
        <w:pageBreakBefore w:val="0"/>
        <w:kinsoku/>
        <w:wordWrap w:val="0"/>
        <w:overflowPunct/>
        <w:topLinePunct w:val="0"/>
        <w:bidi w:val="0"/>
        <w:ind w:left="0"/>
        <w:jc w:val="both"/>
        <w:outlineLvl w:val="0"/>
        <w:rPr>
          <w:rFonts w:hint="eastAsia" w:ascii="宋体" w:hAnsi="宋体" w:eastAsia="宋体"/>
          <w:color w:val="auto"/>
          <w:highlight w:val="none"/>
          <w:lang w:val="en-US" w:eastAsia="zh-CN"/>
        </w:rPr>
      </w:pPr>
    </w:p>
    <w:p w14:paraId="086AC9CD">
      <w:pPr>
        <w:keepNext w:val="0"/>
        <w:keepLines w:val="0"/>
        <w:pageBreakBefore w:val="0"/>
        <w:kinsoku/>
        <w:wordWrap w:val="0"/>
        <w:overflowPunct/>
        <w:topLinePunct w:val="0"/>
        <w:bidi w:val="0"/>
        <w:rPr>
          <w:rFonts w:hint="eastAsia" w:ascii="宋体" w:hAnsi="宋体" w:eastAsia="宋体" w:cs="宋体"/>
          <w:b w:val="0"/>
          <w:bCs w:val="0"/>
          <w:color w:val="auto"/>
          <w:sz w:val="28"/>
          <w:szCs w:val="20"/>
          <w:highlight w:val="none"/>
          <w:lang w:val="en-US" w:eastAsia="zh-CN" w:bidi="zh-CN"/>
        </w:rPr>
      </w:pPr>
      <w:r>
        <w:rPr>
          <w:color w:val="auto"/>
          <w:highlight w:val="none"/>
        </w:rPr>
        <w:br w:type="page"/>
      </w:r>
      <w:r>
        <w:rPr>
          <w:rFonts w:hint="eastAsia" w:ascii="宋体" w:hAnsi="宋体" w:eastAsia="宋体" w:cs="宋体"/>
          <w:b w:val="0"/>
          <w:bCs w:val="0"/>
          <w:color w:val="auto"/>
          <w:sz w:val="28"/>
          <w:szCs w:val="20"/>
          <w:highlight w:val="none"/>
          <w:lang w:val="en-US" w:eastAsia="zh-CN" w:bidi="zh-CN"/>
        </w:rPr>
        <w:t>附件2：</w:t>
      </w:r>
    </w:p>
    <w:p w14:paraId="040EB0DB">
      <w:pPr>
        <w:pStyle w:val="11"/>
        <w:spacing w:line="500" w:lineRule="exact"/>
        <w:ind w:firstLine="2650" w:firstLineChars="1100"/>
        <w:jc w:val="both"/>
        <w:rPr>
          <w:rFonts w:hint="eastAsia" w:cs="宋体"/>
          <w:color w:val="auto"/>
          <w:kern w:val="2"/>
          <w:sz w:val="24"/>
          <w:szCs w:val="24"/>
          <w:highlight w:val="none"/>
          <w:lang w:val="en-US" w:bidi="ar-SA"/>
        </w:rPr>
      </w:pPr>
      <w:r>
        <w:rPr>
          <w:rFonts w:hint="eastAsia" w:cs="宋体"/>
          <w:bCs/>
          <w:color w:val="auto"/>
          <w:kern w:val="2"/>
          <w:sz w:val="24"/>
          <w:szCs w:val="24"/>
          <w:highlight w:val="none"/>
          <w:lang w:val="en-US" w:bidi="ar-SA"/>
        </w:rPr>
        <w:t>残疾人福利性单位声明函</w:t>
      </w:r>
    </w:p>
    <w:p w14:paraId="02171559">
      <w:pPr>
        <w:pStyle w:val="11"/>
        <w:spacing w:line="500" w:lineRule="exact"/>
        <w:ind w:firstLine="482" w:firstLineChars="200"/>
        <w:rPr>
          <w:rFonts w:hint="eastAsia" w:cs="宋体"/>
          <w:color w:val="auto"/>
          <w:sz w:val="24"/>
          <w:szCs w:val="22"/>
          <w:highlight w:val="none"/>
          <w:lang w:val="en-US"/>
        </w:rPr>
      </w:pPr>
      <w:bookmarkStart w:id="339" w:name="_Toc30155"/>
      <w:bookmarkStart w:id="340" w:name="_Toc21113_WPSOffice_Level2"/>
      <w:bookmarkStart w:id="341" w:name="_Toc31670_WPSOffice_Level2"/>
      <w:bookmarkStart w:id="342" w:name="_Toc13796_WPSOffice_Level2"/>
      <w:bookmarkStart w:id="343" w:name="_Toc18688"/>
      <w:r>
        <w:rPr>
          <w:rFonts w:hint="eastAsia" w:cs="宋体"/>
          <w:color w:val="auto"/>
          <w:kern w:val="2"/>
          <w:sz w:val="24"/>
          <w:szCs w:val="24"/>
          <w:highlight w:val="none"/>
          <w:lang w:val="en-US" w:bidi="ar-SA"/>
        </w:rPr>
        <w:t>（属于残疾人福利性单位的填写，不属于的无需填写此项内容）</w:t>
      </w:r>
      <w:bookmarkEnd w:id="339"/>
      <w:bookmarkEnd w:id="340"/>
      <w:bookmarkEnd w:id="341"/>
      <w:bookmarkEnd w:id="342"/>
      <w:bookmarkEnd w:id="343"/>
    </w:p>
    <w:p w14:paraId="26B5E352">
      <w:pPr>
        <w:spacing w:line="500" w:lineRule="exact"/>
        <w:ind w:firstLine="480" w:firstLineChars="200"/>
        <w:jc w:val="both"/>
        <w:rPr>
          <w:rFonts w:hint="eastAsia"/>
          <w:color w:val="auto"/>
          <w:sz w:val="24"/>
          <w:highlight w:val="none"/>
          <w:lang w:val="en-US"/>
        </w:rPr>
      </w:pPr>
      <w:r>
        <w:rPr>
          <w:rFonts w:hint="eastAsia"/>
          <w:color w:val="auto"/>
          <w:kern w:val="2"/>
          <w:sz w:val="24"/>
          <w:highlight w:val="none"/>
          <w:lang w:val="en-US" w:bidi="ar"/>
        </w:rPr>
        <w:t>本单位郑重声明，根据《财政部 民政部 中国残疾人联合会关于促进残疾人就业政府采购政策的通知》（财库〔2017〕141 号）的规定，本单位为符合条件的残疾人福利性单位，且本单位参加</w:t>
      </w:r>
      <w:r>
        <w:rPr>
          <w:rFonts w:hint="eastAsia"/>
          <w:color w:val="auto"/>
          <w:kern w:val="2"/>
          <w:sz w:val="24"/>
          <w:highlight w:val="none"/>
          <w:u w:val="single"/>
          <w:lang w:val="en-US" w:bidi="ar"/>
        </w:rPr>
        <w:t xml:space="preserve">          </w:t>
      </w:r>
      <w:r>
        <w:rPr>
          <w:rFonts w:hint="eastAsia"/>
          <w:color w:val="auto"/>
          <w:kern w:val="2"/>
          <w:sz w:val="24"/>
          <w:highlight w:val="none"/>
          <w:lang w:val="en-US" w:bidi="ar"/>
        </w:rPr>
        <w:t>单位的</w:t>
      </w:r>
      <w:r>
        <w:rPr>
          <w:rFonts w:hint="eastAsia"/>
          <w:color w:val="auto"/>
          <w:kern w:val="2"/>
          <w:sz w:val="24"/>
          <w:highlight w:val="none"/>
          <w:u w:val="single"/>
          <w:lang w:val="en-US" w:bidi="ar"/>
        </w:rPr>
        <w:t xml:space="preserve">         </w:t>
      </w:r>
      <w:r>
        <w:rPr>
          <w:rFonts w:hint="eastAsia"/>
          <w:color w:val="auto"/>
          <w:kern w:val="2"/>
          <w:sz w:val="24"/>
          <w:highlight w:val="none"/>
          <w:lang w:val="en-US" w:bidi="ar"/>
        </w:rPr>
        <w:t>项目采购活动，提供本单位制造的货物（由本单位承担工程/提供服务），或者提供其他残疾人福利性单位制造的货物（不包括使用非残疾人福利性单位注册商标的货物）。</w:t>
      </w:r>
    </w:p>
    <w:p w14:paraId="160CF300">
      <w:pPr>
        <w:spacing w:line="500" w:lineRule="exact"/>
        <w:ind w:firstLine="480" w:firstLineChars="200"/>
        <w:jc w:val="both"/>
        <w:rPr>
          <w:rFonts w:hint="eastAsia"/>
          <w:color w:val="auto"/>
          <w:sz w:val="24"/>
          <w:highlight w:val="none"/>
          <w:lang w:val="en-US"/>
        </w:rPr>
      </w:pPr>
      <w:r>
        <w:rPr>
          <w:rFonts w:hint="eastAsia"/>
          <w:color w:val="auto"/>
          <w:kern w:val="2"/>
          <w:sz w:val="24"/>
          <w:highlight w:val="none"/>
          <w:lang w:val="en-US" w:bidi="ar"/>
        </w:rPr>
        <w:t>本单位对上述声明的真实性负责。如有虚假，将依法承担相应责任。</w:t>
      </w:r>
    </w:p>
    <w:p w14:paraId="1AB22C22">
      <w:pPr>
        <w:pStyle w:val="11"/>
        <w:rPr>
          <w:rFonts w:hint="eastAsia" w:cs="宋体"/>
          <w:color w:val="auto"/>
          <w:kern w:val="2"/>
          <w:sz w:val="24"/>
          <w:szCs w:val="24"/>
          <w:highlight w:val="none"/>
          <w:lang w:val="en-US" w:bidi="ar-SA"/>
        </w:rPr>
      </w:pPr>
    </w:p>
    <w:p w14:paraId="203943B1">
      <w:pPr>
        <w:pStyle w:val="12"/>
        <w:spacing w:line="500" w:lineRule="exact"/>
        <w:ind w:firstLine="480" w:firstLineChars="200"/>
        <w:jc w:val="right"/>
        <w:rPr>
          <w:rFonts w:hint="eastAsia"/>
          <w:color w:val="auto"/>
          <w:kern w:val="2"/>
          <w:szCs w:val="24"/>
          <w:highlight w:val="none"/>
          <w:lang w:val="en-US" w:bidi="ar-SA"/>
        </w:rPr>
      </w:pPr>
      <w:r>
        <w:rPr>
          <w:rFonts w:hint="eastAsia"/>
          <w:color w:val="auto"/>
          <w:kern w:val="2"/>
          <w:szCs w:val="24"/>
          <w:highlight w:val="none"/>
          <w:lang w:val="en-US" w:bidi="ar-SA"/>
        </w:rPr>
        <w:t xml:space="preserve">    </w:t>
      </w:r>
    </w:p>
    <w:p w14:paraId="48E0CEF4">
      <w:pPr>
        <w:pStyle w:val="12"/>
        <w:spacing w:line="500" w:lineRule="exact"/>
        <w:ind w:firstLine="480" w:firstLineChars="200"/>
        <w:jc w:val="right"/>
        <w:rPr>
          <w:rFonts w:hint="eastAsia"/>
          <w:color w:val="auto"/>
          <w:kern w:val="2"/>
          <w:szCs w:val="24"/>
          <w:highlight w:val="none"/>
          <w:lang w:val="en-US" w:bidi="ar-SA"/>
        </w:rPr>
      </w:pPr>
    </w:p>
    <w:p w14:paraId="27584CE8">
      <w:pPr>
        <w:pStyle w:val="12"/>
        <w:spacing w:line="500" w:lineRule="exact"/>
        <w:ind w:firstLine="480" w:firstLineChars="200"/>
        <w:jc w:val="right"/>
        <w:rPr>
          <w:rFonts w:hint="eastAsia"/>
          <w:color w:val="auto"/>
          <w:szCs w:val="24"/>
          <w:highlight w:val="none"/>
        </w:rPr>
      </w:pPr>
      <w:r>
        <w:rPr>
          <w:rFonts w:hint="eastAsia"/>
          <w:color w:val="auto"/>
          <w:kern w:val="2"/>
          <w:szCs w:val="24"/>
          <w:highlight w:val="none"/>
          <w:lang w:val="en-US" w:bidi="ar-SA"/>
        </w:rPr>
        <w:t xml:space="preserve"> 投标</w:t>
      </w:r>
      <w:r>
        <w:rPr>
          <w:rFonts w:hint="eastAsia"/>
          <w:color w:val="auto"/>
          <w:szCs w:val="24"/>
          <w:highlight w:val="none"/>
        </w:rPr>
        <w:t>供应商：</w:t>
      </w:r>
      <w:r>
        <w:rPr>
          <w:rFonts w:hint="eastAsia"/>
          <w:color w:val="auto"/>
          <w:kern w:val="2"/>
          <w:szCs w:val="24"/>
          <w:highlight w:val="none"/>
          <w:u w:val="single"/>
          <w:lang w:val="en-US"/>
        </w:rPr>
        <w:t xml:space="preserve">       </w:t>
      </w:r>
      <w:r>
        <w:rPr>
          <w:rFonts w:hint="eastAsia"/>
          <w:color w:val="auto"/>
          <w:szCs w:val="24"/>
          <w:highlight w:val="none"/>
        </w:rPr>
        <w:t>（公章电子签章）</w:t>
      </w:r>
    </w:p>
    <w:p w14:paraId="4EDC087C">
      <w:pPr>
        <w:pStyle w:val="12"/>
        <w:spacing w:line="500" w:lineRule="exact"/>
        <w:ind w:firstLine="480" w:firstLineChars="200"/>
        <w:jc w:val="center"/>
        <w:rPr>
          <w:rFonts w:hint="eastAsia"/>
          <w:color w:val="auto"/>
          <w:kern w:val="2"/>
          <w:szCs w:val="24"/>
          <w:highlight w:val="none"/>
          <w:lang w:val="en-US" w:bidi="ar-SA"/>
        </w:rPr>
      </w:pPr>
      <w:r>
        <w:rPr>
          <w:rFonts w:hint="eastAsia"/>
          <w:color w:val="auto"/>
          <w:szCs w:val="24"/>
          <w:highlight w:val="none"/>
          <w:lang w:val="en-US"/>
        </w:rPr>
        <w:t xml:space="preserve">                                   </w:t>
      </w:r>
      <w:r>
        <w:rPr>
          <w:rFonts w:hint="eastAsia"/>
          <w:color w:val="auto"/>
          <w:szCs w:val="24"/>
          <w:highlight w:val="none"/>
        </w:rPr>
        <w:t>日</w:t>
      </w:r>
      <w:r>
        <w:rPr>
          <w:rFonts w:hint="eastAsia"/>
          <w:color w:val="auto"/>
          <w:szCs w:val="24"/>
          <w:highlight w:val="none"/>
          <w:lang w:val="en-US"/>
        </w:rPr>
        <w:t xml:space="preserve">      </w:t>
      </w:r>
      <w:r>
        <w:rPr>
          <w:rFonts w:hint="eastAsia"/>
          <w:color w:val="auto"/>
          <w:szCs w:val="24"/>
          <w:highlight w:val="none"/>
        </w:rPr>
        <w:t>期：</w:t>
      </w:r>
      <w:r>
        <w:rPr>
          <w:rFonts w:hint="eastAsia"/>
          <w:color w:val="auto"/>
          <w:szCs w:val="24"/>
          <w:highlight w:val="none"/>
          <w:lang w:val="en-US"/>
        </w:rPr>
        <w:t xml:space="preserve">     </w:t>
      </w:r>
      <w:r>
        <w:rPr>
          <w:rFonts w:hint="eastAsia"/>
          <w:color w:val="auto"/>
          <w:szCs w:val="24"/>
          <w:highlight w:val="none"/>
        </w:rPr>
        <w:t>年  月  日</w:t>
      </w:r>
    </w:p>
    <w:p w14:paraId="399AF105">
      <w:pPr>
        <w:spacing w:line="400" w:lineRule="exact"/>
        <w:ind w:firstLine="506" w:firstLineChars="200"/>
        <w:rPr>
          <w:b/>
          <w:color w:val="auto"/>
          <w:spacing w:val="6"/>
          <w:sz w:val="24"/>
          <w:szCs w:val="24"/>
          <w:highlight w:val="none"/>
        </w:rPr>
      </w:pPr>
    </w:p>
    <w:p w14:paraId="672E45E0">
      <w:pPr>
        <w:keepNext w:val="0"/>
        <w:keepLines w:val="0"/>
        <w:pageBreakBefore w:val="0"/>
        <w:kinsoku/>
        <w:wordWrap w:val="0"/>
        <w:overflowPunct/>
        <w:topLinePunct w:val="0"/>
        <w:bidi w:val="0"/>
        <w:rPr>
          <w:rFonts w:hint="default" w:ascii="宋体" w:hAnsi="宋体" w:eastAsia="宋体" w:cs="宋体"/>
          <w:b w:val="0"/>
          <w:bCs w:val="0"/>
          <w:color w:val="auto"/>
          <w:sz w:val="28"/>
          <w:szCs w:val="20"/>
          <w:highlight w:val="none"/>
          <w:lang w:val="en-US" w:eastAsia="zh-CN" w:bidi="zh-CN"/>
        </w:rPr>
      </w:pPr>
    </w:p>
    <w:p w14:paraId="7C757BC2"/>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50BE5">
    <w:pPr>
      <w:pStyle w:val="7"/>
      <w:spacing w:line="14" w:lineRule="auto"/>
      <w:ind w:left="0"/>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40AE6">
    <w:pPr>
      <w:pStyle w:val="7"/>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0D720">
    <w:pPr>
      <w:pStyle w:val="7"/>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77389">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5B677389">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FE0FF">
    <w:pPr>
      <w:pStyle w:val="7"/>
      <w:spacing w:line="14" w:lineRule="auto"/>
      <w:ind w:left="0"/>
      <w:rPr>
        <w:sz w:val="12"/>
      </w:rPr>
    </w:pPr>
    <w:r>
      <w:rPr>
        <w:sz w:val="1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F54941">
                          <w:pPr>
                            <w:pStyle w:val="10"/>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38F54941">
                    <w:pPr>
                      <w:pStyle w:val="10"/>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164F3">
    <w:pPr>
      <w:pStyle w:val="7"/>
      <w:spacing w:line="14" w:lineRule="auto"/>
      <w:ind w:left="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DF37AE">
                          <w:pPr>
                            <w:pStyle w:val="10"/>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19DF37AE">
                    <w:pPr>
                      <w:pStyle w:val="1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EAD4E">
    <w:pPr>
      <w:pStyle w:val="7"/>
      <w:spacing w:line="14" w:lineRule="auto"/>
      <w:ind w:left="0"/>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A06A69">
                          <w:pPr>
                            <w:pStyle w:val="10"/>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47A06A69">
                    <w:pPr>
                      <w:pStyle w:val="10"/>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E1796">
    <w:pPr>
      <w:pStyle w:val="7"/>
      <w:spacing w:line="14" w:lineRule="auto"/>
      <w:ind w:left="0"/>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8C5C9A">
                          <w:pPr>
                            <w:pStyle w:val="10"/>
                          </w:pPr>
                          <w:r>
                            <w:fldChar w:fldCharType="begin"/>
                          </w:r>
                          <w:r>
                            <w:instrText xml:space="preserve"> PAGE  \* MERGEFORMAT </w:instrText>
                          </w:r>
                          <w:r>
                            <w:fldChar w:fldCharType="separate"/>
                          </w:r>
                          <w:r>
                            <w:t>97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5C8C5C9A">
                    <w:pPr>
                      <w:pStyle w:val="10"/>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D110C">
    <w:pPr>
      <w:pStyle w:val="7"/>
      <w:spacing w:line="14" w:lineRule="auto"/>
      <w:ind w:left="0"/>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A50C21">
                          <w:pPr>
                            <w:pStyle w:val="10"/>
                          </w:pPr>
                          <w:r>
                            <w:fldChar w:fldCharType="begin"/>
                          </w:r>
                          <w:r>
                            <w:instrText xml:space="preserve"> PAGE  \* MERGEFORMAT </w:instrText>
                          </w:r>
                          <w:r>
                            <w:fldChar w:fldCharType="separate"/>
                          </w:r>
                          <w:r>
                            <w:t>99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52A50C21">
                    <w:pPr>
                      <w:pStyle w:val="10"/>
                    </w:pPr>
                    <w:r>
                      <w:fldChar w:fldCharType="begin"/>
                    </w:r>
                    <w:r>
                      <w:instrText xml:space="preserve"> PAGE  \* MERGEFORMAT </w:instrText>
                    </w:r>
                    <w:r>
                      <w:fldChar w:fldCharType="separate"/>
                    </w:r>
                    <w:r>
                      <w:t>99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21"/>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
    <w:nsid w:val="B0F1ACD9"/>
    <w:multiLevelType w:val="multilevel"/>
    <w:tmpl w:val="B0F1ACD9"/>
    <w:lvl w:ilvl="0" w:tentative="0">
      <w:start w:val="28"/>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2">
    <w:nsid w:val="B78700D7"/>
    <w:multiLevelType w:val="singleLevel"/>
    <w:tmpl w:val="B78700D7"/>
    <w:lvl w:ilvl="0" w:tentative="0">
      <w:start w:val="5"/>
      <w:numFmt w:val="chineseCounting"/>
      <w:suff w:val="nothing"/>
      <w:lvlText w:val="%1、"/>
      <w:lvlJc w:val="left"/>
      <w:rPr>
        <w:rFonts w:hint="eastAsia"/>
      </w:rPr>
    </w:lvl>
  </w:abstractNum>
  <w:abstractNum w:abstractNumId="3">
    <w:nsid w:val="BE923771"/>
    <w:multiLevelType w:val="multilevel"/>
    <w:tmpl w:val="BE923771"/>
    <w:lvl w:ilvl="0" w:tentative="0">
      <w:start w:val="1"/>
      <w:numFmt w:val="decimal"/>
      <w:lvlText w:val="(%1)"/>
      <w:lvlJc w:val="left"/>
      <w:pPr>
        <w:ind w:left="1220" w:hanging="480"/>
      </w:pPr>
      <w:rPr>
        <w:rFonts w:hint="default" w:ascii="宋体" w:hAnsi="宋体" w:eastAsia="宋体" w:cs="宋体"/>
        <w:w w:val="100"/>
        <w:sz w:val="24"/>
        <w:szCs w:val="24"/>
        <w:lang w:val="zh-CN" w:eastAsia="zh-CN" w:bidi="zh-CN"/>
      </w:rPr>
    </w:lvl>
    <w:lvl w:ilvl="1" w:tentative="0">
      <w:start w:val="0"/>
      <w:numFmt w:val="bullet"/>
      <w:lvlText w:val="•"/>
      <w:lvlJc w:val="left"/>
      <w:pPr>
        <w:ind w:left="2082" w:hanging="480"/>
      </w:pPr>
      <w:rPr>
        <w:rFonts w:hint="default"/>
        <w:lang w:val="zh-CN" w:eastAsia="zh-CN" w:bidi="zh-CN"/>
      </w:rPr>
    </w:lvl>
    <w:lvl w:ilvl="2" w:tentative="0">
      <w:start w:val="0"/>
      <w:numFmt w:val="bullet"/>
      <w:lvlText w:val="•"/>
      <w:lvlJc w:val="left"/>
      <w:pPr>
        <w:ind w:left="2945" w:hanging="480"/>
      </w:pPr>
      <w:rPr>
        <w:rFonts w:hint="default"/>
        <w:lang w:val="zh-CN" w:eastAsia="zh-CN" w:bidi="zh-CN"/>
      </w:rPr>
    </w:lvl>
    <w:lvl w:ilvl="3" w:tentative="0">
      <w:start w:val="0"/>
      <w:numFmt w:val="bullet"/>
      <w:lvlText w:val="•"/>
      <w:lvlJc w:val="left"/>
      <w:pPr>
        <w:ind w:left="3807" w:hanging="480"/>
      </w:pPr>
      <w:rPr>
        <w:rFonts w:hint="default"/>
        <w:lang w:val="zh-CN" w:eastAsia="zh-CN" w:bidi="zh-CN"/>
      </w:rPr>
    </w:lvl>
    <w:lvl w:ilvl="4" w:tentative="0">
      <w:start w:val="0"/>
      <w:numFmt w:val="bullet"/>
      <w:lvlText w:val="•"/>
      <w:lvlJc w:val="left"/>
      <w:pPr>
        <w:ind w:left="4670" w:hanging="480"/>
      </w:pPr>
      <w:rPr>
        <w:rFonts w:hint="default"/>
        <w:lang w:val="zh-CN" w:eastAsia="zh-CN" w:bidi="zh-CN"/>
      </w:rPr>
    </w:lvl>
    <w:lvl w:ilvl="5" w:tentative="0">
      <w:start w:val="0"/>
      <w:numFmt w:val="bullet"/>
      <w:lvlText w:val="•"/>
      <w:lvlJc w:val="left"/>
      <w:pPr>
        <w:ind w:left="5533" w:hanging="480"/>
      </w:pPr>
      <w:rPr>
        <w:rFonts w:hint="default"/>
        <w:lang w:val="zh-CN" w:eastAsia="zh-CN" w:bidi="zh-CN"/>
      </w:rPr>
    </w:lvl>
    <w:lvl w:ilvl="6" w:tentative="0">
      <w:start w:val="0"/>
      <w:numFmt w:val="bullet"/>
      <w:lvlText w:val="•"/>
      <w:lvlJc w:val="left"/>
      <w:pPr>
        <w:ind w:left="6395" w:hanging="480"/>
      </w:pPr>
      <w:rPr>
        <w:rFonts w:hint="default"/>
        <w:lang w:val="zh-CN" w:eastAsia="zh-CN" w:bidi="zh-CN"/>
      </w:rPr>
    </w:lvl>
    <w:lvl w:ilvl="7" w:tentative="0">
      <w:start w:val="0"/>
      <w:numFmt w:val="bullet"/>
      <w:lvlText w:val="•"/>
      <w:lvlJc w:val="left"/>
      <w:pPr>
        <w:ind w:left="7258" w:hanging="480"/>
      </w:pPr>
      <w:rPr>
        <w:rFonts w:hint="default"/>
        <w:lang w:val="zh-CN" w:eastAsia="zh-CN" w:bidi="zh-CN"/>
      </w:rPr>
    </w:lvl>
    <w:lvl w:ilvl="8" w:tentative="0">
      <w:start w:val="0"/>
      <w:numFmt w:val="bullet"/>
      <w:lvlText w:val="•"/>
      <w:lvlJc w:val="left"/>
      <w:pPr>
        <w:ind w:left="8120" w:hanging="480"/>
      </w:pPr>
      <w:rPr>
        <w:rFonts w:hint="default"/>
        <w:lang w:val="zh-CN" w:eastAsia="zh-CN" w:bidi="zh-CN"/>
      </w:rPr>
    </w:lvl>
  </w:abstractNum>
  <w:abstractNum w:abstractNumId="4">
    <w:nsid w:val="DCBA6B53"/>
    <w:multiLevelType w:val="multilevel"/>
    <w:tmpl w:val="DCBA6B53"/>
    <w:lvl w:ilvl="0" w:tentative="0">
      <w:start w:val="20"/>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1"/>
      <w:numFmt w:val="decimal"/>
      <w:lvlText w:val="%1.%2.%3"/>
      <w:lvlJc w:val="left"/>
      <w:pPr>
        <w:ind w:left="320" w:hanging="780"/>
      </w:pPr>
      <w:rPr>
        <w:rFonts w:hint="default" w:ascii="宋体" w:hAnsi="宋体" w:eastAsia="宋体" w:cs="宋体"/>
        <w:w w:val="100"/>
        <w:sz w:val="24"/>
        <w:szCs w:val="24"/>
        <w:lang w:val="zh-CN" w:eastAsia="zh-CN" w:bidi="zh-CN"/>
      </w:rPr>
    </w:lvl>
    <w:lvl w:ilvl="3" w:tentative="0">
      <w:start w:val="0"/>
      <w:numFmt w:val="bullet"/>
      <w:lvlText w:val="•"/>
      <w:lvlJc w:val="left"/>
      <w:pPr>
        <w:ind w:left="3177" w:hanging="780"/>
      </w:pPr>
      <w:rPr>
        <w:rFonts w:hint="default"/>
        <w:lang w:val="zh-CN" w:eastAsia="zh-CN" w:bidi="zh-CN"/>
      </w:rPr>
    </w:lvl>
    <w:lvl w:ilvl="4" w:tentative="0">
      <w:start w:val="0"/>
      <w:numFmt w:val="bullet"/>
      <w:lvlText w:val="•"/>
      <w:lvlJc w:val="left"/>
      <w:pPr>
        <w:ind w:left="4130" w:hanging="780"/>
      </w:pPr>
      <w:rPr>
        <w:rFonts w:hint="default"/>
        <w:lang w:val="zh-CN" w:eastAsia="zh-CN" w:bidi="zh-CN"/>
      </w:rPr>
    </w:lvl>
    <w:lvl w:ilvl="5" w:tentative="0">
      <w:start w:val="0"/>
      <w:numFmt w:val="bullet"/>
      <w:lvlText w:val="•"/>
      <w:lvlJc w:val="left"/>
      <w:pPr>
        <w:ind w:left="5083" w:hanging="780"/>
      </w:pPr>
      <w:rPr>
        <w:rFonts w:hint="default"/>
        <w:lang w:val="zh-CN" w:eastAsia="zh-CN" w:bidi="zh-CN"/>
      </w:rPr>
    </w:lvl>
    <w:lvl w:ilvl="6" w:tentative="0">
      <w:start w:val="0"/>
      <w:numFmt w:val="bullet"/>
      <w:lvlText w:val="•"/>
      <w:lvlJc w:val="left"/>
      <w:pPr>
        <w:ind w:left="6035" w:hanging="780"/>
      </w:pPr>
      <w:rPr>
        <w:rFonts w:hint="default"/>
        <w:lang w:val="zh-CN" w:eastAsia="zh-CN" w:bidi="zh-CN"/>
      </w:rPr>
    </w:lvl>
    <w:lvl w:ilvl="7" w:tentative="0">
      <w:start w:val="0"/>
      <w:numFmt w:val="bullet"/>
      <w:lvlText w:val="•"/>
      <w:lvlJc w:val="left"/>
      <w:pPr>
        <w:ind w:left="6988" w:hanging="780"/>
      </w:pPr>
      <w:rPr>
        <w:rFonts w:hint="default"/>
        <w:lang w:val="zh-CN" w:eastAsia="zh-CN" w:bidi="zh-CN"/>
      </w:rPr>
    </w:lvl>
    <w:lvl w:ilvl="8" w:tentative="0">
      <w:start w:val="0"/>
      <w:numFmt w:val="bullet"/>
      <w:lvlText w:val="•"/>
      <w:lvlJc w:val="left"/>
      <w:pPr>
        <w:ind w:left="7940" w:hanging="780"/>
      </w:pPr>
      <w:rPr>
        <w:rFonts w:hint="default"/>
        <w:lang w:val="zh-CN" w:eastAsia="zh-CN" w:bidi="zh-CN"/>
      </w:rPr>
    </w:lvl>
  </w:abstractNum>
  <w:abstractNum w:abstractNumId="5">
    <w:nsid w:val="F4B5D9F5"/>
    <w:multiLevelType w:val="multilevel"/>
    <w:tmpl w:val="F4B5D9F5"/>
    <w:lvl w:ilvl="0" w:tentative="0">
      <w:start w:val="18"/>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31" w:hanging="540"/>
      </w:pPr>
      <w:rPr>
        <w:rFonts w:hint="default"/>
        <w:lang w:val="zh-CN" w:eastAsia="zh-CN" w:bidi="zh-CN"/>
      </w:rPr>
    </w:lvl>
    <w:lvl w:ilvl="3" w:tentative="0">
      <w:start w:val="0"/>
      <w:numFmt w:val="bullet"/>
      <w:lvlText w:val="•"/>
      <w:lvlJc w:val="left"/>
      <w:pPr>
        <w:ind w:left="3183" w:hanging="540"/>
      </w:pPr>
      <w:rPr>
        <w:rFonts w:hint="default"/>
        <w:lang w:val="zh-CN" w:eastAsia="zh-CN" w:bidi="zh-CN"/>
      </w:rPr>
    </w:lvl>
    <w:lvl w:ilvl="4" w:tentative="0">
      <w:start w:val="0"/>
      <w:numFmt w:val="bullet"/>
      <w:lvlText w:val="•"/>
      <w:lvlJc w:val="left"/>
      <w:pPr>
        <w:ind w:left="4135" w:hanging="540"/>
      </w:pPr>
      <w:rPr>
        <w:rFonts w:hint="default"/>
        <w:lang w:val="zh-CN" w:eastAsia="zh-CN" w:bidi="zh-CN"/>
      </w:rPr>
    </w:lvl>
    <w:lvl w:ilvl="5" w:tentative="0">
      <w:start w:val="0"/>
      <w:numFmt w:val="bullet"/>
      <w:lvlText w:val="•"/>
      <w:lvlJc w:val="left"/>
      <w:pPr>
        <w:ind w:left="5087" w:hanging="540"/>
      </w:pPr>
      <w:rPr>
        <w:rFonts w:hint="default"/>
        <w:lang w:val="zh-CN" w:eastAsia="zh-CN" w:bidi="zh-CN"/>
      </w:rPr>
    </w:lvl>
    <w:lvl w:ilvl="6" w:tentative="0">
      <w:start w:val="0"/>
      <w:numFmt w:val="bullet"/>
      <w:lvlText w:val="•"/>
      <w:lvlJc w:val="left"/>
      <w:pPr>
        <w:ind w:left="6038" w:hanging="540"/>
      </w:pPr>
      <w:rPr>
        <w:rFonts w:hint="default"/>
        <w:lang w:val="zh-CN" w:eastAsia="zh-CN" w:bidi="zh-CN"/>
      </w:rPr>
    </w:lvl>
    <w:lvl w:ilvl="7" w:tentative="0">
      <w:start w:val="0"/>
      <w:numFmt w:val="bullet"/>
      <w:lvlText w:val="•"/>
      <w:lvlJc w:val="left"/>
      <w:pPr>
        <w:ind w:left="6990" w:hanging="540"/>
      </w:pPr>
      <w:rPr>
        <w:rFonts w:hint="default"/>
        <w:lang w:val="zh-CN" w:eastAsia="zh-CN" w:bidi="zh-CN"/>
      </w:rPr>
    </w:lvl>
    <w:lvl w:ilvl="8" w:tentative="0">
      <w:start w:val="0"/>
      <w:numFmt w:val="bullet"/>
      <w:lvlText w:val="•"/>
      <w:lvlJc w:val="left"/>
      <w:pPr>
        <w:ind w:left="7942" w:hanging="540"/>
      </w:pPr>
      <w:rPr>
        <w:rFonts w:hint="default"/>
        <w:lang w:val="zh-CN" w:eastAsia="zh-CN" w:bidi="zh-CN"/>
      </w:rPr>
    </w:lvl>
  </w:abstractNum>
  <w:abstractNum w:abstractNumId="6">
    <w:nsid w:val="F89862C1"/>
    <w:multiLevelType w:val="singleLevel"/>
    <w:tmpl w:val="F89862C1"/>
    <w:lvl w:ilvl="0" w:tentative="0">
      <w:start w:val="2"/>
      <w:numFmt w:val="chineseCounting"/>
      <w:suff w:val="nothing"/>
      <w:lvlText w:val="%1、"/>
      <w:lvlJc w:val="left"/>
      <w:rPr>
        <w:rFonts w:hint="eastAsia"/>
      </w:rPr>
    </w:lvl>
  </w:abstractNum>
  <w:abstractNum w:abstractNumId="7">
    <w:nsid w:val="03D62ECE"/>
    <w:multiLevelType w:val="multilevel"/>
    <w:tmpl w:val="03D62ECE"/>
    <w:lvl w:ilvl="0" w:tentative="0">
      <w:start w:val="2"/>
      <w:numFmt w:val="decimal"/>
      <w:lvlText w:val="%1"/>
      <w:lvlJc w:val="left"/>
      <w:pPr>
        <w:ind w:left="320" w:hanging="420"/>
        <w:jc w:val="right"/>
      </w:pPr>
      <w:rPr>
        <w:rFonts w:hint="default"/>
        <w:lang w:val="zh-CN" w:eastAsia="zh-CN" w:bidi="zh-CN"/>
      </w:rPr>
    </w:lvl>
    <w:lvl w:ilvl="1" w:tentative="0">
      <w:start w:val="1"/>
      <w:numFmt w:val="decimal"/>
      <w:lvlText w:val="%1.%2"/>
      <w:lvlJc w:val="left"/>
      <w:pPr>
        <w:ind w:left="32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420"/>
      </w:pPr>
      <w:rPr>
        <w:rFonts w:hint="default"/>
        <w:lang w:val="zh-CN" w:eastAsia="zh-CN" w:bidi="zh-CN"/>
      </w:rPr>
    </w:lvl>
    <w:lvl w:ilvl="3" w:tentative="0">
      <w:start w:val="0"/>
      <w:numFmt w:val="bullet"/>
      <w:lvlText w:val="•"/>
      <w:lvlJc w:val="left"/>
      <w:pPr>
        <w:ind w:left="3177" w:hanging="420"/>
      </w:pPr>
      <w:rPr>
        <w:rFonts w:hint="default"/>
        <w:lang w:val="zh-CN" w:eastAsia="zh-CN" w:bidi="zh-CN"/>
      </w:rPr>
    </w:lvl>
    <w:lvl w:ilvl="4" w:tentative="0">
      <w:start w:val="0"/>
      <w:numFmt w:val="bullet"/>
      <w:lvlText w:val="•"/>
      <w:lvlJc w:val="left"/>
      <w:pPr>
        <w:ind w:left="4130" w:hanging="420"/>
      </w:pPr>
      <w:rPr>
        <w:rFonts w:hint="default"/>
        <w:lang w:val="zh-CN" w:eastAsia="zh-CN" w:bidi="zh-CN"/>
      </w:rPr>
    </w:lvl>
    <w:lvl w:ilvl="5" w:tentative="0">
      <w:start w:val="0"/>
      <w:numFmt w:val="bullet"/>
      <w:lvlText w:val="•"/>
      <w:lvlJc w:val="left"/>
      <w:pPr>
        <w:ind w:left="5083" w:hanging="420"/>
      </w:pPr>
      <w:rPr>
        <w:rFonts w:hint="default"/>
        <w:lang w:val="zh-CN" w:eastAsia="zh-CN" w:bidi="zh-CN"/>
      </w:rPr>
    </w:lvl>
    <w:lvl w:ilvl="6" w:tentative="0">
      <w:start w:val="0"/>
      <w:numFmt w:val="bullet"/>
      <w:lvlText w:val="•"/>
      <w:lvlJc w:val="left"/>
      <w:pPr>
        <w:ind w:left="6035" w:hanging="420"/>
      </w:pPr>
      <w:rPr>
        <w:rFonts w:hint="default"/>
        <w:lang w:val="zh-CN" w:eastAsia="zh-CN" w:bidi="zh-CN"/>
      </w:rPr>
    </w:lvl>
    <w:lvl w:ilvl="7" w:tentative="0">
      <w:start w:val="0"/>
      <w:numFmt w:val="bullet"/>
      <w:lvlText w:val="•"/>
      <w:lvlJc w:val="left"/>
      <w:pPr>
        <w:ind w:left="6988" w:hanging="420"/>
      </w:pPr>
      <w:rPr>
        <w:rFonts w:hint="default"/>
        <w:lang w:val="zh-CN" w:eastAsia="zh-CN" w:bidi="zh-CN"/>
      </w:rPr>
    </w:lvl>
    <w:lvl w:ilvl="8" w:tentative="0">
      <w:start w:val="0"/>
      <w:numFmt w:val="bullet"/>
      <w:lvlText w:val="•"/>
      <w:lvlJc w:val="left"/>
      <w:pPr>
        <w:ind w:left="7940" w:hanging="420"/>
      </w:pPr>
      <w:rPr>
        <w:rFonts w:hint="default"/>
        <w:lang w:val="zh-CN" w:eastAsia="zh-CN" w:bidi="zh-CN"/>
      </w:rPr>
    </w:lvl>
  </w:abstractNum>
  <w:abstractNum w:abstractNumId="8">
    <w:nsid w:val="0E640482"/>
    <w:multiLevelType w:val="multilevel"/>
    <w:tmpl w:val="0E640482"/>
    <w:lvl w:ilvl="0" w:tentative="0">
      <w:start w:val="25"/>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993" w:hanging="540"/>
      </w:pPr>
      <w:rPr>
        <w:rFonts w:hint="default"/>
        <w:lang w:val="zh-CN" w:eastAsia="zh-CN" w:bidi="zh-CN"/>
      </w:rPr>
    </w:lvl>
    <w:lvl w:ilvl="3" w:tentative="0">
      <w:start w:val="0"/>
      <w:numFmt w:val="bullet"/>
      <w:lvlText w:val="•"/>
      <w:lvlJc w:val="left"/>
      <w:pPr>
        <w:ind w:left="3849" w:hanging="540"/>
      </w:pPr>
      <w:rPr>
        <w:rFonts w:hint="default"/>
        <w:lang w:val="zh-CN" w:eastAsia="zh-CN" w:bidi="zh-CN"/>
      </w:rPr>
    </w:lvl>
    <w:lvl w:ilvl="4" w:tentative="0">
      <w:start w:val="0"/>
      <w:numFmt w:val="bullet"/>
      <w:lvlText w:val="•"/>
      <w:lvlJc w:val="left"/>
      <w:pPr>
        <w:ind w:left="4706" w:hanging="540"/>
      </w:pPr>
      <w:rPr>
        <w:rFonts w:hint="default"/>
        <w:lang w:val="zh-CN" w:eastAsia="zh-CN" w:bidi="zh-CN"/>
      </w:rPr>
    </w:lvl>
    <w:lvl w:ilvl="5" w:tentative="0">
      <w:start w:val="0"/>
      <w:numFmt w:val="bullet"/>
      <w:lvlText w:val="•"/>
      <w:lvlJc w:val="left"/>
      <w:pPr>
        <w:ind w:left="5563" w:hanging="540"/>
      </w:pPr>
      <w:rPr>
        <w:rFonts w:hint="default"/>
        <w:lang w:val="zh-CN" w:eastAsia="zh-CN" w:bidi="zh-CN"/>
      </w:rPr>
    </w:lvl>
    <w:lvl w:ilvl="6" w:tentative="0">
      <w:start w:val="0"/>
      <w:numFmt w:val="bullet"/>
      <w:lvlText w:val="•"/>
      <w:lvlJc w:val="left"/>
      <w:pPr>
        <w:ind w:left="6419" w:hanging="540"/>
      </w:pPr>
      <w:rPr>
        <w:rFonts w:hint="default"/>
        <w:lang w:val="zh-CN" w:eastAsia="zh-CN" w:bidi="zh-CN"/>
      </w:rPr>
    </w:lvl>
    <w:lvl w:ilvl="7" w:tentative="0">
      <w:start w:val="0"/>
      <w:numFmt w:val="bullet"/>
      <w:lvlText w:val="•"/>
      <w:lvlJc w:val="left"/>
      <w:pPr>
        <w:ind w:left="7276" w:hanging="540"/>
      </w:pPr>
      <w:rPr>
        <w:rFonts w:hint="default"/>
        <w:lang w:val="zh-CN" w:eastAsia="zh-CN" w:bidi="zh-CN"/>
      </w:rPr>
    </w:lvl>
    <w:lvl w:ilvl="8" w:tentative="0">
      <w:start w:val="0"/>
      <w:numFmt w:val="bullet"/>
      <w:lvlText w:val="•"/>
      <w:lvlJc w:val="left"/>
      <w:pPr>
        <w:ind w:left="8132" w:hanging="540"/>
      </w:pPr>
      <w:rPr>
        <w:rFonts w:hint="default"/>
        <w:lang w:val="zh-CN" w:eastAsia="zh-CN" w:bidi="zh-CN"/>
      </w:rPr>
    </w:lvl>
  </w:abstractNum>
  <w:abstractNum w:abstractNumId="9">
    <w:nsid w:val="243FCF68"/>
    <w:multiLevelType w:val="multilevel"/>
    <w:tmpl w:val="243FCF68"/>
    <w:lvl w:ilvl="0" w:tentative="0">
      <w:start w:val="1"/>
      <w:numFmt w:val="decimal"/>
      <w:lvlText w:val="%1."/>
      <w:lvlJc w:val="left"/>
      <w:pPr>
        <w:ind w:left="1044" w:hanging="244"/>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1280" w:hanging="480"/>
      </w:pPr>
      <w:rPr>
        <w:rFonts w:hint="default" w:ascii="宋体" w:hAnsi="宋体" w:eastAsia="宋体" w:cs="宋体"/>
        <w:w w:val="100"/>
        <w:sz w:val="24"/>
        <w:szCs w:val="24"/>
        <w:lang w:val="zh-CN" w:eastAsia="zh-CN" w:bidi="zh-CN"/>
      </w:rPr>
    </w:lvl>
    <w:lvl w:ilvl="2" w:tentative="0">
      <w:start w:val="1"/>
      <w:numFmt w:val="decimal"/>
      <w:lvlText w:val="%1.%2.%3"/>
      <w:lvlJc w:val="left"/>
      <w:pPr>
        <w:ind w:left="320" w:hanging="840"/>
      </w:pPr>
      <w:rPr>
        <w:rFonts w:hint="default" w:ascii="宋体" w:hAnsi="宋体" w:eastAsia="宋体" w:cs="宋体"/>
        <w:spacing w:val="-29"/>
        <w:w w:val="100"/>
        <w:sz w:val="24"/>
        <w:szCs w:val="24"/>
        <w:lang w:val="zh-CN" w:eastAsia="zh-CN" w:bidi="zh-CN"/>
      </w:rPr>
    </w:lvl>
    <w:lvl w:ilvl="3" w:tentative="0">
      <w:start w:val="0"/>
      <w:numFmt w:val="bullet"/>
      <w:lvlText w:val="•"/>
      <w:lvlJc w:val="left"/>
      <w:pPr>
        <w:ind w:left="1280" w:hanging="840"/>
      </w:pPr>
      <w:rPr>
        <w:rFonts w:hint="default"/>
        <w:lang w:val="zh-CN" w:eastAsia="zh-CN" w:bidi="zh-CN"/>
      </w:rPr>
    </w:lvl>
    <w:lvl w:ilvl="4" w:tentative="0">
      <w:start w:val="0"/>
      <w:numFmt w:val="bullet"/>
      <w:lvlText w:val="•"/>
      <w:lvlJc w:val="left"/>
      <w:pPr>
        <w:ind w:left="1400" w:hanging="840"/>
      </w:pPr>
      <w:rPr>
        <w:rFonts w:hint="default"/>
        <w:lang w:val="zh-CN" w:eastAsia="zh-CN" w:bidi="zh-CN"/>
      </w:rPr>
    </w:lvl>
    <w:lvl w:ilvl="5" w:tentative="0">
      <w:start w:val="0"/>
      <w:numFmt w:val="bullet"/>
      <w:lvlText w:val="•"/>
      <w:lvlJc w:val="left"/>
      <w:pPr>
        <w:ind w:left="2807" w:hanging="840"/>
      </w:pPr>
      <w:rPr>
        <w:rFonts w:hint="default"/>
        <w:lang w:val="zh-CN" w:eastAsia="zh-CN" w:bidi="zh-CN"/>
      </w:rPr>
    </w:lvl>
    <w:lvl w:ilvl="6" w:tentative="0">
      <w:start w:val="0"/>
      <w:numFmt w:val="bullet"/>
      <w:lvlText w:val="•"/>
      <w:lvlJc w:val="left"/>
      <w:pPr>
        <w:ind w:left="4215" w:hanging="840"/>
      </w:pPr>
      <w:rPr>
        <w:rFonts w:hint="default"/>
        <w:lang w:val="zh-CN" w:eastAsia="zh-CN" w:bidi="zh-CN"/>
      </w:rPr>
    </w:lvl>
    <w:lvl w:ilvl="7" w:tentative="0">
      <w:start w:val="0"/>
      <w:numFmt w:val="bullet"/>
      <w:lvlText w:val="•"/>
      <w:lvlJc w:val="left"/>
      <w:pPr>
        <w:ind w:left="5623" w:hanging="840"/>
      </w:pPr>
      <w:rPr>
        <w:rFonts w:hint="default"/>
        <w:lang w:val="zh-CN" w:eastAsia="zh-CN" w:bidi="zh-CN"/>
      </w:rPr>
    </w:lvl>
    <w:lvl w:ilvl="8" w:tentative="0">
      <w:start w:val="0"/>
      <w:numFmt w:val="bullet"/>
      <w:lvlText w:val="•"/>
      <w:lvlJc w:val="left"/>
      <w:pPr>
        <w:ind w:left="7030" w:hanging="840"/>
      </w:pPr>
      <w:rPr>
        <w:rFonts w:hint="default"/>
        <w:lang w:val="zh-CN" w:eastAsia="zh-CN" w:bidi="zh-CN"/>
      </w:rPr>
    </w:lvl>
  </w:abstractNum>
  <w:abstractNum w:abstractNumId="10">
    <w:nsid w:val="2470EC97"/>
    <w:multiLevelType w:val="multilevel"/>
    <w:tmpl w:val="2470EC97"/>
    <w:lvl w:ilvl="0" w:tentative="0">
      <w:start w:val="19"/>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1">
    <w:nsid w:val="25B654F3"/>
    <w:multiLevelType w:val="multilevel"/>
    <w:tmpl w:val="25B654F3"/>
    <w:lvl w:ilvl="0" w:tentative="0">
      <w:start w:val="5"/>
      <w:numFmt w:val="decimal"/>
      <w:lvlText w:val="%1"/>
      <w:lvlJc w:val="left"/>
      <w:pPr>
        <w:ind w:left="320" w:hanging="420"/>
      </w:pPr>
      <w:rPr>
        <w:rFonts w:hint="default"/>
        <w:lang w:val="zh-CN" w:eastAsia="zh-CN" w:bidi="zh-CN"/>
      </w:rPr>
    </w:lvl>
    <w:lvl w:ilvl="1" w:tentative="0">
      <w:start w:val="1"/>
      <w:numFmt w:val="decimal"/>
      <w:lvlText w:val="%1.%2"/>
      <w:lvlJc w:val="left"/>
      <w:pPr>
        <w:ind w:left="32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420"/>
      </w:pPr>
      <w:rPr>
        <w:rFonts w:hint="default"/>
        <w:lang w:val="zh-CN" w:eastAsia="zh-CN" w:bidi="zh-CN"/>
      </w:rPr>
    </w:lvl>
    <w:lvl w:ilvl="3" w:tentative="0">
      <w:start w:val="0"/>
      <w:numFmt w:val="bullet"/>
      <w:lvlText w:val="•"/>
      <w:lvlJc w:val="left"/>
      <w:pPr>
        <w:ind w:left="3177" w:hanging="420"/>
      </w:pPr>
      <w:rPr>
        <w:rFonts w:hint="default"/>
        <w:lang w:val="zh-CN" w:eastAsia="zh-CN" w:bidi="zh-CN"/>
      </w:rPr>
    </w:lvl>
    <w:lvl w:ilvl="4" w:tentative="0">
      <w:start w:val="0"/>
      <w:numFmt w:val="bullet"/>
      <w:lvlText w:val="•"/>
      <w:lvlJc w:val="left"/>
      <w:pPr>
        <w:ind w:left="4130" w:hanging="420"/>
      </w:pPr>
      <w:rPr>
        <w:rFonts w:hint="default"/>
        <w:lang w:val="zh-CN" w:eastAsia="zh-CN" w:bidi="zh-CN"/>
      </w:rPr>
    </w:lvl>
    <w:lvl w:ilvl="5" w:tentative="0">
      <w:start w:val="0"/>
      <w:numFmt w:val="bullet"/>
      <w:lvlText w:val="•"/>
      <w:lvlJc w:val="left"/>
      <w:pPr>
        <w:ind w:left="5083" w:hanging="420"/>
      </w:pPr>
      <w:rPr>
        <w:rFonts w:hint="default"/>
        <w:lang w:val="zh-CN" w:eastAsia="zh-CN" w:bidi="zh-CN"/>
      </w:rPr>
    </w:lvl>
    <w:lvl w:ilvl="6" w:tentative="0">
      <w:start w:val="0"/>
      <w:numFmt w:val="bullet"/>
      <w:lvlText w:val="•"/>
      <w:lvlJc w:val="left"/>
      <w:pPr>
        <w:ind w:left="6035" w:hanging="420"/>
      </w:pPr>
      <w:rPr>
        <w:rFonts w:hint="default"/>
        <w:lang w:val="zh-CN" w:eastAsia="zh-CN" w:bidi="zh-CN"/>
      </w:rPr>
    </w:lvl>
    <w:lvl w:ilvl="7" w:tentative="0">
      <w:start w:val="0"/>
      <w:numFmt w:val="bullet"/>
      <w:lvlText w:val="•"/>
      <w:lvlJc w:val="left"/>
      <w:pPr>
        <w:ind w:left="6988" w:hanging="420"/>
      </w:pPr>
      <w:rPr>
        <w:rFonts w:hint="default"/>
        <w:lang w:val="zh-CN" w:eastAsia="zh-CN" w:bidi="zh-CN"/>
      </w:rPr>
    </w:lvl>
    <w:lvl w:ilvl="8" w:tentative="0">
      <w:start w:val="0"/>
      <w:numFmt w:val="bullet"/>
      <w:lvlText w:val="•"/>
      <w:lvlJc w:val="left"/>
      <w:pPr>
        <w:ind w:left="7940" w:hanging="420"/>
      </w:pPr>
      <w:rPr>
        <w:rFonts w:hint="default"/>
        <w:lang w:val="zh-CN" w:eastAsia="zh-CN" w:bidi="zh-CN"/>
      </w:rPr>
    </w:lvl>
  </w:abstractNum>
  <w:abstractNum w:abstractNumId="12">
    <w:nsid w:val="4C1BAE26"/>
    <w:multiLevelType w:val="multilevel"/>
    <w:tmpl w:val="4C1BAE26"/>
    <w:lvl w:ilvl="0" w:tentative="0">
      <w:start w:val="22"/>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3">
    <w:nsid w:val="4D4DC07F"/>
    <w:multiLevelType w:val="multilevel"/>
    <w:tmpl w:val="4D4DC07F"/>
    <w:lvl w:ilvl="0" w:tentative="0">
      <w:start w:val="17"/>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4">
    <w:nsid w:val="60382F6E"/>
    <w:multiLevelType w:val="multilevel"/>
    <w:tmpl w:val="60382F6E"/>
    <w:lvl w:ilvl="0" w:tentative="0">
      <w:start w:val="23"/>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1"/>
      <w:numFmt w:val="decimal"/>
      <w:lvlText w:val="%1.%2.%3"/>
      <w:lvlJc w:val="left"/>
      <w:pPr>
        <w:ind w:left="1520" w:hanging="780"/>
      </w:pPr>
      <w:rPr>
        <w:rFonts w:hint="default" w:ascii="宋体" w:hAnsi="宋体" w:eastAsia="宋体" w:cs="宋体"/>
        <w:w w:val="100"/>
        <w:sz w:val="24"/>
        <w:szCs w:val="24"/>
        <w:lang w:val="zh-CN" w:eastAsia="zh-CN" w:bidi="zh-CN"/>
      </w:rPr>
    </w:lvl>
    <w:lvl w:ilvl="3" w:tentative="0">
      <w:start w:val="0"/>
      <w:numFmt w:val="bullet"/>
      <w:lvlText w:val="•"/>
      <w:lvlJc w:val="left"/>
      <w:pPr>
        <w:ind w:left="3370" w:hanging="780"/>
      </w:pPr>
      <w:rPr>
        <w:rFonts w:hint="default"/>
        <w:lang w:val="zh-CN" w:eastAsia="zh-CN" w:bidi="zh-CN"/>
      </w:rPr>
    </w:lvl>
    <w:lvl w:ilvl="4" w:tentative="0">
      <w:start w:val="0"/>
      <w:numFmt w:val="bullet"/>
      <w:lvlText w:val="•"/>
      <w:lvlJc w:val="left"/>
      <w:pPr>
        <w:ind w:left="4295" w:hanging="780"/>
      </w:pPr>
      <w:rPr>
        <w:rFonts w:hint="default"/>
        <w:lang w:val="zh-CN" w:eastAsia="zh-CN" w:bidi="zh-CN"/>
      </w:rPr>
    </w:lvl>
    <w:lvl w:ilvl="5" w:tentative="0">
      <w:start w:val="0"/>
      <w:numFmt w:val="bullet"/>
      <w:lvlText w:val="•"/>
      <w:lvlJc w:val="left"/>
      <w:pPr>
        <w:ind w:left="5220" w:hanging="780"/>
      </w:pPr>
      <w:rPr>
        <w:rFonts w:hint="default"/>
        <w:lang w:val="zh-CN" w:eastAsia="zh-CN" w:bidi="zh-CN"/>
      </w:rPr>
    </w:lvl>
    <w:lvl w:ilvl="6" w:tentative="0">
      <w:start w:val="0"/>
      <w:numFmt w:val="bullet"/>
      <w:lvlText w:val="•"/>
      <w:lvlJc w:val="left"/>
      <w:pPr>
        <w:ind w:left="6145" w:hanging="780"/>
      </w:pPr>
      <w:rPr>
        <w:rFonts w:hint="default"/>
        <w:lang w:val="zh-CN" w:eastAsia="zh-CN" w:bidi="zh-CN"/>
      </w:rPr>
    </w:lvl>
    <w:lvl w:ilvl="7" w:tentative="0">
      <w:start w:val="0"/>
      <w:numFmt w:val="bullet"/>
      <w:lvlText w:val="•"/>
      <w:lvlJc w:val="left"/>
      <w:pPr>
        <w:ind w:left="7070" w:hanging="780"/>
      </w:pPr>
      <w:rPr>
        <w:rFonts w:hint="default"/>
        <w:lang w:val="zh-CN" w:eastAsia="zh-CN" w:bidi="zh-CN"/>
      </w:rPr>
    </w:lvl>
    <w:lvl w:ilvl="8" w:tentative="0">
      <w:start w:val="0"/>
      <w:numFmt w:val="bullet"/>
      <w:lvlText w:val="•"/>
      <w:lvlJc w:val="left"/>
      <w:pPr>
        <w:ind w:left="7995" w:hanging="780"/>
      </w:pPr>
      <w:rPr>
        <w:rFonts w:hint="default"/>
        <w:lang w:val="zh-CN" w:eastAsia="zh-CN" w:bidi="zh-CN"/>
      </w:rPr>
    </w:lvl>
  </w:abstractNum>
  <w:abstractNum w:abstractNumId="15">
    <w:nsid w:val="77ECEA79"/>
    <w:multiLevelType w:val="multilevel"/>
    <w:tmpl w:val="77ECEA79"/>
    <w:lvl w:ilvl="0" w:tentative="0">
      <w:start w:val="1"/>
      <w:numFmt w:val="decimal"/>
      <w:lvlText w:val="（%1）"/>
      <w:lvlJc w:val="left"/>
      <w:pPr>
        <w:ind w:left="134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190" w:hanging="601"/>
      </w:pPr>
      <w:rPr>
        <w:rFonts w:hint="default"/>
        <w:lang w:val="zh-CN" w:eastAsia="zh-CN" w:bidi="zh-CN"/>
      </w:rPr>
    </w:lvl>
    <w:lvl w:ilvl="2" w:tentative="0">
      <w:start w:val="0"/>
      <w:numFmt w:val="bullet"/>
      <w:lvlText w:val="•"/>
      <w:lvlJc w:val="left"/>
      <w:pPr>
        <w:ind w:left="3041" w:hanging="601"/>
      </w:pPr>
      <w:rPr>
        <w:rFonts w:hint="default"/>
        <w:lang w:val="zh-CN" w:eastAsia="zh-CN" w:bidi="zh-CN"/>
      </w:rPr>
    </w:lvl>
    <w:lvl w:ilvl="3" w:tentative="0">
      <w:start w:val="0"/>
      <w:numFmt w:val="bullet"/>
      <w:lvlText w:val="•"/>
      <w:lvlJc w:val="left"/>
      <w:pPr>
        <w:ind w:left="3891" w:hanging="601"/>
      </w:pPr>
      <w:rPr>
        <w:rFonts w:hint="default"/>
        <w:lang w:val="zh-CN" w:eastAsia="zh-CN" w:bidi="zh-CN"/>
      </w:rPr>
    </w:lvl>
    <w:lvl w:ilvl="4" w:tentative="0">
      <w:start w:val="0"/>
      <w:numFmt w:val="bullet"/>
      <w:lvlText w:val="•"/>
      <w:lvlJc w:val="left"/>
      <w:pPr>
        <w:ind w:left="4742" w:hanging="601"/>
      </w:pPr>
      <w:rPr>
        <w:rFonts w:hint="default"/>
        <w:lang w:val="zh-CN" w:eastAsia="zh-CN" w:bidi="zh-CN"/>
      </w:rPr>
    </w:lvl>
    <w:lvl w:ilvl="5" w:tentative="0">
      <w:start w:val="0"/>
      <w:numFmt w:val="bullet"/>
      <w:lvlText w:val="•"/>
      <w:lvlJc w:val="left"/>
      <w:pPr>
        <w:ind w:left="5593" w:hanging="601"/>
      </w:pPr>
      <w:rPr>
        <w:rFonts w:hint="default"/>
        <w:lang w:val="zh-CN" w:eastAsia="zh-CN" w:bidi="zh-CN"/>
      </w:rPr>
    </w:lvl>
    <w:lvl w:ilvl="6" w:tentative="0">
      <w:start w:val="0"/>
      <w:numFmt w:val="bullet"/>
      <w:lvlText w:val="•"/>
      <w:lvlJc w:val="left"/>
      <w:pPr>
        <w:ind w:left="6443" w:hanging="601"/>
      </w:pPr>
      <w:rPr>
        <w:rFonts w:hint="default"/>
        <w:lang w:val="zh-CN" w:eastAsia="zh-CN" w:bidi="zh-CN"/>
      </w:rPr>
    </w:lvl>
    <w:lvl w:ilvl="7" w:tentative="0">
      <w:start w:val="0"/>
      <w:numFmt w:val="bullet"/>
      <w:lvlText w:val="•"/>
      <w:lvlJc w:val="left"/>
      <w:pPr>
        <w:ind w:left="7294" w:hanging="601"/>
      </w:pPr>
      <w:rPr>
        <w:rFonts w:hint="default"/>
        <w:lang w:val="zh-CN" w:eastAsia="zh-CN" w:bidi="zh-CN"/>
      </w:rPr>
    </w:lvl>
    <w:lvl w:ilvl="8" w:tentative="0">
      <w:start w:val="0"/>
      <w:numFmt w:val="bullet"/>
      <w:lvlText w:val="•"/>
      <w:lvlJc w:val="left"/>
      <w:pPr>
        <w:ind w:left="8144" w:hanging="601"/>
      </w:pPr>
      <w:rPr>
        <w:rFonts w:hint="default"/>
        <w:lang w:val="zh-CN" w:eastAsia="zh-CN" w:bidi="zh-CN"/>
      </w:rPr>
    </w:lvl>
  </w:abstractNum>
  <w:abstractNum w:abstractNumId="16">
    <w:nsid w:val="7C246926"/>
    <w:multiLevelType w:val="multilevel"/>
    <w:tmpl w:val="7C246926"/>
    <w:lvl w:ilvl="0" w:tentative="0">
      <w:start w:val="29"/>
      <w:numFmt w:val="decimal"/>
      <w:lvlText w:val="%1."/>
      <w:lvlJc w:val="left"/>
      <w:pPr>
        <w:ind w:left="1221" w:hanging="481"/>
      </w:pPr>
      <w:rPr>
        <w:rFonts w:hint="default"/>
        <w:w w:val="100"/>
        <w:lang w:val="zh-CN" w:eastAsia="zh-CN" w:bidi="zh-CN"/>
      </w:rPr>
    </w:lvl>
    <w:lvl w:ilvl="1" w:tentative="0">
      <w:start w:val="1"/>
      <w:numFmt w:val="decimal"/>
      <w:lvlText w:val="%1.%2"/>
      <w:lvlJc w:val="left"/>
      <w:pPr>
        <w:ind w:left="1340" w:hanging="600"/>
      </w:pPr>
      <w:rPr>
        <w:rFonts w:hint="default" w:ascii="宋体" w:hAnsi="宋体" w:eastAsia="宋体" w:cs="宋体"/>
        <w:w w:val="100"/>
        <w:sz w:val="24"/>
        <w:szCs w:val="24"/>
        <w:lang w:val="zh-CN" w:eastAsia="zh-CN" w:bidi="zh-CN"/>
      </w:rPr>
    </w:lvl>
    <w:lvl w:ilvl="2" w:tentative="0">
      <w:start w:val="0"/>
      <w:numFmt w:val="bullet"/>
      <w:lvlText w:val="•"/>
      <w:lvlJc w:val="left"/>
      <w:pPr>
        <w:ind w:left="1340" w:hanging="600"/>
      </w:pPr>
      <w:rPr>
        <w:rFonts w:hint="default"/>
        <w:lang w:val="zh-CN" w:eastAsia="zh-CN" w:bidi="zh-CN"/>
      </w:rPr>
    </w:lvl>
    <w:lvl w:ilvl="3" w:tentative="0">
      <w:start w:val="0"/>
      <w:numFmt w:val="bullet"/>
      <w:lvlText w:val="•"/>
      <w:lvlJc w:val="left"/>
      <w:pPr>
        <w:ind w:left="2403" w:hanging="600"/>
      </w:pPr>
      <w:rPr>
        <w:rFonts w:hint="default"/>
        <w:lang w:val="zh-CN" w:eastAsia="zh-CN" w:bidi="zh-CN"/>
      </w:rPr>
    </w:lvl>
    <w:lvl w:ilvl="4" w:tentative="0">
      <w:start w:val="0"/>
      <w:numFmt w:val="bullet"/>
      <w:lvlText w:val="•"/>
      <w:lvlJc w:val="left"/>
      <w:pPr>
        <w:ind w:left="3466" w:hanging="600"/>
      </w:pPr>
      <w:rPr>
        <w:rFonts w:hint="default"/>
        <w:lang w:val="zh-CN" w:eastAsia="zh-CN" w:bidi="zh-CN"/>
      </w:rPr>
    </w:lvl>
    <w:lvl w:ilvl="5" w:tentative="0">
      <w:start w:val="0"/>
      <w:numFmt w:val="bullet"/>
      <w:lvlText w:val="•"/>
      <w:lvlJc w:val="left"/>
      <w:pPr>
        <w:ind w:left="4529" w:hanging="600"/>
      </w:pPr>
      <w:rPr>
        <w:rFonts w:hint="default"/>
        <w:lang w:val="zh-CN" w:eastAsia="zh-CN" w:bidi="zh-CN"/>
      </w:rPr>
    </w:lvl>
    <w:lvl w:ilvl="6" w:tentative="0">
      <w:start w:val="0"/>
      <w:numFmt w:val="bullet"/>
      <w:lvlText w:val="•"/>
      <w:lvlJc w:val="left"/>
      <w:pPr>
        <w:ind w:left="5593" w:hanging="600"/>
      </w:pPr>
      <w:rPr>
        <w:rFonts w:hint="default"/>
        <w:lang w:val="zh-CN" w:eastAsia="zh-CN" w:bidi="zh-CN"/>
      </w:rPr>
    </w:lvl>
    <w:lvl w:ilvl="7" w:tentative="0">
      <w:start w:val="0"/>
      <w:numFmt w:val="bullet"/>
      <w:lvlText w:val="•"/>
      <w:lvlJc w:val="left"/>
      <w:pPr>
        <w:ind w:left="6656" w:hanging="600"/>
      </w:pPr>
      <w:rPr>
        <w:rFonts w:hint="default"/>
        <w:lang w:val="zh-CN" w:eastAsia="zh-CN" w:bidi="zh-CN"/>
      </w:rPr>
    </w:lvl>
    <w:lvl w:ilvl="8" w:tentative="0">
      <w:start w:val="0"/>
      <w:numFmt w:val="bullet"/>
      <w:lvlText w:val="•"/>
      <w:lvlJc w:val="left"/>
      <w:pPr>
        <w:ind w:left="7719" w:hanging="600"/>
      </w:pPr>
      <w:rPr>
        <w:rFonts w:hint="default"/>
        <w:lang w:val="zh-CN" w:eastAsia="zh-CN" w:bidi="zh-CN"/>
      </w:rPr>
    </w:lvl>
  </w:abstractNum>
  <w:num w:numId="1">
    <w:abstractNumId w:val="11"/>
  </w:num>
  <w:num w:numId="2">
    <w:abstractNumId w:val="13"/>
  </w:num>
  <w:num w:numId="3">
    <w:abstractNumId w:val="5"/>
  </w:num>
  <w:num w:numId="4">
    <w:abstractNumId w:val="10"/>
  </w:num>
  <w:num w:numId="5">
    <w:abstractNumId w:val="4"/>
  </w:num>
  <w:num w:numId="6">
    <w:abstractNumId w:val="0"/>
  </w:num>
  <w:num w:numId="7">
    <w:abstractNumId w:val="12"/>
  </w:num>
  <w:num w:numId="8">
    <w:abstractNumId w:val="14"/>
  </w:num>
  <w:num w:numId="9">
    <w:abstractNumId w:val="8"/>
  </w:num>
  <w:num w:numId="10">
    <w:abstractNumId w:val="1"/>
  </w:num>
  <w:num w:numId="11">
    <w:abstractNumId w:val="16"/>
  </w:num>
  <w:num w:numId="12">
    <w:abstractNumId w:val="15"/>
  </w:num>
  <w:num w:numId="13">
    <w:abstractNumId w:val="3"/>
  </w:num>
  <w:num w:numId="14">
    <w:abstractNumId w:val="9"/>
  </w:num>
  <w:num w:numId="15">
    <w:abstractNumId w:val="7"/>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C6B88"/>
    <w:rsid w:val="2936586D"/>
    <w:rsid w:val="59312136"/>
    <w:rsid w:val="5F5C6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38"/>
      <w:ind w:left="892"/>
      <w:outlineLvl w:val="0"/>
    </w:pPr>
    <w:rPr>
      <w:b/>
      <w:bCs/>
      <w:sz w:val="32"/>
      <w:szCs w:val="32"/>
    </w:rPr>
  </w:style>
  <w:style w:type="paragraph" w:styleId="3">
    <w:name w:val="heading 2"/>
    <w:basedOn w:val="1"/>
    <w:next w:val="1"/>
    <w:qFormat/>
    <w:uiPriority w:val="1"/>
    <w:pPr>
      <w:spacing w:before="1"/>
      <w:ind w:left="1600"/>
      <w:outlineLvl w:val="1"/>
    </w:pPr>
    <w:rPr>
      <w:b/>
      <w:bCs/>
      <w:sz w:val="30"/>
      <w:szCs w:val="30"/>
    </w:rPr>
  </w:style>
  <w:style w:type="paragraph" w:styleId="4">
    <w:name w:val="heading 3"/>
    <w:basedOn w:val="1"/>
    <w:next w:val="1"/>
    <w:qFormat/>
    <w:uiPriority w:val="1"/>
    <w:pPr>
      <w:ind w:left="2015"/>
      <w:outlineLvl w:val="2"/>
    </w:pPr>
    <w:rPr>
      <w:b/>
      <w:bCs/>
      <w:sz w:val="28"/>
      <w:szCs w:val="28"/>
    </w:rPr>
  </w:style>
  <w:style w:type="paragraph" w:styleId="5">
    <w:name w:val="heading 4"/>
    <w:basedOn w:val="1"/>
    <w:next w:val="1"/>
    <w:qFormat/>
    <w:uiPriority w:val="1"/>
    <w:pPr>
      <w:ind w:left="740"/>
      <w:outlineLvl w:val="3"/>
    </w:pPr>
    <w:rPr>
      <w:b/>
      <w:bCs/>
      <w:sz w:val="24"/>
      <w:szCs w:val="2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annotation text"/>
    <w:basedOn w:val="1"/>
    <w:unhideWhenUsed/>
    <w:qFormat/>
    <w:uiPriority w:val="99"/>
    <w:rPr>
      <w:sz w:val="20"/>
    </w:rPr>
  </w:style>
  <w:style w:type="paragraph" w:styleId="7">
    <w:name w:val="Body Text"/>
    <w:basedOn w:val="1"/>
    <w:next w:val="1"/>
    <w:qFormat/>
    <w:uiPriority w:val="1"/>
    <w:pPr>
      <w:ind w:left="320"/>
    </w:pPr>
    <w:rPr>
      <w:sz w:val="24"/>
      <w:szCs w:val="24"/>
    </w:rPr>
  </w:style>
  <w:style w:type="paragraph" w:styleId="8">
    <w:name w:val="Body Text Indent"/>
    <w:basedOn w:val="1"/>
    <w:next w:val="9"/>
    <w:qFormat/>
    <w:uiPriority w:val="0"/>
    <w:pPr>
      <w:spacing w:line="700" w:lineRule="exact"/>
      <w:ind w:left="960"/>
    </w:pPr>
    <w:rPr>
      <w:sz w:val="44"/>
    </w:rPr>
  </w:style>
  <w:style w:type="paragraph" w:styleId="9">
    <w:name w:val="envelope return"/>
    <w:basedOn w:val="1"/>
    <w:qFormat/>
    <w:uiPriority w:val="0"/>
    <w:pPr>
      <w:snapToGrid w:val="0"/>
    </w:pPr>
    <w:rPr>
      <w:rFonts w:ascii="Arial" w:hAnsi="Arial"/>
    </w:rPr>
  </w:style>
  <w:style w:type="paragraph" w:styleId="10">
    <w:name w:val="footer"/>
    <w:basedOn w:val="1"/>
    <w:qFormat/>
    <w:uiPriority w:val="0"/>
    <w:pPr>
      <w:tabs>
        <w:tab w:val="center" w:pos="4153"/>
        <w:tab w:val="right" w:pos="8306"/>
      </w:tabs>
      <w:snapToGrid w:val="0"/>
    </w:pPr>
    <w:rPr>
      <w:sz w:val="18"/>
      <w:szCs w:val="18"/>
    </w:rPr>
  </w:style>
  <w:style w:type="paragraph" w:styleId="11">
    <w:name w:val="Body Text 2"/>
    <w:basedOn w:val="1"/>
    <w:qFormat/>
    <w:uiPriority w:val="0"/>
    <w:rPr>
      <w:rFonts w:ascii="宋体" w:hAnsi="宋体" w:eastAsia="宋体" w:cs="Arial"/>
      <w:b/>
      <w:kern w:val="0"/>
      <w:sz w:val="28"/>
      <w:szCs w:val="20"/>
    </w:rPr>
  </w:style>
  <w:style w:type="paragraph" w:styleId="12">
    <w:name w:val="Body Text First Indent"/>
    <w:basedOn w:val="7"/>
    <w:next w:val="1"/>
    <w:unhideWhenUsed/>
    <w:qFormat/>
    <w:uiPriority w:val="99"/>
    <w:pPr>
      <w:ind w:firstLine="420" w:firstLineChars="100"/>
    </w:pPr>
    <w:rPr>
      <w:szCs w:val="20"/>
    </w:rPr>
  </w:style>
  <w:style w:type="paragraph" w:styleId="13">
    <w:name w:val="Body Text First Indent 2"/>
    <w:basedOn w:val="8"/>
    <w:next w:val="12"/>
    <w:qFormat/>
    <w:uiPriority w:val="0"/>
    <w:pPr>
      <w:ind w:firstLine="200" w:firstLineChars="200"/>
    </w:p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Table Paragraph"/>
    <w:basedOn w:val="1"/>
    <w:qFormat/>
    <w:uiPriority w:val="1"/>
  </w:style>
  <w:style w:type="paragraph" w:customStyle="1" w:styleId="18">
    <w:name w:val="样式 标题 2 + Times New Roman 四号 非加粗 段前: 5 磅 段后: 0 磅 行距: 固定值 20..."/>
    <w:basedOn w:val="3"/>
    <w:qFormat/>
    <w:uiPriority w:val="0"/>
    <w:pPr>
      <w:spacing w:before="100" w:line="400" w:lineRule="exact"/>
    </w:pPr>
    <w:rPr>
      <w:rFonts w:ascii="Times New Roman" w:hAnsi="Times New Roman"/>
      <w:b w:val="0"/>
      <w:bCs w:val="0"/>
      <w:sz w:val="28"/>
      <w:szCs w:val="20"/>
    </w:rPr>
  </w:style>
  <w:style w:type="paragraph" w:styleId="19">
    <w:name w:val="List Paragraph"/>
    <w:basedOn w:val="1"/>
    <w:qFormat/>
    <w:uiPriority w:val="1"/>
    <w:pPr>
      <w:ind w:left="320" w:firstLine="420"/>
    </w:p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6989</Words>
  <Characters>8038</Characters>
  <Lines>0</Lines>
  <Paragraphs>0</Paragraphs>
  <TotalTime>2</TotalTime>
  <ScaleCrop>false</ScaleCrop>
  <LinksUpToDate>false</LinksUpToDate>
  <CharactersWithSpaces>8116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2025-06-24T08:51:00Z</dcterms:created>
  <dc:creator>Administrator</dc:creator>
  <cp:lastModifiedBy>Administrator</cp:lastModifiedBy>
  <dcterms:modified xsi:type="dcterms:W3CDTF">2025-06-24T09:16:51Z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6D11880E12E24EF09321637D91F26E39_11</vt:lpwstr>
  </property>
  <property fmtid="{D5CDD505-2E9C-101B-9397-08002B2CF9AE}" pid="4" name="KSOTemplateDocerSaveRecord">
    <vt:lpwstr>eyJoZGlkIjoiMTBlYjI0MGM3YTYyMWNmZGY2Njc1N2ViNzkyYWIzNTYifQ==</vt:lpwstr>
  </property>
</Properties>
</file>